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1F" w:rsidRPr="00FE71D2" w:rsidRDefault="00FE06DE" w:rsidP="00FE71D2">
      <w:pPr>
        <w:rPr>
          <w:b/>
          <w:sz w:val="28"/>
        </w:rPr>
      </w:pPr>
      <w:bookmarkStart w:id="0" w:name="_Toc398303318"/>
      <w:r w:rsidRPr="00FE71D2">
        <w:rPr>
          <w:b/>
          <w:sz w:val="28"/>
        </w:rPr>
        <w:t>5</w:t>
      </w:r>
      <w:r w:rsidR="00433044" w:rsidRPr="00FE71D2">
        <w:rPr>
          <w:b/>
          <w:sz w:val="28"/>
        </w:rPr>
        <w:t>.</w:t>
      </w:r>
      <w:r w:rsidRPr="00FE71D2">
        <w:rPr>
          <w:b/>
          <w:sz w:val="28"/>
        </w:rPr>
        <w:t>1</w:t>
      </w:r>
      <w:r w:rsidR="00B60939" w:rsidRPr="00FE71D2">
        <w:rPr>
          <w:b/>
          <w:sz w:val="28"/>
        </w:rPr>
        <w:tab/>
      </w:r>
      <w:r w:rsidR="00A8021F" w:rsidRPr="00FE71D2">
        <w:rPr>
          <w:b/>
          <w:sz w:val="28"/>
        </w:rPr>
        <w:t>ANAKINRA</w:t>
      </w:r>
    </w:p>
    <w:p w:rsidR="00C050FC" w:rsidRPr="00FE71D2" w:rsidRDefault="00C050FC" w:rsidP="00FE71D2">
      <w:pPr>
        <w:ind w:firstLine="720"/>
        <w:rPr>
          <w:b/>
          <w:sz w:val="28"/>
        </w:rPr>
      </w:pPr>
      <w:r w:rsidRPr="00FE71D2">
        <w:rPr>
          <w:b/>
          <w:sz w:val="28"/>
        </w:rPr>
        <w:t xml:space="preserve">100 </w:t>
      </w:r>
      <w:r w:rsidR="00FE06DE" w:rsidRPr="00FE71D2">
        <w:rPr>
          <w:b/>
          <w:sz w:val="28"/>
        </w:rPr>
        <w:t>mg</w:t>
      </w:r>
      <w:r w:rsidRPr="00FE71D2">
        <w:rPr>
          <w:b/>
          <w:sz w:val="28"/>
        </w:rPr>
        <w:t xml:space="preserve">/0.67 </w:t>
      </w:r>
      <w:r w:rsidR="00FE06DE" w:rsidRPr="00FE71D2">
        <w:rPr>
          <w:b/>
          <w:sz w:val="28"/>
        </w:rPr>
        <w:t>mL</w:t>
      </w:r>
      <w:r w:rsidRPr="00FE71D2">
        <w:rPr>
          <w:b/>
          <w:sz w:val="28"/>
        </w:rPr>
        <w:t xml:space="preserve">, 28 x 0.67 </w:t>
      </w:r>
      <w:r w:rsidR="00171BC4" w:rsidRPr="00FE71D2">
        <w:rPr>
          <w:b/>
          <w:sz w:val="28"/>
        </w:rPr>
        <w:t>m</w:t>
      </w:r>
      <w:r w:rsidR="00FE06DE" w:rsidRPr="00FE71D2">
        <w:rPr>
          <w:b/>
          <w:sz w:val="28"/>
        </w:rPr>
        <w:t>L</w:t>
      </w:r>
      <w:r w:rsidRPr="00FE71D2">
        <w:rPr>
          <w:b/>
          <w:sz w:val="28"/>
        </w:rPr>
        <w:t xml:space="preserve"> </w:t>
      </w:r>
      <w:r w:rsidR="00171BC4" w:rsidRPr="00FE71D2">
        <w:rPr>
          <w:b/>
          <w:sz w:val="28"/>
        </w:rPr>
        <w:t>s</w:t>
      </w:r>
      <w:r w:rsidR="00FE06DE" w:rsidRPr="00FE71D2">
        <w:rPr>
          <w:b/>
          <w:sz w:val="28"/>
        </w:rPr>
        <w:t>yringes</w:t>
      </w:r>
      <w:bookmarkEnd w:id="0"/>
      <w:r w:rsidR="00A8021F" w:rsidRPr="00FE71D2">
        <w:rPr>
          <w:b/>
          <w:sz w:val="28"/>
        </w:rPr>
        <w:t>;</w:t>
      </w:r>
    </w:p>
    <w:p w:rsidR="00B60939" w:rsidRPr="00FE71D2" w:rsidRDefault="00C050FC" w:rsidP="00FE71D2">
      <w:pPr>
        <w:ind w:firstLine="720"/>
        <w:rPr>
          <w:b/>
          <w:sz w:val="28"/>
        </w:rPr>
      </w:pPr>
      <w:proofErr w:type="spellStart"/>
      <w:proofErr w:type="gramStart"/>
      <w:r w:rsidRPr="00FE71D2">
        <w:rPr>
          <w:b/>
          <w:sz w:val="28"/>
        </w:rPr>
        <w:t>Kineret</w:t>
      </w:r>
      <w:proofErr w:type="spellEnd"/>
      <w:r w:rsidRPr="00FE71D2">
        <w:rPr>
          <w:b/>
          <w:sz w:val="28"/>
          <w:vertAlign w:val="superscript"/>
        </w:rPr>
        <w:t>®</w:t>
      </w:r>
      <w:r w:rsidR="00A8021F" w:rsidRPr="00FE71D2">
        <w:rPr>
          <w:b/>
          <w:sz w:val="28"/>
        </w:rPr>
        <w:t>;</w:t>
      </w:r>
      <w:r w:rsidRPr="00FE71D2">
        <w:rPr>
          <w:b/>
          <w:sz w:val="28"/>
        </w:rPr>
        <w:t xml:space="preserve"> </w:t>
      </w:r>
      <w:proofErr w:type="spellStart"/>
      <w:r w:rsidRPr="00FE71D2">
        <w:rPr>
          <w:b/>
          <w:sz w:val="28"/>
        </w:rPr>
        <w:t>A.Menarini</w:t>
      </w:r>
      <w:proofErr w:type="spellEnd"/>
      <w:r w:rsidRPr="00FE71D2">
        <w:rPr>
          <w:b/>
          <w:sz w:val="28"/>
        </w:rPr>
        <w:t xml:space="preserve"> Australia Pty Ltd</w:t>
      </w:r>
      <w:r w:rsidR="00A8021F" w:rsidRPr="00FE71D2">
        <w:rPr>
          <w:b/>
          <w:sz w:val="28"/>
        </w:rPr>
        <w:t>.</w:t>
      </w:r>
      <w:proofErr w:type="gramEnd"/>
    </w:p>
    <w:p w:rsidR="00B60939" w:rsidRPr="00EB2B34" w:rsidRDefault="00B60939" w:rsidP="00207D00"/>
    <w:p w:rsidR="005320C3" w:rsidRPr="00EB2B34" w:rsidRDefault="005320C3" w:rsidP="005320C3"/>
    <w:p w:rsidR="005320C3" w:rsidRPr="00EB2B34" w:rsidRDefault="005320C3" w:rsidP="005320C3">
      <w:pPr>
        <w:pStyle w:val="PBACHeading1"/>
        <w:numPr>
          <w:ilvl w:val="0"/>
          <w:numId w:val="16"/>
        </w:numPr>
        <w:snapToGrid w:val="0"/>
      </w:pPr>
      <w:bookmarkStart w:id="1" w:name="_Toc398303320"/>
      <w:r w:rsidRPr="00EB2B34">
        <w:t>Purpose of Application</w:t>
      </w:r>
      <w:bookmarkEnd w:id="1"/>
    </w:p>
    <w:p w:rsidR="005320C3" w:rsidRPr="00EB2B34" w:rsidRDefault="005320C3" w:rsidP="005320C3">
      <w:pPr>
        <w:rPr>
          <w:szCs w:val="22"/>
        </w:rPr>
      </w:pPr>
    </w:p>
    <w:p w:rsidR="005320C3" w:rsidRPr="00EB2B34" w:rsidRDefault="005320C3" w:rsidP="005320C3">
      <w:pPr>
        <w:pStyle w:val="ListParagraph"/>
        <w:widowControl/>
        <w:numPr>
          <w:ilvl w:val="1"/>
          <w:numId w:val="16"/>
        </w:numPr>
        <w:snapToGrid w:val="0"/>
        <w:rPr>
          <w:szCs w:val="22"/>
        </w:rPr>
      </w:pPr>
      <w:r w:rsidRPr="00EB2B34">
        <w:t xml:space="preserve">The </w:t>
      </w:r>
      <w:r w:rsidR="00445222">
        <w:t>major submission sought</w:t>
      </w:r>
      <w:r w:rsidRPr="00EB2B34">
        <w:t xml:space="preserve"> a Section 100 (Highly Specialised Drugs Program), Authority </w:t>
      </w:r>
      <w:proofErr w:type="gramStart"/>
      <w:r w:rsidRPr="00EB2B34">
        <w:t>Required</w:t>
      </w:r>
      <w:proofErr w:type="gramEnd"/>
      <w:r w:rsidRPr="00EB2B34">
        <w:t xml:space="preserve"> listing for</w:t>
      </w:r>
      <w:r w:rsidR="0043533D" w:rsidRPr="00EB2B34">
        <w:t xml:space="preserve"> anakinra for the treatment of </w:t>
      </w:r>
      <w:proofErr w:type="spellStart"/>
      <w:r w:rsidR="0043533D" w:rsidRPr="00EB2B34">
        <w:t>c</w:t>
      </w:r>
      <w:r w:rsidRPr="00EB2B34">
        <w:t>ryopyrin</w:t>
      </w:r>
      <w:proofErr w:type="spellEnd"/>
      <w:r w:rsidRPr="00EB2B34">
        <w:t>-associated periodic syndromes (CAPS).</w:t>
      </w:r>
    </w:p>
    <w:p w:rsidR="005320C3" w:rsidRPr="00EB2B34" w:rsidRDefault="005320C3" w:rsidP="005320C3"/>
    <w:p w:rsidR="005320C3" w:rsidRPr="00EB2B34" w:rsidRDefault="005320C3" w:rsidP="005320C3"/>
    <w:p w:rsidR="005320C3" w:rsidRPr="00EB2B34" w:rsidRDefault="005320C3" w:rsidP="005320C3">
      <w:pPr>
        <w:pStyle w:val="PBACHeading1"/>
        <w:numPr>
          <w:ilvl w:val="0"/>
          <w:numId w:val="16"/>
        </w:numPr>
        <w:snapToGrid w:val="0"/>
      </w:pPr>
      <w:bookmarkStart w:id="2" w:name="_Toc398303321"/>
      <w:r w:rsidRPr="00EB2B34">
        <w:t>Requested listing</w:t>
      </w:r>
      <w:bookmarkEnd w:id="2"/>
    </w:p>
    <w:p w:rsidR="005320C3" w:rsidRDefault="005320C3" w:rsidP="005320C3"/>
    <w:p w:rsidR="00BA0167" w:rsidRPr="00BA0167" w:rsidRDefault="00445222" w:rsidP="00BA0167">
      <w:pPr>
        <w:pStyle w:val="ListParagraph"/>
        <w:numPr>
          <w:ilvl w:val="1"/>
          <w:numId w:val="16"/>
        </w:numPr>
        <w:rPr>
          <w:szCs w:val="22"/>
        </w:rPr>
      </w:pPr>
      <w:r>
        <w:rPr>
          <w:szCs w:val="22"/>
        </w:rPr>
        <w:t>The submission proposed</w:t>
      </w:r>
      <w:r w:rsidR="00171BC4">
        <w:rPr>
          <w:szCs w:val="22"/>
        </w:rPr>
        <w:t xml:space="preserve"> the following listing:</w:t>
      </w:r>
    </w:p>
    <w:p w:rsidR="0082211D" w:rsidRPr="0082211D" w:rsidRDefault="0082211D" w:rsidP="0082211D">
      <w:pPr>
        <w:widowControl/>
        <w:rPr>
          <w:snapToGrid/>
          <w:szCs w:val="22"/>
          <w:lang w:eastAsia="en-AU"/>
        </w:rPr>
      </w:pPr>
    </w:p>
    <w:tbl>
      <w:tblPr>
        <w:tblW w:w="8363" w:type="dxa"/>
        <w:tblInd w:w="817" w:type="dxa"/>
        <w:tblLayout w:type="fixed"/>
        <w:tblLook w:val="0000" w:firstRow="0" w:lastRow="0" w:firstColumn="0" w:lastColumn="0" w:noHBand="0" w:noVBand="0"/>
      </w:tblPr>
      <w:tblGrid>
        <w:gridCol w:w="2948"/>
        <w:gridCol w:w="738"/>
        <w:gridCol w:w="708"/>
        <w:gridCol w:w="993"/>
        <w:gridCol w:w="1560"/>
        <w:gridCol w:w="1416"/>
      </w:tblGrid>
      <w:tr w:rsidR="000D5A6C" w:rsidRPr="0082211D" w:rsidTr="000D5A6C">
        <w:trPr>
          <w:cantSplit/>
          <w:trHeight w:val="447"/>
        </w:trPr>
        <w:tc>
          <w:tcPr>
            <w:tcW w:w="2948" w:type="dxa"/>
            <w:tcBorders>
              <w:bottom w:val="single" w:sz="4" w:space="0" w:color="auto"/>
            </w:tcBorders>
          </w:tcPr>
          <w:p w:rsidR="000D5A6C" w:rsidRPr="0082211D" w:rsidRDefault="000D5A6C" w:rsidP="0082211D">
            <w:pPr>
              <w:keepNext/>
              <w:widowControl/>
              <w:ind w:left="-108"/>
              <w:rPr>
                <w:rFonts w:ascii="Arial Narrow" w:hAnsi="Arial Narrow"/>
                <w:snapToGrid/>
                <w:sz w:val="20"/>
                <w:lang w:eastAsia="en-AU"/>
              </w:rPr>
            </w:pPr>
            <w:r w:rsidRPr="0082211D">
              <w:rPr>
                <w:rFonts w:ascii="Arial Narrow" w:hAnsi="Arial Narrow"/>
                <w:snapToGrid/>
                <w:sz w:val="20"/>
                <w:lang w:eastAsia="en-AU"/>
              </w:rPr>
              <w:t>Name, Restriction,</w:t>
            </w:r>
          </w:p>
          <w:p w:rsidR="000D5A6C" w:rsidRPr="0082211D" w:rsidRDefault="000D5A6C" w:rsidP="0082211D">
            <w:pPr>
              <w:keepNext/>
              <w:widowControl/>
              <w:ind w:left="-108" w:right="175"/>
              <w:rPr>
                <w:rFonts w:ascii="Arial Narrow" w:hAnsi="Arial Narrow"/>
                <w:snapToGrid/>
                <w:sz w:val="20"/>
                <w:lang w:eastAsia="en-AU"/>
              </w:rPr>
            </w:pPr>
            <w:r w:rsidRPr="0082211D">
              <w:rPr>
                <w:rFonts w:ascii="Arial Narrow" w:hAnsi="Arial Narrow"/>
                <w:snapToGrid/>
                <w:sz w:val="20"/>
                <w:lang w:eastAsia="en-AU"/>
              </w:rPr>
              <w:t>Manner of administration and form</w:t>
            </w:r>
          </w:p>
        </w:tc>
        <w:tc>
          <w:tcPr>
            <w:tcW w:w="738" w:type="dxa"/>
            <w:tcBorders>
              <w:bottom w:val="single" w:sz="4" w:space="0" w:color="auto"/>
            </w:tcBorders>
          </w:tcPr>
          <w:p w:rsidR="000D5A6C" w:rsidRPr="0082211D" w:rsidRDefault="000D5A6C" w:rsidP="00CC047A">
            <w:pPr>
              <w:keepNext/>
              <w:widowControl/>
              <w:ind w:left="-108"/>
              <w:jc w:val="left"/>
              <w:rPr>
                <w:rFonts w:ascii="Arial Narrow" w:hAnsi="Arial Narrow"/>
                <w:snapToGrid/>
                <w:sz w:val="20"/>
                <w:lang w:eastAsia="en-AU"/>
              </w:rPr>
            </w:pPr>
            <w:r w:rsidRPr="0082211D">
              <w:rPr>
                <w:rFonts w:ascii="Arial Narrow" w:hAnsi="Arial Narrow"/>
                <w:snapToGrid/>
                <w:sz w:val="20"/>
                <w:lang w:eastAsia="en-AU"/>
              </w:rPr>
              <w:t>Max.</w:t>
            </w:r>
            <w:r>
              <w:rPr>
                <w:rFonts w:ascii="Arial Narrow" w:hAnsi="Arial Narrow"/>
                <w:snapToGrid/>
                <w:sz w:val="20"/>
                <w:lang w:eastAsia="en-AU"/>
              </w:rPr>
              <w:t xml:space="preserve"> </w:t>
            </w:r>
            <w:r w:rsidRPr="0082211D">
              <w:rPr>
                <w:rFonts w:ascii="Arial Narrow" w:hAnsi="Arial Narrow"/>
                <w:snapToGrid/>
                <w:sz w:val="20"/>
                <w:lang w:eastAsia="en-AU"/>
              </w:rPr>
              <w:t>Qty (Packs)</w:t>
            </w:r>
          </w:p>
        </w:tc>
        <w:tc>
          <w:tcPr>
            <w:tcW w:w="708" w:type="dxa"/>
            <w:tcBorders>
              <w:bottom w:val="single" w:sz="4" w:space="0" w:color="auto"/>
            </w:tcBorders>
          </w:tcPr>
          <w:p w:rsidR="000D5A6C" w:rsidRPr="0082211D" w:rsidRDefault="000D5A6C" w:rsidP="007F5C18">
            <w:pPr>
              <w:keepNext/>
              <w:widowControl/>
              <w:ind w:left="-108"/>
              <w:jc w:val="left"/>
              <w:rPr>
                <w:rFonts w:ascii="Arial Narrow" w:hAnsi="Arial Narrow"/>
                <w:snapToGrid/>
                <w:sz w:val="20"/>
                <w:lang w:eastAsia="en-AU"/>
              </w:rPr>
            </w:pPr>
            <w:r w:rsidRPr="0082211D">
              <w:rPr>
                <w:rFonts w:ascii="Arial Narrow" w:hAnsi="Arial Narrow"/>
                <w:snapToGrid/>
                <w:sz w:val="20"/>
                <w:lang w:eastAsia="en-AU"/>
              </w:rPr>
              <w:t>Max. Qty (Units)</w:t>
            </w:r>
          </w:p>
        </w:tc>
        <w:tc>
          <w:tcPr>
            <w:tcW w:w="993" w:type="dxa"/>
            <w:tcBorders>
              <w:bottom w:val="single" w:sz="4" w:space="0" w:color="auto"/>
            </w:tcBorders>
          </w:tcPr>
          <w:p w:rsidR="000D5A6C" w:rsidRPr="0082211D" w:rsidRDefault="000D5A6C" w:rsidP="00E85F2C">
            <w:pPr>
              <w:keepNext/>
              <w:widowControl/>
              <w:ind w:left="-108"/>
              <w:jc w:val="left"/>
              <w:rPr>
                <w:rFonts w:ascii="Arial Narrow" w:hAnsi="Arial Narrow"/>
                <w:snapToGrid/>
                <w:sz w:val="20"/>
                <w:lang w:eastAsia="en-AU"/>
              </w:rPr>
            </w:pPr>
            <w:r>
              <w:rPr>
                <w:rFonts w:ascii="Arial Narrow" w:hAnsi="Arial Narrow"/>
                <w:snapToGrid/>
                <w:sz w:val="20"/>
                <w:lang w:eastAsia="en-AU"/>
              </w:rPr>
              <w:t>No. of Rpts.</w:t>
            </w:r>
          </w:p>
        </w:tc>
        <w:tc>
          <w:tcPr>
            <w:tcW w:w="2976" w:type="dxa"/>
            <w:gridSpan w:val="2"/>
            <w:tcBorders>
              <w:bottom w:val="single" w:sz="4" w:space="0" w:color="auto"/>
            </w:tcBorders>
          </w:tcPr>
          <w:p w:rsidR="000D5A6C" w:rsidRPr="0082211D" w:rsidRDefault="000D5A6C" w:rsidP="007F5C18">
            <w:pPr>
              <w:keepNext/>
              <w:widowControl/>
              <w:jc w:val="left"/>
              <w:rPr>
                <w:rFonts w:ascii="Arial Narrow" w:hAnsi="Arial Narrow"/>
                <w:snapToGrid/>
                <w:sz w:val="20"/>
                <w:lang w:val="fr-FR" w:eastAsia="en-AU"/>
              </w:rPr>
            </w:pPr>
            <w:r w:rsidRPr="0082211D">
              <w:rPr>
                <w:rFonts w:ascii="Arial Narrow" w:hAnsi="Arial Narrow"/>
                <w:snapToGrid/>
                <w:sz w:val="20"/>
                <w:lang w:eastAsia="en-AU"/>
              </w:rPr>
              <w:t>Proprietary Name and Manufacturer</w:t>
            </w:r>
          </w:p>
        </w:tc>
      </w:tr>
      <w:tr w:rsidR="000D5A6C" w:rsidRPr="0082211D" w:rsidTr="000D5A6C">
        <w:trPr>
          <w:cantSplit/>
          <w:trHeight w:val="812"/>
        </w:trPr>
        <w:tc>
          <w:tcPr>
            <w:tcW w:w="2948" w:type="dxa"/>
          </w:tcPr>
          <w:p w:rsidR="000D5A6C" w:rsidRPr="0082211D" w:rsidRDefault="000D5A6C" w:rsidP="0082211D">
            <w:pPr>
              <w:keepNext/>
              <w:widowControl/>
              <w:ind w:left="-108"/>
              <w:rPr>
                <w:rFonts w:ascii="Arial Narrow" w:hAnsi="Arial Narrow"/>
                <w:snapToGrid/>
                <w:sz w:val="20"/>
                <w:lang w:eastAsia="en-AU"/>
              </w:rPr>
            </w:pPr>
            <w:r w:rsidRPr="0082211D">
              <w:rPr>
                <w:rFonts w:ascii="Arial Narrow" w:hAnsi="Arial Narrow"/>
                <w:snapToGrid/>
                <w:sz w:val="20"/>
                <w:lang w:eastAsia="en-AU"/>
              </w:rPr>
              <w:t>ANAKINRA</w:t>
            </w:r>
          </w:p>
          <w:p w:rsidR="000D5A6C" w:rsidRPr="0082211D" w:rsidRDefault="000D5A6C" w:rsidP="0082211D">
            <w:pPr>
              <w:keepNext/>
              <w:widowControl/>
              <w:ind w:left="-108" w:right="175"/>
              <w:jc w:val="left"/>
              <w:rPr>
                <w:rFonts w:ascii="Arial Narrow" w:hAnsi="Arial Narrow"/>
                <w:snapToGrid/>
                <w:sz w:val="20"/>
                <w:lang w:eastAsia="en-AU"/>
              </w:rPr>
            </w:pPr>
            <w:r w:rsidRPr="0082211D">
              <w:rPr>
                <w:rFonts w:ascii="Arial Narrow" w:hAnsi="Arial Narrow"/>
                <w:snapToGrid/>
                <w:sz w:val="20"/>
                <w:lang w:eastAsia="en-AU"/>
              </w:rPr>
              <w:t>anakinra 100 mg/0.67 mL, injection, 28 x 0.67 mL syringes</w:t>
            </w:r>
          </w:p>
        </w:tc>
        <w:tc>
          <w:tcPr>
            <w:tcW w:w="738" w:type="dxa"/>
          </w:tcPr>
          <w:p w:rsidR="000D5A6C" w:rsidRPr="0082211D" w:rsidRDefault="000D5A6C" w:rsidP="0082211D">
            <w:pPr>
              <w:keepNext/>
              <w:widowControl/>
              <w:ind w:left="-108"/>
              <w:jc w:val="left"/>
              <w:rPr>
                <w:rFonts w:ascii="Arial Narrow" w:hAnsi="Arial Narrow"/>
                <w:snapToGrid/>
                <w:sz w:val="20"/>
                <w:lang w:eastAsia="en-AU"/>
              </w:rPr>
            </w:pPr>
          </w:p>
          <w:p w:rsidR="000D5A6C" w:rsidRPr="0082211D" w:rsidRDefault="000D5A6C" w:rsidP="0082211D">
            <w:pPr>
              <w:keepNext/>
              <w:widowControl/>
              <w:ind w:left="-108"/>
              <w:jc w:val="left"/>
              <w:rPr>
                <w:rFonts w:ascii="Arial Narrow" w:hAnsi="Arial Narrow"/>
                <w:snapToGrid/>
                <w:sz w:val="20"/>
                <w:lang w:eastAsia="en-AU"/>
              </w:rPr>
            </w:pPr>
            <w:r w:rsidRPr="0082211D">
              <w:rPr>
                <w:rFonts w:ascii="Arial Narrow" w:hAnsi="Arial Narrow"/>
                <w:snapToGrid/>
                <w:sz w:val="20"/>
                <w:lang w:eastAsia="en-AU"/>
              </w:rPr>
              <w:t>1</w:t>
            </w:r>
          </w:p>
        </w:tc>
        <w:tc>
          <w:tcPr>
            <w:tcW w:w="708" w:type="dxa"/>
          </w:tcPr>
          <w:p w:rsidR="000D5A6C" w:rsidRPr="0082211D" w:rsidRDefault="000D5A6C" w:rsidP="0082211D">
            <w:pPr>
              <w:keepNext/>
              <w:widowControl/>
              <w:ind w:left="-108"/>
              <w:jc w:val="left"/>
              <w:rPr>
                <w:rFonts w:ascii="Arial Narrow" w:hAnsi="Arial Narrow"/>
                <w:snapToGrid/>
                <w:sz w:val="20"/>
                <w:lang w:eastAsia="en-AU"/>
              </w:rPr>
            </w:pPr>
          </w:p>
          <w:p w:rsidR="000D5A6C" w:rsidRPr="0082211D" w:rsidRDefault="000D5A6C" w:rsidP="0082211D">
            <w:pPr>
              <w:keepNext/>
              <w:widowControl/>
              <w:ind w:left="-108"/>
              <w:jc w:val="left"/>
              <w:rPr>
                <w:rFonts w:ascii="Arial Narrow" w:hAnsi="Arial Narrow"/>
                <w:snapToGrid/>
                <w:sz w:val="20"/>
                <w:lang w:eastAsia="en-AU"/>
              </w:rPr>
            </w:pPr>
            <w:r>
              <w:rPr>
                <w:rFonts w:ascii="Arial Narrow" w:hAnsi="Arial Narrow"/>
                <w:snapToGrid/>
                <w:sz w:val="20"/>
                <w:lang w:eastAsia="en-AU"/>
              </w:rPr>
              <w:t>28</w:t>
            </w:r>
          </w:p>
        </w:tc>
        <w:tc>
          <w:tcPr>
            <w:tcW w:w="993" w:type="dxa"/>
          </w:tcPr>
          <w:p w:rsidR="000D5A6C" w:rsidRDefault="000D5A6C" w:rsidP="0082211D">
            <w:pPr>
              <w:keepNext/>
              <w:widowControl/>
              <w:ind w:left="-108"/>
              <w:rPr>
                <w:rFonts w:ascii="Arial Narrow" w:hAnsi="Arial Narrow"/>
                <w:snapToGrid/>
                <w:sz w:val="20"/>
                <w:lang w:eastAsia="en-AU"/>
              </w:rPr>
            </w:pPr>
          </w:p>
          <w:p w:rsidR="000D5A6C" w:rsidRPr="0082211D" w:rsidRDefault="000D5A6C" w:rsidP="0082211D">
            <w:pPr>
              <w:keepNext/>
              <w:widowControl/>
              <w:ind w:left="-108"/>
              <w:rPr>
                <w:rFonts w:ascii="Arial Narrow" w:hAnsi="Arial Narrow"/>
                <w:snapToGrid/>
                <w:sz w:val="20"/>
                <w:lang w:eastAsia="en-AU"/>
              </w:rPr>
            </w:pPr>
            <w:r>
              <w:rPr>
                <w:rFonts w:ascii="Arial Narrow" w:hAnsi="Arial Narrow"/>
                <w:snapToGrid/>
                <w:sz w:val="20"/>
                <w:lang w:eastAsia="en-AU"/>
              </w:rPr>
              <w:t>5</w:t>
            </w:r>
          </w:p>
        </w:tc>
        <w:tc>
          <w:tcPr>
            <w:tcW w:w="1560" w:type="dxa"/>
          </w:tcPr>
          <w:p w:rsidR="000D5A6C" w:rsidRPr="0082211D" w:rsidRDefault="000D5A6C" w:rsidP="0082211D">
            <w:pPr>
              <w:keepNext/>
              <w:widowControl/>
              <w:rPr>
                <w:rFonts w:ascii="Arial Narrow" w:hAnsi="Arial Narrow"/>
                <w:snapToGrid/>
                <w:sz w:val="20"/>
                <w:lang w:eastAsia="en-AU"/>
              </w:rPr>
            </w:pPr>
          </w:p>
          <w:p w:rsidR="000D5A6C" w:rsidRPr="0082211D" w:rsidRDefault="000D5A6C" w:rsidP="0082211D">
            <w:pPr>
              <w:keepNext/>
              <w:widowControl/>
              <w:rPr>
                <w:rFonts w:ascii="Arial Narrow" w:hAnsi="Arial Narrow"/>
                <w:snapToGrid/>
                <w:sz w:val="20"/>
                <w:lang w:eastAsia="en-AU"/>
              </w:rPr>
            </w:pPr>
            <w:proofErr w:type="spellStart"/>
            <w:r w:rsidRPr="0082211D">
              <w:rPr>
                <w:rFonts w:ascii="Arial Narrow" w:hAnsi="Arial Narrow"/>
                <w:snapToGrid/>
                <w:sz w:val="20"/>
                <w:lang w:eastAsia="en-AU"/>
              </w:rPr>
              <w:t>Kineret</w:t>
            </w:r>
            <w:proofErr w:type="spellEnd"/>
          </w:p>
        </w:tc>
        <w:tc>
          <w:tcPr>
            <w:tcW w:w="1416" w:type="dxa"/>
          </w:tcPr>
          <w:p w:rsidR="000D5A6C" w:rsidRPr="0082211D" w:rsidRDefault="000D5A6C" w:rsidP="0082211D">
            <w:pPr>
              <w:keepNext/>
              <w:widowControl/>
              <w:rPr>
                <w:rFonts w:ascii="Arial Narrow" w:hAnsi="Arial Narrow"/>
                <w:snapToGrid/>
                <w:sz w:val="20"/>
                <w:lang w:eastAsia="en-AU"/>
              </w:rPr>
            </w:pPr>
          </w:p>
          <w:p w:rsidR="000D5A6C" w:rsidRPr="0082211D" w:rsidRDefault="000D5A6C" w:rsidP="00E85F2C">
            <w:pPr>
              <w:keepNext/>
              <w:widowControl/>
              <w:ind w:left="-108"/>
              <w:rPr>
                <w:rFonts w:ascii="Arial Narrow" w:hAnsi="Arial Narrow"/>
                <w:snapToGrid/>
                <w:sz w:val="20"/>
                <w:lang w:eastAsia="en-AU"/>
              </w:rPr>
            </w:pPr>
            <w:proofErr w:type="spellStart"/>
            <w:r w:rsidRPr="0082211D">
              <w:rPr>
                <w:rFonts w:ascii="Arial Narrow" w:hAnsi="Arial Narrow"/>
                <w:snapToGrid/>
                <w:sz w:val="20"/>
                <w:lang w:eastAsia="en-AU"/>
              </w:rPr>
              <w:t>A.Menarini</w:t>
            </w:r>
            <w:proofErr w:type="spellEnd"/>
          </w:p>
        </w:tc>
      </w:tr>
    </w:tbl>
    <w:p w:rsidR="0082211D" w:rsidRPr="0082211D" w:rsidRDefault="0082211D" w:rsidP="0082211D">
      <w:pPr>
        <w:widowControl/>
        <w:jc w:val="left"/>
        <w:rPr>
          <w:snapToGrid/>
          <w:szCs w:val="22"/>
          <w:lang w:eastAsia="en-AU"/>
        </w:rPr>
      </w:pPr>
    </w:p>
    <w:tbl>
      <w:tblPr>
        <w:tblW w:w="8363" w:type="dxa"/>
        <w:tblInd w:w="817" w:type="dxa"/>
        <w:tblLayout w:type="fixed"/>
        <w:tblLook w:val="04A0" w:firstRow="1" w:lastRow="0" w:firstColumn="1" w:lastColumn="0" w:noHBand="0" w:noVBand="1"/>
      </w:tblPr>
      <w:tblGrid>
        <w:gridCol w:w="1985"/>
        <w:gridCol w:w="6378"/>
      </w:tblGrid>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Category / Program</w:t>
            </w:r>
          </w:p>
        </w:tc>
        <w:tc>
          <w:tcPr>
            <w:tcW w:w="6378" w:type="dxa"/>
            <w:tcBorders>
              <w:top w:val="single" w:sz="4" w:space="0" w:color="auto"/>
              <w:left w:val="single" w:sz="4" w:space="0" w:color="auto"/>
              <w:bottom w:val="single" w:sz="4" w:space="0" w:color="auto"/>
              <w:right w:val="single" w:sz="4" w:space="0" w:color="auto"/>
            </w:tcBorders>
            <w:hideMark/>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Section 100 – Highly Specialised Drugs Program</w:t>
            </w:r>
          </w:p>
          <w:p w:rsidR="0082211D" w:rsidRPr="0082211D" w:rsidRDefault="0082211D" w:rsidP="0082211D">
            <w:pPr>
              <w:widowControl/>
              <w:jc w:val="left"/>
              <w:rPr>
                <w:rFonts w:ascii="Arial Narrow" w:hAnsi="Arial Narrow"/>
                <w:snapToGrid/>
                <w:sz w:val="20"/>
                <w:lang w:eastAsia="en-AU"/>
              </w:rPr>
            </w:pP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Prescriber type:</w:t>
            </w:r>
          </w:p>
        </w:tc>
        <w:tc>
          <w:tcPr>
            <w:tcW w:w="6378" w:type="dxa"/>
            <w:tcBorders>
              <w:top w:val="single" w:sz="4" w:space="0" w:color="auto"/>
              <w:left w:val="single" w:sz="4" w:space="0" w:color="auto"/>
              <w:bottom w:val="single" w:sz="4" w:space="0" w:color="auto"/>
              <w:right w:val="single" w:sz="4" w:space="0" w:color="auto"/>
            </w:tcBorders>
            <w:hideMark/>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fldChar w:fldCharType="begin">
                <w:ffData>
                  <w:name w:val="Check1"/>
                  <w:enabled/>
                  <w:calcOnExit w:val="0"/>
                  <w:checkBox>
                    <w:sizeAuto/>
                    <w:default w:val="0"/>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 xml:space="preserve">Dental  </w:t>
            </w:r>
            <w:r w:rsidRPr="0082211D">
              <w:rPr>
                <w:rFonts w:ascii="Arial Narrow" w:hAnsi="Arial Narrow"/>
                <w:snapToGrid/>
                <w:sz w:val="20"/>
                <w:lang w:eastAsia="en-AU"/>
              </w:rPr>
              <w:fldChar w:fldCharType="begin">
                <w:ffData>
                  <w:name w:val=""/>
                  <w:enabled/>
                  <w:calcOnExit w:val="0"/>
                  <w:checkBox>
                    <w:sizeAuto/>
                    <w:default w:val="1"/>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 xml:space="preserve">Medical Practitioners  </w:t>
            </w:r>
            <w:r w:rsidRPr="0082211D">
              <w:rPr>
                <w:rFonts w:ascii="Arial Narrow" w:hAnsi="Arial Narrow"/>
                <w:snapToGrid/>
                <w:sz w:val="20"/>
                <w:lang w:eastAsia="en-AU"/>
              </w:rPr>
              <w:fldChar w:fldCharType="begin">
                <w:ffData>
                  <w:name w:val="Check3"/>
                  <w:enabled/>
                  <w:calcOnExit w:val="0"/>
                  <w:checkBox>
                    <w:sizeAuto/>
                    <w:default w:val="0"/>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 xml:space="preserve">Nurse practitioners  </w:t>
            </w:r>
            <w:r w:rsidRPr="0082211D">
              <w:rPr>
                <w:rFonts w:ascii="Arial Narrow" w:hAnsi="Arial Narrow"/>
                <w:snapToGrid/>
                <w:sz w:val="20"/>
                <w:lang w:eastAsia="en-AU"/>
              </w:rPr>
              <w:fldChar w:fldCharType="begin">
                <w:ffData>
                  <w:name w:val=""/>
                  <w:enabled/>
                  <w:calcOnExit w:val="0"/>
                  <w:checkBox>
                    <w:sizeAuto/>
                    <w:default w:val="0"/>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Optometrists</w:t>
            </w:r>
          </w:p>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fldChar w:fldCharType="begin">
                <w:ffData>
                  <w:name w:val="Check5"/>
                  <w:enabled/>
                  <w:calcOnExit w:val="0"/>
                  <w:checkBox>
                    <w:sizeAuto/>
                    <w:default w:val="0"/>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Midwives</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82211D" w:rsidRPr="0082211D" w:rsidRDefault="0082211D" w:rsidP="0082211D">
            <w:pPr>
              <w:widowControl/>
              <w:rPr>
                <w:rFonts w:ascii="Arial Narrow" w:hAnsi="Arial Narrow"/>
                <w:b/>
                <w:snapToGrid/>
                <w:sz w:val="20"/>
                <w:lang w:eastAsia="en-AU"/>
              </w:rPr>
            </w:pPr>
            <w:proofErr w:type="spellStart"/>
            <w:r w:rsidRPr="0082211D">
              <w:rPr>
                <w:rFonts w:ascii="Arial Narrow" w:hAnsi="Arial Narrow"/>
                <w:b/>
                <w:snapToGrid/>
                <w:sz w:val="20"/>
                <w:lang w:eastAsia="en-AU"/>
              </w:rPr>
              <w:t>Episodicity</w:t>
            </w:r>
            <w:proofErr w:type="spellEnd"/>
            <w:r w:rsidRPr="0082211D">
              <w:rPr>
                <w:rFonts w:ascii="Arial Narrow" w:hAnsi="Arial Narrow"/>
                <w:b/>
                <w:snapToGrid/>
                <w:sz w:val="20"/>
                <w:lang w:eastAsia="en-AU"/>
              </w:rPr>
              <w:t>:</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Severity:</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Condition:</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proofErr w:type="spellStart"/>
            <w:r w:rsidRPr="0082211D">
              <w:rPr>
                <w:rFonts w:ascii="Arial Narrow" w:hAnsi="Arial Narrow"/>
                <w:snapToGrid/>
                <w:sz w:val="20"/>
                <w:lang w:eastAsia="en-AU"/>
              </w:rPr>
              <w:t>Cryopyrin</w:t>
            </w:r>
            <w:proofErr w:type="spellEnd"/>
            <w:r w:rsidRPr="0082211D">
              <w:rPr>
                <w:rFonts w:ascii="Arial Narrow" w:hAnsi="Arial Narrow"/>
                <w:snapToGrid/>
                <w:sz w:val="20"/>
                <w:lang w:eastAsia="en-AU"/>
              </w:rPr>
              <w:t xml:space="preserve"> associated periodic syndromes</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PBS Indication:</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proofErr w:type="spellStart"/>
            <w:r w:rsidRPr="0082211D">
              <w:rPr>
                <w:rFonts w:ascii="Arial Narrow" w:hAnsi="Arial Narrow"/>
                <w:snapToGrid/>
                <w:sz w:val="20"/>
                <w:lang w:eastAsia="en-AU"/>
              </w:rPr>
              <w:t>Cryopyrin</w:t>
            </w:r>
            <w:proofErr w:type="spellEnd"/>
            <w:r w:rsidRPr="0082211D">
              <w:rPr>
                <w:rFonts w:ascii="Arial Narrow" w:hAnsi="Arial Narrow"/>
                <w:snapToGrid/>
                <w:sz w:val="20"/>
                <w:lang w:eastAsia="en-AU"/>
              </w:rPr>
              <w:t xml:space="preserve"> associated periodic syndromes</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82211D" w:rsidRPr="0082211D" w:rsidRDefault="0082211D" w:rsidP="0082211D">
            <w:pPr>
              <w:widowControl/>
              <w:rPr>
                <w:rFonts w:ascii="Arial Narrow" w:hAnsi="Arial Narrow"/>
                <w:i/>
                <w:snapToGrid/>
                <w:sz w:val="20"/>
                <w:lang w:eastAsia="en-AU"/>
              </w:rPr>
            </w:pPr>
            <w:r w:rsidRPr="0082211D">
              <w:rPr>
                <w:rFonts w:ascii="Arial Narrow" w:hAnsi="Arial Narrow"/>
                <w:b/>
                <w:snapToGrid/>
                <w:sz w:val="20"/>
                <w:lang w:eastAsia="en-AU"/>
              </w:rPr>
              <w:t>Treatment phase:</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211D" w:rsidRPr="0082211D" w:rsidRDefault="0082211D" w:rsidP="00BA0167">
            <w:pPr>
              <w:widowControl/>
              <w:rPr>
                <w:rFonts w:ascii="Arial Narrow" w:hAnsi="Arial Narrow"/>
                <w:b/>
                <w:snapToGrid/>
                <w:sz w:val="20"/>
                <w:lang w:eastAsia="en-AU"/>
              </w:rPr>
            </w:pPr>
            <w:r w:rsidRPr="0082211D">
              <w:rPr>
                <w:rFonts w:ascii="Arial Narrow" w:hAnsi="Arial Narrow"/>
                <w:b/>
                <w:snapToGrid/>
                <w:sz w:val="20"/>
                <w:lang w:eastAsia="en-AU"/>
              </w:rPr>
              <w:t>Restriction Level / Method:</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i/>
                <w:snapToGrid/>
                <w:sz w:val="20"/>
                <w:lang w:eastAsia="en-AU"/>
              </w:rPr>
            </w:pPr>
            <w:r w:rsidRPr="0082211D">
              <w:rPr>
                <w:rFonts w:ascii="Arial Narrow" w:hAnsi="Arial Narrow"/>
                <w:i/>
                <w:snapToGrid/>
                <w:sz w:val="20"/>
                <w:lang w:eastAsia="en-AU"/>
              </w:rPr>
              <w:t>Public Hospital: Authority required (STREAMLINED)</w:t>
            </w:r>
          </w:p>
          <w:p w:rsidR="0082211D" w:rsidRPr="0082211D" w:rsidRDefault="0082211D" w:rsidP="0082211D">
            <w:pPr>
              <w:widowControl/>
              <w:jc w:val="left"/>
              <w:rPr>
                <w:rFonts w:ascii="Arial Narrow" w:hAnsi="Arial Narrow"/>
                <w:i/>
                <w:snapToGrid/>
                <w:sz w:val="20"/>
                <w:lang w:eastAsia="en-AU"/>
              </w:rPr>
            </w:pPr>
            <w:r w:rsidRPr="0082211D">
              <w:rPr>
                <w:rFonts w:ascii="Arial Narrow" w:hAnsi="Arial Narrow"/>
                <w:i/>
                <w:snapToGrid/>
                <w:sz w:val="20"/>
                <w:lang w:eastAsia="en-AU"/>
              </w:rPr>
              <w:t>Private Hospital: Authority required</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b/>
                <w:snapToGrid/>
                <w:sz w:val="20"/>
                <w:lang w:eastAsia="en-AU"/>
              </w:rPr>
            </w:pPr>
            <w:r w:rsidRPr="0082211D">
              <w:rPr>
                <w:rFonts w:ascii="Arial Narrow" w:hAnsi="Arial Narrow"/>
                <w:b/>
                <w:snapToGrid/>
                <w:sz w:val="20"/>
                <w:lang w:eastAsia="en-AU"/>
              </w:rPr>
              <w:t>Treatment criteria:</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Clinical criteria:</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BA0167">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Population criteria:</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BA0167">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Foreword</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Definitions</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rPr>
                <w:rFonts w:ascii="Arial Narrow" w:hAnsi="Arial Narrow"/>
                <w:i/>
                <w:snapToGrid/>
                <w:sz w:val="20"/>
                <w:lang w:eastAsia="en-AU"/>
              </w:rPr>
            </w:pPr>
            <w:r w:rsidRPr="0082211D">
              <w:rPr>
                <w:rFonts w:ascii="Arial Narrow" w:hAnsi="Arial Narrow"/>
                <w:b/>
                <w:snapToGrid/>
                <w:sz w:val="20"/>
                <w:lang w:eastAsia="en-AU"/>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rPr>
                <w:rFonts w:ascii="Arial Narrow" w:hAnsi="Arial Narrow"/>
                <w:i/>
                <w:snapToGrid/>
                <w:sz w:val="20"/>
                <w:lang w:eastAsia="en-AU"/>
              </w:rPr>
            </w:pPr>
            <w:r w:rsidRPr="0082211D">
              <w:rPr>
                <w:rFonts w:ascii="Arial Narrow" w:hAnsi="Arial Narrow"/>
                <w:b/>
                <w:snapToGrid/>
                <w:sz w:val="20"/>
                <w:lang w:eastAsia="en-AU"/>
              </w:rPr>
              <w:t>Administrative Advice</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82211D" w:rsidRPr="0082211D" w:rsidTr="00BA0167">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rPr>
                <w:rFonts w:ascii="Arial Narrow" w:hAnsi="Arial Narrow"/>
                <w:b/>
                <w:snapToGrid/>
                <w:sz w:val="20"/>
                <w:lang w:eastAsia="en-AU"/>
              </w:rPr>
            </w:pPr>
            <w:r w:rsidRPr="0082211D">
              <w:rPr>
                <w:rFonts w:ascii="Arial Narrow" w:hAnsi="Arial Narrow"/>
                <w:b/>
                <w:snapToGrid/>
                <w:sz w:val="20"/>
                <w:lang w:eastAsia="en-AU"/>
              </w:rPr>
              <w:t>Cautions</w:t>
            </w:r>
          </w:p>
        </w:tc>
        <w:tc>
          <w:tcPr>
            <w:tcW w:w="6378" w:type="dxa"/>
            <w:tcBorders>
              <w:top w:val="single" w:sz="4" w:space="0" w:color="auto"/>
              <w:left w:val="single" w:sz="4" w:space="0" w:color="auto"/>
              <w:bottom w:val="single" w:sz="4" w:space="0" w:color="auto"/>
              <w:right w:val="single" w:sz="4" w:space="0" w:color="auto"/>
            </w:tcBorders>
          </w:tcPr>
          <w:p w:rsidR="0082211D" w:rsidRPr="0082211D" w:rsidRDefault="0082211D" w:rsidP="0082211D">
            <w:pPr>
              <w:widowControl/>
              <w:jc w:val="left"/>
              <w:rPr>
                <w:rFonts w:ascii="Arial Narrow" w:hAnsi="Arial Narrow"/>
                <w:snapToGrid/>
                <w:sz w:val="20"/>
                <w:lang w:eastAsia="en-AU"/>
              </w:rPr>
            </w:pPr>
            <w:r w:rsidRPr="0082211D">
              <w:rPr>
                <w:rFonts w:ascii="Arial Narrow" w:hAnsi="Arial Narrow"/>
                <w:snapToGrid/>
                <w:sz w:val="20"/>
                <w:lang w:eastAsia="en-AU"/>
              </w:rPr>
              <w:t>-</w:t>
            </w:r>
          </w:p>
        </w:tc>
      </w:tr>
    </w:tbl>
    <w:p w:rsidR="005320C3" w:rsidRPr="00EB2B34" w:rsidRDefault="005320C3" w:rsidP="005320C3"/>
    <w:p w:rsidR="005320C3" w:rsidRDefault="00083307" w:rsidP="003D2837">
      <w:pPr>
        <w:pStyle w:val="ListParagraph"/>
        <w:widowControl/>
        <w:numPr>
          <w:ilvl w:val="1"/>
          <w:numId w:val="16"/>
        </w:numPr>
        <w:snapToGrid w:val="0"/>
        <w:rPr>
          <w:szCs w:val="22"/>
        </w:rPr>
      </w:pPr>
      <w:r>
        <w:rPr>
          <w:szCs w:val="22"/>
        </w:rPr>
        <w:lastRenderedPageBreak/>
        <w:t>It was noted that</w:t>
      </w:r>
      <w:r w:rsidR="005320C3" w:rsidRPr="00EB2B34">
        <w:rPr>
          <w:szCs w:val="22"/>
        </w:rPr>
        <w:t xml:space="preserve"> TGA </w:t>
      </w:r>
      <w:r>
        <w:rPr>
          <w:szCs w:val="22"/>
        </w:rPr>
        <w:t>Delegate proposed</w:t>
      </w:r>
      <w:r w:rsidR="003D2837">
        <w:rPr>
          <w:szCs w:val="22"/>
        </w:rPr>
        <w:t xml:space="preserve"> to </w:t>
      </w:r>
      <w:r w:rsidR="005320C3" w:rsidRPr="00EB2B34">
        <w:rPr>
          <w:szCs w:val="22"/>
        </w:rPr>
        <w:t xml:space="preserve">limit </w:t>
      </w:r>
      <w:r w:rsidR="003D2837">
        <w:rPr>
          <w:szCs w:val="22"/>
        </w:rPr>
        <w:t>treatment to</w:t>
      </w:r>
      <w:r w:rsidR="003F3322" w:rsidRPr="00EB2B34">
        <w:rPr>
          <w:szCs w:val="22"/>
        </w:rPr>
        <w:t xml:space="preserve"> </w:t>
      </w:r>
      <w:r w:rsidR="003D2837" w:rsidRPr="003D2837">
        <w:rPr>
          <w:szCs w:val="22"/>
        </w:rPr>
        <w:t>adult and paediatric patients aged 8 months and older with a body weight of 10</w:t>
      </w:r>
      <w:r w:rsidR="003D2837">
        <w:rPr>
          <w:szCs w:val="22"/>
        </w:rPr>
        <w:t xml:space="preserve"> </w:t>
      </w:r>
      <w:r w:rsidR="003D2837" w:rsidRPr="003D2837">
        <w:rPr>
          <w:szCs w:val="22"/>
        </w:rPr>
        <w:t>kg or above</w:t>
      </w:r>
      <w:r w:rsidR="003D2837">
        <w:rPr>
          <w:szCs w:val="22"/>
        </w:rPr>
        <w:t>.</w:t>
      </w:r>
    </w:p>
    <w:p w:rsidR="006E6C36" w:rsidRDefault="006E6C36" w:rsidP="006E6C36">
      <w:pPr>
        <w:pStyle w:val="ListParagraph"/>
        <w:widowControl/>
        <w:snapToGrid w:val="0"/>
        <w:rPr>
          <w:szCs w:val="22"/>
        </w:rPr>
      </w:pPr>
    </w:p>
    <w:p w:rsidR="006E6C36" w:rsidRPr="006E6C36" w:rsidRDefault="006E6C36" w:rsidP="006E6C36">
      <w:pPr>
        <w:pStyle w:val="ListParagraph"/>
        <w:numPr>
          <w:ilvl w:val="1"/>
          <w:numId w:val="16"/>
        </w:numPr>
        <w:rPr>
          <w:szCs w:val="22"/>
        </w:rPr>
      </w:pPr>
      <w:r w:rsidRPr="006E6C36">
        <w:rPr>
          <w:szCs w:val="22"/>
        </w:rPr>
        <w:t xml:space="preserve">The sole availability of the 100 mg pre-filled syringes raised a quality use of medicines issue regarding wastage and possible multiple use of the product. As anakinra needs to be injected on a daily basis and therefore likely to be administered by the patient, a quality use of medicine issue may arise if the patient does not self-administer anakinra correctly.  The ESC noted that the </w:t>
      </w:r>
      <w:r>
        <w:rPr>
          <w:szCs w:val="22"/>
        </w:rPr>
        <w:t>pre-sub-committee response (PSCR)</w:t>
      </w:r>
      <w:r w:rsidRPr="006E6C36">
        <w:rPr>
          <w:szCs w:val="22"/>
        </w:rPr>
        <w:t xml:space="preserve"> acknowledged this issue and stated that the sponsor is not able to provide any alternate dose forms but that the sponsor is in the process of introducing a graduated syringe, which will facilitate accurate administration of doses between 20 and 100 mg.</w:t>
      </w:r>
    </w:p>
    <w:p w:rsidR="005320C3" w:rsidRPr="00EB2B34" w:rsidRDefault="005320C3" w:rsidP="005320C3">
      <w:pPr>
        <w:pStyle w:val="ListParagraph"/>
        <w:widowControl/>
        <w:rPr>
          <w:szCs w:val="22"/>
        </w:rPr>
      </w:pPr>
    </w:p>
    <w:p w:rsidR="003D2837" w:rsidRPr="007F6C15" w:rsidRDefault="003F3322" w:rsidP="005320C3">
      <w:pPr>
        <w:pStyle w:val="ListParagraph"/>
        <w:widowControl/>
        <w:numPr>
          <w:ilvl w:val="1"/>
          <w:numId w:val="16"/>
        </w:numPr>
        <w:snapToGrid w:val="0"/>
        <w:rPr>
          <w:szCs w:val="22"/>
        </w:rPr>
      </w:pPr>
      <w:r w:rsidRPr="00EB2B34">
        <w:rPr>
          <w:szCs w:val="22"/>
        </w:rPr>
        <w:t>To minimise the risk of leakage beyond the restriction</w:t>
      </w:r>
      <w:r w:rsidR="005451F1">
        <w:rPr>
          <w:szCs w:val="22"/>
        </w:rPr>
        <w:t xml:space="preserve"> (e.g. use in rheumatoid arthritis)</w:t>
      </w:r>
      <w:r w:rsidRPr="00EB2B34">
        <w:rPr>
          <w:szCs w:val="22"/>
        </w:rPr>
        <w:t xml:space="preserve">, </w:t>
      </w:r>
      <w:r w:rsidR="00083307">
        <w:rPr>
          <w:szCs w:val="22"/>
        </w:rPr>
        <w:t>the option of stipulating</w:t>
      </w:r>
      <w:r w:rsidR="005320C3" w:rsidRPr="00EB2B34">
        <w:rPr>
          <w:szCs w:val="22"/>
        </w:rPr>
        <w:t xml:space="preserve"> that a clinical diagnosis of CAPS must be confirmed by genetic analysis/skin biopsy</w:t>
      </w:r>
      <w:r w:rsidR="00083307">
        <w:rPr>
          <w:szCs w:val="22"/>
        </w:rPr>
        <w:t xml:space="preserve"> was considered</w:t>
      </w:r>
      <w:r w:rsidRPr="00EB2B34">
        <w:rPr>
          <w:szCs w:val="22"/>
        </w:rPr>
        <w:t>.</w:t>
      </w:r>
      <w:r w:rsidR="00A27A83" w:rsidRPr="00EB2B34">
        <w:rPr>
          <w:szCs w:val="22"/>
        </w:rPr>
        <w:t xml:space="preserve"> However, it </w:t>
      </w:r>
      <w:r w:rsidR="00083307">
        <w:rPr>
          <w:szCs w:val="22"/>
        </w:rPr>
        <w:t>was</w:t>
      </w:r>
      <w:r w:rsidR="00A27A83" w:rsidRPr="00EB2B34">
        <w:rPr>
          <w:szCs w:val="22"/>
        </w:rPr>
        <w:t xml:space="preserve"> noted that there is currently no MBS listing for genetic testing to determine CAPS</w:t>
      </w:r>
      <w:r w:rsidR="005320C3" w:rsidRPr="00EB2B34">
        <w:rPr>
          <w:szCs w:val="22"/>
        </w:rPr>
        <w:t>.</w:t>
      </w:r>
      <w:r w:rsidR="0069126F">
        <w:rPr>
          <w:szCs w:val="22"/>
        </w:rPr>
        <w:t xml:space="preserve"> The</w:t>
      </w:r>
      <w:r w:rsidR="004D5A64">
        <w:rPr>
          <w:szCs w:val="22"/>
        </w:rPr>
        <w:t xml:space="preserve"> </w:t>
      </w:r>
      <w:r w:rsidR="006E6C36">
        <w:rPr>
          <w:szCs w:val="22"/>
        </w:rPr>
        <w:t>PSCR</w:t>
      </w:r>
      <w:r w:rsidR="002444CC">
        <w:rPr>
          <w:szCs w:val="22"/>
        </w:rPr>
        <w:t xml:space="preserve"> </w:t>
      </w:r>
      <w:r w:rsidR="0069126F">
        <w:rPr>
          <w:szCs w:val="22"/>
        </w:rPr>
        <w:t>consider</w:t>
      </w:r>
      <w:r w:rsidR="002444CC">
        <w:rPr>
          <w:szCs w:val="22"/>
        </w:rPr>
        <w:t>ed</w:t>
      </w:r>
      <w:r w:rsidR="0069126F">
        <w:rPr>
          <w:szCs w:val="22"/>
        </w:rPr>
        <w:t xml:space="preserve"> this is likely to be both clinically and technically challenging as a significant proportion (30-50%) of patients who present clinically with CINCA/NOMID and respond favourably to therapy with IL-1 blocking agents are negative </w:t>
      </w:r>
      <w:r w:rsidR="0069126F" w:rsidRPr="007F6C15">
        <w:rPr>
          <w:szCs w:val="22"/>
        </w:rPr>
        <w:t>for mutations in the relevant gene. The ESC considered that it would be preferable for some mechanism to exist to limit use beyond the PBS restriction and noted the PSCR’s proposal of a risk sharing arrangement to mitigate this risk.</w:t>
      </w:r>
    </w:p>
    <w:p w:rsidR="003D2837" w:rsidRDefault="003D2837" w:rsidP="003D2837">
      <w:pPr>
        <w:pStyle w:val="ListParagraph"/>
        <w:widowControl/>
        <w:snapToGrid w:val="0"/>
        <w:rPr>
          <w:szCs w:val="22"/>
        </w:rPr>
      </w:pPr>
    </w:p>
    <w:p w:rsidR="00A5666E" w:rsidRPr="007F6C15" w:rsidRDefault="006D0A01" w:rsidP="0069126F">
      <w:pPr>
        <w:pStyle w:val="ListParagraph"/>
        <w:widowControl/>
        <w:numPr>
          <w:ilvl w:val="1"/>
          <w:numId w:val="16"/>
        </w:numPr>
        <w:snapToGrid w:val="0"/>
        <w:rPr>
          <w:szCs w:val="22"/>
        </w:rPr>
      </w:pPr>
      <w:r w:rsidRPr="007F6C15">
        <w:rPr>
          <w:szCs w:val="22"/>
        </w:rPr>
        <w:t>The ESC noted that t</w:t>
      </w:r>
      <w:r w:rsidR="0069126F" w:rsidRPr="007F6C15">
        <w:rPr>
          <w:szCs w:val="22"/>
        </w:rPr>
        <w:t xml:space="preserve">here is limited evidence available on the use of anakinra in patients with less severe types of CAPS – stable familial cold </w:t>
      </w:r>
      <w:proofErr w:type="spellStart"/>
      <w:r w:rsidR="0069126F" w:rsidRPr="007F6C15">
        <w:rPr>
          <w:szCs w:val="22"/>
        </w:rPr>
        <w:t>autoinflammatory</w:t>
      </w:r>
      <w:proofErr w:type="spellEnd"/>
      <w:r w:rsidR="0069126F" w:rsidRPr="007F6C15">
        <w:rPr>
          <w:szCs w:val="22"/>
        </w:rPr>
        <w:t xml:space="preserve"> syndrome (FCAS) or mild-moderate </w:t>
      </w:r>
      <w:proofErr w:type="spellStart"/>
      <w:r w:rsidR="0069126F" w:rsidRPr="007F6C15">
        <w:rPr>
          <w:szCs w:val="22"/>
        </w:rPr>
        <w:t>Muckle</w:t>
      </w:r>
      <w:proofErr w:type="spellEnd"/>
      <w:r w:rsidR="0069126F" w:rsidRPr="007F6C15">
        <w:rPr>
          <w:szCs w:val="22"/>
        </w:rPr>
        <w:t>-W</w:t>
      </w:r>
      <w:r w:rsidRPr="007F6C15">
        <w:rPr>
          <w:szCs w:val="22"/>
        </w:rPr>
        <w:t xml:space="preserve">ells syndrome (MWS). Therefore, the ESC </w:t>
      </w:r>
      <w:r w:rsidR="00083307">
        <w:rPr>
          <w:szCs w:val="22"/>
        </w:rPr>
        <w:t>advised</w:t>
      </w:r>
      <w:r w:rsidRPr="007F6C15">
        <w:rPr>
          <w:szCs w:val="22"/>
        </w:rPr>
        <w:t xml:space="preserve"> that limiting PBS subsidy </w:t>
      </w:r>
      <w:r w:rsidR="0069126F" w:rsidRPr="007F6C15">
        <w:rPr>
          <w:szCs w:val="22"/>
        </w:rPr>
        <w:t>to those patients with active moderate-to-severe CAPS whose symptoms cannot be controlled by best supportive care</w:t>
      </w:r>
      <w:r w:rsidRPr="007F6C15">
        <w:rPr>
          <w:szCs w:val="22"/>
        </w:rPr>
        <w:t>, would best reflect the evidence presented</w:t>
      </w:r>
      <w:r w:rsidR="0069126F" w:rsidRPr="007F6C15">
        <w:rPr>
          <w:szCs w:val="22"/>
        </w:rPr>
        <w:t xml:space="preserve">. In the </w:t>
      </w:r>
      <w:r w:rsidR="003D2837" w:rsidRPr="007F6C15">
        <w:rPr>
          <w:szCs w:val="22"/>
        </w:rPr>
        <w:t>PSCR</w:t>
      </w:r>
      <w:r w:rsidR="006E6C36">
        <w:rPr>
          <w:szCs w:val="22"/>
        </w:rPr>
        <w:t xml:space="preserve">, </w:t>
      </w:r>
      <w:r w:rsidR="003D2837" w:rsidRPr="007F6C15">
        <w:rPr>
          <w:szCs w:val="22"/>
        </w:rPr>
        <w:t xml:space="preserve">the sponsor </w:t>
      </w:r>
      <w:r w:rsidR="002444CC" w:rsidRPr="007F6C15">
        <w:rPr>
          <w:szCs w:val="22"/>
        </w:rPr>
        <w:t>indicate</w:t>
      </w:r>
      <w:r w:rsidR="002444CC">
        <w:rPr>
          <w:szCs w:val="22"/>
        </w:rPr>
        <w:t>d</w:t>
      </w:r>
      <w:r w:rsidR="002444CC" w:rsidRPr="007F6C15">
        <w:rPr>
          <w:szCs w:val="22"/>
        </w:rPr>
        <w:t xml:space="preserve"> </w:t>
      </w:r>
      <w:r w:rsidR="003D2837" w:rsidRPr="007F6C15">
        <w:rPr>
          <w:szCs w:val="22"/>
        </w:rPr>
        <w:t xml:space="preserve">that it </w:t>
      </w:r>
      <w:r w:rsidR="00083307">
        <w:rPr>
          <w:szCs w:val="22"/>
        </w:rPr>
        <w:t>wa</w:t>
      </w:r>
      <w:r w:rsidR="003D2837" w:rsidRPr="007F6C15">
        <w:rPr>
          <w:szCs w:val="22"/>
        </w:rPr>
        <w:t>s not opposed to a restriction explicitly limiting treatment to patients with active moderate-to-severe disease</w:t>
      </w:r>
      <w:r w:rsidR="00083307">
        <w:rPr>
          <w:szCs w:val="22"/>
        </w:rPr>
        <w:t>.</w:t>
      </w:r>
      <w:r w:rsidR="003D2837" w:rsidRPr="007F6C15">
        <w:rPr>
          <w:szCs w:val="22"/>
        </w:rPr>
        <w:t xml:space="preserve"> </w:t>
      </w:r>
    </w:p>
    <w:p w:rsidR="005320C3" w:rsidRDefault="005320C3" w:rsidP="005320C3">
      <w:pPr>
        <w:widowControl/>
        <w:rPr>
          <w:szCs w:val="22"/>
        </w:rPr>
      </w:pPr>
    </w:p>
    <w:p w:rsidR="007F6C15" w:rsidRPr="00EB2B34" w:rsidRDefault="007F6C15" w:rsidP="007F6C15">
      <w:pPr>
        <w:widowControl/>
        <w:ind w:firstLine="720"/>
        <w:rPr>
          <w:szCs w:val="22"/>
        </w:rPr>
      </w:pPr>
      <w:r>
        <w:rPr>
          <w:i/>
          <w:szCs w:val="22"/>
        </w:rPr>
        <w:t>For more detail on PBAC’s view, see section 7 “PBAC outcome”</w:t>
      </w:r>
    </w:p>
    <w:p w:rsidR="005320C3" w:rsidRDefault="005320C3" w:rsidP="005320C3"/>
    <w:p w:rsidR="003F1CAB" w:rsidRPr="00EB2B34" w:rsidRDefault="003F1CAB" w:rsidP="005320C3"/>
    <w:p w:rsidR="005320C3" w:rsidRPr="00EB2B34" w:rsidRDefault="005320C3" w:rsidP="005320C3">
      <w:pPr>
        <w:pStyle w:val="PBACHeading1"/>
        <w:numPr>
          <w:ilvl w:val="0"/>
          <w:numId w:val="16"/>
        </w:numPr>
        <w:snapToGrid w:val="0"/>
      </w:pPr>
      <w:bookmarkStart w:id="3" w:name="_Toc398303322"/>
      <w:r w:rsidRPr="00EB2B34">
        <w:t>Background</w:t>
      </w:r>
      <w:bookmarkEnd w:id="3"/>
    </w:p>
    <w:p w:rsidR="005320C3" w:rsidRPr="00EB2B34" w:rsidRDefault="005320C3" w:rsidP="005320C3">
      <w:pPr>
        <w:rPr>
          <w:szCs w:val="22"/>
        </w:rPr>
      </w:pPr>
    </w:p>
    <w:p w:rsidR="001574A4" w:rsidRDefault="005320C3" w:rsidP="001574A4">
      <w:pPr>
        <w:pStyle w:val="ListParagraph"/>
        <w:widowControl/>
        <w:numPr>
          <w:ilvl w:val="1"/>
          <w:numId w:val="16"/>
        </w:numPr>
        <w:snapToGrid w:val="0"/>
      </w:pPr>
      <w:r w:rsidRPr="00EB2B34">
        <w:t xml:space="preserve">The submission </w:t>
      </w:r>
      <w:r w:rsidR="003A5722">
        <w:t>wa</w:t>
      </w:r>
      <w:r w:rsidR="003F3322" w:rsidRPr="00EB2B34">
        <w:t xml:space="preserve">s </w:t>
      </w:r>
      <w:r w:rsidRPr="00EB2B34">
        <w:t xml:space="preserve">made under TGA/PBAC </w:t>
      </w:r>
      <w:r w:rsidR="00B649C8">
        <w:t>p</w:t>
      </w:r>
      <w:r w:rsidRPr="00EB2B34">
        <w:t xml:space="preserve">arallel </w:t>
      </w:r>
      <w:r w:rsidR="00B649C8">
        <w:t>p</w:t>
      </w:r>
      <w:r w:rsidRPr="00EB2B34">
        <w:t>rocess</w:t>
      </w:r>
      <w:r w:rsidR="00B649C8">
        <w:t xml:space="preserve"> provisions</w:t>
      </w:r>
      <w:r w:rsidRPr="00EB2B34">
        <w:t xml:space="preserve">.  </w:t>
      </w:r>
      <w:r w:rsidRPr="003A5722">
        <w:t xml:space="preserve">The TGA Clinical Evaluator’s Report and Delegate’s Overview </w:t>
      </w:r>
      <w:r w:rsidR="003F3322" w:rsidRPr="003A5722">
        <w:t xml:space="preserve">were </w:t>
      </w:r>
      <w:r w:rsidRPr="003A5722">
        <w:t xml:space="preserve">available </w:t>
      </w:r>
      <w:r w:rsidR="003D37D5" w:rsidRPr="003A5722">
        <w:t>at the time of PBAC</w:t>
      </w:r>
      <w:r w:rsidR="00B649C8" w:rsidRPr="003A5722">
        <w:t xml:space="preserve"> consideration in </w:t>
      </w:r>
      <w:r w:rsidR="003D37D5" w:rsidRPr="003A5722">
        <w:t>November</w:t>
      </w:r>
      <w:r w:rsidR="00B649C8" w:rsidRPr="003A5722">
        <w:t xml:space="preserve"> 2014</w:t>
      </w:r>
      <w:r w:rsidRPr="003A5722">
        <w:t xml:space="preserve">.  The </w:t>
      </w:r>
      <w:r w:rsidR="005451F1" w:rsidRPr="003A5722">
        <w:t xml:space="preserve">TGA </w:t>
      </w:r>
      <w:r w:rsidR="00083307">
        <w:t>Delegate proposed</w:t>
      </w:r>
      <w:r w:rsidRPr="003A5722">
        <w:t xml:space="preserve"> to register anakinra for the </w:t>
      </w:r>
      <w:r w:rsidR="00083307">
        <w:t>following indication without the need to seek advice from the Australian Committee on Prescription Medicines:</w:t>
      </w:r>
    </w:p>
    <w:p w:rsidR="00083307" w:rsidRDefault="00083307" w:rsidP="00083307">
      <w:pPr>
        <w:pStyle w:val="ListParagraph"/>
        <w:widowControl/>
        <w:snapToGrid w:val="0"/>
      </w:pPr>
    </w:p>
    <w:p w:rsidR="00083307" w:rsidRPr="00083307" w:rsidRDefault="00083307" w:rsidP="00083307">
      <w:pPr>
        <w:pStyle w:val="ListParagraph"/>
        <w:widowControl/>
        <w:snapToGrid w:val="0"/>
        <w:ind w:left="993" w:right="380"/>
        <w:rPr>
          <w:i/>
        </w:rPr>
      </w:pPr>
      <w:r w:rsidRPr="00083307">
        <w:rPr>
          <w:i/>
        </w:rPr>
        <w:t>‘</w:t>
      </w:r>
      <w:proofErr w:type="spellStart"/>
      <w:r w:rsidRPr="00083307">
        <w:rPr>
          <w:i/>
        </w:rPr>
        <w:t>Kineret</w:t>
      </w:r>
      <w:proofErr w:type="spellEnd"/>
      <w:r w:rsidRPr="00083307">
        <w:rPr>
          <w:i/>
        </w:rPr>
        <w:t xml:space="preserve"> (anakinra) is indicated in adult and paediatric patients aged 8 months and older with a body weight of 10 kg or above for the treatment of </w:t>
      </w:r>
      <w:proofErr w:type="spellStart"/>
      <w:r w:rsidRPr="00083307">
        <w:rPr>
          <w:i/>
        </w:rPr>
        <w:t>Cryopyrin</w:t>
      </w:r>
      <w:proofErr w:type="spellEnd"/>
      <w:r w:rsidRPr="00083307">
        <w:rPr>
          <w:rFonts w:ascii="Cambria Math" w:hAnsi="Cambria Math" w:cs="Cambria Math"/>
          <w:i/>
        </w:rPr>
        <w:t>‐</w:t>
      </w:r>
      <w:r w:rsidRPr="00083307">
        <w:rPr>
          <w:i/>
        </w:rPr>
        <w:t>Associated</w:t>
      </w:r>
      <w:r>
        <w:rPr>
          <w:i/>
        </w:rPr>
        <w:t xml:space="preserve"> </w:t>
      </w:r>
      <w:r w:rsidRPr="00083307">
        <w:rPr>
          <w:i/>
        </w:rPr>
        <w:t>Periodic Syndromes (CAPS) including Neonatal</w:t>
      </w:r>
      <w:r w:rsidRPr="00083307">
        <w:rPr>
          <w:rFonts w:ascii="Cambria Math" w:hAnsi="Cambria Math" w:cs="Cambria Math"/>
          <w:i/>
        </w:rPr>
        <w:t>‐</w:t>
      </w:r>
      <w:r w:rsidRPr="00083307">
        <w:rPr>
          <w:i/>
        </w:rPr>
        <w:t>Onset Multisyst</w:t>
      </w:r>
      <w:r>
        <w:rPr>
          <w:i/>
        </w:rPr>
        <w:t>em Inflammatory Disease (NOMID)/</w:t>
      </w:r>
      <w:r w:rsidRPr="00083307">
        <w:rPr>
          <w:i/>
        </w:rPr>
        <w:t>Chronic Infantile Neurological, Cutaneous, Articular Syndrome</w:t>
      </w:r>
      <w:r>
        <w:rPr>
          <w:i/>
        </w:rPr>
        <w:t xml:space="preserve"> </w:t>
      </w:r>
      <w:r w:rsidRPr="00083307">
        <w:rPr>
          <w:i/>
        </w:rPr>
        <w:t>(CINCA),</w:t>
      </w:r>
      <w:r>
        <w:rPr>
          <w:i/>
        </w:rPr>
        <w:t xml:space="preserve"> </w:t>
      </w:r>
      <w:proofErr w:type="spellStart"/>
      <w:r w:rsidRPr="00083307">
        <w:rPr>
          <w:i/>
        </w:rPr>
        <w:t>Muckle</w:t>
      </w:r>
      <w:proofErr w:type="spellEnd"/>
      <w:r w:rsidRPr="00083307">
        <w:rPr>
          <w:rFonts w:ascii="Cambria Math" w:hAnsi="Cambria Math" w:cs="Cambria Math"/>
          <w:i/>
        </w:rPr>
        <w:t>‐</w:t>
      </w:r>
      <w:r w:rsidRPr="00083307">
        <w:rPr>
          <w:i/>
        </w:rPr>
        <w:t xml:space="preserve">Wells Syndrome (MWS), and Familial Cold </w:t>
      </w:r>
      <w:proofErr w:type="spellStart"/>
      <w:r w:rsidRPr="00083307">
        <w:rPr>
          <w:i/>
        </w:rPr>
        <w:t>Autoinflammatory</w:t>
      </w:r>
      <w:proofErr w:type="spellEnd"/>
      <w:r w:rsidRPr="00083307">
        <w:rPr>
          <w:i/>
        </w:rPr>
        <w:t xml:space="preserve"> Syndrome (FCAS).’</w:t>
      </w:r>
    </w:p>
    <w:p w:rsidR="005320C3" w:rsidRPr="00EB2B34" w:rsidRDefault="005320C3" w:rsidP="005320C3">
      <w:pPr>
        <w:pStyle w:val="ListParagraph"/>
        <w:rPr>
          <w:szCs w:val="22"/>
        </w:rPr>
      </w:pPr>
    </w:p>
    <w:p w:rsidR="005320C3" w:rsidRPr="00EB2B34" w:rsidRDefault="005320C3" w:rsidP="005320C3">
      <w:pPr>
        <w:pStyle w:val="ListParagraph"/>
        <w:widowControl/>
        <w:numPr>
          <w:ilvl w:val="1"/>
          <w:numId w:val="16"/>
        </w:numPr>
        <w:snapToGrid w:val="0"/>
        <w:rPr>
          <w:szCs w:val="22"/>
        </w:rPr>
      </w:pPr>
      <w:r w:rsidRPr="00EB2B34">
        <w:rPr>
          <w:szCs w:val="22"/>
        </w:rPr>
        <w:t xml:space="preserve">Anakinra was previously listed on the PBS for </w:t>
      </w:r>
      <w:r w:rsidR="00AF2684" w:rsidRPr="00EB2B34">
        <w:rPr>
          <w:szCs w:val="22"/>
        </w:rPr>
        <w:t xml:space="preserve">treatment of severe active </w:t>
      </w:r>
      <w:r w:rsidR="005451F1">
        <w:rPr>
          <w:szCs w:val="22"/>
        </w:rPr>
        <w:t>rheumatoid arthritis</w:t>
      </w:r>
      <w:r w:rsidR="00AF2684" w:rsidRPr="00EB2B34">
        <w:rPr>
          <w:szCs w:val="22"/>
        </w:rPr>
        <w:t xml:space="preserve">. </w:t>
      </w:r>
      <w:r w:rsidRPr="00EB2B34">
        <w:rPr>
          <w:szCs w:val="22"/>
        </w:rPr>
        <w:t xml:space="preserve">However, following a review of the biological DMARDs in 2010, it was removed from the schedule due to a disagreement </w:t>
      </w:r>
      <w:r w:rsidR="00044785">
        <w:rPr>
          <w:szCs w:val="22"/>
        </w:rPr>
        <w:t>about</w:t>
      </w:r>
      <w:r w:rsidRPr="00EB2B34">
        <w:rPr>
          <w:szCs w:val="22"/>
        </w:rPr>
        <w:t xml:space="preserve"> the proposed new price.</w:t>
      </w:r>
    </w:p>
    <w:p w:rsidR="005320C3" w:rsidRDefault="005320C3" w:rsidP="005320C3"/>
    <w:p w:rsidR="007F6C15" w:rsidRPr="00EB2B34" w:rsidRDefault="007F6C15" w:rsidP="007F6C15">
      <w:pPr>
        <w:ind w:left="720"/>
      </w:pPr>
      <w:r>
        <w:rPr>
          <w:i/>
          <w:szCs w:val="22"/>
        </w:rPr>
        <w:t>For more detail on PBAC’s view, see section 7 “PBAC outcome”</w:t>
      </w:r>
    </w:p>
    <w:p w:rsidR="005320C3" w:rsidRDefault="005320C3" w:rsidP="005320C3"/>
    <w:p w:rsidR="009E0E53" w:rsidRPr="00EB2B34" w:rsidRDefault="009E0E53" w:rsidP="005320C3"/>
    <w:p w:rsidR="005320C3" w:rsidRPr="00EB2B34" w:rsidRDefault="005320C3" w:rsidP="005320C3">
      <w:pPr>
        <w:pStyle w:val="PBACHeading1"/>
        <w:numPr>
          <w:ilvl w:val="0"/>
          <w:numId w:val="16"/>
        </w:numPr>
        <w:snapToGrid w:val="0"/>
      </w:pPr>
      <w:bookmarkStart w:id="4" w:name="_Toc398303323"/>
      <w:r w:rsidRPr="00EB2B34">
        <w:t>Clinical place for the proposed therapy</w:t>
      </w:r>
      <w:bookmarkEnd w:id="4"/>
    </w:p>
    <w:p w:rsidR="005320C3" w:rsidRPr="00EB2B34" w:rsidRDefault="005320C3" w:rsidP="005320C3">
      <w:pPr>
        <w:rPr>
          <w:szCs w:val="22"/>
        </w:rPr>
      </w:pPr>
    </w:p>
    <w:p w:rsidR="005320C3" w:rsidRPr="00EB2B34" w:rsidRDefault="005320C3" w:rsidP="005320C3">
      <w:pPr>
        <w:pStyle w:val="ListParagraph"/>
        <w:widowControl/>
        <w:numPr>
          <w:ilvl w:val="1"/>
          <w:numId w:val="16"/>
        </w:numPr>
        <w:snapToGrid w:val="0"/>
        <w:rPr>
          <w:szCs w:val="22"/>
        </w:rPr>
      </w:pPr>
      <w:r w:rsidRPr="00EB2B34">
        <w:t xml:space="preserve">CAPS are a group of rare </w:t>
      </w:r>
      <w:proofErr w:type="spellStart"/>
      <w:r w:rsidRPr="00EB2B34">
        <w:t>autoinflammatory</w:t>
      </w:r>
      <w:proofErr w:type="spellEnd"/>
      <w:r w:rsidRPr="00EB2B34">
        <w:t xml:space="preserve"> diseases </w:t>
      </w:r>
      <w:r w:rsidR="00D92D63" w:rsidRPr="00EB2B34">
        <w:t xml:space="preserve">(prevalence reported to be between 1 and 3 per million) </w:t>
      </w:r>
      <w:r w:rsidRPr="00EB2B34">
        <w:t xml:space="preserve">including three phenotypes: </w:t>
      </w:r>
      <w:r w:rsidR="00204A76" w:rsidRPr="00EB2B34">
        <w:t>c</w:t>
      </w:r>
      <w:r w:rsidR="00981FD3" w:rsidRPr="00EB2B34">
        <w:t xml:space="preserve">hronic infantile neurological, cutaneous, articular syndrome (CINCA) (also called </w:t>
      </w:r>
      <w:r w:rsidR="00204A76" w:rsidRPr="00EB2B34">
        <w:t>n</w:t>
      </w:r>
      <w:r w:rsidRPr="00EB2B34">
        <w:t>eonatal-onset multisyst</w:t>
      </w:r>
      <w:r w:rsidR="00981FD3" w:rsidRPr="00EB2B34">
        <w:t>em inflammatory disease (NOMID))</w:t>
      </w:r>
      <w:r w:rsidRPr="00EB2B34">
        <w:t xml:space="preserve">, </w:t>
      </w:r>
      <w:proofErr w:type="spellStart"/>
      <w:r w:rsidRPr="00EB2B34">
        <w:t>Muckle</w:t>
      </w:r>
      <w:proofErr w:type="spellEnd"/>
      <w:r w:rsidRPr="00EB2B34">
        <w:t xml:space="preserve">-Wells syndrome (MWS) and </w:t>
      </w:r>
      <w:r w:rsidR="0043533D" w:rsidRPr="00EB2B34">
        <w:t xml:space="preserve">familial cold </w:t>
      </w:r>
      <w:proofErr w:type="spellStart"/>
      <w:r w:rsidR="0043533D" w:rsidRPr="00EB2B34">
        <w:t>autoinflammatory</w:t>
      </w:r>
      <w:proofErr w:type="spellEnd"/>
      <w:r w:rsidR="0043533D" w:rsidRPr="00EB2B34">
        <w:t xml:space="preserve"> syndrome</w:t>
      </w:r>
      <w:r w:rsidRPr="00EB2B34">
        <w:t xml:space="preserve"> (FCAS). </w:t>
      </w:r>
    </w:p>
    <w:p w:rsidR="005320C3" w:rsidRPr="00EB2B34" w:rsidRDefault="005320C3" w:rsidP="005320C3">
      <w:pPr>
        <w:widowControl/>
        <w:rPr>
          <w:szCs w:val="22"/>
        </w:rPr>
      </w:pPr>
    </w:p>
    <w:p w:rsidR="00584A1F" w:rsidRPr="00EB2B34" w:rsidRDefault="005320C3" w:rsidP="00584A1F">
      <w:pPr>
        <w:pStyle w:val="ListParagraph"/>
        <w:widowControl/>
        <w:numPr>
          <w:ilvl w:val="1"/>
          <w:numId w:val="16"/>
        </w:numPr>
        <w:snapToGrid w:val="0"/>
        <w:rPr>
          <w:szCs w:val="22"/>
        </w:rPr>
      </w:pPr>
      <w:r w:rsidRPr="00EB2B34">
        <w:t xml:space="preserve">Diagnosis of CAPS is primarily based on clinical manifestations and disease history. All three phenotypes of CAPS are caused by mutations in NLRP3. </w:t>
      </w:r>
      <w:r w:rsidR="001F16BE" w:rsidRPr="00EB2B34">
        <w:t>G</w:t>
      </w:r>
      <w:r w:rsidRPr="00EB2B34">
        <w:t xml:space="preserve">enetic testing for the NLRP3 mutations is </w:t>
      </w:r>
      <w:r w:rsidR="00D92D63" w:rsidRPr="00EB2B34">
        <w:t xml:space="preserve">available in Australia but </w:t>
      </w:r>
      <w:r w:rsidRPr="00EB2B34">
        <w:t xml:space="preserve">not reimbursed via the MBS. There </w:t>
      </w:r>
      <w:r w:rsidR="00A27A83" w:rsidRPr="00EB2B34">
        <w:t xml:space="preserve">is </w:t>
      </w:r>
      <w:r w:rsidRPr="00EB2B34">
        <w:t>clinical evidence that not all cases of clinically typical CAPS have an NLRP3 gene mutation identified</w:t>
      </w:r>
      <w:r w:rsidR="008819F7" w:rsidRPr="00EB2B34">
        <w:rPr>
          <w:noProof/>
          <w:vertAlign w:val="superscript"/>
        </w:rPr>
        <w:t>1</w:t>
      </w:r>
      <w:r w:rsidRPr="00EB2B34">
        <w:t xml:space="preserve">. Somatic mutations occurring during foetal development (somatic </w:t>
      </w:r>
      <w:proofErr w:type="spellStart"/>
      <w:r w:rsidRPr="00EB2B34">
        <w:t>mosaicism</w:t>
      </w:r>
      <w:proofErr w:type="spellEnd"/>
      <w:r w:rsidRPr="00EB2B34">
        <w:t>) have been found to explain a number of apparently mutation-negative cases</w:t>
      </w:r>
      <w:r w:rsidR="008819F7" w:rsidRPr="00EB2B34">
        <w:rPr>
          <w:noProof/>
          <w:vertAlign w:val="superscript"/>
        </w:rPr>
        <w:t>1</w:t>
      </w:r>
      <w:r w:rsidRPr="00EB2B34">
        <w:t xml:space="preserve">. Skin biopsy is also helpful in the diagnosis of CAPS, as the </w:t>
      </w:r>
      <w:proofErr w:type="spellStart"/>
      <w:r w:rsidRPr="00EB2B34">
        <w:t>urticaria</w:t>
      </w:r>
      <w:proofErr w:type="spellEnd"/>
      <w:r w:rsidRPr="00EB2B34">
        <w:t xml:space="preserve">-like skin rash in CAPS is histologically different from normal </w:t>
      </w:r>
      <w:proofErr w:type="spellStart"/>
      <w:r w:rsidRPr="00EB2B34">
        <w:t>urticaria</w:t>
      </w:r>
      <w:proofErr w:type="spellEnd"/>
      <w:r w:rsidRPr="00EB2B34">
        <w:t xml:space="preserve">. Overall, diagnosis of CAPS is complex and difficult due to the rarity of the disease and the overlap of symptoms with other diseases. </w:t>
      </w:r>
    </w:p>
    <w:p w:rsidR="00584A1F" w:rsidRPr="00EB2B34" w:rsidRDefault="00584A1F" w:rsidP="00584A1F">
      <w:pPr>
        <w:pStyle w:val="ListParagraph"/>
        <w:widowControl/>
        <w:snapToGrid w:val="0"/>
        <w:rPr>
          <w:szCs w:val="22"/>
        </w:rPr>
      </w:pPr>
    </w:p>
    <w:p w:rsidR="005320C3" w:rsidRPr="00EB2B34" w:rsidRDefault="005320C3" w:rsidP="005320C3">
      <w:pPr>
        <w:pStyle w:val="ListParagraph"/>
        <w:widowControl/>
        <w:numPr>
          <w:ilvl w:val="1"/>
          <w:numId w:val="16"/>
        </w:numPr>
        <w:snapToGrid w:val="0"/>
        <w:rPr>
          <w:szCs w:val="22"/>
        </w:rPr>
      </w:pPr>
      <w:r w:rsidRPr="00EB2B34">
        <w:t xml:space="preserve">The submission </w:t>
      </w:r>
      <w:r w:rsidR="00F47FB0" w:rsidRPr="00EB2B34">
        <w:t>claim</w:t>
      </w:r>
      <w:r w:rsidR="00F47FB0">
        <w:t>ed</w:t>
      </w:r>
      <w:r w:rsidR="00F47FB0" w:rsidRPr="00EB2B34">
        <w:t xml:space="preserve"> </w:t>
      </w:r>
      <w:r w:rsidRPr="00EB2B34">
        <w:t xml:space="preserve">that the current therapies for patients with CAPS are interleukin-1 (IL-1) blockade ± best supportive care. As stated in the submission, clinician opinion indicates that off-label anakinra (supplied privately or provided via hospital formulary arrangements) is the most prescribed chronic therapy for CAPS. The source of the clinical opinion </w:t>
      </w:r>
      <w:r w:rsidR="00F47FB0">
        <w:t>wa</w:t>
      </w:r>
      <w:r w:rsidR="00F47FB0" w:rsidRPr="00EB2B34">
        <w:t xml:space="preserve">s </w:t>
      </w:r>
      <w:r w:rsidRPr="00EB2B34">
        <w:t xml:space="preserve">not provided by the submission. It is expected that the </w:t>
      </w:r>
      <w:r w:rsidR="00A27A83" w:rsidRPr="00EB2B34">
        <w:t xml:space="preserve">TGA registration and PBS </w:t>
      </w:r>
      <w:r w:rsidRPr="00EB2B34">
        <w:t xml:space="preserve">listing of anakinra would result in minimal change to CAPS </w:t>
      </w:r>
      <w:r w:rsidRPr="007F6C15">
        <w:t>t</w:t>
      </w:r>
      <w:r w:rsidR="00A27A83" w:rsidRPr="007F6C15">
        <w:t>reatment</w:t>
      </w:r>
      <w:r w:rsidRPr="007F6C15">
        <w:t xml:space="preserve"> in Australian clinical practice. </w:t>
      </w:r>
      <w:r w:rsidR="009E0E53">
        <w:t>It was</w:t>
      </w:r>
      <w:r w:rsidR="00A5666E" w:rsidRPr="007F6C15">
        <w:t xml:space="preserve"> noted that </w:t>
      </w:r>
      <w:proofErr w:type="spellStart"/>
      <w:r w:rsidR="00A5666E" w:rsidRPr="007F6C15">
        <w:t>canakinumab</w:t>
      </w:r>
      <w:proofErr w:type="spellEnd"/>
      <w:r w:rsidR="00A5666E" w:rsidRPr="007F6C15">
        <w:t xml:space="preserve"> is TGA approved for the treatment of CAPS in patients aged 2 years and older</w:t>
      </w:r>
      <w:r w:rsidR="005451F1" w:rsidRPr="007F6C15">
        <w:t xml:space="preserve"> </w:t>
      </w:r>
      <w:r w:rsidR="000100DB" w:rsidRPr="007F6C15">
        <w:t>and is dosed less frequently than anakinra.  The submission claim</w:t>
      </w:r>
      <w:r w:rsidR="009E0E53">
        <w:t>ed</w:t>
      </w:r>
      <w:r w:rsidR="000100DB" w:rsidRPr="007F6C15">
        <w:t xml:space="preserve"> that </w:t>
      </w:r>
      <w:proofErr w:type="spellStart"/>
      <w:r w:rsidR="000100DB" w:rsidRPr="007F6C15">
        <w:t>canakinumab</w:t>
      </w:r>
      <w:proofErr w:type="spellEnd"/>
      <w:r w:rsidR="000100DB" w:rsidRPr="007F6C15">
        <w:t xml:space="preserve"> is not however</w:t>
      </w:r>
      <w:r w:rsidR="005451F1" w:rsidRPr="007F6C15">
        <w:t xml:space="preserve"> actively marketed in Australia</w:t>
      </w:r>
      <w:r w:rsidR="00A5666E" w:rsidRPr="007F6C15">
        <w:t xml:space="preserve">. </w:t>
      </w:r>
      <w:r w:rsidR="000100DB" w:rsidRPr="007F6C15">
        <w:t>The source of this claim was not provided in the submission.</w:t>
      </w:r>
    </w:p>
    <w:p w:rsidR="005320C3" w:rsidRDefault="005320C3" w:rsidP="005320C3">
      <w:pPr>
        <w:widowControl/>
        <w:rPr>
          <w:szCs w:val="22"/>
        </w:rPr>
      </w:pPr>
    </w:p>
    <w:p w:rsidR="007F6C15" w:rsidRPr="00EB2B34" w:rsidRDefault="007F6C15" w:rsidP="007F6C15">
      <w:pPr>
        <w:widowControl/>
        <w:ind w:left="720"/>
        <w:rPr>
          <w:szCs w:val="22"/>
        </w:rPr>
      </w:pPr>
      <w:r>
        <w:rPr>
          <w:i/>
          <w:szCs w:val="22"/>
        </w:rPr>
        <w:t>For more detail on PBAC’s view, see section 7 “PBAC outcome”</w:t>
      </w:r>
    </w:p>
    <w:p w:rsidR="005320C3" w:rsidRDefault="005320C3" w:rsidP="005320C3">
      <w:pPr>
        <w:pStyle w:val="Header"/>
        <w:rPr>
          <w:szCs w:val="22"/>
        </w:rPr>
      </w:pPr>
    </w:p>
    <w:p w:rsidR="009E0E53" w:rsidRPr="00EB2B34" w:rsidRDefault="009E0E53" w:rsidP="005320C3">
      <w:pPr>
        <w:pStyle w:val="Header"/>
        <w:rPr>
          <w:szCs w:val="22"/>
        </w:rPr>
      </w:pPr>
    </w:p>
    <w:p w:rsidR="005320C3" w:rsidRPr="00EB2B34" w:rsidRDefault="005320C3" w:rsidP="005320C3">
      <w:pPr>
        <w:pStyle w:val="Header"/>
        <w:widowControl/>
        <w:numPr>
          <w:ilvl w:val="0"/>
          <w:numId w:val="16"/>
        </w:numPr>
        <w:tabs>
          <w:tab w:val="left" w:pos="720"/>
        </w:tabs>
        <w:snapToGrid w:val="0"/>
        <w:rPr>
          <w:b/>
          <w:szCs w:val="22"/>
        </w:rPr>
      </w:pPr>
      <w:r w:rsidRPr="00EB2B34">
        <w:rPr>
          <w:b/>
          <w:szCs w:val="22"/>
        </w:rPr>
        <w:t>Comparator</w:t>
      </w:r>
    </w:p>
    <w:p w:rsidR="005320C3" w:rsidRPr="00EB2B34" w:rsidRDefault="005320C3" w:rsidP="005320C3"/>
    <w:p w:rsidR="00146BBC" w:rsidRPr="007F6C15" w:rsidRDefault="009E0E53" w:rsidP="00A632C4">
      <w:pPr>
        <w:pStyle w:val="ListParagraph"/>
        <w:widowControl/>
        <w:numPr>
          <w:ilvl w:val="1"/>
          <w:numId w:val="16"/>
        </w:numPr>
        <w:snapToGrid w:val="0"/>
        <w:rPr>
          <w:szCs w:val="22"/>
        </w:rPr>
      </w:pPr>
      <w:r>
        <w:t>The submission nominated</w:t>
      </w:r>
      <w:r w:rsidR="005320C3" w:rsidRPr="00EB2B34">
        <w:t xml:space="preserve"> </w:t>
      </w:r>
      <w:r w:rsidR="005320C3" w:rsidRPr="007F6C15">
        <w:t>best supportive care as the main comparator.</w:t>
      </w:r>
      <w:r w:rsidR="005320C3" w:rsidRPr="007F6C15">
        <w:rPr>
          <w:color w:val="3366FF"/>
        </w:rPr>
        <w:t xml:space="preserve"> </w:t>
      </w:r>
    </w:p>
    <w:p w:rsidR="00146BBC" w:rsidRPr="007F6C15" w:rsidRDefault="00146BBC" w:rsidP="00146BBC">
      <w:pPr>
        <w:pStyle w:val="ListParagraph"/>
        <w:widowControl/>
        <w:snapToGrid w:val="0"/>
        <w:rPr>
          <w:szCs w:val="22"/>
        </w:rPr>
      </w:pPr>
    </w:p>
    <w:p w:rsidR="005320C3" w:rsidRPr="007F6C15" w:rsidRDefault="00A632C4" w:rsidP="00F11F46">
      <w:pPr>
        <w:pStyle w:val="ListParagraph"/>
        <w:widowControl/>
        <w:numPr>
          <w:ilvl w:val="1"/>
          <w:numId w:val="16"/>
        </w:numPr>
        <w:snapToGrid w:val="0"/>
        <w:rPr>
          <w:szCs w:val="22"/>
        </w:rPr>
      </w:pPr>
      <w:r w:rsidRPr="007F6C15">
        <w:t xml:space="preserve">The ESC questioned whether </w:t>
      </w:r>
      <w:proofErr w:type="spellStart"/>
      <w:r w:rsidRPr="007F6C15">
        <w:t>canakinumab</w:t>
      </w:r>
      <w:proofErr w:type="spellEnd"/>
      <w:r w:rsidRPr="007F6C15">
        <w:t xml:space="preserve"> is an appropriate comparator but</w:t>
      </w:r>
      <w:r w:rsidR="00300D83" w:rsidRPr="007F6C15">
        <w:t xml:space="preserve"> </w:t>
      </w:r>
      <w:r w:rsidR="00146BBC" w:rsidRPr="007F6C15">
        <w:t xml:space="preserve">noted the submission’s claim that off-label anakinra </w:t>
      </w:r>
      <w:r w:rsidR="00F11F46" w:rsidRPr="007F6C15">
        <w:t xml:space="preserve">use </w:t>
      </w:r>
      <w:r w:rsidR="00146BBC" w:rsidRPr="007F6C15">
        <w:t>(supplied privately or provided via hospital formulary arrangements) is the most prescribed therapy for CAPS.</w:t>
      </w:r>
      <w:r w:rsidR="00F11F46" w:rsidRPr="007F6C15">
        <w:t xml:space="preserve">  </w:t>
      </w:r>
      <w:r w:rsidR="009E0E53">
        <w:t>I</w:t>
      </w:r>
      <w:r w:rsidR="00F11F46" w:rsidRPr="007F6C15">
        <w:t xml:space="preserve">n the </w:t>
      </w:r>
      <w:r w:rsidR="00F11F46" w:rsidRPr="007F6C15">
        <w:lastRenderedPageBreak/>
        <w:t xml:space="preserve">context of no existing therapies being PBS-listed for CAPS, the ESC </w:t>
      </w:r>
      <w:r w:rsidR="009E0E53">
        <w:t>advised that</w:t>
      </w:r>
      <w:r w:rsidR="00F11F46" w:rsidRPr="007F6C15">
        <w:t xml:space="preserve"> best supportive care </w:t>
      </w:r>
      <w:r w:rsidR="009E0E53">
        <w:t>was an</w:t>
      </w:r>
      <w:r w:rsidR="00F11F46" w:rsidRPr="007F6C15">
        <w:t xml:space="preserve"> appropriate comparator.</w:t>
      </w:r>
    </w:p>
    <w:p w:rsidR="005320C3" w:rsidRDefault="005320C3" w:rsidP="005320C3">
      <w:pPr>
        <w:rPr>
          <w:szCs w:val="22"/>
        </w:rPr>
      </w:pPr>
    </w:p>
    <w:p w:rsidR="007F6C15" w:rsidRPr="007F6C15" w:rsidRDefault="007F6C15" w:rsidP="007F6C15">
      <w:pPr>
        <w:ind w:left="720"/>
        <w:rPr>
          <w:szCs w:val="22"/>
        </w:rPr>
      </w:pPr>
      <w:r>
        <w:rPr>
          <w:i/>
          <w:szCs w:val="22"/>
        </w:rPr>
        <w:t>For more detail on PBAC’s view, see section 7 “PBAC outcome”</w:t>
      </w:r>
    </w:p>
    <w:p w:rsidR="005320C3" w:rsidRDefault="005320C3" w:rsidP="005320C3">
      <w:pPr>
        <w:rPr>
          <w:szCs w:val="22"/>
        </w:rPr>
      </w:pPr>
    </w:p>
    <w:p w:rsidR="009E0E53" w:rsidRPr="00EB2B34" w:rsidRDefault="009E0E53" w:rsidP="005320C3">
      <w:pPr>
        <w:rPr>
          <w:szCs w:val="22"/>
        </w:rPr>
      </w:pPr>
    </w:p>
    <w:p w:rsidR="005320C3" w:rsidRPr="00EB2B34" w:rsidRDefault="00A71C96" w:rsidP="005320C3">
      <w:pPr>
        <w:pStyle w:val="PBACHeading1"/>
        <w:numPr>
          <w:ilvl w:val="0"/>
          <w:numId w:val="16"/>
        </w:numPr>
        <w:snapToGrid w:val="0"/>
      </w:pPr>
      <w:bookmarkStart w:id="5" w:name="_Toc398303324"/>
      <w:r>
        <w:t>C</w:t>
      </w:r>
      <w:r w:rsidR="005320C3" w:rsidRPr="00EB2B34">
        <w:t>onsideration of the evidence</w:t>
      </w:r>
      <w:bookmarkEnd w:id="5"/>
    </w:p>
    <w:p w:rsidR="005320C3" w:rsidRDefault="005320C3" w:rsidP="005320C3"/>
    <w:p w:rsidR="000415CA" w:rsidRPr="00C44E7B" w:rsidRDefault="000415CA" w:rsidP="000415CA">
      <w:pPr>
        <w:rPr>
          <w:b/>
          <w:szCs w:val="22"/>
        </w:rPr>
      </w:pPr>
      <w:r w:rsidRPr="00C44E7B">
        <w:rPr>
          <w:b/>
          <w:szCs w:val="22"/>
        </w:rPr>
        <w:t>Sponsor hearing</w:t>
      </w:r>
    </w:p>
    <w:p w:rsidR="000415CA" w:rsidRPr="002668D0" w:rsidRDefault="000415CA" w:rsidP="002668D0">
      <w:pPr>
        <w:rPr>
          <w:szCs w:val="22"/>
        </w:rPr>
      </w:pPr>
    </w:p>
    <w:p w:rsidR="000415CA" w:rsidRDefault="000415CA" w:rsidP="000415CA">
      <w:pPr>
        <w:pStyle w:val="ListParagraph"/>
        <w:widowControl/>
        <w:numPr>
          <w:ilvl w:val="1"/>
          <w:numId w:val="16"/>
        </w:numPr>
        <w:rPr>
          <w:szCs w:val="22"/>
        </w:rPr>
      </w:pPr>
      <w:r>
        <w:rPr>
          <w:szCs w:val="22"/>
        </w:rPr>
        <w:t>There was no hearing for this item.</w:t>
      </w:r>
    </w:p>
    <w:p w:rsidR="000415CA" w:rsidRDefault="000415CA" w:rsidP="000415CA">
      <w:pPr>
        <w:pStyle w:val="ListParagraph"/>
        <w:ind w:left="709"/>
        <w:rPr>
          <w:szCs w:val="22"/>
        </w:rPr>
      </w:pPr>
    </w:p>
    <w:p w:rsidR="000415CA" w:rsidRPr="00C44E7B" w:rsidRDefault="000415CA" w:rsidP="000415CA">
      <w:pPr>
        <w:rPr>
          <w:b/>
          <w:szCs w:val="22"/>
        </w:rPr>
      </w:pPr>
      <w:r w:rsidRPr="00C44E7B">
        <w:rPr>
          <w:b/>
          <w:szCs w:val="22"/>
        </w:rPr>
        <w:t>Consumer comments</w:t>
      </w:r>
    </w:p>
    <w:p w:rsidR="000415CA" w:rsidRDefault="000415CA" w:rsidP="000415CA">
      <w:pPr>
        <w:pStyle w:val="ListParagraph"/>
        <w:ind w:left="709"/>
        <w:rPr>
          <w:szCs w:val="22"/>
        </w:rPr>
      </w:pPr>
    </w:p>
    <w:p w:rsidR="005C06A9" w:rsidRDefault="000415CA" w:rsidP="00C44E7B">
      <w:pPr>
        <w:pStyle w:val="ListParagraph"/>
        <w:widowControl/>
        <w:numPr>
          <w:ilvl w:val="1"/>
          <w:numId w:val="16"/>
        </w:numPr>
        <w:rPr>
          <w:szCs w:val="22"/>
        </w:rPr>
      </w:pPr>
      <w:r w:rsidRPr="007B4AE6">
        <w:rPr>
          <w:szCs w:val="22"/>
        </w:rPr>
        <w:t xml:space="preserve">The PBAC noted and welcomed the input from </w:t>
      </w:r>
      <w:r w:rsidR="00500711" w:rsidRPr="007B4AE6">
        <w:rPr>
          <w:szCs w:val="22"/>
        </w:rPr>
        <w:t xml:space="preserve">individuals (9), a health care professional (1) and </w:t>
      </w:r>
      <w:r w:rsidRPr="007B4AE6">
        <w:rPr>
          <w:szCs w:val="22"/>
        </w:rPr>
        <w:t xml:space="preserve">organisations (2) via the Consumer Comments facility on the PBS website. The </w:t>
      </w:r>
      <w:r w:rsidR="005C06A9">
        <w:rPr>
          <w:szCs w:val="22"/>
        </w:rPr>
        <w:t xml:space="preserve">individual </w:t>
      </w:r>
      <w:r w:rsidRPr="007B4AE6">
        <w:rPr>
          <w:szCs w:val="22"/>
        </w:rPr>
        <w:t xml:space="preserve">comments described </w:t>
      </w:r>
      <w:r w:rsidR="007B4AE6" w:rsidRPr="007B4AE6">
        <w:rPr>
          <w:szCs w:val="22"/>
        </w:rPr>
        <w:t xml:space="preserve">some of </w:t>
      </w:r>
      <w:r w:rsidR="0069086D" w:rsidRPr="007B4AE6">
        <w:rPr>
          <w:szCs w:val="22"/>
        </w:rPr>
        <w:t xml:space="preserve">the </w:t>
      </w:r>
      <w:r w:rsidR="007B4AE6" w:rsidRPr="007B4AE6">
        <w:rPr>
          <w:szCs w:val="22"/>
        </w:rPr>
        <w:t xml:space="preserve">benefits of treatment with anakinra including improvement in symptoms and quality of life, and the </w:t>
      </w:r>
      <w:r w:rsidR="0069086D" w:rsidRPr="007B4AE6">
        <w:rPr>
          <w:szCs w:val="22"/>
        </w:rPr>
        <w:t>need for treatment options</w:t>
      </w:r>
      <w:r w:rsidR="007B4AE6" w:rsidRPr="007B4AE6">
        <w:rPr>
          <w:szCs w:val="22"/>
        </w:rPr>
        <w:t xml:space="preserve"> in</w:t>
      </w:r>
      <w:r w:rsidR="0069086D" w:rsidRPr="007B4AE6">
        <w:rPr>
          <w:szCs w:val="22"/>
        </w:rPr>
        <w:t xml:space="preserve"> </w:t>
      </w:r>
      <w:r w:rsidR="007B4AE6" w:rsidRPr="007B4AE6">
        <w:rPr>
          <w:szCs w:val="22"/>
        </w:rPr>
        <w:t>a rare disease such as</w:t>
      </w:r>
      <w:r w:rsidR="0069086D" w:rsidRPr="007B4AE6">
        <w:rPr>
          <w:szCs w:val="22"/>
        </w:rPr>
        <w:t xml:space="preserve"> CAP</w:t>
      </w:r>
      <w:r w:rsidR="002F5156" w:rsidRPr="007B4AE6">
        <w:rPr>
          <w:szCs w:val="22"/>
        </w:rPr>
        <w:t>S</w:t>
      </w:r>
      <w:r w:rsidR="0069086D" w:rsidRPr="007B4AE6">
        <w:rPr>
          <w:szCs w:val="22"/>
        </w:rPr>
        <w:t>.</w:t>
      </w:r>
    </w:p>
    <w:p w:rsidR="005C06A9" w:rsidRDefault="005C06A9" w:rsidP="005C06A9">
      <w:pPr>
        <w:pStyle w:val="ListParagraph"/>
        <w:widowControl/>
        <w:rPr>
          <w:szCs w:val="22"/>
        </w:rPr>
      </w:pPr>
    </w:p>
    <w:p w:rsidR="00897ABB" w:rsidRDefault="005C06A9" w:rsidP="00C44E7B">
      <w:pPr>
        <w:pStyle w:val="ListParagraph"/>
        <w:widowControl/>
        <w:numPr>
          <w:ilvl w:val="1"/>
          <w:numId w:val="16"/>
        </w:numPr>
        <w:rPr>
          <w:szCs w:val="22"/>
        </w:rPr>
      </w:pPr>
      <w:r>
        <w:rPr>
          <w:szCs w:val="22"/>
        </w:rPr>
        <w:t xml:space="preserve">Rare Voices of Australia outlined the supportive evidence and experience with anakinra for CAPS in </w:t>
      </w:r>
      <w:r w:rsidR="007530C6">
        <w:rPr>
          <w:szCs w:val="22"/>
        </w:rPr>
        <w:t>Europ</w:t>
      </w:r>
      <w:r w:rsidRPr="005C06A9">
        <w:rPr>
          <w:szCs w:val="22"/>
        </w:rPr>
        <w:t>e and the United State</w:t>
      </w:r>
      <w:r>
        <w:rPr>
          <w:szCs w:val="22"/>
        </w:rPr>
        <w:t>s</w:t>
      </w:r>
      <w:r w:rsidRPr="005C06A9">
        <w:rPr>
          <w:szCs w:val="22"/>
        </w:rPr>
        <w:t xml:space="preserve"> of</w:t>
      </w:r>
      <w:r>
        <w:rPr>
          <w:szCs w:val="22"/>
        </w:rPr>
        <w:t xml:space="preserve"> America</w:t>
      </w:r>
      <w:r w:rsidR="007530C6">
        <w:rPr>
          <w:szCs w:val="22"/>
        </w:rPr>
        <w:t xml:space="preserve"> (USA)</w:t>
      </w:r>
      <w:r w:rsidR="00897ABB">
        <w:rPr>
          <w:szCs w:val="22"/>
        </w:rPr>
        <w:t>. This organisation further commented that PBS listing would achieve greater equity in access for Australian patients and noted the difficulty in the current consumer comments process reaching audiences with a rare disease.</w:t>
      </w:r>
    </w:p>
    <w:p w:rsidR="000415CA" w:rsidRPr="00897ABB" w:rsidRDefault="00897ABB" w:rsidP="00897ABB">
      <w:pPr>
        <w:pStyle w:val="ListParagraph"/>
        <w:widowControl/>
        <w:rPr>
          <w:szCs w:val="22"/>
        </w:rPr>
      </w:pPr>
      <w:r>
        <w:rPr>
          <w:szCs w:val="22"/>
        </w:rPr>
        <w:t xml:space="preserve"> </w:t>
      </w:r>
    </w:p>
    <w:p w:rsidR="00897ABB" w:rsidRPr="007B4AE6" w:rsidRDefault="00897ABB" w:rsidP="00C44E7B">
      <w:pPr>
        <w:pStyle w:val="ListParagraph"/>
        <w:widowControl/>
        <w:numPr>
          <w:ilvl w:val="1"/>
          <w:numId w:val="16"/>
        </w:numPr>
        <w:rPr>
          <w:szCs w:val="22"/>
        </w:rPr>
      </w:pPr>
      <w:r>
        <w:rPr>
          <w:szCs w:val="22"/>
        </w:rPr>
        <w:t xml:space="preserve">Comments received from the </w:t>
      </w:r>
      <w:proofErr w:type="spellStart"/>
      <w:r>
        <w:rPr>
          <w:szCs w:val="22"/>
        </w:rPr>
        <w:t>Autoinflammatory</w:t>
      </w:r>
      <w:proofErr w:type="spellEnd"/>
      <w:r>
        <w:rPr>
          <w:szCs w:val="22"/>
        </w:rPr>
        <w:t xml:space="preserve"> Alliance</w:t>
      </w:r>
      <w:r w:rsidR="007530C6">
        <w:rPr>
          <w:szCs w:val="22"/>
        </w:rPr>
        <w:t>, an organisation based in the USA,</w:t>
      </w:r>
      <w:r>
        <w:rPr>
          <w:szCs w:val="22"/>
        </w:rPr>
        <w:t xml:space="preserve"> outlined the positive benefits of anakinra in terms of </w:t>
      </w:r>
      <w:r w:rsidR="007530C6">
        <w:rPr>
          <w:szCs w:val="22"/>
        </w:rPr>
        <w:t xml:space="preserve">resolving debilitating </w:t>
      </w:r>
      <w:r>
        <w:rPr>
          <w:szCs w:val="22"/>
        </w:rPr>
        <w:t>symptom</w:t>
      </w:r>
      <w:r w:rsidR="007530C6">
        <w:rPr>
          <w:szCs w:val="22"/>
        </w:rPr>
        <w:t>s such as fevers, rash, headache, pain and preventing further hearing and vision loss in an individual patient.  The comments further outlined the benefits of early access to treatment in a patient’s life and the translation of these benefits into quality of life improvements.</w:t>
      </w:r>
    </w:p>
    <w:p w:rsidR="000415CA" w:rsidRDefault="000415CA" w:rsidP="000415CA">
      <w:pPr>
        <w:rPr>
          <w:b/>
          <w:szCs w:val="22"/>
        </w:rPr>
      </w:pPr>
    </w:p>
    <w:p w:rsidR="000415CA" w:rsidRPr="00BB7EC3" w:rsidRDefault="000415CA" w:rsidP="000415CA">
      <w:pPr>
        <w:pStyle w:val="ListParagraph"/>
        <w:ind w:left="709"/>
        <w:rPr>
          <w:i/>
          <w:szCs w:val="22"/>
        </w:rPr>
      </w:pPr>
      <w:r>
        <w:rPr>
          <w:i/>
          <w:szCs w:val="22"/>
        </w:rPr>
        <w:t>For more detail on PBAC’s view, see section 7 “PBAC outcome”</w:t>
      </w:r>
    </w:p>
    <w:p w:rsidR="00016B0C" w:rsidRDefault="00016B0C">
      <w:pPr>
        <w:widowControl/>
        <w:jc w:val="left"/>
      </w:pPr>
    </w:p>
    <w:p w:rsidR="00A8021F" w:rsidRDefault="00A8021F">
      <w:pPr>
        <w:widowControl/>
        <w:jc w:val="left"/>
      </w:pPr>
    </w:p>
    <w:p w:rsidR="005320C3" w:rsidRPr="00FE71D2" w:rsidRDefault="005320C3" w:rsidP="00FE71D2">
      <w:pPr>
        <w:rPr>
          <w:b/>
          <w:szCs w:val="22"/>
        </w:rPr>
      </w:pPr>
      <w:bookmarkStart w:id="6" w:name="_Toc398303325"/>
      <w:r w:rsidRPr="00FE71D2">
        <w:rPr>
          <w:b/>
          <w:szCs w:val="22"/>
        </w:rPr>
        <w:t>Clinical trials</w:t>
      </w:r>
      <w:bookmarkEnd w:id="6"/>
    </w:p>
    <w:p w:rsidR="005320C3" w:rsidRPr="00EB2B34" w:rsidRDefault="005320C3" w:rsidP="005320C3">
      <w:pPr>
        <w:rPr>
          <w:szCs w:val="22"/>
        </w:rPr>
      </w:pPr>
    </w:p>
    <w:p w:rsidR="005320C3" w:rsidRPr="00EB2B34" w:rsidRDefault="009E0E53" w:rsidP="005320C3">
      <w:pPr>
        <w:pStyle w:val="ListParagraph"/>
        <w:widowControl/>
        <w:numPr>
          <w:ilvl w:val="1"/>
          <w:numId w:val="16"/>
        </w:numPr>
        <w:snapToGrid w:val="0"/>
        <w:rPr>
          <w:szCs w:val="22"/>
        </w:rPr>
      </w:pPr>
      <w:r>
        <w:rPr>
          <w:szCs w:val="22"/>
        </w:rPr>
        <w:t>The submission wa</w:t>
      </w:r>
      <w:r w:rsidR="005320C3" w:rsidRPr="00EB2B34">
        <w:rPr>
          <w:szCs w:val="22"/>
        </w:rPr>
        <w:t xml:space="preserve">s based on </w:t>
      </w:r>
      <w:r w:rsidR="0096759F" w:rsidRPr="00EB2B34">
        <w:rPr>
          <w:szCs w:val="22"/>
        </w:rPr>
        <w:t xml:space="preserve">two </w:t>
      </w:r>
      <w:r w:rsidR="005320C3" w:rsidRPr="00EB2B34">
        <w:rPr>
          <w:szCs w:val="22"/>
        </w:rPr>
        <w:t>prospective, non</w:t>
      </w:r>
      <w:r>
        <w:rPr>
          <w:szCs w:val="22"/>
        </w:rPr>
        <w:t>-</w:t>
      </w:r>
      <w:r w:rsidR="005320C3" w:rsidRPr="00EB2B34">
        <w:rPr>
          <w:szCs w:val="22"/>
        </w:rPr>
        <w:t xml:space="preserve">randomised comparative </w:t>
      </w:r>
      <w:r w:rsidR="0096759F" w:rsidRPr="00EB2B34">
        <w:rPr>
          <w:szCs w:val="22"/>
        </w:rPr>
        <w:t>studies and two</w:t>
      </w:r>
      <w:r w:rsidR="005320C3" w:rsidRPr="00EB2B34">
        <w:rPr>
          <w:szCs w:val="22"/>
        </w:rPr>
        <w:t xml:space="preserve"> non-comparative studies: </w:t>
      </w:r>
    </w:p>
    <w:p w:rsidR="005320C3" w:rsidRPr="00EB2B34" w:rsidRDefault="005320C3" w:rsidP="006E6C36">
      <w:pPr>
        <w:pStyle w:val="ListParagraph"/>
        <w:widowControl/>
        <w:numPr>
          <w:ilvl w:val="0"/>
          <w:numId w:val="22"/>
        </w:numPr>
        <w:snapToGrid w:val="0"/>
        <w:ind w:left="1134" w:hanging="425"/>
        <w:rPr>
          <w:szCs w:val="22"/>
        </w:rPr>
      </w:pPr>
      <w:r w:rsidRPr="00EB2B34">
        <w:rPr>
          <w:szCs w:val="22"/>
        </w:rPr>
        <w:t xml:space="preserve">Study 03-AR-0298 (Intention-to-treat (ITT) diary population, N=29): a long-term (5 years) study investigating the use of anakinra in children and adults with CINCA, which included a withdrawal period </w:t>
      </w:r>
      <w:r w:rsidR="004B52F3" w:rsidRPr="00EB2B34">
        <w:rPr>
          <w:szCs w:val="22"/>
        </w:rPr>
        <w:t>from</w:t>
      </w:r>
      <w:r w:rsidR="009E0E53">
        <w:rPr>
          <w:szCs w:val="22"/>
        </w:rPr>
        <w:t xml:space="preserve"> anakinra (maximum 7 </w:t>
      </w:r>
      <w:r w:rsidRPr="00EB2B34">
        <w:rPr>
          <w:szCs w:val="22"/>
        </w:rPr>
        <w:t>days, occurr</w:t>
      </w:r>
      <w:r w:rsidR="004B52F3" w:rsidRPr="00EB2B34">
        <w:rPr>
          <w:szCs w:val="22"/>
        </w:rPr>
        <w:t>ing</w:t>
      </w:r>
      <w:r w:rsidRPr="00EB2B34">
        <w:rPr>
          <w:szCs w:val="22"/>
        </w:rPr>
        <w:t xml:space="preserve"> after 3 months of anakinra treatment)</w:t>
      </w:r>
      <w:r w:rsidR="0096759F" w:rsidRPr="00EB2B34">
        <w:rPr>
          <w:szCs w:val="22"/>
        </w:rPr>
        <w:t>. This</w:t>
      </w:r>
      <w:r w:rsidRPr="00EB2B34">
        <w:rPr>
          <w:szCs w:val="22"/>
        </w:rPr>
        <w:t xml:space="preserve"> allow</w:t>
      </w:r>
      <w:r w:rsidR="0096759F" w:rsidRPr="00EB2B34">
        <w:rPr>
          <w:szCs w:val="22"/>
        </w:rPr>
        <w:t>ed</w:t>
      </w:r>
      <w:r w:rsidRPr="00EB2B34">
        <w:rPr>
          <w:szCs w:val="22"/>
        </w:rPr>
        <w:t xml:space="preserve"> a between-group comparison of anakinra ± best supportive care versus best supportive care in the so-called “withdrawal population” – 11 patients who completed the period of anakinra withdrawal (and then reinstitute</w:t>
      </w:r>
      <w:r w:rsidR="0096759F" w:rsidRPr="00EB2B34">
        <w:rPr>
          <w:szCs w:val="22"/>
        </w:rPr>
        <w:t>d</w:t>
      </w:r>
      <w:r w:rsidRPr="00EB2B34">
        <w:rPr>
          <w:szCs w:val="22"/>
        </w:rPr>
        <w:t xml:space="preserve"> anakinra treatment) and 11 patients who were enrolled after the withdrawal period being removed from the protocol and received continuous anakinra treatment (withdrawal group versus treatment group);</w:t>
      </w:r>
    </w:p>
    <w:p w:rsidR="005320C3" w:rsidRPr="00EB2B34" w:rsidRDefault="005320C3" w:rsidP="006E6C36">
      <w:pPr>
        <w:pStyle w:val="ListParagraph"/>
        <w:widowControl/>
        <w:numPr>
          <w:ilvl w:val="0"/>
          <w:numId w:val="22"/>
        </w:numPr>
        <w:snapToGrid w:val="0"/>
        <w:ind w:left="1134" w:hanging="425"/>
        <w:rPr>
          <w:szCs w:val="22"/>
        </w:rPr>
      </w:pPr>
      <w:r w:rsidRPr="00EB2B34">
        <w:rPr>
          <w:szCs w:val="22"/>
        </w:rPr>
        <w:lastRenderedPageBreak/>
        <w:t>Study</w:t>
      </w:r>
      <w:r w:rsidR="0096759F" w:rsidRPr="00EB2B34">
        <w:rPr>
          <w:szCs w:val="22"/>
        </w:rPr>
        <w:t xml:space="preserve"> by</w:t>
      </w:r>
      <w:r w:rsidRPr="00EB2B34">
        <w:rPr>
          <w:szCs w:val="22"/>
        </w:rPr>
        <w:t xml:space="preserve"> </w:t>
      </w:r>
      <w:proofErr w:type="spellStart"/>
      <w:r w:rsidRPr="00EB2B34">
        <w:rPr>
          <w:szCs w:val="22"/>
        </w:rPr>
        <w:t>Lepore</w:t>
      </w:r>
      <w:proofErr w:type="spellEnd"/>
      <w:r w:rsidR="00584A1F" w:rsidRPr="00EB2B34">
        <w:rPr>
          <w:szCs w:val="22"/>
        </w:rPr>
        <w:t xml:space="preserve"> (2010)</w:t>
      </w:r>
      <w:r w:rsidRPr="00EB2B34">
        <w:rPr>
          <w:szCs w:val="22"/>
        </w:rPr>
        <w:t xml:space="preserve"> (N=19): a registry-based study including a cohort of patients with CINCA or MWS who received anakinra ± best supportive care (n=14) and a control cohort treated with best supportive care (n=5); </w:t>
      </w:r>
    </w:p>
    <w:p w:rsidR="005320C3" w:rsidRPr="00EB2B34" w:rsidRDefault="005320C3" w:rsidP="006E6C36">
      <w:pPr>
        <w:pStyle w:val="ListParagraph"/>
        <w:widowControl/>
        <w:numPr>
          <w:ilvl w:val="0"/>
          <w:numId w:val="22"/>
        </w:numPr>
        <w:snapToGrid w:val="0"/>
        <w:ind w:left="1134" w:hanging="425"/>
        <w:rPr>
          <w:szCs w:val="22"/>
        </w:rPr>
      </w:pPr>
      <w:r w:rsidRPr="00EB2B34">
        <w:rPr>
          <w:szCs w:val="22"/>
        </w:rPr>
        <w:t xml:space="preserve">Study </w:t>
      </w:r>
      <w:r w:rsidR="0096759F" w:rsidRPr="00EB2B34">
        <w:rPr>
          <w:szCs w:val="22"/>
        </w:rPr>
        <w:t xml:space="preserve">by </w:t>
      </w:r>
      <w:proofErr w:type="spellStart"/>
      <w:r w:rsidRPr="00EB2B34">
        <w:rPr>
          <w:szCs w:val="22"/>
        </w:rPr>
        <w:t>Kuemmerle-Deschner</w:t>
      </w:r>
      <w:proofErr w:type="spellEnd"/>
      <w:r w:rsidR="00584A1F" w:rsidRPr="00EB2B34">
        <w:rPr>
          <w:szCs w:val="22"/>
        </w:rPr>
        <w:t xml:space="preserve"> (2011)</w:t>
      </w:r>
      <w:r w:rsidRPr="00EB2B34">
        <w:rPr>
          <w:szCs w:val="22"/>
        </w:rPr>
        <w:t xml:space="preserve"> (N=12): a single-centre, before-and-after study of MWS patients who were treated with anakinra ± best supportive care; and</w:t>
      </w:r>
    </w:p>
    <w:p w:rsidR="005320C3" w:rsidRPr="00EB2B34" w:rsidRDefault="005320C3" w:rsidP="006E6C36">
      <w:pPr>
        <w:pStyle w:val="ListParagraph"/>
        <w:widowControl/>
        <w:numPr>
          <w:ilvl w:val="0"/>
          <w:numId w:val="22"/>
        </w:numPr>
        <w:snapToGrid w:val="0"/>
        <w:ind w:left="1134" w:hanging="425"/>
        <w:rPr>
          <w:szCs w:val="22"/>
        </w:rPr>
      </w:pPr>
      <w:r w:rsidRPr="00EB2B34">
        <w:rPr>
          <w:szCs w:val="22"/>
        </w:rPr>
        <w:t xml:space="preserve">Study </w:t>
      </w:r>
      <w:r w:rsidR="0096759F" w:rsidRPr="00EB2B34">
        <w:rPr>
          <w:szCs w:val="22"/>
        </w:rPr>
        <w:t xml:space="preserve">by </w:t>
      </w:r>
      <w:r w:rsidRPr="00EB2B34">
        <w:rPr>
          <w:szCs w:val="22"/>
        </w:rPr>
        <w:t>Ross</w:t>
      </w:r>
      <w:r w:rsidR="00584A1F" w:rsidRPr="00EB2B34">
        <w:rPr>
          <w:szCs w:val="22"/>
        </w:rPr>
        <w:t xml:space="preserve"> (2008)</w:t>
      </w:r>
      <w:r w:rsidRPr="00EB2B34">
        <w:rPr>
          <w:szCs w:val="22"/>
        </w:rPr>
        <w:t xml:space="preserve"> (N=8): a single-centre, single-arm study of subjects with longstanding FCAS receiving anakinra treatment.</w:t>
      </w:r>
      <w:r w:rsidRPr="00EB2B34">
        <w:rPr>
          <w:color w:val="3366FF"/>
        </w:rPr>
        <w:t xml:space="preserve"> </w:t>
      </w:r>
    </w:p>
    <w:p w:rsidR="005320C3" w:rsidRPr="00EB2B34" w:rsidRDefault="005320C3" w:rsidP="005320C3">
      <w:pPr>
        <w:widowControl/>
        <w:rPr>
          <w:szCs w:val="22"/>
        </w:rPr>
      </w:pPr>
    </w:p>
    <w:p w:rsidR="005320C3" w:rsidRPr="00EB2B34" w:rsidRDefault="005320C3" w:rsidP="005320C3">
      <w:pPr>
        <w:pStyle w:val="ListParagraph"/>
        <w:widowControl/>
        <w:numPr>
          <w:ilvl w:val="1"/>
          <w:numId w:val="16"/>
        </w:numPr>
        <w:snapToGrid w:val="0"/>
        <w:rPr>
          <w:szCs w:val="22"/>
        </w:rPr>
      </w:pPr>
      <w:r w:rsidRPr="00EB2B34">
        <w:rPr>
          <w:szCs w:val="22"/>
        </w:rPr>
        <w:t xml:space="preserve">Details of the studies presented in the submission are provided in the table below.  </w:t>
      </w:r>
    </w:p>
    <w:p w:rsidR="00670E74" w:rsidRDefault="00670E74">
      <w:pPr>
        <w:widowControl/>
        <w:jc w:val="left"/>
        <w:rPr>
          <w:rStyle w:val="CommentReference"/>
        </w:rPr>
      </w:pPr>
    </w:p>
    <w:p w:rsidR="005320C3" w:rsidRPr="00EB2B34" w:rsidRDefault="005320C3" w:rsidP="005320C3">
      <w:pPr>
        <w:ind w:firstLine="720"/>
        <w:rPr>
          <w:rStyle w:val="CommentReference"/>
        </w:rPr>
      </w:pPr>
      <w:r w:rsidRPr="00EB2B34">
        <w:rPr>
          <w:rStyle w:val="CommentReference"/>
        </w:rPr>
        <w:t>Studies and associated reports presented in the submission</w:t>
      </w:r>
    </w:p>
    <w:tbl>
      <w:tblPr>
        <w:tblW w:w="460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3"/>
        <w:gridCol w:w="5140"/>
        <w:gridCol w:w="2265"/>
      </w:tblGrid>
      <w:tr w:rsidR="0079485B" w:rsidRPr="00EB2B34" w:rsidTr="005C06A9">
        <w:trPr>
          <w:cantSplit/>
        </w:trPr>
        <w:tc>
          <w:tcPr>
            <w:tcW w:w="568" w:type="pct"/>
            <w:vAlign w:val="center"/>
            <w:hideMark/>
          </w:tcPr>
          <w:p w:rsidR="0079485B" w:rsidRPr="00EB2B34" w:rsidRDefault="0079485B">
            <w:pPr>
              <w:pStyle w:val="TableHeading"/>
              <w:keepNext w:val="0"/>
              <w:keepLines/>
              <w:spacing w:before="0" w:after="0"/>
              <w:rPr>
                <w:rFonts w:cs="Arial"/>
                <w:lang w:eastAsia="en-AU"/>
              </w:rPr>
            </w:pPr>
            <w:r w:rsidRPr="00EB2B34">
              <w:rPr>
                <w:rFonts w:cs="Arial"/>
                <w:lang w:eastAsia="en-AU"/>
              </w:rPr>
              <w:t>Study ID</w:t>
            </w:r>
          </w:p>
        </w:tc>
        <w:tc>
          <w:tcPr>
            <w:tcW w:w="3075" w:type="pct"/>
            <w:vAlign w:val="center"/>
            <w:hideMark/>
          </w:tcPr>
          <w:p w:rsidR="0079485B" w:rsidRPr="00EB2B34" w:rsidRDefault="0079485B">
            <w:pPr>
              <w:pStyle w:val="TableHeading"/>
              <w:keepNext w:val="0"/>
              <w:keepLines/>
              <w:spacing w:before="0" w:after="0"/>
              <w:jc w:val="center"/>
              <w:rPr>
                <w:rFonts w:cs="Arial"/>
                <w:lang w:eastAsia="en-AU"/>
              </w:rPr>
            </w:pPr>
            <w:r w:rsidRPr="00EB2B34">
              <w:t>Protocol title/ Publication title</w:t>
            </w:r>
          </w:p>
        </w:tc>
        <w:tc>
          <w:tcPr>
            <w:tcW w:w="1357" w:type="pct"/>
            <w:vAlign w:val="center"/>
            <w:hideMark/>
          </w:tcPr>
          <w:p w:rsidR="0079485B" w:rsidRPr="00EB2B34" w:rsidRDefault="0079485B">
            <w:pPr>
              <w:pStyle w:val="TableHeading"/>
              <w:keepNext w:val="0"/>
              <w:keepLines/>
              <w:spacing w:before="0" w:after="0"/>
              <w:jc w:val="center"/>
              <w:rPr>
                <w:rFonts w:cs="Arial"/>
                <w:lang w:eastAsia="en-AU"/>
              </w:rPr>
            </w:pPr>
            <w:r w:rsidRPr="00EB2B34">
              <w:rPr>
                <w:rFonts w:cs="Arial"/>
                <w:lang w:eastAsia="en-AU"/>
              </w:rPr>
              <w:t>Publication citation</w:t>
            </w:r>
          </w:p>
        </w:tc>
      </w:tr>
      <w:tr w:rsidR="005320C3" w:rsidRPr="00EB2B34" w:rsidTr="005C06A9">
        <w:trPr>
          <w:cantSplit/>
        </w:trPr>
        <w:tc>
          <w:tcPr>
            <w:tcW w:w="5000" w:type="pct"/>
            <w:gridSpan w:val="3"/>
            <w:vAlign w:val="center"/>
            <w:hideMark/>
          </w:tcPr>
          <w:p w:rsidR="005320C3" w:rsidRPr="00EB2B34" w:rsidRDefault="005320C3">
            <w:pPr>
              <w:pStyle w:val="TableText0"/>
              <w:keepNext w:val="0"/>
              <w:keepLines/>
              <w:spacing w:before="0" w:after="0"/>
              <w:rPr>
                <w:rFonts w:cs="Arial"/>
                <w:iCs/>
                <w:lang w:eastAsia="en-AU"/>
              </w:rPr>
            </w:pPr>
            <w:r w:rsidRPr="00EB2B34">
              <w:rPr>
                <w:rFonts w:cs="Arial"/>
                <w:iCs/>
                <w:lang w:eastAsia="en-AU"/>
              </w:rPr>
              <w:t>Nonrandomised studies</w:t>
            </w:r>
          </w:p>
        </w:tc>
      </w:tr>
      <w:tr w:rsidR="0079485B" w:rsidRPr="00EB2B34" w:rsidTr="005C06A9">
        <w:trPr>
          <w:cantSplit/>
        </w:trPr>
        <w:tc>
          <w:tcPr>
            <w:tcW w:w="568" w:type="pct"/>
            <w:hideMark/>
          </w:tcPr>
          <w:p w:rsidR="0079485B" w:rsidRPr="00EB2B34" w:rsidRDefault="0079485B">
            <w:pPr>
              <w:pStyle w:val="TableText0"/>
              <w:keepNext w:val="0"/>
              <w:keepLines/>
              <w:spacing w:before="0" w:after="0"/>
              <w:rPr>
                <w:rFonts w:cs="Arial"/>
                <w:lang w:eastAsia="en-AU"/>
              </w:rPr>
            </w:pPr>
            <w:r w:rsidRPr="00EB2B34">
              <w:t>Study 03-AR-0298</w:t>
            </w:r>
          </w:p>
        </w:tc>
        <w:tc>
          <w:tcPr>
            <w:tcW w:w="3075" w:type="pct"/>
            <w:hideMark/>
          </w:tcPr>
          <w:p w:rsidR="0079485B" w:rsidRPr="00EB2B34" w:rsidRDefault="0079485B" w:rsidP="00204A76">
            <w:pPr>
              <w:pStyle w:val="TableText0"/>
              <w:keepNext w:val="0"/>
              <w:keepLines/>
              <w:rPr>
                <w:rFonts w:cs="Arial"/>
                <w:lang w:eastAsia="en-AU"/>
              </w:rPr>
            </w:pPr>
            <w:r w:rsidRPr="00EB2B34">
              <w:rPr>
                <w:rFonts w:cs="Arial"/>
                <w:lang w:eastAsia="en-AU"/>
              </w:rPr>
              <w:t>Clinical study report: A long-term outcome study with the IL-1 receptor antagonist anakinra/</w:t>
            </w:r>
            <w:proofErr w:type="spellStart"/>
            <w:r w:rsidRPr="00EB2B34">
              <w:rPr>
                <w:rFonts w:cs="Arial"/>
                <w:lang w:eastAsia="en-AU"/>
              </w:rPr>
              <w:t>kineret</w:t>
            </w:r>
            <w:proofErr w:type="spellEnd"/>
            <w:r w:rsidRPr="00EB2B34">
              <w:rPr>
                <w:rFonts w:cs="Arial"/>
                <w:vertAlign w:val="superscript"/>
                <w:lang w:eastAsia="en-AU"/>
              </w:rPr>
              <w:t>®</w:t>
            </w:r>
            <w:r w:rsidRPr="00EB2B34">
              <w:rPr>
                <w:rFonts w:cs="Arial"/>
                <w:lang w:eastAsia="en-AU"/>
              </w:rPr>
              <w:t xml:space="preserve"> in patients with neonatal onset multisystem inflammatory disease (NOMID/CINCA syndrome)</w:t>
            </w:r>
          </w:p>
        </w:tc>
        <w:tc>
          <w:tcPr>
            <w:tcW w:w="1357" w:type="pct"/>
            <w:hideMark/>
          </w:tcPr>
          <w:p w:rsidR="0079485B" w:rsidRPr="00EB2B34" w:rsidRDefault="0079485B">
            <w:pPr>
              <w:pStyle w:val="TableText0"/>
              <w:keepNext w:val="0"/>
              <w:keepLines/>
              <w:spacing w:before="0" w:after="0"/>
              <w:rPr>
                <w:rFonts w:cs="Arial"/>
                <w:lang w:eastAsia="en-AU"/>
              </w:rPr>
            </w:pPr>
            <w:r w:rsidRPr="00EB2B34">
              <w:rPr>
                <w:rFonts w:cs="Arial"/>
                <w:lang w:eastAsia="en-AU"/>
              </w:rPr>
              <w:t>May 2012</w:t>
            </w:r>
          </w:p>
        </w:tc>
      </w:tr>
      <w:tr w:rsidR="0079485B" w:rsidRPr="00EB2B34" w:rsidTr="005C06A9">
        <w:trPr>
          <w:cantSplit/>
        </w:trPr>
        <w:tc>
          <w:tcPr>
            <w:tcW w:w="0" w:type="auto"/>
            <w:vAlign w:val="center"/>
            <w:hideMark/>
          </w:tcPr>
          <w:p w:rsidR="0079485B" w:rsidRPr="00EB2B34" w:rsidRDefault="0079485B">
            <w:pPr>
              <w:widowControl/>
              <w:jc w:val="left"/>
              <w:rPr>
                <w:rFonts w:ascii="Arial Narrow" w:hAnsi="Arial Narrow"/>
                <w:sz w:val="20"/>
                <w:lang w:eastAsia="en-AU"/>
              </w:rPr>
            </w:pPr>
          </w:p>
        </w:tc>
        <w:tc>
          <w:tcPr>
            <w:tcW w:w="3075" w:type="pct"/>
            <w:hideMark/>
          </w:tcPr>
          <w:p w:rsidR="0079485B" w:rsidRPr="00EB2B34" w:rsidRDefault="0079485B">
            <w:pPr>
              <w:pStyle w:val="TableText0"/>
              <w:keepNext w:val="0"/>
              <w:keepLines/>
              <w:rPr>
                <w:rFonts w:cs="Arial"/>
                <w:lang w:eastAsia="en-AU"/>
              </w:rPr>
            </w:pPr>
            <w:proofErr w:type="spellStart"/>
            <w:r w:rsidRPr="00EB2B34">
              <w:rPr>
                <w:rFonts w:cs="Arial"/>
                <w:lang w:eastAsia="en-AU"/>
              </w:rPr>
              <w:t>Goldbach-Mansky</w:t>
            </w:r>
            <w:proofErr w:type="spellEnd"/>
            <w:r w:rsidRPr="00EB2B34">
              <w:rPr>
                <w:rFonts w:cs="Arial"/>
                <w:lang w:eastAsia="en-AU"/>
              </w:rPr>
              <w:t xml:space="preserve"> R, Dailey NJ, Canna SW, et al. Neonatal-onset multisystem inflammatory disease responsive to interleukin-1 beta inhibition. </w:t>
            </w:r>
          </w:p>
        </w:tc>
        <w:tc>
          <w:tcPr>
            <w:tcW w:w="1357" w:type="pct"/>
            <w:hideMark/>
          </w:tcPr>
          <w:p w:rsidR="0079485B" w:rsidRPr="00EB2B34" w:rsidRDefault="0079485B">
            <w:pPr>
              <w:pStyle w:val="TableText0"/>
              <w:keepNext w:val="0"/>
              <w:keepLines/>
              <w:spacing w:before="0" w:after="0"/>
              <w:rPr>
                <w:rFonts w:cs="Arial"/>
                <w:lang w:eastAsia="en-AU"/>
              </w:rPr>
            </w:pPr>
            <w:r w:rsidRPr="00EB2B34">
              <w:rPr>
                <w:rFonts w:cs="Arial"/>
                <w:lang w:eastAsia="en-AU"/>
              </w:rPr>
              <w:t>The New England Journal of Medicine 2006; 355(6): 581-92.</w:t>
            </w:r>
          </w:p>
        </w:tc>
      </w:tr>
      <w:tr w:rsidR="0079485B" w:rsidRPr="00EB2B34" w:rsidTr="005C06A9">
        <w:trPr>
          <w:cantSplit/>
        </w:trPr>
        <w:tc>
          <w:tcPr>
            <w:tcW w:w="0" w:type="auto"/>
            <w:vAlign w:val="center"/>
            <w:hideMark/>
          </w:tcPr>
          <w:p w:rsidR="0079485B" w:rsidRPr="00EB2B34" w:rsidRDefault="0079485B">
            <w:pPr>
              <w:widowControl/>
              <w:jc w:val="left"/>
              <w:rPr>
                <w:rFonts w:ascii="Arial Narrow" w:hAnsi="Arial Narrow"/>
                <w:sz w:val="20"/>
                <w:lang w:eastAsia="en-AU"/>
              </w:rPr>
            </w:pPr>
          </w:p>
        </w:tc>
        <w:tc>
          <w:tcPr>
            <w:tcW w:w="3075" w:type="pct"/>
            <w:hideMark/>
          </w:tcPr>
          <w:p w:rsidR="0079485B" w:rsidRPr="00EB2B34" w:rsidRDefault="0079485B" w:rsidP="00204A76">
            <w:pPr>
              <w:pStyle w:val="TableText0"/>
              <w:keepNext w:val="0"/>
              <w:keepLines/>
              <w:rPr>
                <w:rFonts w:cs="Arial"/>
                <w:lang w:eastAsia="en-AU"/>
              </w:rPr>
            </w:pPr>
            <w:r w:rsidRPr="00EB2B34">
              <w:rPr>
                <w:rFonts w:cs="Arial"/>
                <w:lang w:eastAsia="en-AU"/>
              </w:rPr>
              <w:t xml:space="preserve">Sibley CH, </w:t>
            </w:r>
            <w:proofErr w:type="spellStart"/>
            <w:r w:rsidRPr="00EB2B34">
              <w:rPr>
                <w:rFonts w:cs="Arial"/>
                <w:lang w:eastAsia="en-AU"/>
              </w:rPr>
              <w:t>Plass</w:t>
            </w:r>
            <w:proofErr w:type="spellEnd"/>
            <w:r w:rsidRPr="00EB2B34">
              <w:rPr>
                <w:rFonts w:cs="Arial"/>
                <w:lang w:eastAsia="en-AU"/>
              </w:rPr>
              <w:t xml:space="preserve"> N, Snow J, et al. Sustained response and prevention of damage progression in patients with neonatal-onset multisystem inflammatory disease treated with anakinra: a cohort study to determine three- and five-year outcomes. </w:t>
            </w:r>
          </w:p>
        </w:tc>
        <w:tc>
          <w:tcPr>
            <w:tcW w:w="1357" w:type="pct"/>
            <w:hideMark/>
          </w:tcPr>
          <w:p w:rsidR="0079485B" w:rsidRPr="00EB2B34" w:rsidRDefault="0079485B">
            <w:pPr>
              <w:pStyle w:val="TableText0"/>
              <w:keepNext w:val="0"/>
              <w:keepLines/>
              <w:spacing w:before="0" w:after="0"/>
              <w:rPr>
                <w:rFonts w:cs="Arial"/>
                <w:lang w:eastAsia="en-AU"/>
              </w:rPr>
            </w:pPr>
            <w:r w:rsidRPr="00EB2B34">
              <w:rPr>
                <w:rFonts w:cs="Arial"/>
                <w:lang w:eastAsia="en-AU"/>
              </w:rPr>
              <w:t>Arthritis &amp; Rheumatism 2012; 64(7): 2375-86.</w:t>
            </w:r>
          </w:p>
        </w:tc>
      </w:tr>
      <w:tr w:rsidR="0079485B" w:rsidRPr="00EB2B34" w:rsidTr="005C06A9">
        <w:trPr>
          <w:cantSplit/>
        </w:trPr>
        <w:tc>
          <w:tcPr>
            <w:tcW w:w="0" w:type="auto"/>
            <w:vAlign w:val="center"/>
            <w:hideMark/>
          </w:tcPr>
          <w:p w:rsidR="0079485B" w:rsidRPr="00EB2B34" w:rsidRDefault="0079485B">
            <w:pPr>
              <w:widowControl/>
              <w:jc w:val="left"/>
              <w:rPr>
                <w:rFonts w:ascii="Arial Narrow" w:hAnsi="Arial Narrow"/>
                <w:sz w:val="20"/>
                <w:lang w:eastAsia="en-AU"/>
              </w:rPr>
            </w:pPr>
          </w:p>
        </w:tc>
        <w:tc>
          <w:tcPr>
            <w:tcW w:w="3075" w:type="pct"/>
            <w:hideMark/>
          </w:tcPr>
          <w:p w:rsidR="0079485B" w:rsidRPr="00EB2B34" w:rsidRDefault="0079485B" w:rsidP="0043533D">
            <w:pPr>
              <w:pStyle w:val="TableText0"/>
              <w:keepNext w:val="0"/>
              <w:keepLines/>
              <w:rPr>
                <w:rFonts w:cs="Arial"/>
                <w:lang w:eastAsia="en-AU"/>
              </w:rPr>
            </w:pPr>
            <w:proofErr w:type="spellStart"/>
            <w:r w:rsidRPr="00EB2B34">
              <w:rPr>
                <w:rFonts w:cs="Arial"/>
                <w:lang w:eastAsia="en-AU"/>
              </w:rPr>
              <w:t>Leinonen</w:t>
            </w:r>
            <w:proofErr w:type="spellEnd"/>
            <w:r w:rsidRPr="00EB2B34">
              <w:rPr>
                <w:rFonts w:cs="Arial"/>
                <w:lang w:eastAsia="en-AU"/>
              </w:rPr>
              <w:t xml:space="preserve"> M, </w:t>
            </w:r>
            <w:proofErr w:type="spellStart"/>
            <w:r w:rsidRPr="00EB2B34">
              <w:rPr>
                <w:rFonts w:cs="Arial"/>
                <w:lang w:eastAsia="en-AU"/>
              </w:rPr>
              <w:t>Hallen</w:t>
            </w:r>
            <w:proofErr w:type="spellEnd"/>
            <w:r w:rsidRPr="00EB2B34">
              <w:rPr>
                <w:rFonts w:cs="Arial"/>
                <w:lang w:eastAsia="en-AU"/>
              </w:rPr>
              <w:t xml:space="preserve"> B, </w:t>
            </w:r>
            <w:proofErr w:type="spellStart"/>
            <w:r w:rsidRPr="00EB2B34">
              <w:rPr>
                <w:rFonts w:cs="Arial"/>
                <w:lang w:eastAsia="en-AU"/>
              </w:rPr>
              <w:t>Olivecrona</w:t>
            </w:r>
            <w:proofErr w:type="spellEnd"/>
            <w:r w:rsidRPr="00EB2B34">
              <w:rPr>
                <w:rFonts w:cs="Arial"/>
                <w:lang w:eastAsia="en-AU"/>
              </w:rPr>
              <w:t xml:space="preserve"> H. A2: rapid and sustained response in patients suffering from severe </w:t>
            </w:r>
            <w:proofErr w:type="spellStart"/>
            <w:r w:rsidRPr="00EB2B34">
              <w:rPr>
                <w:rFonts w:cs="Arial"/>
                <w:lang w:eastAsia="en-AU"/>
              </w:rPr>
              <w:t>cryopyrin</w:t>
            </w:r>
            <w:proofErr w:type="spellEnd"/>
            <w:r w:rsidRPr="00EB2B34">
              <w:rPr>
                <w:rFonts w:cs="Arial"/>
                <w:lang w:eastAsia="en-AU"/>
              </w:rPr>
              <w:t>-associated periodic syndromes treated with anakinra (</w:t>
            </w:r>
            <w:proofErr w:type="spellStart"/>
            <w:r w:rsidRPr="00EB2B34">
              <w:rPr>
                <w:rFonts w:cs="Arial"/>
                <w:lang w:eastAsia="en-AU"/>
              </w:rPr>
              <w:t>kineret</w:t>
            </w:r>
            <w:proofErr w:type="spellEnd"/>
            <w:r w:rsidRPr="00EB2B34">
              <w:rPr>
                <w:rFonts w:cs="Arial"/>
                <w:vertAlign w:val="superscript"/>
                <w:lang w:eastAsia="en-AU"/>
              </w:rPr>
              <w:t>®</w:t>
            </w:r>
            <w:r w:rsidRPr="00EB2B34">
              <w:rPr>
                <w:rFonts w:cs="Arial"/>
                <w:lang w:eastAsia="en-AU"/>
              </w:rPr>
              <w:t xml:space="preserve">). </w:t>
            </w:r>
          </w:p>
        </w:tc>
        <w:tc>
          <w:tcPr>
            <w:tcW w:w="1357" w:type="pct"/>
            <w:hideMark/>
          </w:tcPr>
          <w:p w:rsidR="0079485B" w:rsidRPr="00EB2B34" w:rsidRDefault="0079485B">
            <w:pPr>
              <w:pStyle w:val="TableText0"/>
              <w:keepNext w:val="0"/>
              <w:keepLines/>
              <w:spacing w:before="0" w:after="0"/>
              <w:rPr>
                <w:rFonts w:cs="Arial"/>
                <w:lang w:eastAsia="en-AU"/>
              </w:rPr>
            </w:pPr>
            <w:r w:rsidRPr="00EB2B34">
              <w:rPr>
                <w:rFonts w:cs="Arial"/>
                <w:lang w:eastAsia="en-AU"/>
              </w:rPr>
              <w:t>Arthritis &amp; Rheumatology 2014; 66 (</w:t>
            </w:r>
            <w:proofErr w:type="spellStart"/>
            <w:r w:rsidRPr="00EB2B34">
              <w:rPr>
                <w:rFonts w:cs="Arial"/>
                <w:lang w:eastAsia="en-AU"/>
              </w:rPr>
              <w:t>Suppl</w:t>
            </w:r>
            <w:proofErr w:type="spellEnd"/>
            <w:r w:rsidRPr="00EB2B34">
              <w:rPr>
                <w:rFonts w:cs="Arial"/>
                <w:lang w:eastAsia="en-AU"/>
              </w:rPr>
              <w:t xml:space="preserve"> 11): S3.</w:t>
            </w:r>
          </w:p>
        </w:tc>
      </w:tr>
      <w:tr w:rsidR="0079485B" w:rsidRPr="00EB2B34" w:rsidTr="005C06A9">
        <w:trPr>
          <w:cantSplit/>
        </w:trPr>
        <w:tc>
          <w:tcPr>
            <w:tcW w:w="570" w:type="pct"/>
            <w:hideMark/>
          </w:tcPr>
          <w:p w:rsidR="0079485B" w:rsidRPr="00EB2B34" w:rsidRDefault="0079485B">
            <w:pPr>
              <w:pStyle w:val="TableText0"/>
              <w:keepNext w:val="0"/>
              <w:keepLines/>
              <w:spacing w:before="0" w:after="0"/>
              <w:rPr>
                <w:rFonts w:cs="Arial"/>
                <w:lang w:eastAsia="en-AU"/>
              </w:rPr>
            </w:pPr>
            <w:proofErr w:type="spellStart"/>
            <w:r w:rsidRPr="00EB2B34">
              <w:t>Lepore</w:t>
            </w:r>
            <w:proofErr w:type="spellEnd"/>
            <w:r w:rsidRPr="00EB2B34">
              <w:t xml:space="preserve"> 2010</w:t>
            </w:r>
          </w:p>
        </w:tc>
        <w:tc>
          <w:tcPr>
            <w:tcW w:w="3074" w:type="pct"/>
            <w:hideMark/>
          </w:tcPr>
          <w:p w:rsidR="0079485B" w:rsidRPr="00EB2B34" w:rsidRDefault="0079485B">
            <w:pPr>
              <w:pStyle w:val="TableText0"/>
              <w:keepNext w:val="0"/>
              <w:keepLines/>
              <w:spacing w:before="0" w:after="0"/>
              <w:rPr>
                <w:rFonts w:cs="Arial"/>
                <w:lang w:eastAsia="en-AU"/>
              </w:rPr>
            </w:pPr>
            <w:r w:rsidRPr="00EB2B34">
              <w:rPr>
                <w:noProof/>
                <w:lang w:val="fr-FR"/>
              </w:rPr>
              <w:t xml:space="preserve">Lepore L, Paloni G, Caorsi R, et al. </w:t>
            </w:r>
            <w:r w:rsidRPr="00EB2B34">
              <w:rPr>
                <w:noProof/>
              </w:rPr>
              <w:t xml:space="preserve">Follow-up and quality of life of patients with cryopyrin-associated periodic syndromes treated with anakinra. </w:t>
            </w:r>
          </w:p>
        </w:tc>
        <w:tc>
          <w:tcPr>
            <w:tcW w:w="1356" w:type="pct"/>
            <w:hideMark/>
          </w:tcPr>
          <w:p w:rsidR="0079485B" w:rsidRPr="00EB2B34" w:rsidRDefault="0079485B">
            <w:pPr>
              <w:pStyle w:val="TableText0"/>
              <w:keepNext w:val="0"/>
              <w:keepLines/>
              <w:spacing w:before="0" w:after="0"/>
              <w:rPr>
                <w:rFonts w:cs="Arial"/>
                <w:lang w:eastAsia="en-AU"/>
              </w:rPr>
            </w:pPr>
            <w:r w:rsidRPr="00EB2B34">
              <w:rPr>
                <w:noProof/>
              </w:rPr>
              <w:t>The Journal of Pediatrics 2010; 157(2): 310-5.</w:t>
            </w:r>
          </w:p>
        </w:tc>
      </w:tr>
      <w:tr w:rsidR="0079485B" w:rsidRPr="00EB2B34" w:rsidTr="005C06A9">
        <w:trPr>
          <w:cantSplit/>
        </w:trPr>
        <w:tc>
          <w:tcPr>
            <w:tcW w:w="0" w:type="auto"/>
            <w:vAlign w:val="center"/>
            <w:hideMark/>
          </w:tcPr>
          <w:p w:rsidR="0079485B" w:rsidRPr="00EB2B34" w:rsidRDefault="0079485B">
            <w:pPr>
              <w:widowControl/>
              <w:jc w:val="left"/>
              <w:rPr>
                <w:rFonts w:ascii="Arial Narrow" w:hAnsi="Arial Narrow"/>
                <w:sz w:val="20"/>
                <w:lang w:eastAsia="en-AU"/>
              </w:rPr>
            </w:pPr>
          </w:p>
        </w:tc>
        <w:tc>
          <w:tcPr>
            <w:tcW w:w="3074" w:type="pct"/>
            <w:hideMark/>
          </w:tcPr>
          <w:p w:rsidR="0079485B" w:rsidRPr="00EB2B34" w:rsidRDefault="0079485B">
            <w:pPr>
              <w:pStyle w:val="TableText0"/>
              <w:keepNext w:val="0"/>
              <w:keepLines/>
              <w:spacing w:before="0" w:after="0"/>
              <w:rPr>
                <w:rFonts w:cs="Arial"/>
                <w:lang w:eastAsia="en-AU"/>
              </w:rPr>
            </w:pPr>
            <w:r w:rsidRPr="00EB2B34">
              <w:rPr>
                <w:noProof/>
              </w:rPr>
              <w:t xml:space="preserve">Caroli F, Pontillo A, D'Osualdo A, et al. Clinical and genetic characterization of Italian patients affected by CINCA syndrome. </w:t>
            </w:r>
          </w:p>
        </w:tc>
        <w:tc>
          <w:tcPr>
            <w:tcW w:w="1356" w:type="pct"/>
            <w:hideMark/>
          </w:tcPr>
          <w:p w:rsidR="0079485B" w:rsidRPr="00EB2B34" w:rsidRDefault="0079485B">
            <w:pPr>
              <w:pStyle w:val="TableText0"/>
              <w:keepNext w:val="0"/>
              <w:keepLines/>
              <w:spacing w:before="0" w:after="0"/>
              <w:rPr>
                <w:rFonts w:cs="Arial"/>
                <w:lang w:eastAsia="en-AU"/>
              </w:rPr>
            </w:pPr>
            <w:r w:rsidRPr="00EB2B34">
              <w:rPr>
                <w:noProof/>
              </w:rPr>
              <w:t>Rheumatology 2007; 46(3): 473-8.</w:t>
            </w:r>
          </w:p>
        </w:tc>
      </w:tr>
      <w:tr w:rsidR="0079485B" w:rsidRPr="00EB2B34" w:rsidTr="005C06A9">
        <w:trPr>
          <w:cantSplit/>
        </w:trPr>
        <w:tc>
          <w:tcPr>
            <w:tcW w:w="0" w:type="auto"/>
            <w:vAlign w:val="center"/>
            <w:hideMark/>
          </w:tcPr>
          <w:p w:rsidR="0079485B" w:rsidRPr="00EB2B34" w:rsidRDefault="0079485B">
            <w:pPr>
              <w:widowControl/>
              <w:jc w:val="left"/>
              <w:rPr>
                <w:rFonts w:ascii="Arial Narrow" w:hAnsi="Arial Narrow"/>
                <w:sz w:val="20"/>
                <w:lang w:eastAsia="en-AU"/>
              </w:rPr>
            </w:pPr>
          </w:p>
        </w:tc>
        <w:tc>
          <w:tcPr>
            <w:tcW w:w="3074" w:type="pct"/>
            <w:hideMark/>
          </w:tcPr>
          <w:p w:rsidR="0079485B" w:rsidRPr="00EB2B34" w:rsidRDefault="0079485B">
            <w:pPr>
              <w:pStyle w:val="TableText0"/>
              <w:keepNext w:val="0"/>
              <w:keepLines/>
              <w:spacing w:before="0" w:after="0"/>
              <w:rPr>
                <w:rFonts w:cs="Arial"/>
                <w:lang w:eastAsia="en-AU"/>
              </w:rPr>
            </w:pPr>
            <w:r w:rsidRPr="00EB2B34">
              <w:rPr>
                <w:noProof/>
              </w:rPr>
              <w:t xml:space="preserve">Gattorno M, Tassi S, Carta S, et al. Pattern of interleukin-1beta secretion in response to lipopolysaccharide and ATP before and after interleukin-1 blockade in patients with CIAS1 mutations. </w:t>
            </w:r>
          </w:p>
        </w:tc>
        <w:tc>
          <w:tcPr>
            <w:tcW w:w="1356" w:type="pct"/>
            <w:hideMark/>
          </w:tcPr>
          <w:p w:rsidR="0079485B" w:rsidRPr="00EB2B34" w:rsidRDefault="0079485B">
            <w:pPr>
              <w:pStyle w:val="TableText0"/>
              <w:keepNext w:val="0"/>
              <w:keepLines/>
              <w:spacing w:before="0" w:after="0"/>
              <w:rPr>
                <w:rFonts w:cs="Arial"/>
                <w:lang w:eastAsia="en-AU"/>
              </w:rPr>
            </w:pPr>
            <w:r w:rsidRPr="00EB2B34">
              <w:rPr>
                <w:noProof/>
              </w:rPr>
              <w:t>Arthritis &amp; Rheumatism 2007; 56(9): 3138-48.</w:t>
            </w:r>
          </w:p>
        </w:tc>
      </w:tr>
      <w:tr w:rsidR="0079485B" w:rsidRPr="00EB2B34" w:rsidTr="005C06A9">
        <w:trPr>
          <w:cantSplit/>
        </w:trPr>
        <w:tc>
          <w:tcPr>
            <w:tcW w:w="0" w:type="auto"/>
            <w:vAlign w:val="center"/>
            <w:hideMark/>
          </w:tcPr>
          <w:p w:rsidR="0079485B" w:rsidRPr="00EB2B34" w:rsidRDefault="0079485B">
            <w:pPr>
              <w:widowControl/>
              <w:jc w:val="left"/>
              <w:rPr>
                <w:rFonts w:ascii="Arial Narrow" w:hAnsi="Arial Narrow"/>
                <w:sz w:val="20"/>
                <w:lang w:eastAsia="en-AU"/>
              </w:rPr>
            </w:pPr>
          </w:p>
        </w:tc>
        <w:tc>
          <w:tcPr>
            <w:tcW w:w="3074" w:type="pct"/>
            <w:hideMark/>
          </w:tcPr>
          <w:p w:rsidR="0079485B" w:rsidRPr="00EB2B34" w:rsidRDefault="0079485B">
            <w:pPr>
              <w:keepLines/>
              <w:widowControl/>
              <w:snapToGrid w:val="0"/>
              <w:jc w:val="left"/>
              <w:rPr>
                <w:rFonts w:ascii="Arial Narrow" w:hAnsi="Arial Narrow"/>
                <w:noProof/>
                <w:sz w:val="20"/>
              </w:rPr>
            </w:pPr>
            <w:r w:rsidRPr="00EB2B34">
              <w:rPr>
                <w:rFonts w:ascii="Arial Narrow" w:hAnsi="Arial Narrow"/>
                <w:noProof/>
                <w:sz w:val="20"/>
              </w:rPr>
              <w:t xml:space="preserve">Lasiglie D, Traggiai E, Federici S, et al. Role of IL-1 beta in the development of human T(H)17 cells: lesson from NLPR3 mutated patients. </w:t>
            </w:r>
          </w:p>
        </w:tc>
        <w:tc>
          <w:tcPr>
            <w:tcW w:w="1356" w:type="pct"/>
            <w:hideMark/>
          </w:tcPr>
          <w:p w:rsidR="0079485B" w:rsidRPr="00EB2B34" w:rsidRDefault="0079485B">
            <w:pPr>
              <w:pStyle w:val="TableText0"/>
              <w:keepNext w:val="0"/>
              <w:keepLines/>
              <w:spacing w:before="0" w:after="0"/>
              <w:rPr>
                <w:rFonts w:cs="Arial"/>
                <w:lang w:eastAsia="en-AU"/>
              </w:rPr>
            </w:pPr>
            <w:r w:rsidRPr="00EB2B34">
              <w:rPr>
                <w:noProof/>
              </w:rPr>
              <w:t>PloS ONE 2011; 6(5): e20014.</w:t>
            </w:r>
          </w:p>
        </w:tc>
      </w:tr>
      <w:tr w:rsidR="0079485B" w:rsidRPr="00EB2B34" w:rsidTr="005C06A9">
        <w:trPr>
          <w:cantSplit/>
        </w:trPr>
        <w:tc>
          <w:tcPr>
            <w:tcW w:w="570" w:type="pct"/>
            <w:hideMark/>
          </w:tcPr>
          <w:p w:rsidR="0079485B" w:rsidRPr="00EB2B34" w:rsidRDefault="0079485B">
            <w:pPr>
              <w:pStyle w:val="TableText0"/>
              <w:keepNext w:val="0"/>
              <w:keepLines/>
              <w:spacing w:before="0" w:after="0"/>
              <w:rPr>
                <w:rFonts w:cs="Arial"/>
                <w:lang w:eastAsia="en-AU"/>
              </w:rPr>
            </w:pPr>
            <w:proofErr w:type="spellStart"/>
            <w:r w:rsidRPr="00EB2B34">
              <w:t>Kuemmerle-Deschner</w:t>
            </w:r>
            <w:proofErr w:type="spellEnd"/>
            <w:r w:rsidRPr="00EB2B34">
              <w:t xml:space="preserve"> 2011</w:t>
            </w:r>
          </w:p>
        </w:tc>
        <w:tc>
          <w:tcPr>
            <w:tcW w:w="3074" w:type="pct"/>
            <w:hideMark/>
          </w:tcPr>
          <w:p w:rsidR="0079485B" w:rsidRPr="00EB2B34" w:rsidRDefault="0079485B">
            <w:pPr>
              <w:keepLines/>
              <w:widowControl/>
              <w:snapToGrid w:val="0"/>
              <w:jc w:val="left"/>
              <w:rPr>
                <w:rFonts w:ascii="Arial Narrow" w:hAnsi="Arial Narrow"/>
                <w:noProof/>
                <w:sz w:val="20"/>
              </w:rPr>
            </w:pPr>
            <w:r w:rsidRPr="00EB2B34">
              <w:rPr>
                <w:rFonts w:ascii="Arial Narrow" w:hAnsi="Arial Narrow"/>
                <w:noProof/>
                <w:sz w:val="20"/>
                <w:lang w:val="fr-FR"/>
              </w:rPr>
              <w:t xml:space="preserve">Kuemmerle-Deschner JB, Tyrrell PN, Koetter I, et al. </w:t>
            </w:r>
            <w:r w:rsidRPr="00EB2B34">
              <w:rPr>
                <w:rFonts w:ascii="Arial Narrow" w:hAnsi="Arial Narrow"/>
                <w:noProof/>
                <w:sz w:val="20"/>
              </w:rPr>
              <w:t xml:space="preserve">Efficacy and safety of anakinra therapy in pediatric and adult patients with the autoinflammatory Muckle-Wells syndrome. </w:t>
            </w:r>
          </w:p>
        </w:tc>
        <w:tc>
          <w:tcPr>
            <w:tcW w:w="1356" w:type="pct"/>
            <w:hideMark/>
          </w:tcPr>
          <w:p w:rsidR="0079485B" w:rsidRPr="00EB2B34" w:rsidRDefault="0079485B">
            <w:pPr>
              <w:pStyle w:val="TableText0"/>
              <w:keepNext w:val="0"/>
              <w:keepLines/>
              <w:spacing w:before="0" w:after="0"/>
              <w:rPr>
                <w:rFonts w:cs="Arial"/>
                <w:lang w:eastAsia="en-AU"/>
              </w:rPr>
            </w:pPr>
            <w:r w:rsidRPr="00EB2B34">
              <w:rPr>
                <w:noProof/>
              </w:rPr>
              <w:t>Arthritis &amp; Rheumatism 2011; 63(3): 840-9.</w:t>
            </w:r>
          </w:p>
        </w:tc>
      </w:tr>
      <w:tr w:rsidR="0079485B" w:rsidRPr="00EB2B34" w:rsidTr="005C06A9">
        <w:trPr>
          <w:cantSplit/>
        </w:trPr>
        <w:tc>
          <w:tcPr>
            <w:tcW w:w="0" w:type="auto"/>
            <w:vAlign w:val="center"/>
            <w:hideMark/>
          </w:tcPr>
          <w:p w:rsidR="0079485B" w:rsidRPr="00EB2B34" w:rsidRDefault="0079485B">
            <w:pPr>
              <w:widowControl/>
              <w:jc w:val="left"/>
              <w:rPr>
                <w:rFonts w:ascii="Arial Narrow" w:hAnsi="Arial Narrow"/>
                <w:sz w:val="20"/>
                <w:lang w:eastAsia="en-AU"/>
              </w:rPr>
            </w:pPr>
          </w:p>
        </w:tc>
        <w:tc>
          <w:tcPr>
            <w:tcW w:w="3074" w:type="pct"/>
            <w:hideMark/>
          </w:tcPr>
          <w:p w:rsidR="0079485B" w:rsidRPr="00EB2B34" w:rsidRDefault="0079485B">
            <w:pPr>
              <w:pStyle w:val="TableText0"/>
              <w:keepNext w:val="0"/>
              <w:keepLines/>
              <w:spacing w:before="0" w:after="0"/>
              <w:rPr>
                <w:rFonts w:cs="Arial"/>
                <w:lang w:eastAsia="en-AU"/>
              </w:rPr>
            </w:pPr>
            <w:r w:rsidRPr="00EB2B34">
              <w:rPr>
                <w:noProof/>
                <w:lang w:val="fr-FR"/>
              </w:rPr>
              <w:t xml:space="preserve">Kuemmerle-Deschner JB, Wittkowski H, Tyrrell PN, et al. </w:t>
            </w:r>
            <w:r w:rsidRPr="00EB2B34">
              <w:rPr>
                <w:noProof/>
              </w:rPr>
              <w:t xml:space="preserve">Treatment of Muckle-Wells syndrome: analysis of two IL-1-blocking regimens. </w:t>
            </w:r>
          </w:p>
        </w:tc>
        <w:tc>
          <w:tcPr>
            <w:tcW w:w="1356" w:type="pct"/>
            <w:hideMark/>
          </w:tcPr>
          <w:p w:rsidR="0079485B" w:rsidRPr="00EB2B34" w:rsidRDefault="0079485B">
            <w:pPr>
              <w:pStyle w:val="TableText0"/>
              <w:keepNext w:val="0"/>
              <w:keepLines/>
              <w:spacing w:before="0" w:after="0"/>
              <w:rPr>
                <w:rFonts w:cs="Arial"/>
                <w:lang w:eastAsia="en-AU"/>
              </w:rPr>
            </w:pPr>
            <w:r w:rsidRPr="00EB2B34">
              <w:rPr>
                <w:noProof/>
              </w:rPr>
              <w:t>Arthritis Research &amp; Therapy 2013; 15(3): R64.</w:t>
            </w:r>
          </w:p>
        </w:tc>
      </w:tr>
      <w:tr w:rsidR="0079485B" w:rsidRPr="00EB2B34" w:rsidTr="005C06A9">
        <w:trPr>
          <w:cantSplit/>
        </w:trPr>
        <w:tc>
          <w:tcPr>
            <w:tcW w:w="0" w:type="auto"/>
            <w:vAlign w:val="center"/>
            <w:hideMark/>
          </w:tcPr>
          <w:p w:rsidR="0079485B" w:rsidRPr="00EB2B34" w:rsidRDefault="0079485B">
            <w:pPr>
              <w:widowControl/>
              <w:jc w:val="left"/>
              <w:rPr>
                <w:rFonts w:ascii="Arial Narrow" w:hAnsi="Arial Narrow"/>
                <w:sz w:val="20"/>
                <w:lang w:eastAsia="en-AU"/>
              </w:rPr>
            </w:pPr>
          </w:p>
        </w:tc>
        <w:tc>
          <w:tcPr>
            <w:tcW w:w="3074" w:type="pct"/>
            <w:hideMark/>
          </w:tcPr>
          <w:p w:rsidR="0079485B" w:rsidRPr="00EB2B34" w:rsidRDefault="0079485B">
            <w:pPr>
              <w:pStyle w:val="TableText0"/>
              <w:keepNext w:val="0"/>
              <w:keepLines/>
              <w:spacing w:before="0" w:after="0"/>
              <w:rPr>
                <w:rFonts w:cs="Arial"/>
                <w:lang w:eastAsia="en-AU"/>
              </w:rPr>
            </w:pPr>
            <w:r w:rsidRPr="00EB2B34">
              <w:rPr>
                <w:noProof/>
                <w:lang w:val="fr-FR"/>
              </w:rPr>
              <w:t xml:space="preserve">Wittkowski H, Kuemmerle-Deschner JB, Austermann J, et al. </w:t>
            </w:r>
            <w:r w:rsidRPr="00EB2B34">
              <w:rPr>
                <w:noProof/>
              </w:rPr>
              <w:t xml:space="preserve">MRP8 and MRP14, phagocyte-specific danger signals, are sensitive biomarkers of disease activity in cryopyrin-associated periodic syndromes. </w:t>
            </w:r>
          </w:p>
        </w:tc>
        <w:tc>
          <w:tcPr>
            <w:tcW w:w="1356" w:type="pct"/>
            <w:hideMark/>
          </w:tcPr>
          <w:p w:rsidR="0079485B" w:rsidRPr="00EB2B34" w:rsidRDefault="0079485B">
            <w:pPr>
              <w:pStyle w:val="TableText0"/>
              <w:keepNext w:val="0"/>
              <w:keepLines/>
              <w:spacing w:before="0" w:after="0"/>
              <w:rPr>
                <w:rFonts w:cs="Arial"/>
                <w:lang w:eastAsia="en-AU"/>
              </w:rPr>
            </w:pPr>
            <w:r w:rsidRPr="00EB2B34">
              <w:rPr>
                <w:noProof/>
              </w:rPr>
              <w:t>Annals of the Rheumatic Diseases 2011; 70(12): 2075-81.</w:t>
            </w:r>
          </w:p>
        </w:tc>
      </w:tr>
      <w:tr w:rsidR="0079485B" w:rsidRPr="00EB2B34" w:rsidTr="005C06A9">
        <w:trPr>
          <w:cantSplit/>
        </w:trPr>
        <w:tc>
          <w:tcPr>
            <w:tcW w:w="570" w:type="pct"/>
            <w:hideMark/>
          </w:tcPr>
          <w:p w:rsidR="0079485B" w:rsidRPr="00EB2B34" w:rsidRDefault="0079485B">
            <w:pPr>
              <w:pStyle w:val="TableText0"/>
              <w:keepNext w:val="0"/>
              <w:keepLines/>
              <w:spacing w:before="0" w:after="0"/>
              <w:rPr>
                <w:rFonts w:cs="Arial"/>
                <w:lang w:eastAsia="en-AU"/>
              </w:rPr>
            </w:pPr>
            <w:r w:rsidRPr="00EB2B34">
              <w:t>Ross 2008</w:t>
            </w:r>
          </w:p>
        </w:tc>
        <w:tc>
          <w:tcPr>
            <w:tcW w:w="3074" w:type="pct"/>
            <w:hideMark/>
          </w:tcPr>
          <w:p w:rsidR="0079485B" w:rsidRPr="00EB2B34" w:rsidRDefault="0079485B">
            <w:pPr>
              <w:pStyle w:val="TableText0"/>
              <w:keepNext w:val="0"/>
              <w:keepLines/>
              <w:spacing w:before="0" w:after="0"/>
              <w:rPr>
                <w:rFonts w:cs="Arial"/>
                <w:lang w:eastAsia="en-AU"/>
              </w:rPr>
            </w:pPr>
            <w:r w:rsidRPr="00EB2B34">
              <w:rPr>
                <w:noProof/>
                <w:lang w:val="fr-FR"/>
              </w:rPr>
              <w:t xml:space="preserve">Ross JB, Finlayson LA, Klotz PJ, et al. </w:t>
            </w:r>
            <w:r w:rsidRPr="00EB2B34">
              <w:rPr>
                <w:noProof/>
              </w:rPr>
              <w:t xml:space="preserve">Use of anakinra (Kineret) in the treatment of familial cold autoinflammatory syndrome with a 16-month follow-up. </w:t>
            </w:r>
          </w:p>
        </w:tc>
        <w:tc>
          <w:tcPr>
            <w:tcW w:w="1356" w:type="pct"/>
            <w:hideMark/>
          </w:tcPr>
          <w:p w:rsidR="0079485B" w:rsidRPr="00EB2B34" w:rsidRDefault="0079485B">
            <w:pPr>
              <w:pStyle w:val="TableText0"/>
              <w:keepNext w:val="0"/>
              <w:keepLines/>
              <w:spacing w:before="0" w:after="0"/>
              <w:rPr>
                <w:rFonts w:cs="Arial"/>
                <w:lang w:eastAsia="en-AU"/>
              </w:rPr>
            </w:pPr>
            <w:r w:rsidRPr="00EB2B34">
              <w:rPr>
                <w:noProof/>
              </w:rPr>
              <w:t>Journal of Cutaneous Medicine and Surgery 2008; 12(1): 8-16.</w:t>
            </w:r>
          </w:p>
        </w:tc>
      </w:tr>
    </w:tbl>
    <w:p w:rsidR="005320C3" w:rsidRPr="00EB2B34" w:rsidRDefault="005320C3" w:rsidP="005320C3">
      <w:pPr>
        <w:pStyle w:val="TableFooter"/>
        <w:ind w:firstLine="720"/>
        <w:rPr>
          <w:rStyle w:val="CommentReference"/>
        </w:rPr>
      </w:pPr>
      <w:r w:rsidRPr="00EB2B34">
        <w:t xml:space="preserve">Source: Table 6, pp25-26 of the main submission. </w:t>
      </w:r>
    </w:p>
    <w:p w:rsidR="005320C3" w:rsidRPr="00EB2B34" w:rsidRDefault="00670E74" w:rsidP="00016B0C">
      <w:pPr>
        <w:widowControl/>
        <w:jc w:val="left"/>
        <w:rPr>
          <w:szCs w:val="22"/>
        </w:rPr>
      </w:pPr>
      <w:r>
        <w:rPr>
          <w:szCs w:val="22"/>
        </w:rPr>
        <w:br w:type="page"/>
      </w:r>
    </w:p>
    <w:p w:rsidR="006636C2" w:rsidRDefault="005320C3" w:rsidP="005320C3">
      <w:pPr>
        <w:pStyle w:val="ListParagraph"/>
        <w:widowControl/>
        <w:numPr>
          <w:ilvl w:val="1"/>
          <w:numId w:val="16"/>
        </w:numPr>
        <w:snapToGrid w:val="0"/>
        <w:rPr>
          <w:szCs w:val="22"/>
        </w:rPr>
      </w:pPr>
      <w:r w:rsidRPr="00EB2B34">
        <w:rPr>
          <w:szCs w:val="22"/>
        </w:rPr>
        <w:lastRenderedPageBreak/>
        <w:t xml:space="preserve">The key features of the studies are summarised in </w:t>
      </w:r>
      <w:r w:rsidR="00F47FB0">
        <w:rPr>
          <w:szCs w:val="22"/>
        </w:rPr>
        <w:t>the table below</w:t>
      </w:r>
      <w:r w:rsidRPr="00EB2B34">
        <w:rPr>
          <w:szCs w:val="22"/>
        </w:rPr>
        <w:t xml:space="preserve">. </w:t>
      </w:r>
    </w:p>
    <w:p w:rsidR="006636C2" w:rsidRDefault="006636C2" w:rsidP="006636C2">
      <w:pPr>
        <w:pStyle w:val="ListParagraph"/>
        <w:widowControl/>
        <w:snapToGrid w:val="0"/>
        <w:rPr>
          <w:szCs w:val="22"/>
        </w:rPr>
      </w:pPr>
    </w:p>
    <w:p w:rsidR="006636C2" w:rsidRPr="00EB2B34" w:rsidRDefault="006636C2" w:rsidP="006636C2">
      <w:pPr>
        <w:ind w:firstLine="720"/>
        <w:rPr>
          <w:rStyle w:val="CommentReference"/>
        </w:rPr>
      </w:pPr>
      <w:r w:rsidRPr="00EB2B34">
        <w:rPr>
          <w:rStyle w:val="CommentReference"/>
        </w:rPr>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1138"/>
        <w:gridCol w:w="1417"/>
        <w:gridCol w:w="846"/>
        <w:gridCol w:w="1134"/>
        <w:gridCol w:w="1902"/>
        <w:gridCol w:w="940"/>
      </w:tblGrid>
      <w:tr w:rsidR="006636C2" w:rsidRPr="00EB2B34" w:rsidTr="003304EA">
        <w:tc>
          <w:tcPr>
            <w:tcW w:w="59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left"/>
              <w:rPr>
                <w:rFonts w:ascii="Arial Narrow" w:hAnsi="Arial Narrow"/>
                <w:b/>
                <w:sz w:val="20"/>
                <w:lang w:val="en-US"/>
              </w:rPr>
            </w:pPr>
            <w:r w:rsidRPr="00EB2B34">
              <w:rPr>
                <w:rFonts w:ascii="Arial Narrow" w:hAnsi="Arial Narrow"/>
                <w:b/>
                <w:sz w:val="20"/>
                <w:lang w:val="en-US"/>
              </w:rPr>
              <w:t>Studies</w:t>
            </w:r>
          </w:p>
        </w:tc>
        <w:tc>
          <w:tcPr>
            <w:tcW w:w="68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b/>
                <w:sz w:val="20"/>
                <w:lang w:val="en-US"/>
              </w:rPr>
            </w:pPr>
            <w:r w:rsidRPr="00EB2B34">
              <w:rPr>
                <w:rFonts w:ascii="Arial Narrow" w:hAnsi="Arial Narrow"/>
                <w:b/>
                <w:sz w:val="20"/>
                <w:lang w:val="en-US"/>
              </w:rPr>
              <w:t>N</w:t>
            </w:r>
          </w:p>
        </w:tc>
        <w:tc>
          <w:tcPr>
            <w:tcW w:w="84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b/>
                <w:sz w:val="20"/>
                <w:lang w:val="en-US"/>
              </w:rPr>
            </w:pPr>
            <w:r w:rsidRPr="00EB2B34">
              <w:rPr>
                <w:rFonts w:ascii="Arial Narrow" w:hAnsi="Arial Narrow"/>
                <w:b/>
                <w:sz w:val="20"/>
                <w:lang w:val="en-US"/>
              </w:rPr>
              <w:t>Design/ duration</w:t>
            </w:r>
          </w:p>
        </w:tc>
        <w:tc>
          <w:tcPr>
            <w:tcW w:w="506"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b/>
                <w:sz w:val="20"/>
                <w:lang w:val="en-US"/>
              </w:rPr>
            </w:pPr>
            <w:r w:rsidRPr="00EB2B34">
              <w:rPr>
                <w:rFonts w:ascii="Arial Narrow" w:hAnsi="Arial Narrow"/>
                <w:b/>
                <w:sz w:val="20"/>
                <w:lang w:val="en-US"/>
              </w:rPr>
              <w:t>Risk of bias</w:t>
            </w:r>
          </w:p>
        </w:tc>
        <w:tc>
          <w:tcPr>
            <w:tcW w:w="678"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b/>
                <w:sz w:val="20"/>
                <w:lang w:val="en-US"/>
              </w:rPr>
            </w:pPr>
            <w:r w:rsidRPr="00EB2B34">
              <w:rPr>
                <w:rFonts w:ascii="Arial Narrow" w:hAnsi="Arial Narrow"/>
                <w:b/>
                <w:sz w:val="20"/>
                <w:lang w:val="en-US"/>
              </w:rPr>
              <w:t>Patient population</w:t>
            </w:r>
          </w:p>
        </w:tc>
        <w:tc>
          <w:tcPr>
            <w:tcW w:w="113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b/>
                <w:sz w:val="20"/>
                <w:lang w:val="en-US"/>
              </w:rPr>
            </w:pPr>
            <w:r w:rsidRPr="00EB2B34">
              <w:rPr>
                <w:rFonts w:ascii="Arial Narrow" w:hAnsi="Arial Narrow"/>
                <w:b/>
                <w:sz w:val="20"/>
                <w:lang w:val="en-US"/>
              </w:rPr>
              <w:t>Key outcome</w:t>
            </w:r>
          </w:p>
        </w:tc>
        <w:tc>
          <w:tcPr>
            <w:tcW w:w="562"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ind w:left="-57" w:right="-57"/>
              <w:jc w:val="center"/>
              <w:rPr>
                <w:rFonts w:ascii="Arial Narrow" w:hAnsi="Arial Narrow"/>
                <w:b/>
                <w:sz w:val="20"/>
                <w:lang w:val="en-US"/>
              </w:rPr>
            </w:pPr>
            <w:r w:rsidRPr="00EB2B34">
              <w:rPr>
                <w:rFonts w:ascii="Arial Narrow" w:hAnsi="Arial Narrow"/>
                <w:b/>
                <w:sz w:val="20"/>
                <w:lang w:val="en-US"/>
              </w:rPr>
              <w:t>Use in modelled evaluation</w:t>
            </w:r>
          </w:p>
        </w:tc>
      </w:tr>
      <w:tr w:rsidR="006636C2" w:rsidRPr="00EB2B34" w:rsidTr="003304EA">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left"/>
              <w:rPr>
                <w:rFonts w:ascii="Arial Narrow" w:hAnsi="Arial Narrow"/>
                <w:b/>
                <w:sz w:val="20"/>
                <w:lang w:val="en-US"/>
              </w:rPr>
            </w:pPr>
            <w:r w:rsidRPr="00EB2B34">
              <w:rPr>
                <w:rFonts w:ascii="Arial Narrow" w:hAnsi="Arial Narrow"/>
                <w:b/>
                <w:sz w:val="20"/>
                <w:lang w:val="en-US"/>
              </w:rPr>
              <w:t>Anakinra versus best supportive care or anakinra single arm</w:t>
            </w:r>
          </w:p>
        </w:tc>
      </w:tr>
      <w:tr w:rsidR="006636C2" w:rsidRPr="00EB2B34" w:rsidTr="003304EA">
        <w:tc>
          <w:tcPr>
            <w:tcW w:w="59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left"/>
              <w:rPr>
                <w:rFonts w:ascii="Arial Narrow" w:hAnsi="Arial Narrow"/>
                <w:sz w:val="20"/>
                <w:lang w:val="en-US"/>
              </w:rPr>
            </w:pPr>
            <w:r w:rsidRPr="00EB2B34">
              <w:rPr>
                <w:rFonts w:ascii="Arial Narrow" w:hAnsi="Arial Narrow"/>
                <w:sz w:val="20"/>
                <w:lang w:val="en-US"/>
              </w:rPr>
              <w:t>Study 03-AR-0298</w:t>
            </w:r>
          </w:p>
        </w:tc>
        <w:tc>
          <w:tcPr>
            <w:tcW w:w="68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jc w:val="center"/>
              <w:rPr>
                <w:rFonts w:ascii="Arial Narrow" w:hAnsi="Arial Narrow"/>
                <w:sz w:val="20"/>
                <w:lang w:val="en-US"/>
              </w:rPr>
            </w:pPr>
            <w:r w:rsidRPr="00EB2B34">
              <w:rPr>
                <w:rFonts w:ascii="Arial Narrow" w:hAnsi="Arial Narrow"/>
                <w:sz w:val="20"/>
                <w:lang w:val="en-US"/>
              </w:rPr>
              <w:t>29 (ITT diary population)</w:t>
            </w:r>
          </w:p>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22 (withdrawal population)</w:t>
            </w:r>
            <w:r w:rsidRPr="00EB2B34">
              <w:rPr>
                <w:rFonts w:ascii="Arial Narrow" w:hAnsi="Arial Narrow"/>
                <w:sz w:val="20"/>
                <w:vertAlign w:val="superscript"/>
                <w:lang w:val="en-US"/>
              </w:rPr>
              <w:t>a</w:t>
            </w:r>
          </w:p>
        </w:tc>
        <w:tc>
          <w:tcPr>
            <w:tcW w:w="84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jc w:val="center"/>
              <w:rPr>
                <w:rFonts w:ascii="Arial Narrow" w:hAnsi="Arial Narrow"/>
                <w:sz w:val="20"/>
                <w:lang w:val="en-US"/>
              </w:rPr>
            </w:pPr>
            <w:r w:rsidRPr="00EB2B34">
              <w:rPr>
                <w:rFonts w:ascii="Arial Narrow" w:hAnsi="Arial Narrow"/>
                <w:sz w:val="20"/>
                <w:lang w:val="en-US"/>
              </w:rPr>
              <w:t>P, NR, WD, OL</w:t>
            </w:r>
          </w:p>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 xml:space="preserve">60 </w:t>
            </w:r>
            <w:proofErr w:type="spellStart"/>
            <w:r w:rsidRPr="00EB2B34">
              <w:rPr>
                <w:rFonts w:ascii="Arial Narrow" w:hAnsi="Arial Narrow"/>
                <w:sz w:val="20"/>
                <w:lang w:val="en-US"/>
              </w:rPr>
              <w:t>mths</w:t>
            </w:r>
            <w:proofErr w:type="spellEnd"/>
          </w:p>
        </w:tc>
        <w:tc>
          <w:tcPr>
            <w:tcW w:w="506"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High</w:t>
            </w:r>
          </w:p>
        </w:tc>
        <w:tc>
          <w:tcPr>
            <w:tcW w:w="678"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CAPS – CINCA/MWS</w:t>
            </w:r>
          </w:p>
        </w:tc>
        <w:tc>
          <w:tcPr>
            <w:tcW w:w="113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pStyle w:val="ListParagraph"/>
              <w:numPr>
                <w:ilvl w:val="0"/>
                <w:numId w:val="26"/>
              </w:numPr>
              <w:snapToGrid w:val="0"/>
              <w:ind w:left="209" w:hanging="209"/>
              <w:jc w:val="left"/>
              <w:rPr>
                <w:rFonts w:ascii="Arial Narrow" w:hAnsi="Arial Narrow"/>
                <w:sz w:val="20"/>
                <w:lang w:val="en-US"/>
              </w:rPr>
            </w:pPr>
            <w:r w:rsidRPr="00EB2B34">
              <w:rPr>
                <w:rFonts w:ascii="Arial Narrow" w:hAnsi="Arial Narrow"/>
                <w:sz w:val="20"/>
                <w:lang w:val="en-US"/>
              </w:rPr>
              <w:t xml:space="preserve">Change in DSSS from baseline </w:t>
            </w:r>
          </w:p>
        </w:tc>
        <w:tc>
          <w:tcPr>
            <w:tcW w:w="562"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Not used</w:t>
            </w:r>
          </w:p>
        </w:tc>
      </w:tr>
      <w:tr w:rsidR="006636C2" w:rsidRPr="00EB2B34" w:rsidTr="003304EA">
        <w:tc>
          <w:tcPr>
            <w:tcW w:w="59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left"/>
              <w:rPr>
                <w:rFonts w:ascii="Arial Narrow" w:hAnsi="Arial Narrow"/>
                <w:sz w:val="20"/>
                <w:lang w:val="en-US"/>
              </w:rPr>
            </w:pPr>
            <w:proofErr w:type="spellStart"/>
            <w:r w:rsidRPr="00EB2B34">
              <w:rPr>
                <w:rFonts w:ascii="Arial Narrow" w:hAnsi="Arial Narrow"/>
                <w:sz w:val="20"/>
                <w:lang w:val="en-US"/>
              </w:rPr>
              <w:t>Lepore</w:t>
            </w:r>
            <w:proofErr w:type="spellEnd"/>
            <w:r w:rsidRPr="00EB2B34">
              <w:rPr>
                <w:rFonts w:ascii="Arial Narrow" w:hAnsi="Arial Narrow"/>
                <w:sz w:val="20"/>
                <w:lang w:val="en-US"/>
              </w:rPr>
              <w:t xml:space="preserve"> 2010</w:t>
            </w:r>
          </w:p>
        </w:tc>
        <w:tc>
          <w:tcPr>
            <w:tcW w:w="68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19</w:t>
            </w:r>
          </w:p>
        </w:tc>
        <w:tc>
          <w:tcPr>
            <w:tcW w:w="84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jc w:val="center"/>
              <w:rPr>
                <w:rFonts w:ascii="Arial Narrow" w:hAnsi="Arial Narrow"/>
                <w:sz w:val="20"/>
                <w:lang w:val="en-US"/>
              </w:rPr>
            </w:pPr>
            <w:r w:rsidRPr="00EB2B34">
              <w:rPr>
                <w:rFonts w:ascii="Arial Narrow" w:hAnsi="Arial Narrow"/>
                <w:sz w:val="20"/>
                <w:lang w:val="en-US"/>
              </w:rPr>
              <w:t>P, NR, OL</w:t>
            </w:r>
          </w:p>
          <w:p w:rsidR="006636C2" w:rsidRPr="00EB2B34" w:rsidRDefault="006636C2" w:rsidP="00A77C88">
            <w:pPr>
              <w:jc w:val="center"/>
              <w:rPr>
                <w:rFonts w:ascii="Arial Narrow" w:hAnsi="Arial Narrow"/>
                <w:sz w:val="20"/>
                <w:lang w:val="en-US"/>
              </w:rPr>
            </w:pPr>
            <w:r w:rsidRPr="00EB2B34">
              <w:rPr>
                <w:rFonts w:ascii="Arial Narrow" w:hAnsi="Arial Narrow"/>
                <w:sz w:val="20"/>
                <w:lang w:val="en-US"/>
              </w:rPr>
              <w:t xml:space="preserve">38 </w:t>
            </w:r>
            <w:proofErr w:type="spellStart"/>
            <w:r w:rsidRPr="00EB2B34">
              <w:rPr>
                <w:rFonts w:ascii="Arial Narrow" w:hAnsi="Arial Narrow"/>
                <w:sz w:val="20"/>
                <w:lang w:val="en-US"/>
              </w:rPr>
              <w:t>mths</w:t>
            </w:r>
            <w:proofErr w:type="spellEnd"/>
            <w:r w:rsidRPr="00EB2B34">
              <w:rPr>
                <w:rFonts w:ascii="Arial Narrow" w:hAnsi="Arial Narrow"/>
                <w:sz w:val="20"/>
                <w:lang w:val="en-US"/>
              </w:rPr>
              <w:t xml:space="preserve"> (treatment group)</w:t>
            </w:r>
          </w:p>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45mth (control group)</w:t>
            </w:r>
            <w:r w:rsidRPr="00EB2B34">
              <w:rPr>
                <w:rFonts w:ascii="Arial Narrow" w:hAnsi="Arial Narrow"/>
                <w:sz w:val="20"/>
                <w:vertAlign w:val="superscript"/>
                <w:lang w:val="en-US"/>
              </w:rPr>
              <w:t>b</w:t>
            </w:r>
          </w:p>
        </w:tc>
        <w:tc>
          <w:tcPr>
            <w:tcW w:w="506"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High</w:t>
            </w:r>
          </w:p>
        </w:tc>
        <w:tc>
          <w:tcPr>
            <w:tcW w:w="678"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CAPS – CINCA/MWS</w:t>
            </w:r>
          </w:p>
        </w:tc>
        <w:tc>
          <w:tcPr>
            <w:tcW w:w="113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pStyle w:val="ListParagraph"/>
              <w:numPr>
                <w:ilvl w:val="0"/>
                <w:numId w:val="26"/>
              </w:numPr>
              <w:snapToGrid w:val="0"/>
              <w:ind w:left="209" w:hanging="209"/>
              <w:jc w:val="left"/>
              <w:rPr>
                <w:rFonts w:ascii="Arial Narrow" w:hAnsi="Arial Narrow"/>
                <w:sz w:val="20"/>
                <w:lang w:val="en-US"/>
              </w:rPr>
            </w:pPr>
            <w:r w:rsidRPr="00EB2B34">
              <w:rPr>
                <w:rFonts w:ascii="Arial Narrow" w:hAnsi="Arial Narrow"/>
                <w:sz w:val="20"/>
                <w:lang w:val="en-US"/>
              </w:rPr>
              <w:t xml:space="preserve">Change in the number of patients with CAPS symptoms before and after treatment </w:t>
            </w:r>
          </w:p>
        </w:tc>
        <w:tc>
          <w:tcPr>
            <w:tcW w:w="562"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Used</w:t>
            </w:r>
          </w:p>
        </w:tc>
      </w:tr>
      <w:tr w:rsidR="006636C2" w:rsidRPr="00EB2B34" w:rsidTr="003304EA">
        <w:tc>
          <w:tcPr>
            <w:tcW w:w="59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left"/>
              <w:rPr>
                <w:rFonts w:ascii="Arial Narrow" w:hAnsi="Arial Narrow"/>
                <w:sz w:val="20"/>
                <w:lang w:val="en-US"/>
              </w:rPr>
            </w:pPr>
            <w:proofErr w:type="spellStart"/>
            <w:r w:rsidRPr="00EB2B34">
              <w:rPr>
                <w:rFonts w:ascii="Arial Narrow" w:hAnsi="Arial Narrow"/>
                <w:sz w:val="20"/>
                <w:lang w:val="en-US"/>
              </w:rPr>
              <w:t>Kuemmerle-Deschner</w:t>
            </w:r>
            <w:proofErr w:type="spellEnd"/>
            <w:r w:rsidRPr="00EB2B34">
              <w:rPr>
                <w:rFonts w:ascii="Arial Narrow" w:hAnsi="Arial Narrow"/>
                <w:sz w:val="20"/>
                <w:lang w:val="en-US"/>
              </w:rPr>
              <w:t xml:space="preserve"> 2011</w:t>
            </w:r>
          </w:p>
        </w:tc>
        <w:tc>
          <w:tcPr>
            <w:tcW w:w="68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12</w:t>
            </w:r>
          </w:p>
        </w:tc>
        <w:tc>
          <w:tcPr>
            <w:tcW w:w="84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jc w:val="center"/>
              <w:rPr>
                <w:rFonts w:ascii="Arial Narrow" w:hAnsi="Arial Narrow"/>
                <w:sz w:val="20"/>
                <w:lang w:val="en-US"/>
              </w:rPr>
            </w:pPr>
            <w:r w:rsidRPr="00EB2B34">
              <w:rPr>
                <w:rFonts w:ascii="Arial Narrow" w:hAnsi="Arial Narrow"/>
                <w:sz w:val="20"/>
                <w:lang w:val="en-US"/>
              </w:rPr>
              <w:t>P, BA, OL</w:t>
            </w:r>
          </w:p>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 xml:space="preserve">11 </w:t>
            </w:r>
            <w:proofErr w:type="spellStart"/>
            <w:r w:rsidRPr="00EB2B34">
              <w:rPr>
                <w:rFonts w:ascii="Arial Narrow" w:hAnsi="Arial Narrow"/>
                <w:sz w:val="20"/>
                <w:lang w:val="en-US"/>
              </w:rPr>
              <w:t>mths</w:t>
            </w:r>
            <w:proofErr w:type="spellEnd"/>
          </w:p>
        </w:tc>
        <w:tc>
          <w:tcPr>
            <w:tcW w:w="506"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High</w:t>
            </w:r>
          </w:p>
        </w:tc>
        <w:tc>
          <w:tcPr>
            <w:tcW w:w="678"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CAPS - MWS</w:t>
            </w:r>
          </w:p>
        </w:tc>
        <w:tc>
          <w:tcPr>
            <w:tcW w:w="113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pStyle w:val="ListParagraph"/>
              <w:numPr>
                <w:ilvl w:val="0"/>
                <w:numId w:val="26"/>
              </w:numPr>
              <w:snapToGrid w:val="0"/>
              <w:ind w:left="209" w:hanging="209"/>
              <w:jc w:val="left"/>
              <w:rPr>
                <w:rFonts w:ascii="Arial Narrow" w:hAnsi="Arial Narrow"/>
                <w:sz w:val="20"/>
                <w:lang w:val="en-US"/>
              </w:rPr>
            </w:pPr>
            <w:r w:rsidRPr="00EB2B34">
              <w:rPr>
                <w:rFonts w:ascii="Arial Narrow" w:hAnsi="Arial Narrow"/>
                <w:sz w:val="20"/>
                <w:lang w:val="en-US"/>
              </w:rPr>
              <w:t>Change in MWS DAS from baseline</w:t>
            </w:r>
          </w:p>
          <w:p w:rsidR="006636C2" w:rsidRPr="00EB2B34" w:rsidRDefault="006636C2" w:rsidP="00A77C88">
            <w:pPr>
              <w:pStyle w:val="ListParagraph"/>
              <w:numPr>
                <w:ilvl w:val="0"/>
                <w:numId w:val="26"/>
              </w:numPr>
              <w:snapToGrid w:val="0"/>
              <w:ind w:left="209" w:hanging="209"/>
              <w:jc w:val="left"/>
              <w:rPr>
                <w:rFonts w:ascii="Arial Narrow" w:hAnsi="Arial Narrow"/>
                <w:sz w:val="20"/>
                <w:lang w:val="en-US"/>
              </w:rPr>
            </w:pPr>
            <w:r w:rsidRPr="00EB2B34">
              <w:rPr>
                <w:rFonts w:ascii="Arial Narrow" w:hAnsi="Arial Narrow"/>
                <w:sz w:val="20"/>
                <w:lang w:val="en-US"/>
              </w:rPr>
              <w:t xml:space="preserve">Change in the number of patients with CAPS symptoms before and after treatment </w:t>
            </w:r>
          </w:p>
        </w:tc>
        <w:tc>
          <w:tcPr>
            <w:tcW w:w="562"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Used</w:t>
            </w:r>
          </w:p>
        </w:tc>
      </w:tr>
      <w:tr w:rsidR="006636C2" w:rsidRPr="00EB2B34" w:rsidTr="003304EA">
        <w:tc>
          <w:tcPr>
            <w:tcW w:w="59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left"/>
              <w:rPr>
                <w:rFonts w:ascii="Arial Narrow" w:hAnsi="Arial Narrow"/>
                <w:sz w:val="20"/>
                <w:lang w:val="en-US"/>
              </w:rPr>
            </w:pPr>
            <w:r w:rsidRPr="00EB2B34">
              <w:rPr>
                <w:rFonts w:ascii="Arial Narrow" w:hAnsi="Arial Narrow"/>
                <w:sz w:val="20"/>
                <w:lang w:val="en-US"/>
              </w:rPr>
              <w:t>Ross 2008</w:t>
            </w:r>
          </w:p>
        </w:tc>
        <w:tc>
          <w:tcPr>
            <w:tcW w:w="68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8</w:t>
            </w:r>
          </w:p>
        </w:tc>
        <w:tc>
          <w:tcPr>
            <w:tcW w:w="84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jc w:val="center"/>
              <w:rPr>
                <w:rFonts w:ascii="Arial Narrow" w:hAnsi="Arial Narrow"/>
                <w:sz w:val="20"/>
                <w:lang w:val="en-US"/>
              </w:rPr>
            </w:pPr>
            <w:r w:rsidRPr="00EB2B34">
              <w:rPr>
                <w:rFonts w:ascii="Arial Narrow" w:hAnsi="Arial Narrow"/>
                <w:sz w:val="20"/>
                <w:lang w:val="en-US"/>
              </w:rPr>
              <w:t>P, WD, OL</w:t>
            </w:r>
          </w:p>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 xml:space="preserve">18 </w:t>
            </w:r>
            <w:proofErr w:type="spellStart"/>
            <w:r w:rsidRPr="00EB2B34">
              <w:rPr>
                <w:rFonts w:ascii="Arial Narrow" w:hAnsi="Arial Narrow"/>
                <w:sz w:val="20"/>
                <w:lang w:val="en-US"/>
              </w:rPr>
              <w:t>mths</w:t>
            </w:r>
            <w:proofErr w:type="spellEnd"/>
          </w:p>
        </w:tc>
        <w:tc>
          <w:tcPr>
            <w:tcW w:w="506"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High</w:t>
            </w:r>
          </w:p>
        </w:tc>
        <w:tc>
          <w:tcPr>
            <w:tcW w:w="678"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CAPS - FCAS</w:t>
            </w:r>
          </w:p>
        </w:tc>
        <w:tc>
          <w:tcPr>
            <w:tcW w:w="1137"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pStyle w:val="ListParagraph"/>
              <w:numPr>
                <w:ilvl w:val="0"/>
                <w:numId w:val="26"/>
              </w:numPr>
              <w:snapToGrid w:val="0"/>
              <w:ind w:left="209" w:hanging="209"/>
              <w:jc w:val="left"/>
              <w:rPr>
                <w:rFonts w:ascii="Arial Narrow" w:hAnsi="Arial Narrow"/>
                <w:sz w:val="20"/>
                <w:lang w:val="en-US"/>
              </w:rPr>
            </w:pPr>
            <w:r w:rsidRPr="00EB2B34">
              <w:rPr>
                <w:rFonts w:ascii="Arial Narrow" w:hAnsi="Arial Narrow"/>
                <w:sz w:val="20"/>
                <w:lang w:val="en-US"/>
              </w:rPr>
              <w:t>Change in scores on the FCAS symptom scale from baseline</w:t>
            </w:r>
          </w:p>
          <w:p w:rsidR="006636C2" w:rsidRPr="00EB2B34" w:rsidRDefault="006636C2" w:rsidP="00A77C88">
            <w:pPr>
              <w:pStyle w:val="ListParagraph"/>
              <w:numPr>
                <w:ilvl w:val="0"/>
                <w:numId w:val="26"/>
              </w:numPr>
              <w:snapToGrid w:val="0"/>
              <w:ind w:left="209" w:hanging="209"/>
              <w:jc w:val="left"/>
              <w:rPr>
                <w:rFonts w:ascii="Arial Narrow" w:hAnsi="Arial Narrow"/>
                <w:sz w:val="20"/>
                <w:lang w:val="en-US"/>
              </w:rPr>
            </w:pPr>
            <w:r w:rsidRPr="00EB2B34">
              <w:rPr>
                <w:rFonts w:ascii="Arial Narrow" w:hAnsi="Arial Narrow"/>
                <w:sz w:val="20"/>
                <w:lang w:val="en-US"/>
              </w:rPr>
              <w:t xml:space="preserve">Change in the number of patients with CAPS symptoms before and after treatment </w:t>
            </w:r>
          </w:p>
        </w:tc>
        <w:tc>
          <w:tcPr>
            <w:tcW w:w="562"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Used</w:t>
            </w:r>
          </w:p>
        </w:tc>
      </w:tr>
      <w:tr w:rsidR="006636C2" w:rsidRPr="00EB2B34" w:rsidTr="003304EA">
        <w:tc>
          <w:tcPr>
            <w:tcW w:w="59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left"/>
              <w:rPr>
                <w:rFonts w:ascii="Arial Narrow" w:hAnsi="Arial Narrow"/>
                <w:sz w:val="20"/>
                <w:lang w:val="en-US"/>
              </w:rPr>
            </w:pPr>
            <w:r w:rsidRPr="00EB2B34">
              <w:rPr>
                <w:rFonts w:ascii="Arial Narrow" w:hAnsi="Arial Narrow"/>
                <w:sz w:val="20"/>
                <w:lang w:val="en-US"/>
              </w:rPr>
              <w:t>Proportion meta-analysis</w:t>
            </w:r>
          </w:p>
        </w:tc>
        <w:tc>
          <w:tcPr>
            <w:tcW w:w="680"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60</w:t>
            </w:r>
          </w:p>
        </w:tc>
        <w:tc>
          <w:tcPr>
            <w:tcW w:w="3168" w:type="pct"/>
            <w:gridSpan w:val="4"/>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left"/>
              <w:rPr>
                <w:rFonts w:ascii="Arial Narrow" w:hAnsi="Arial Narrow"/>
                <w:sz w:val="20"/>
                <w:lang w:val="en-US"/>
              </w:rPr>
            </w:pPr>
            <w:r w:rsidRPr="00EB2B34">
              <w:rPr>
                <w:rFonts w:ascii="Arial Narrow" w:hAnsi="Arial Narrow"/>
                <w:sz w:val="20"/>
                <w:lang w:val="en-US"/>
              </w:rPr>
              <w:t xml:space="preserve">Included Studies 03-AR-0298, </w:t>
            </w:r>
            <w:proofErr w:type="spellStart"/>
            <w:r w:rsidRPr="00EB2B34">
              <w:rPr>
                <w:rFonts w:ascii="Arial Narrow" w:hAnsi="Arial Narrow"/>
                <w:sz w:val="20"/>
                <w:lang w:val="en-US"/>
              </w:rPr>
              <w:t>Lepore</w:t>
            </w:r>
            <w:proofErr w:type="spellEnd"/>
            <w:r w:rsidRPr="00EB2B34">
              <w:rPr>
                <w:rFonts w:ascii="Arial Narrow" w:hAnsi="Arial Narrow"/>
                <w:sz w:val="20"/>
                <w:lang w:val="en-US"/>
              </w:rPr>
              <w:t xml:space="preserve"> 2010 and </w:t>
            </w:r>
            <w:proofErr w:type="spellStart"/>
            <w:r w:rsidRPr="00EB2B34">
              <w:rPr>
                <w:rFonts w:ascii="Arial Narrow" w:hAnsi="Arial Narrow"/>
                <w:sz w:val="20"/>
                <w:lang w:val="en-US"/>
              </w:rPr>
              <w:t>Kuemmerle-Deschner</w:t>
            </w:r>
            <w:proofErr w:type="spellEnd"/>
            <w:r w:rsidRPr="00EB2B34">
              <w:rPr>
                <w:rFonts w:ascii="Arial Narrow" w:hAnsi="Arial Narrow"/>
                <w:sz w:val="20"/>
                <w:lang w:val="en-US"/>
              </w:rPr>
              <w:t xml:space="preserve"> 2011; </w:t>
            </w:r>
          </w:p>
          <w:p w:rsidR="006636C2" w:rsidRPr="00EB2B34" w:rsidRDefault="006636C2" w:rsidP="00A77C88">
            <w:pPr>
              <w:snapToGrid w:val="0"/>
              <w:jc w:val="left"/>
              <w:rPr>
                <w:rFonts w:ascii="Arial Narrow" w:hAnsi="Arial Narrow"/>
                <w:sz w:val="20"/>
                <w:lang w:val="en-US"/>
              </w:rPr>
            </w:pPr>
            <w:r w:rsidRPr="00EB2B34">
              <w:rPr>
                <w:rFonts w:ascii="Arial Narrow" w:hAnsi="Arial Narrow"/>
                <w:sz w:val="20"/>
                <w:lang w:val="en-US"/>
              </w:rPr>
              <w:t xml:space="preserve">Outcome: percentages of patients with CAPS symptoms before and after </w:t>
            </w:r>
            <w:proofErr w:type="spellStart"/>
            <w:r w:rsidRPr="00EB2B34">
              <w:rPr>
                <w:rFonts w:ascii="Arial Narrow" w:hAnsi="Arial Narrow"/>
                <w:sz w:val="20"/>
                <w:lang w:val="en-US"/>
              </w:rPr>
              <w:t>treatment</w:t>
            </w:r>
            <w:r w:rsidRPr="00EB2B34">
              <w:rPr>
                <w:rFonts w:ascii="Arial Narrow" w:hAnsi="Arial Narrow"/>
                <w:sz w:val="20"/>
                <w:vertAlign w:val="superscript"/>
                <w:lang w:val="en-US"/>
              </w:rPr>
              <w:t>c</w:t>
            </w:r>
            <w:proofErr w:type="spellEnd"/>
            <w:r w:rsidRPr="00EB2B34">
              <w:rPr>
                <w:rFonts w:ascii="Arial Narrow" w:hAnsi="Arial Narrow"/>
                <w:sz w:val="20"/>
                <w:vertAlign w:val="superscript"/>
                <w:lang w:val="en-US"/>
              </w:rPr>
              <w:t xml:space="preserve"> </w:t>
            </w:r>
          </w:p>
        </w:tc>
        <w:tc>
          <w:tcPr>
            <w:tcW w:w="562" w:type="pct"/>
            <w:tcBorders>
              <w:top w:val="single" w:sz="4" w:space="0" w:color="auto"/>
              <w:left w:val="single" w:sz="4" w:space="0" w:color="auto"/>
              <w:bottom w:val="single" w:sz="4" w:space="0" w:color="auto"/>
              <w:right w:val="single" w:sz="4" w:space="0" w:color="auto"/>
            </w:tcBorders>
            <w:vAlign w:val="center"/>
            <w:hideMark/>
          </w:tcPr>
          <w:p w:rsidR="006636C2" w:rsidRPr="00EB2B34" w:rsidRDefault="006636C2" w:rsidP="00A77C88">
            <w:pPr>
              <w:snapToGrid w:val="0"/>
              <w:jc w:val="center"/>
              <w:rPr>
                <w:rFonts w:ascii="Arial Narrow" w:hAnsi="Arial Narrow"/>
                <w:sz w:val="20"/>
                <w:lang w:val="en-US"/>
              </w:rPr>
            </w:pPr>
            <w:r w:rsidRPr="00EB2B34">
              <w:rPr>
                <w:rFonts w:ascii="Arial Narrow" w:hAnsi="Arial Narrow"/>
                <w:sz w:val="20"/>
                <w:lang w:val="en-US"/>
              </w:rPr>
              <w:t>Not used</w:t>
            </w:r>
          </w:p>
        </w:tc>
      </w:tr>
    </w:tbl>
    <w:p w:rsidR="006636C2" w:rsidRPr="00EB2B34" w:rsidRDefault="006636C2" w:rsidP="006636C2">
      <w:pPr>
        <w:pStyle w:val="TableFooter"/>
        <w:ind w:left="720"/>
      </w:pPr>
      <w:r w:rsidRPr="00EB2B34">
        <w:t xml:space="preserve">P = prospective; NR = not randomised; WD = withdrawal study; OL=open label; CAPS = </w:t>
      </w:r>
      <w:proofErr w:type="spellStart"/>
      <w:r w:rsidRPr="00EB2B34">
        <w:t>cryopyrin</w:t>
      </w:r>
      <w:proofErr w:type="spellEnd"/>
      <w:r w:rsidRPr="00EB2B34">
        <w:t xml:space="preserve">-associated periodic syndrome; CINCA = chronic infantile neurological, cutaneous, articular syndrome; MWS = </w:t>
      </w:r>
      <w:proofErr w:type="spellStart"/>
      <w:r w:rsidRPr="00EB2B34">
        <w:t>Muckle</w:t>
      </w:r>
      <w:proofErr w:type="spellEnd"/>
      <w:r w:rsidRPr="00EB2B34">
        <w:t xml:space="preserve">-Wells syndrome; DSSS = diary symptom sum score; BA = before after study design; DAS = disease activity score; FCAS = familial cold </w:t>
      </w:r>
      <w:proofErr w:type="spellStart"/>
      <w:r w:rsidRPr="00EB2B34">
        <w:t>autoinflammatory</w:t>
      </w:r>
      <w:proofErr w:type="spellEnd"/>
      <w:r w:rsidRPr="00EB2B34">
        <w:t xml:space="preserve"> syndrome.</w:t>
      </w:r>
    </w:p>
    <w:p w:rsidR="006636C2" w:rsidRPr="00EB2B34" w:rsidRDefault="006636C2" w:rsidP="006636C2">
      <w:pPr>
        <w:pStyle w:val="TableFooter"/>
      </w:pPr>
      <w:r w:rsidRPr="00EB2B34">
        <w:tab/>
      </w:r>
      <w:proofErr w:type="spellStart"/>
      <w:proofErr w:type="gramStart"/>
      <w:r w:rsidRPr="00EB2B34">
        <w:rPr>
          <w:vertAlign w:val="superscript"/>
        </w:rPr>
        <w:t>a</w:t>
      </w:r>
      <w:proofErr w:type="spellEnd"/>
      <w:proofErr w:type="gramEnd"/>
      <w:r w:rsidRPr="00EB2B34">
        <w:t xml:space="preserve"> Between group comparison (anakinra withdrawal group versus anakinra continuous treatment group)</w:t>
      </w:r>
    </w:p>
    <w:p w:rsidR="006636C2" w:rsidRPr="00EB2B34" w:rsidRDefault="006636C2" w:rsidP="006636C2">
      <w:pPr>
        <w:pStyle w:val="TableFooter"/>
      </w:pPr>
      <w:r w:rsidRPr="00EB2B34">
        <w:tab/>
      </w:r>
      <w:proofErr w:type="gramStart"/>
      <w:r w:rsidRPr="00EB2B34">
        <w:rPr>
          <w:vertAlign w:val="superscript"/>
        </w:rPr>
        <w:t>b</w:t>
      </w:r>
      <w:proofErr w:type="gramEnd"/>
      <w:r w:rsidRPr="00EB2B34">
        <w:rPr>
          <w:vertAlign w:val="superscript"/>
        </w:rPr>
        <w:t xml:space="preserve"> </w:t>
      </w:r>
      <w:r w:rsidRPr="00EB2B34">
        <w:t>Duration of follow-up for 4 (out of 5) patients in the untreated cohort</w:t>
      </w:r>
    </w:p>
    <w:p w:rsidR="006636C2" w:rsidRPr="00EB2B34" w:rsidRDefault="006636C2" w:rsidP="006636C2">
      <w:pPr>
        <w:pStyle w:val="TableFooter"/>
        <w:ind w:left="720"/>
      </w:pPr>
      <w:proofErr w:type="gramStart"/>
      <w:r w:rsidRPr="00EB2B34">
        <w:rPr>
          <w:vertAlign w:val="superscript"/>
        </w:rPr>
        <w:t>c</w:t>
      </w:r>
      <w:proofErr w:type="gramEnd"/>
      <w:r w:rsidRPr="00EB2B34">
        <w:t xml:space="preserve"> Data on the number of patients with CAPS symptoms in Study 03-AR-0298 were not provided in the clinical study report, but extracted by the sponsor for the purpose of the proportion meta-analysis. </w:t>
      </w:r>
    </w:p>
    <w:p w:rsidR="006636C2" w:rsidRPr="00D548B5" w:rsidRDefault="006636C2" w:rsidP="00D548B5">
      <w:pPr>
        <w:pStyle w:val="TableFooter"/>
        <w:ind w:firstLine="720"/>
      </w:pPr>
      <w:r w:rsidRPr="00EB2B34">
        <w:t>Source: compiled during the evaluation</w:t>
      </w:r>
    </w:p>
    <w:p w:rsidR="006636C2" w:rsidRDefault="006636C2" w:rsidP="006636C2">
      <w:pPr>
        <w:pStyle w:val="ListParagraph"/>
        <w:widowControl/>
        <w:snapToGrid w:val="0"/>
        <w:rPr>
          <w:szCs w:val="22"/>
        </w:rPr>
      </w:pPr>
    </w:p>
    <w:p w:rsidR="00F47FB0" w:rsidRPr="00B177A3" w:rsidRDefault="006636C2" w:rsidP="005C06A9">
      <w:pPr>
        <w:pStyle w:val="ListParagraph"/>
        <w:widowControl/>
        <w:numPr>
          <w:ilvl w:val="1"/>
          <w:numId w:val="32"/>
        </w:numPr>
        <w:snapToGrid w:val="0"/>
        <w:ind w:left="1134" w:hanging="425"/>
      </w:pPr>
      <w:r>
        <w:rPr>
          <w:szCs w:val="22"/>
        </w:rPr>
        <w:t>S</w:t>
      </w:r>
      <w:r w:rsidRPr="006636C2">
        <w:rPr>
          <w:szCs w:val="22"/>
        </w:rPr>
        <w:t>ubjects in all studies received open-label treatment with daily subcutaneous doses of anakinra. The primary outcome of change in CAPS symptoms in these studies is largely subjective and relies on patient or parent reports of the frequency and severity of symptoms. This may have been influenced by the lack of concealment of allocation to the new therapy. The true benefit of anakinra may have been overestimated</w:t>
      </w:r>
      <w:r w:rsidRPr="00F0432E">
        <w:rPr>
          <w:szCs w:val="22"/>
        </w:rPr>
        <w:t xml:space="preserve">. Overall, the ESC </w:t>
      </w:r>
      <w:r w:rsidR="007530C6">
        <w:rPr>
          <w:szCs w:val="22"/>
        </w:rPr>
        <w:t>advised</w:t>
      </w:r>
      <w:r w:rsidRPr="00F0432E">
        <w:rPr>
          <w:szCs w:val="22"/>
        </w:rPr>
        <w:t xml:space="preserve"> that there is a high risk of bias in the included non-randomised studies.</w:t>
      </w:r>
    </w:p>
    <w:p w:rsidR="006636C2" w:rsidRDefault="006636C2" w:rsidP="006636C2">
      <w:pPr>
        <w:pStyle w:val="ListParagraph"/>
        <w:widowControl/>
        <w:snapToGrid w:val="0"/>
        <w:rPr>
          <w:szCs w:val="22"/>
        </w:rPr>
      </w:pPr>
    </w:p>
    <w:p w:rsidR="00802A4B" w:rsidRPr="007F6C15" w:rsidRDefault="00802A4B" w:rsidP="00802A4B">
      <w:pPr>
        <w:pStyle w:val="ListParagraph"/>
        <w:widowControl/>
        <w:numPr>
          <w:ilvl w:val="1"/>
          <w:numId w:val="16"/>
        </w:numPr>
        <w:snapToGrid w:val="0"/>
      </w:pPr>
      <w:r w:rsidRPr="007F6C15">
        <w:t xml:space="preserve">The ESC also </w:t>
      </w:r>
      <w:r w:rsidR="007530C6">
        <w:t>advised of the</w:t>
      </w:r>
      <w:r w:rsidRPr="007F6C15">
        <w:t xml:space="preserve"> applicability </w:t>
      </w:r>
      <w:r w:rsidR="003C6172">
        <w:t xml:space="preserve">limitations </w:t>
      </w:r>
      <w:r w:rsidRPr="007F6C15">
        <w:t xml:space="preserve">of the quasi-experimental studies given that the populations in the studies </w:t>
      </w:r>
      <w:r w:rsidR="003C6172">
        <w:t>we</w:t>
      </w:r>
      <w:r w:rsidRPr="007F6C15">
        <w:t xml:space="preserve">re not </w:t>
      </w:r>
      <w:r w:rsidR="003C6172">
        <w:t xml:space="preserve">entirely </w:t>
      </w:r>
      <w:r w:rsidRPr="007F6C15">
        <w:t>consistent with the PBS population which, according to the claims made in the submission, is treatment-</w:t>
      </w:r>
      <w:r w:rsidRPr="007F6C15">
        <w:lastRenderedPageBreak/>
        <w:t>experienced patients who are currently using off-label anakinra</w:t>
      </w:r>
      <w:r w:rsidR="003C6172">
        <w:t>. These limitations were:</w:t>
      </w:r>
    </w:p>
    <w:p w:rsidR="00802A4B" w:rsidRPr="007F6C15" w:rsidRDefault="00802A4B" w:rsidP="005C06A9">
      <w:pPr>
        <w:pStyle w:val="ListParagraph"/>
        <w:widowControl/>
        <w:numPr>
          <w:ilvl w:val="1"/>
          <w:numId w:val="32"/>
        </w:numPr>
        <w:snapToGrid w:val="0"/>
        <w:ind w:left="1134" w:hanging="425"/>
      </w:pPr>
      <w:r w:rsidRPr="007F6C15">
        <w:t>Study 03-AR-0298</w:t>
      </w:r>
      <w:r w:rsidR="003C6172">
        <w:t>:</w:t>
      </w:r>
      <w:r w:rsidRPr="007F6C15">
        <w:t xml:space="preserve"> exclusion criteria included the use of other anti-IL-1 inhibiting agents or the initiation of a longer acting IL-1 inhibiting agent</w:t>
      </w:r>
      <w:r w:rsidR="003C6172">
        <w:t>;</w:t>
      </w:r>
    </w:p>
    <w:p w:rsidR="00802A4B" w:rsidRPr="007F6C15" w:rsidRDefault="00802A4B" w:rsidP="005C06A9">
      <w:pPr>
        <w:pStyle w:val="ListParagraph"/>
        <w:widowControl/>
        <w:numPr>
          <w:ilvl w:val="1"/>
          <w:numId w:val="32"/>
        </w:numPr>
        <w:snapToGrid w:val="0"/>
        <w:ind w:left="1134" w:hanging="425"/>
      </w:pPr>
      <w:r w:rsidRPr="007F6C15">
        <w:t>Ross 2008</w:t>
      </w:r>
      <w:r w:rsidR="003C6172">
        <w:t>:</w:t>
      </w:r>
      <w:r w:rsidRPr="007F6C15">
        <w:t xml:space="preserve"> exclusion criteria included subjects having previous received with anakinra or another IL-1 blockade therapy</w:t>
      </w:r>
      <w:r w:rsidR="003C6172">
        <w:t>;</w:t>
      </w:r>
    </w:p>
    <w:p w:rsidR="00802A4B" w:rsidRPr="007F6C15" w:rsidRDefault="00802A4B" w:rsidP="005C06A9">
      <w:pPr>
        <w:pStyle w:val="ListParagraph"/>
        <w:widowControl/>
        <w:numPr>
          <w:ilvl w:val="1"/>
          <w:numId w:val="32"/>
        </w:numPr>
        <w:snapToGrid w:val="0"/>
        <w:ind w:left="1134" w:hanging="425"/>
      </w:pPr>
      <w:proofErr w:type="spellStart"/>
      <w:r w:rsidRPr="007F6C15">
        <w:t>Kuemmerle-Deschner</w:t>
      </w:r>
      <w:proofErr w:type="spellEnd"/>
      <w:r w:rsidRPr="007F6C15">
        <w:t xml:space="preserve"> 2011: exclusion criteria included those concurrently treated with immunomodulatory agents such as methotrexate</w:t>
      </w:r>
      <w:r w:rsidR="003C6172">
        <w:t>;</w:t>
      </w:r>
    </w:p>
    <w:p w:rsidR="00802A4B" w:rsidRPr="007F6C15" w:rsidRDefault="00802A4B" w:rsidP="007530C6">
      <w:pPr>
        <w:pStyle w:val="ListParagraph"/>
        <w:widowControl/>
        <w:numPr>
          <w:ilvl w:val="1"/>
          <w:numId w:val="32"/>
        </w:numPr>
        <w:snapToGrid w:val="0"/>
        <w:ind w:left="1134" w:hanging="425"/>
      </w:pPr>
      <w:proofErr w:type="spellStart"/>
      <w:r w:rsidRPr="007F6C15">
        <w:t>Lepore</w:t>
      </w:r>
      <w:proofErr w:type="spellEnd"/>
      <w:r w:rsidRPr="007F6C15">
        <w:t xml:space="preserve"> 2010: exclusion criteria </w:t>
      </w:r>
      <w:r w:rsidR="003C6172">
        <w:t xml:space="preserve">were </w:t>
      </w:r>
      <w:r w:rsidRPr="007F6C15">
        <w:t>not reported</w:t>
      </w:r>
    </w:p>
    <w:p w:rsidR="00802A4B" w:rsidRDefault="00802A4B" w:rsidP="006636C2">
      <w:pPr>
        <w:pStyle w:val="ListParagraph"/>
        <w:widowControl/>
        <w:snapToGrid w:val="0"/>
        <w:rPr>
          <w:szCs w:val="22"/>
        </w:rPr>
      </w:pPr>
    </w:p>
    <w:p w:rsidR="005320C3" w:rsidRPr="00FE71D2" w:rsidRDefault="005320C3" w:rsidP="00FE71D2">
      <w:pPr>
        <w:rPr>
          <w:b/>
          <w:szCs w:val="22"/>
        </w:rPr>
      </w:pPr>
      <w:bookmarkStart w:id="7" w:name="_Toc398303326"/>
      <w:r w:rsidRPr="00FE71D2">
        <w:rPr>
          <w:b/>
          <w:szCs w:val="22"/>
        </w:rPr>
        <w:t>Comparative effectiveness</w:t>
      </w:r>
      <w:bookmarkEnd w:id="7"/>
    </w:p>
    <w:p w:rsidR="005320C3" w:rsidRPr="00EB2B34" w:rsidRDefault="005320C3" w:rsidP="005320C3">
      <w:pPr>
        <w:rPr>
          <w:szCs w:val="22"/>
        </w:rPr>
      </w:pPr>
    </w:p>
    <w:p w:rsidR="005320C3" w:rsidRPr="00EB2B34" w:rsidRDefault="005320C3" w:rsidP="005320C3">
      <w:pPr>
        <w:rPr>
          <w:b/>
          <w:szCs w:val="22"/>
        </w:rPr>
      </w:pPr>
      <w:r w:rsidRPr="00EB2B34">
        <w:rPr>
          <w:b/>
          <w:szCs w:val="22"/>
        </w:rPr>
        <w:t>Study 03-AR-0298</w:t>
      </w:r>
    </w:p>
    <w:p w:rsidR="005320C3" w:rsidRPr="00EB2B34" w:rsidRDefault="005320C3" w:rsidP="005320C3">
      <w:pPr>
        <w:rPr>
          <w:szCs w:val="22"/>
        </w:rPr>
      </w:pPr>
    </w:p>
    <w:p w:rsidR="005320C3" w:rsidRPr="00EB2B34" w:rsidRDefault="005320C3" w:rsidP="005320C3">
      <w:pPr>
        <w:pStyle w:val="ListParagraph"/>
        <w:widowControl/>
        <w:numPr>
          <w:ilvl w:val="1"/>
          <w:numId w:val="16"/>
        </w:numPr>
        <w:snapToGrid w:val="0"/>
        <w:rPr>
          <w:szCs w:val="22"/>
        </w:rPr>
      </w:pPr>
      <w:r w:rsidRPr="00EB2B34">
        <w:rPr>
          <w:szCs w:val="22"/>
        </w:rPr>
        <w:t xml:space="preserve">Results of changes in </w:t>
      </w:r>
      <w:r w:rsidR="00204A76" w:rsidRPr="00EB2B34">
        <w:rPr>
          <w:szCs w:val="22"/>
        </w:rPr>
        <w:t>d</w:t>
      </w:r>
      <w:r w:rsidRPr="00EB2B34">
        <w:rPr>
          <w:szCs w:val="22"/>
        </w:rPr>
        <w:t xml:space="preserve">iary </w:t>
      </w:r>
      <w:r w:rsidR="00204A76" w:rsidRPr="00EB2B34">
        <w:rPr>
          <w:szCs w:val="22"/>
        </w:rPr>
        <w:t>s</w:t>
      </w:r>
      <w:r w:rsidRPr="00EB2B34">
        <w:rPr>
          <w:szCs w:val="22"/>
        </w:rPr>
        <w:t xml:space="preserve">ymptom </w:t>
      </w:r>
      <w:r w:rsidR="00204A76" w:rsidRPr="00EB2B34">
        <w:rPr>
          <w:szCs w:val="22"/>
        </w:rPr>
        <w:t>s</w:t>
      </w:r>
      <w:r w:rsidRPr="00EB2B34">
        <w:rPr>
          <w:szCs w:val="22"/>
        </w:rPr>
        <w:t xml:space="preserve">um </w:t>
      </w:r>
      <w:r w:rsidR="00204A76" w:rsidRPr="00EB2B34">
        <w:rPr>
          <w:szCs w:val="22"/>
        </w:rPr>
        <w:t>s</w:t>
      </w:r>
      <w:r w:rsidRPr="00EB2B34">
        <w:rPr>
          <w:szCs w:val="22"/>
        </w:rPr>
        <w:t xml:space="preserve">core (DSSS) – the primary outcome – during the study period of 03-AR-0298 are presented in </w:t>
      </w:r>
      <w:r w:rsidR="00F47FB0">
        <w:rPr>
          <w:szCs w:val="22"/>
        </w:rPr>
        <w:t>the table</w:t>
      </w:r>
      <w:r w:rsidRPr="00EB2B34">
        <w:rPr>
          <w:szCs w:val="22"/>
        </w:rPr>
        <w:t xml:space="preserve"> below. </w:t>
      </w:r>
      <w:r w:rsidR="00BF4BBE">
        <w:t>There was</w:t>
      </w:r>
      <w:r w:rsidRPr="00EB2B34">
        <w:t xml:space="preserve"> a high attrition rate </w:t>
      </w:r>
      <w:r w:rsidR="008F1466" w:rsidRPr="00EB2B34">
        <w:t xml:space="preserve">(14/29 (48.3%)) </w:t>
      </w:r>
      <w:r w:rsidRPr="00EB2B34">
        <w:t xml:space="preserve">in terms of </w:t>
      </w:r>
      <w:r w:rsidR="00B65B0B" w:rsidRPr="00EB2B34">
        <w:t xml:space="preserve">the available </w:t>
      </w:r>
      <w:r w:rsidRPr="00EB2B34">
        <w:t>diary data. I</w:t>
      </w:r>
      <w:r w:rsidR="009C1CBD" w:rsidRPr="00EB2B34">
        <w:t xml:space="preserve">f </w:t>
      </w:r>
      <w:r w:rsidRPr="00EB2B34">
        <w:t>patients with DSSS data systematically differed from those with missing data</w:t>
      </w:r>
      <w:r w:rsidR="009C1CBD" w:rsidRPr="00EB2B34">
        <w:t>, t</w:t>
      </w:r>
      <w:r w:rsidR="008F1466" w:rsidRPr="00EB2B34">
        <w:t>here is a potential for attrition bias.</w:t>
      </w:r>
    </w:p>
    <w:p w:rsidR="005320C3" w:rsidRPr="00EB2B34" w:rsidRDefault="005320C3" w:rsidP="005320C3">
      <w:pPr>
        <w:pStyle w:val="ListParagraph"/>
        <w:widowControl/>
        <w:rPr>
          <w:szCs w:val="22"/>
        </w:rPr>
      </w:pPr>
    </w:p>
    <w:p w:rsidR="005320C3" w:rsidRPr="00EB2B34" w:rsidRDefault="005320C3" w:rsidP="005320C3">
      <w:pPr>
        <w:ind w:firstLine="720"/>
        <w:rPr>
          <w:rStyle w:val="CommentReference"/>
        </w:rPr>
      </w:pPr>
      <w:r w:rsidRPr="00EB2B34">
        <w:rPr>
          <w:rStyle w:val="CommentReference"/>
        </w:rPr>
        <w:t xml:space="preserve">Change from baseline </w:t>
      </w:r>
      <w:proofErr w:type="spellStart"/>
      <w:r w:rsidRPr="00EB2B34">
        <w:rPr>
          <w:rStyle w:val="CommentReference"/>
        </w:rPr>
        <w:t>DSSS</w:t>
      </w:r>
      <w:r w:rsidRPr="00EB2B34">
        <w:rPr>
          <w:rStyle w:val="CommentReference"/>
          <w:vertAlign w:val="superscript"/>
        </w:rPr>
        <w:t>a</w:t>
      </w:r>
      <w:proofErr w:type="spellEnd"/>
      <w:r w:rsidRPr="00EB2B34">
        <w:rPr>
          <w:rStyle w:val="CommentReference"/>
        </w:rPr>
        <w:t xml:space="preserve"> (key symptoms) in Study 03-AR-0298 (ITT diary population)</w:t>
      </w:r>
    </w:p>
    <w:tbl>
      <w:tblPr>
        <w:tblStyle w:val="TableGrid"/>
        <w:tblW w:w="8330" w:type="dxa"/>
        <w:tblInd w:w="850" w:type="dxa"/>
        <w:tblLook w:val="04A0" w:firstRow="1" w:lastRow="0" w:firstColumn="1" w:lastColumn="0" w:noHBand="0" w:noVBand="1"/>
      </w:tblPr>
      <w:tblGrid>
        <w:gridCol w:w="1162"/>
        <w:gridCol w:w="1022"/>
        <w:gridCol w:w="2002"/>
        <w:gridCol w:w="2099"/>
        <w:gridCol w:w="2045"/>
      </w:tblGrid>
      <w:tr w:rsidR="005320C3" w:rsidRPr="00EB2B34" w:rsidTr="005320C3">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20C3" w:rsidRPr="00EB2B34" w:rsidRDefault="005320C3">
            <w:pPr>
              <w:snapToGrid w:val="0"/>
              <w:rPr>
                <w:rFonts w:ascii="Arial Narrow" w:hAnsi="Arial Narrow"/>
                <w:b/>
                <w:sz w:val="20"/>
              </w:rPr>
            </w:pPr>
            <w:r w:rsidRPr="00EB2B34">
              <w:rPr>
                <w:rFonts w:ascii="Arial Narrow" w:hAnsi="Arial Narrow"/>
                <w:b/>
                <w:sz w:val="20"/>
              </w:rPr>
              <w:t>Time point</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20C3" w:rsidRPr="00EB2B34" w:rsidRDefault="005320C3">
            <w:pPr>
              <w:snapToGrid w:val="0"/>
              <w:jc w:val="center"/>
              <w:rPr>
                <w:rFonts w:ascii="Arial Narrow" w:hAnsi="Arial Narrow"/>
                <w:b/>
                <w:sz w:val="20"/>
              </w:rPr>
            </w:pPr>
            <w:r w:rsidRPr="00EB2B34">
              <w:rPr>
                <w:rFonts w:ascii="Arial Narrow" w:hAnsi="Arial Narrow"/>
                <w:b/>
                <w:sz w:val="20"/>
              </w:rPr>
              <w:t>N</w:t>
            </w:r>
          </w:p>
        </w:tc>
        <w:tc>
          <w:tcPr>
            <w:tcW w:w="20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20C3" w:rsidRPr="00EB2B34" w:rsidRDefault="005320C3">
            <w:pPr>
              <w:jc w:val="center"/>
              <w:rPr>
                <w:rFonts w:ascii="Arial Narrow" w:hAnsi="Arial Narrow"/>
                <w:b/>
                <w:sz w:val="20"/>
              </w:rPr>
            </w:pPr>
            <w:r w:rsidRPr="00EB2B34">
              <w:rPr>
                <w:rFonts w:ascii="Arial Narrow" w:hAnsi="Arial Narrow"/>
                <w:b/>
                <w:sz w:val="20"/>
              </w:rPr>
              <w:t>Absolute value</w:t>
            </w:r>
          </w:p>
          <w:p w:rsidR="005320C3" w:rsidRPr="00EB2B34" w:rsidRDefault="005320C3">
            <w:pPr>
              <w:snapToGrid w:val="0"/>
              <w:jc w:val="center"/>
              <w:rPr>
                <w:rFonts w:ascii="Arial Narrow" w:hAnsi="Arial Narrow"/>
                <w:b/>
                <w:sz w:val="20"/>
              </w:rPr>
            </w:pPr>
            <w:r w:rsidRPr="00EB2B34">
              <w:rPr>
                <w:rFonts w:ascii="Arial Narrow" w:hAnsi="Arial Narrow"/>
                <w:b/>
                <w:sz w:val="20"/>
              </w:rPr>
              <w:t>Mean ± SD</w:t>
            </w: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20C3" w:rsidRPr="00EB2B34" w:rsidRDefault="005320C3">
            <w:pPr>
              <w:jc w:val="center"/>
              <w:rPr>
                <w:rFonts w:ascii="Arial Narrow" w:hAnsi="Arial Narrow"/>
                <w:b/>
                <w:sz w:val="20"/>
              </w:rPr>
            </w:pPr>
            <w:r w:rsidRPr="00EB2B34">
              <w:rPr>
                <w:rFonts w:ascii="Arial Narrow" w:hAnsi="Arial Narrow"/>
                <w:b/>
                <w:sz w:val="20"/>
              </w:rPr>
              <w:t xml:space="preserve">Change from </w:t>
            </w:r>
            <w:proofErr w:type="spellStart"/>
            <w:r w:rsidRPr="00EB2B34">
              <w:rPr>
                <w:rFonts w:ascii="Arial Narrow" w:hAnsi="Arial Narrow"/>
                <w:b/>
                <w:sz w:val="20"/>
              </w:rPr>
              <w:t>baseline</w:t>
            </w:r>
            <w:r w:rsidRPr="00EB2B34">
              <w:rPr>
                <w:rStyle w:val="CommentReference"/>
                <w:vertAlign w:val="superscript"/>
              </w:rPr>
              <w:t>b</w:t>
            </w:r>
            <w:proofErr w:type="spellEnd"/>
            <w:r w:rsidRPr="00EB2B34">
              <w:rPr>
                <w:rFonts w:ascii="Arial Narrow" w:hAnsi="Arial Narrow"/>
                <w:b/>
                <w:sz w:val="20"/>
              </w:rPr>
              <w:t xml:space="preserve"> </w:t>
            </w:r>
          </w:p>
          <w:p w:rsidR="005320C3" w:rsidRPr="00EB2B34" w:rsidRDefault="005320C3">
            <w:pPr>
              <w:snapToGrid w:val="0"/>
              <w:jc w:val="center"/>
              <w:rPr>
                <w:rFonts w:ascii="Arial Narrow" w:hAnsi="Arial Narrow"/>
                <w:b/>
                <w:sz w:val="20"/>
              </w:rPr>
            </w:pPr>
            <w:r w:rsidRPr="00EB2B34">
              <w:rPr>
                <w:rFonts w:ascii="Arial Narrow" w:hAnsi="Arial Narrow"/>
                <w:b/>
                <w:sz w:val="20"/>
              </w:rPr>
              <w:t>Mean (SE)</w:t>
            </w:r>
          </w:p>
        </w:tc>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20C3" w:rsidRPr="00EB2B34" w:rsidRDefault="005320C3">
            <w:pPr>
              <w:jc w:val="center"/>
              <w:rPr>
                <w:rFonts w:ascii="Arial Narrow" w:hAnsi="Arial Narrow"/>
                <w:b/>
                <w:sz w:val="20"/>
              </w:rPr>
            </w:pPr>
            <w:r w:rsidRPr="00EB2B34">
              <w:rPr>
                <w:rFonts w:ascii="Arial Narrow" w:hAnsi="Arial Narrow"/>
                <w:b/>
                <w:sz w:val="20"/>
              </w:rPr>
              <w:t xml:space="preserve">Change from </w:t>
            </w:r>
            <w:proofErr w:type="spellStart"/>
            <w:r w:rsidRPr="00EB2B34">
              <w:rPr>
                <w:rFonts w:ascii="Arial Narrow" w:hAnsi="Arial Narrow"/>
                <w:b/>
                <w:sz w:val="20"/>
              </w:rPr>
              <w:t>baseline</w:t>
            </w:r>
            <w:r w:rsidRPr="00EB2B34">
              <w:rPr>
                <w:rStyle w:val="CommentReference"/>
                <w:vertAlign w:val="superscript"/>
              </w:rPr>
              <w:t>b</w:t>
            </w:r>
            <w:proofErr w:type="spellEnd"/>
          </w:p>
          <w:p w:rsidR="005320C3" w:rsidRPr="00EB2B34" w:rsidRDefault="005320C3">
            <w:pPr>
              <w:snapToGrid w:val="0"/>
              <w:jc w:val="center"/>
              <w:rPr>
                <w:rFonts w:ascii="Arial Narrow" w:hAnsi="Arial Narrow"/>
                <w:b/>
                <w:sz w:val="20"/>
              </w:rPr>
            </w:pPr>
            <w:r w:rsidRPr="00EB2B34">
              <w:rPr>
                <w:rFonts w:ascii="Arial Narrow" w:hAnsi="Arial Narrow"/>
                <w:b/>
                <w:sz w:val="20"/>
              </w:rPr>
              <w:t>95% CI</w:t>
            </w:r>
          </w:p>
        </w:tc>
      </w:tr>
      <w:tr w:rsidR="005320C3" w:rsidRPr="00EB2B34" w:rsidTr="005320C3">
        <w:tc>
          <w:tcPr>
            <w:tcW w:w="116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Baseline</w:t>
            </w:r>
          </w:p>
        </w:tc>
        <w:tc>
          <w:tcPr>
            <w:tcW w:w="102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29</w:t>
            </w:r>
          </w:p>
        </w:tc>
        <w:tc>
          <w:tcPr>
            <w:tcW w:w="200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4.5 ± 3.2</w:t>
            </w:r>
          </w:p>
        </w:tc>
        <w:tc>
          <w:tcPr>
            <w:tcW w:w="2099"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w:t>
            </w:r>
          </w:p>
        </w:tc>
        <w:tc>
          <w:tcPr>
            <w:tcW w:w="2045"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w:t>
            </w:r>
          </w:p>
        </w:tc>
      </w:tr>
      <w:tr w:rsidR="005320C3" w:rsidRPr="00EB2B34" w:rsidTr="005320C3">
        <w:tc>
          <w:tcPr>
            <w:tcW w:w="116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Month 3</w:t>
            </w:r>
          </w:p>
        </w:tc>
        <w:tc>
          <w:tcPr>
            <w:tcW w:w="102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26</w:t>
            </w:r>
          </w:p>
        </w:tc>
        <w:tc>
          <w:tcPr>
            <w:tcW w:w="200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0.5 ± 0.7</w:t>
            </w:r>
          </w:p>
        </w:tc>
        <w:tc>
          <w:tcPr>
            <w:tcW w:w="2099"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-3.4 (0.1)</w:t>
            </w:r>
          </w:p>
        </w:tc>
        <w:tc>
          <w:tcPr>
            <w:tcW w:w="2045"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[-3.7, -3.2]</w:t>
            </w:r>
          </w:p>
        </w:tc>
      </w:tr>
      <w:tr w:rsidR="005320C3" w:rsidRPr="00EB2B34" w:rsidTr="005320C3">
        <w:tc>
          <w:tcPr>
            <w:tcW w:w="116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Month 6</w:t>
            </w:r>
          </w:p>
        </w:tc>
        <w:tc>
          <w:tcPr>
            <w:tcW w:w="102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25</w:t>
            </w:r>
          </w:p>
        </w:tc>
        <w:tc>
          <w:tcPr>
            <w:tcW w:w="200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0.4 ± 0.6</w:t>
            </w:r>
          </w:p>
        </w:tc>
        <w:tc>
          <w:tcPr>
            <w:tcW w:w="2099"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-3.5 (0.1)</w:t>
            </w:r>
          </w:p>
        </w:tc>
        <w:tc>
          <w:tcPr>
            <w:tcW w:w="2045"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[-3.7, -3.3]</w:t>
            </w:r>
          </w:p>
        </w:tc>
      </w:tr>
      <w:tr w:rsidR="005320C3" w:rsidRPr="00EB2B34" w:rsidTr="005320C3">
        <w:tc>
          <w:tcPr>
            <w:tcW w:w="116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Month 3-6</w:t>
            </w:r>
          </w:p>
        </w:tc>
        <w:tc>
          <w:tcPr>
            <w:tcW w:w="102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w:t>
            </w:r>
          </w:p>
        </w:tc>
        <w:tc>
          <w:tcPr>
            <w:tcW w:w="200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w:t>
            </w:r>
          </w:p>
        </w:tc>
        <w:tc>
          <w:tcPr>
            <w:tcW w:w="2099"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-3.5 (0.1)</w:t>
            </w:r>
          </w:p>
        </w:tc>
        <w:tc>
          <w:tcPr>
            <w:tcW w:w="2045"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[-3.7, -3.3]</w:t>
            </w:r>
          </w:p>
        </w:tc>
      </w:tr>
      <w:tr w:rsidR="005320C3" w:rsidRPr="00EB2B34" w:rsidTr="005320C3">
        <w:tc>
          <w:tcPr>
            <w:tcW w:w="116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Month 12</w:t>
            </w:r>
          </w:p>
        </w:tc>
        <w:tc>
          <w:tcPr>
            <w:tcW w:w="102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24</w:t>
            </w:r>
          </w:p>
        </w:tc>
        <w:tc>
          <w:tcPr>
            <w:tcW w:w="200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0.3 ± 0.6</w:t>
            </w:r>
          </w:p>
        </w:tc>
        <w:tc>
          <w:tcPr>
            <w:tcW w:w="2099"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-3.6 (0.1)</w:t>
            </w:r>
          </w:p>
        </w:tc>
        <w:tc>
          <w:tcPr>
            <w:tcW w:w="2045"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[-3.9, -3.3]</w:t>
            </w:r>
          </w:p>
        </w:tc>
      </w:tr>
      <w:tr w:rsidR="005320C3" w:rsidRPr="00EB2B34" w:rsidTr="005320C3">
        <w:tc>
          <w:tcPr>
            <w:tcW w:w="116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Month 36</w:t>
            </w:r>
          </w:p>
        </w:tc>
        <w:tc>
          <w:tcPr>
            <w:tcW w:w="102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18</w:t>
            </w:r>
          </w:p>
        </w:tc>
        <w:tc>
          <w:tcPr>
            <w:tcW w:w="200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0.5 ± 0.8</w:t>
            </w:r>
          </w:p>
        </w:tc>
        <w:tc>
          <w:tcPr>
            <w:tcW w:w="2099"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-3.5 (0.2)</w:t>
            </w:r>
          </w:p>
        </w:tc>
        <w:tc>
          <w:tcPr>
            <w:tcW w:w="2045"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[-3.8, -3.2]</w:t>
            </w:r>
          </w:p>
        </w:tc>
      </w:tr>
      <w:tr w:rsidR="005320C3" w:rsidRPr="00EB2B34" w:rsidTr="005320C3">
        <w:tc>
          <w:tcPr>
            <w:tcW w:w="116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Month 60</w:t>
            </w:r>
          </w:p>
        </w:tc>
        <w:tc>
          <w:tcPr>
            <w:tcW w:w="102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15</w:t>
            </w:r>
          </w:p>
        </w:tc>
        <w:tc>
          <w:tcPr>
            <w:tcW w:w="200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0.5 ± 0.9</w:t>
            </w:r>
          </w:p>
        </w:tc>
        <w:tc>
          <w:tcPr>
            <w:tcW w:w="2099"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-3.5 (0.2)</w:t>
            </w:r>
          </w:p>
        </w:tc>
        <w:tc>
          <w:tcPr>
            <w:tcW w:w="2045"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sz w:val="20"/>
              </w:rPr>
            </w:pPr>
            <w:r w:rsidRPr="00EB2B34">
              <w:rPr>
                <w:rFonts w:ascii="Arial Narrow" w:hAnsi="Arial Narrow"/>
                <w:sz w:val="20"/>
              </w:rPr>
              <w:t>[-3.8, -3.1]</w:t>
            </w:r>
          </w:p>
        </w:tc>
      </w:tr>
    </w:tbl>
    <w:p w:rsidR="005320C3" w:rsidRPr="00EB2B34" w:rsidRDefault="00204A76" w:rsidP="005320C3">
      <w:pPr>
        <w:pStyle w:val="TableFooter"/>
        <w:ind w:left="720"/>
      </w:pPr>
      <w:r w:rsidRPr="00EB2B34">
        <w:t>DSSS = diary symptom sum s</w:t>
      </w:r>
      <w:r w:rsidR="005320C3" w:rsidRPr="00EB2B34">
        <w:t>core (key symptoms including fever, rash, joint pain, vomiting and headache); ITT = intention-to-treat; SD = standard deviation; SE = standard error; CI = confidence interval</w:t>
      </w:r>
    </w:p>
    <w:p w:rsidR="005320C3" w:rsidRPr="00EB2B34" w:rsidRDefault="005320C3" w:rsidP="005320C3">
      <w:pPr>
        <w:pStyle w:val="TableFooter"/>
        <w:ind w:left="720"/>
      </w:pPr>
      <w:proofErr w:type="gramStart"/>
      <w:r w:rsidRPr="00EB2B34">
        <w:rPr>
          <w:vertAlign w:val="superscript"/>
        </w:rPr>
        <w:t>a</w:t>
      </w:r>
      <w:proofErr w:type="gramEnd"/>
      <w:r w:rsidRPr="00EB2B34">
        <w:rPr>
          <w:vertAlign w:val="superscript"/>
        </w:rPr>
        <w:t xml:space="preserve"> </w:t>
      </w:r>
      <w:r w:rsidRPr="00EB2B34">
        <w:t>DSSS ranges from 0 to 20. A decrease in the score indicates an improvement of disease symptoms</w:t>
      </w:r>
    </w:p>
    <w:p w:rsidR="005320C3" w:rsidRPr="00EB2B34" w:rsidRDefault="005320C3" w:rsidP="005320C3">
      <w:pPr>
        <w:pStyle w:val="TableFooter"/>
        <w:ind w:left="720"/>
      </w:pPr>
      <w:proofErr w:type="gramStart"/>
      <w:r w:rsidRPr="00EB2B34">
        <w:rPr>
          <w:vertAlign w:val="superscript"/>
        </w:rPr>
        <w:t>b</w:t>
      </w:r>
      <w:proofErr w:type="gramEnd"/>
      <w:r w:rsidRPr="00EB2B34">
        <w:t xml:space="preserve"> Estimated changes based on the </w:t>
      </w:r>
      <w:r w:rsidR="004625A6" w:rsidRPr="00EB2B34">
        <w:t xml:space="preserve">repeated measures analysis of covariance model </w:t>
      </w:r>
      <w:r w:rsidRPr="00EB2B34">
        <w:t>including visit (month) as a fixed factor and baseline as a covariate.</w:t>
      </w:r>
    </w:p>
    <w:p w:rsidR="005320C3" w:rsidRPr="00EB2B34" w:rsidRDefault="005320C3" w:rsidP="005320C3">
      <w:pPr>
        <w:pStyle w:val="TableFooter"/>
        <w:ind w:left="720"/>
        <w:rPr>
          <w:szCs w:val="22"/>
        </w:rPr>
      </w:pPr>
      <w:r w:rsidRPr="00EB2B34">
        <w:t>Source: Table 13, p50 of the main submission; Table 14.2.1.1.1, p183 of the clinical study report</w:t>
      </w:r>
    </w:p>
    <w:p w:rsidR="00016B0C" w:rsidRDefault="00016B0C">
      <w:pPr>
        <w:widowControl/>
        <w:jc w:val="left"/>
        <w:rPr>
          <w:szCs w:val="22"/>
        </w:rPr>
      </w:pPr>
      <w:r>
        <w:rPr>
          <w:szCs w:val="22"/>
        </w:rPr>
        <w:br w:type="page"/>
      </w:r>
    </w:p>
    <w:p w:rsidR="005320C3" w:rsidRPr="00EB2B34" w:rsidRDefault="005320C3" w:rsidP="005320C3">
      <w:pPr>
        <w:pStyle w:val="ListParagraph"/>
        <w:widowControl/>
        <w:numPr>
          <w:ilvl w:val="1"/>
          <w:numId w:val="16"/>
        </w:numPr>
        <w:snapToGrid w:val="0"/>
        <w:rPr>
          <w:szCs w:val="22"/>
        </w:rPr>
      </w:pPr>
      <w:r w:rsidRPr="00EB2B34">
        <w:rPr>
          <w:szCs w:val="22"/>
        </w:rPr>
        <w:lastRenderedPageBreak/>
        <w:t>Changes in DSSS for the withdrawal group and the treatment group (i</w:t>
      </w:r>
      <w:r w:rsidR="006636C2">
        <w:rPr>
          <w:szCs w:val="22"/>
        </w:rPr>
        <w:t>.</w:t>
      </w:r>
      <w:r w:rsidRPr="00EB2B34">
        <w:rPr>
          <w:szCs w:val="22"/>
        </w:rPr>
        <w:t>e</w:t>
      </w:r>
      <w:r w:rsidR="006636C2">
        <w:rPr>
          <w:szCs w:val="22"/>
        </w:rPr>
        <w:t>.</w:t>
      </w:r>
      <w:r w:rsidRPr="00EB2B34">
        <w:rPr>
          <w:szCs w:val="22"/>
        </w:rPr>
        <w:t xml:space="preserve"> withdrawal population) in Study 03-AR-0298 are presented in </w:t>
      </w:r>
      <w:r w:rsidR="00F47FB0">
        <w:rPr>
          <w:szCs w:val="22"/>
        </w:rPr>
        <w:t>the figure below</w:t>
      </w:r>
      <w:r w:rsidRPr="00EB2B34">
        <w:rPr>
          <w:szCs w:val="22"/>
        </w:rPr>
        <w:t xml:space="preserve">. </w:t>
      </w:r>
    </w:p>
    <w:p w:rsidR="00670E74" w:rsidRDefault="00670E74">
      <w:pPr>
        <w:widowControl/>
        <w:jc w:val="left"/>
        <w:rPr>
          <w:rStyle w:val="CommentReference"/>
        </w:rPr>
      </w:pPr>
      <w:bookmarkStart w:id="8" w:name="_Toc397095061"/>
    </w:p>
    <w:p w:rsidR="005320C3" w:rsidRPr="00EB2B34" w:rsidRDefault="005320C3" w:rsidP="00BB3BC5">
      <w:pPr>
        <w:ind w:left="709"/>
        <w:rPr>
          <w:rStyle w:val="CommentReference"/>
        </w:rPr>
      </w:pPr>
      <w:r w:rsidRPr="00EB2B34">
        <w:rPr>
          <w:rStyle w:val="CommentReference"/>
        </w:rPr>
        <w:t>Comparative DSSS (key symptoms</w:t>
      </w:r>
      <w:proofErr w:type="gramStart"/>
      <w:r w:rsidRPr="00EB2B34">
        <w:rPr>
          <w:rStyle w:val="CommentReference"/>
        </w:rPr>
        <w:t>)</w:t>
      </w:r>
      <w:proofErr w:type="spellStart"/>
      <w:r w:rsidR="00BB3BC5" w:rsidRPr="00EB2B34">
        <w:rPr>
          <w:rStyle w:val="CommentReference"/>
          <w:vertAlign w:val="superscript"/>
        </w:rPr>
        <w:t>a</w:t>
      </w:r>
      <w:proofErr w:type="spellEnd"/>
      <w:proofErr w:type="gramEnd"/>
      <w:r w:rsidRPr="00EB2B34">
        <w:rPr>
          <w:rStyle w:val="CommentReference"/>
        </w:rPr>
        <w:t xml:space="preserve"> </w:t>
      </w:r>
      <w:proofErr w:type="spellStart"/>
      <w:r w:rsidRPr="00EB2B34">
        <w:rPr>
          <w:rStyle w:val="CommentReference"/>
        </w:rPr>
        <w:t>over time</w:t>
      </w:r>
      <w:proofErr w:type="spellEnd"/>
      <w:r w:rsidRPr="00EB2B34">
        <w:rPr>
          <w:rStyle w:val="CommentReference"/>
        </w:rPr>
        <w:t xml:space="preserve"> in Study 03-AR-0298 (withdrawal population)</w:t>
      </w:r>
      <w:bookmarkEnd w:id="8"/>
    </w:p>
    <w:p w:rsidR="00B65B0B" w:rsidRPr="00EB2B34" w:rsidRDefault="00B65B0B" w:rsidP="00BB3BC5">
      <w:pPr>
        <w:ind w:left="709"/>
        <w:rPr>
          <w:rStyle w:val="CommentReference"/>
        </w:rPr>
      </w:pPr>
    </w:p>
    <w:p w:rsidR="00BB3BC5" w:rsidRPr="00EB2B34" w:rsidRDefault="00704B3A" w:rsidP="00BB3BC5">
      <w:pPr>
        <w:ind w:left="709"/>
        <w:rPr>
          <w:rStyle w:val="CommentReference"/>
        </w:rPr>
      </w:pPr>
      <w:r w:rsidRPr="00EB2B34">
        <w:rPr>
          <w:rFonts w:ascii="Arial Narrow" w:hAnsi="Arial Narrow"/>
          <w:b/>
          <w:noProof/>
          <w:snapToGrid/>
          <w:color w:val="000000" w:themeColor="text1"/>
          <w:sz w:val="20"/>
          <w:szCs w:val="16"/>
          <w:lang w:eastAsia="en-AU"/>
        </w:rPr>
        <w:drawing>
          <wp:inline distT="0" distB="0" distL="0" distR="0" wp14:anchorId="3801E059" wp14:editId="3B0885FB">
            <wp:extent cx="4888872" cy="265266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261" t="1677" r="1441"/>
                    <a:stretch/>
                  </pic:blipFill>
                  <pic:spPr bwMode="auto">
                    <a:xfrm>
                      <a:off x="0" y="0"/>
                      <a:ext cx="4889984" cy="2653268"/>
                    </a:xfrm>
                    <a:prstGeom prst="rect">
                      <a:avLst/>
                    </a:prstGeom>
                    <a:noFill/>
                    <a:ln>
                      <a:noFill/>
                    </a:ln>
                    <a:extLst>
                      <a:ext uri="{53640926-AAD7-44D8-BBD7-CCE9431645EC}">
                        <a14:shadowObscured xmlns:a14="http://schemas.microsoft.com/office/drawing/2010/main"/>
                      </a:ext>
                    </a:extLst>
                  </pic:spPr>
                </pic:pic>
              </a:graphicData>
            </a:graphic>
          </wp:inline>
        </w:drawing>
      </w:r>
    </w:p>
    <w:p w:rsidR="00BB3BC5" w:rsidRPr="00EB2B34" w:rsidRDefault="00204A76" w:rsidP="00BB3BC5">
      <w:pPr>
        <w:pStyle w:val="TableFooter"/>
        <w:ind w:left="709"/>
      </w:pPr>
      <w:r w:rsidRPr="00EB2B34">
        <w:t>DSSS = diary symptom sum s</w:t>
      </w:r>
      <w:r w:rsidR="005320C3" w:rsidRPr="00EB2B34">
        <w:t>core</w:t>
      </w:r>
    </w:p>
    <w:p w:rsidR="00BB3BC5" w:rsidRPr="00EB2B34" w:rsidRDefault="00BB3BC5" w:rsidP="00BB3BC5">
      <w:pPr>
        <w:pStyle w:val="TableFooter"/>
        <w:ind w:left="709"/>
      </w:pPr>
      <w:proofErr w:type="gramStart"/>
      <w:r w:rsidRPr="00EB2B34">
        <w:rPr>
          <w:vertAlign w:val="superscript"/>
        </w:rPr>
        <w:t>a</w:t>
      </w:r>
      <w:proofErr w:type="gramEnd"/>
      <w:r w:rsidRPr="00EB2B34">
        <w:rPr>
          <w:vertAlign w:val="superscript"/>
        </w:rPr>
        <w:t xml:space="preserve"> </w:t>
      </w:r>
      <w:r w:rsidRPr="00EB2B34">
        <w:t>DSSS ranges from 0 to 20. A decrease in the score indicates an improvement of disease symptoms</w:t>
      </w:r>
    </w:p>
    <w:p w:rsidR="005320C3" w:rsidRPr="00EB2B34" w:rsidRDefault="005320C3" w:rsidP="00BB3BC5">
      <w:pPr>
        <w:pStyle w:val="TableFooter"/>
        <w:ind w:left="709"/>
      </w:pPr>
      <w:r w:rsidRPr="00EB2B34">
        <w:t xml:space="preserve">Source: Figure 6, p52 of the main submission. </w:t>
      </w:r>
    </w:p>
    <w:p w:rsidR="005320C3" w:rsidRPr="00EB2B34" w:rsidRDefault="005320C3" w:rsidP="005320C3">
      <w:pPr>
        <w:rPr>
          <w:szCs w:val="22"/>
        </w:rPr>
      </w:pPr>
    </w:p>
    <w:p w:rsidR="005320C3" w:rsidRPr="00EB2B34" w:rsidRDefault="001A6C3C" w:rsidP="005320C3">
      <w:pPr>
        <w:widowControl/>
        <w:rPr>
          <w:b/>
          <w:szCs w:val="22"/>
        </w:rPr>
      </w:pPr>
      <w:proofErr w:type="spellStart"/>
      <w:r w:rsidRPr="00EB2B34">
        <w:rPr>
          <w:b/>
          <w:szCs w:val="22"/>
        </w:rPr>
        <w:t>L</w:t>
      </w:r>
      <w:r w:rsidR="005320C3" w:rsidRPr="00EB2B34">
        <w:rPr>
          <w:b/>
          <w:szCs w:val="22"/>
        </w:rPr>
        <w:t>epore</w:t>
      </w:r>
      <w:proofErr w:type="spellEnd"/>
      <w:r w:rsidR="00BD73A9" w:rsidRPr="00EB2B34">
        <w:rPr>
          <w:b/>
          <w:szCs w:val="22"/>
        </w:rPr>
        <w:t xml:space="preserve"> </w:t>
      </w:r>
      <w:r w:rsidR="008F1466" w:rsidRPr="00EB2B34">
        <w:rPr>
          <w:b/>
          <w:szCs w:val="22"/>
        </w:rPr>
        <w:t xml:space="preserve">2010 </w:t>
      </w:r>
      <w:r w:rsidRPr="00EB2B34">
        <w:rPr>
          <w:b/>
          <w:szCs w:val="22"/>
        </w:rPr>
        <w:t>Study</w:t>
      </w:r>
    </w:p>
    <w:p w:rsidR="005320C3" w:rsidRPr="00EB2B34" w:rsidRDefault="005320C3" w:rsidP="005320C3">
      <w:pPr>
        <w:pStyle w:val="ListParagraph"/>
        <w:widowControl/>
        <w:rPr>
          <w:szCs w:val="22"/>
        </w:rPr>
      </w:pPr>
    </w:p>
    <w:p w:rsidR="005320C3" w:rsidRPr="00EB2B34" w:rsidRDefault="00F47FB0" w:rsidP="005320C3">
      <w:pPr>
        <w:pStyle w:val="ListParagraph"/>
        <w:widowControl/>
        <w:numPr>
          <w:ilvl w:val="1"/>
          <w:numId w:val="16"/>
        </w:numPr>
        <w:snapToGrid w:val="0"/>
        <w:rPr>
          <w:szCs w:val="22"/>
        </w:rPr>
      </w:pPr>
      <w:r>
        <w:rPr>
          <w:szCs w:val="22"/>
        </w:rPr>
        <w:t>The table below</w:t>
      </w:r>
      <w:r w:rsidR="005320C3" w:rsidRPr="00EB2B34">
        <w:rPr>
          <w:szCs w:val="22"/>
        </w:rPr>
        <w:t xml:space="preserve"> summarises the change </w:t>
      </w:r>
      <w:r w:rsidR="00BD73A9" w:rsidRPr="00EB2B34">
        <w:rPr>
          <w:szCs w:val="22"/>
        </w:rPr>
        <w:t>in symptoms</w:t>
      </w:r>
      <w:r w:rsidR="005320C3" w:rsidRPr="00EB2B34">
        <w:rPr>
          <w:szCs w:val="22"/>
        </w:rPr>
        <w:t xml:space="preserve"> in the anakinra group and the control group in </w:t>
      </w:r>
      <w:r w:rsidR="00BD73A9" w:rsidRPr="00EB2B34">
        <w:rPr>
          <w:szCs w:val="22"/>
        </w:rPr>
        <w:t xml:space="preserve">the </w:t>
      </w:r>
      <w:proofErr w:type="spellStart"/>
      <w:r w:rsidR="005320C3" w:rsidRPr="00EB2B34">
        <w:rPr>
          <w:szCs w:val="22"/>
        </w:rPr>
        <w:t>Lepore</w:t>
      </w:r>
      <w:proofErr w:type="spellEnd"/>
      <w:r w:rsidR="00BF4BBE">
        <w:rPr>
          <w:szCs w:val="22"/>
        </w:rPr>
        <w:t xml:space="preserve"> 2010 </w:t>
      </w:r>
      <w:r w:rsidR="00BD73A9" w:rsidRPr="00EB2B34">
        <w:rPr>
          <w:szCs w:val="22"/>
        </w:rPr>
        <w:t>Study</w:t>
      </w:r>
      <w:r w:rsidR="005320C3" w:rsidRPr="00EB2B34">
        <w:rPr>
          <w:szCs w:val="22"/>
        </w:rPr>
        <w:t xml:space="preserve">. </w:t>
      </w:r>
    </w:p>
    <w:p w:rsidR="00DE7844" w:rsidRDefault="00DE7844">
      <w:pPr>
        <w:widowControl/>
        <w:jc w:val="left"/>
        <w:rPr>
          <w:rStyle w:val="CommentReference"/>
        </w:rPr>
      </w:pPr>
    </w:p>
    <w:p w:rsidR="005320C3" w:rsidRPr="00EB2B34" w:rsidRDefault="005320C3" w:rsidP="005320C3">
      <w:pPr>
        <w:ind w:firstLine="720"/>
        <w:rPr>
          <w:rStyle w:val="CommentReference"/>
        </w:rPr>
      </w:pPr>
      <w:r w:rsidRPr="00EB2B34">
        <w:rPr>
          <w:rStyle w:val="CommentReference"/>
        </w:rPr>
        <w:t xml:space="preserve">Comparative change in the number of patients with clinical manifestations in </w:t>
      </w:r>
      <w:r w:rsidR="008F1466" w:rsidRPr="00EB2B34">
        <w:rPr>
          <w:rStyle w:val="CommentReference"/>
        </w:rPr>
        <w:t xml:space="preserve">Study </w:t>
      </w:r>
      <w:proofErr w:type="spellStart"/>
      <w:r w:rsidRPr="00EB2B34">
        <w:rPr>
          <w:rStyle w:val="CommentReference"/>
        </w:rPr>
        <w:t>Lepore</w:t>
      </w:r>
      <w:proofErr w:type="spellEnd"/>
      <w:r w:rsidR="00BD73A9" w:rsidRPr="00EB2B34">
        <w:rPr>
          <w:rStyle w:val="CommentReference"/>
        </w:rPr>
        <w:t xml:space="preserve"> </w:t>
      </w:r>
      <w:r w:rsidR="008F1466" w:rsidRPr="00EB2B34">
        <w:rPr>
          <w:rStyle w:val="CommentReference"/>
        </w:rPr>
        <w:t>2010</w:t>
      </w:r>
    </w:p>
    <w:tbl>
      <w:tblPr>
        <w:tblStyle w:val="TableGrid"/>
        <w:tblW w:w="8217" w:type="dxa"/>
        <w:tblInd w:w="822" w:type="dxa"/>
        <w:tblLayout w:type="fixed"/>
        <w:tblLook w:val="04A0" w:firstRow="1" w:lastRow="0" w:firstColumn="1" w:lastColumn="0" w:noHBand="0" w:noVBand="1"/>
      </w:tblPr>
      <w:tblGrid>
        <w:gridCol w:w="1980"/>
        <w:gridCol w:w="992"/>
        <w:gridCol w:w="1134"/>
        <w:gridCol w:w="992"/>
        <w:gridCol w:w="993"/>
        <w:gridCol w:w="1134"/>
        <w:gridCol w:w="992"/>
      </w:tblGrid>
      <w:tr w:rsidR="005320C3" w:rsidRPr="00EB2B34" w:rsidTr="007B6364">
        <w:tc>
          <w:tcPr>
            <w:tcW w:w="1980" w:type="dxa"/>
            <w:vMerge w:val="restart"/>
            <w:tcBorders>
              <w:top w:val="single" w:sz="4" w:space="0" w:color="auto"/>
              <w:left w:val="single" w:sz="4" w:space="0" w:color="auto"/>
              <w:bottom w:val="single" w:sz="4" w:space="0" w:color="auto"/>
              <w:right w:val="single" w:sz="4" w:space="0" w:color="auto"/>
            </w:tcBorders>
          </w:tcPr>
          <w:p w:rsidR="005320C3" w:rsidRPr="00EB2B34" w:rsidRDefault="005320C3">
            <w:pPr>
              <w:snapToGrid w:val="0"/>
              <w:jc w:val="center"/>
              <w:rPr>
                <w:rFonts w:ascii="Arial Narrow" w:hAnsi="Arial Narrow"/>
                <w:b/>
                <w:sz w:val="20"/>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5320C3" w:rsidRPr="00EB2B34" w:rsidRDefault="005320C3">
            <w:pPr>
              <w:jc w:val="center"/>
              <w:rPr>
                <w:rFonts w:ascii="Arial Narrow" w:hAnsi="Arial Narrow"/>
                <w:b/>
                <w:sz w:val="20"/>
              </w:rPr>
            </w:pPr>
            <w:r w:rsidRPr="00EB2B34">
              <w:rPr>
                <w:rFonts w:ascii="Arial Narrow" w:hAnsi="Arial Narrow"/>
                <w:b/>
                <w:sz w:val="20"/>
              </w:rPr>
              <w:t>Anakinra group</w:t>
            </w:r>
          </w:p>
          <w:p w:rsidR="005320C3" w:rsidRPr="00EB2B34" w:rsidRDefault="005320C3" w:rsidP="003304E2">
            <w:pPr>
              <w:snapToGrid w:val="0"/>
              <w:jc w:val="center"/>
              <w:rPr>
                <w:rFonts w:ascii="Arial Narrow" w:hAnsi="Arial Narrow"/>
                <w:b/>
                <w:sz w:val="20"/>
              </w:rPr>
            </w:pPr>
            <w:r w:rsidRPr="00EB2B34">
              <w:rPr>
                <w:rFonts w:ascii="Arial Narrow" w:hAnsi="Arial Narrow"/>
                <w:b/>
                <w:sz w:val="20"/>
              </w:rPr>
              <w:t>n (N=14)</w:t>
            </w:r>
          </w:p>
        </w:tc>
        <w:tc>
          <w:tcPr>
            <w:tcW w:w="3119" w:type="dxa"/>
            <w:gridSpan w:val="3"/>
            <w:tcBorders>
              <w:top w:val="single" w:sz="4" w:space="0" w:color="auto"/>
              <w:left w:val="single" w:sz="4" w:space="0" w:color="auto"/>
              <w:bottom w:val="single" w:sz="4" w:space="0" w:color="auto"/>
              <w:right w:val="single" w:sz="4" w:space="0" w:color="auto"/>
            </w:tcBorders>
            <w:hideMark/>
          </w:tcPr>
          <w:p w:rsidR="005320C3" w:rsidRPr="00EB2B34" w:rsidRDefault="005320C3">
            <w:pPr>
              <w:jc w:val="center"/>
              <w:rPr>
                <w:rFonts w:ascii="Arial Narrow" w:hAnsi="Arial Narrow"/>
                <w:b/>
                <w:sz w:val="20"/>
              </w:rPr>
            </w:pPr>
            <w:r w:rsidRPr="00EB2B34">
              <w:rPr>
                <w:rFonts w:ascii="Arial Narrow" w:hAnsi="Arial Narrow"/>
                <w:b/>
                <w:sz w:val="20"/>
              </w:rPr>
              <w:t>Control group</w:t>
            </w:r>
          </w:p>
          <w:p w:rsidR="005320C3" w:rsidRPr="00EB2B34" w:rsidRDefault="003304E2">
            <w:pPr>
              <w:snapToGrid w:val="0"/>
              <w:jc w:val="center"/>
              <w:rPr>
                <w:rFonts w:ascii="Arial Narrow" w:hAnsi="Arial Narrow"/>
                <w:b/>
                <w:sz w:val="20"/>
              </w:rPr>
            </w:pPr>
            <w:r w:rsidRPr="00EB2B34">
              <w:rPr>
                <w:rFonts w:ascii="Arial Narrow" w:hAnsi="Arial Narrow"/>
                <w:b/>
                <w:sz w:val="20"/>
              </w:rPr>
              <w:t xml:space="preserve">n </w:t>
            </w:r>
            <w:r w:rsidR="005320C3" w:rsidRPr="00EB2B34">
              <w:rPr>
                <w:rFonts w:ascii="Arial Narrow" w:hAnsi="Arial Narrow"/>
                <w:b/>
                <w:sz w:val="20"/>
              </w:rPr>
              <w:t>(N=5)</w:t>
            </w:r>
          </w:p>
        </w:tc>
      </w:tr>
      <w:tr w:rsidR="005320C3" w:rsidRPr="00EB2B34" w:rsidTr="007B6364">
        <w:tc>
          <w:tcPr>
            <w:tcW w:w="1980" w:type="dxa"/>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b/>
                <w:sz w:val="20"/>
              </w:rPr>
            </w:pP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b/>
                <w:sz w:val="20"/>
              </w:rPr>
            </w:pPr>
            <w:r w:rsidRPr="00EB2B34">
              <w:rPr>
                <w:rFonts w:ascii="Arial Narrow" w:hAnsi="Arial Narrow"/>
                <w:b/>
                <w:sz w:val="20"/>
              </w:rPr>
              <w:t>Before treatment</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b/>
                <w:sz w:val="20"/>
              </w:rPr>
            </w:pPr>
            <w:r w:rsidRPr="00EB2B34">
              <w:rPr>
                <w:rFonts w:ascii="Arial Narrow" w:hAnsi="Arial Narrow"/>
                <w:b/>
                <w:sz w:val="20"/>
              </w:rPr>
              <w:t>Last follow-up</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b/>
                <w:sz w:val="20"/>
              </w:rPr>
            </w:pPr>
            <w:r w:rsidRPr="00EB2B34">
              <w:rPr>
                <w:rFonts w:ascii="Arial Narrow" w:hAnsi="Arial Narrow"/>
                <w:b/>
                <w:sz w:val="20"/>
              </w:rPr>
              <w:t>Change</w:t>
            </w:r>
          </w:p>
        </w:tc>
        <w:tc>
          <w:tcPr>
            <w:tcW w:w="993"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b/>
                <w:sz w:val="20"/>
              </w:rPr>
            </w:pPr>
            <w:r w:rsidRPr="00EB2B34">
              <w:rPr>
                <w:rFonts w:ascii="Arial Narrow" w:hAnsi="Arial Narrow"/>
                <w:b/>
                <w:sz w:val="20"/>
              </w:rPr>
              <w:t>Before treatment</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b/>
                <w:sz w:val="20"/>
              </w:rPr>
            </w:pPr>
            <w:r w:rsidRPr="00EB2B34">
              <w:rPr>
                <w:rFonts w:ascii="Arial Narrow" w:hAnsi="Arial Narrow"/>
                <w:b/>
                <w:sz w:val="20"/>
              </w:rPr>
              <w:t>Last follow-up</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b/>
                <w:sz w:val="20"/>
              </w:rPr>
            </w:pPr>
            <w:r w:rsidRPr="00EB2B34">
              <w:rPr>
                <w:rFonts w:ascii="Arial Narrow" w:hAnsi="Arial Narrow"/>
                <w:b/>
                <w:sz w:val="20"/>
              </w:rPr>
              <w:t>Change</w:t>
            </w:r>
          </w:p>
        </w:tc>
      </w:tr>
      <w:tr w:rsidR="005320C3" w:rsidRPr="00EB2B34" w:rsidTr="007B6364">
        <w:tc>
          <w:tcPr>
            <w:tcW w:w="1980"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Fever</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9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-9</w:t>
            </w:r>
          </w:p>
        </w:tc>
        <w:tc>
          <w:tcPr>
            <w:tcW w:w="993"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3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2202F4">
            <w:pPr>
              <w:snapToGrid w:val="0"/>
              <w:jc w:val="center"/>
              <w:rPr>
                <w:rFonts w:ascii="Arial Narrow" w:hAnsi="Arial Narrow"/>
                <w:sz w:val="20"/>
              </w:rPr>
            </w:pPr>
            <w:r w:rsidRPr="00EB2B34">
              <w:rPr>
                <w:rFonts w:ascii="Arial Narrow" w:hAnsi="Arial Narrow"/>
                <w:sz w:val="20"/>
              </w:rPr>
              <w:t xml:space="preserve">-3 </w:t>
            </w:r>
          </w:p>
        </w:tc>
      </w:tr>
      <w:tr w:rsidR="005320C3" w:rsidRPr="00EB2B34" w:rsidTr="007B6364">
        <w:tc>
          <w:tcPr>
            <w:tcW w:w="1980"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Rash</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14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-14 </w:t>
            </w:r>
          </w:p>
        </w:tc>
        <w:tc>
          <w:tcPr>
            <w:tcW w:w="993"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5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2202F4">
            <w:pPr>
              <w:snapToGrid w:val="0"/>
              <w:jc w:val="center"/>
              <w:rPr>
                <w:rFonts w:ascii="Arial Narrow" w:hAnsi="Arial Narrow"/>
                <w:sz w:val="20"/>
              </w:rPr>
            </w:pPr>
            <w:r w:rsidRPr="00EB2B34">
              <w:rPr>
                <w:rFonts w:ascii="Arial Narrow" w:hAnsi="Arial Narrow"/>
                <w:sz w:val="20"/>
              </w:rPr>
              <w:t xml:space="preserve">-1 </w:t>
            </w:r>
          </w:p>
        </w:tc>
      </w:tr>
      <w:tr w:rsidR="005320C3" w:rsidRPr="00EB2B34" w:rsidTr="007B6364">
        <w:tc>
          <w:tcPr>
            <w:tcW w:w="1980"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Arthritis</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13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-13</w:t>
            </w:r>
          </w:p>
        </w:tc>
        <w:tc>
          <w:tcPr>
            <w:tcW w:w="993"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4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2202F4">
            <w:pPr>
              <w:snapToGrid w:val="0"/>
              <w:jc w:val="center"/>
              <w:rPr>
                <w:rFonts w:ascii="Arial Narrow" w:hAnsi="Arial Narrow"/>
                <w:sz w:val="20"/>
              </w:rPr>
            </w:pPr>
            <w:r w:rsidRPr="00EB2B34">
              <w:rPr>
                <w:rFonts w:ascii="Arial Narrow" w:hAnsi="Arial Narrow"/>
                <w:sz w:val="20"/>
              </w:rPr>
              <w:t xml:space="preserve">0 </w:t>
            </w:r>
          </w:p>
        </w:tc>
      </w:tr>
      <w:tr w:rsidR="005320C3" w:rsidRPr="00EB2B34" w:rsidTr="007B6364">
        <w:tc>
          <w:tcPr>
            <w:tcW w:w="1980"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Headache</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11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-11 </w:t>
            </w:r>
          </w:p>
        </w:tc>
        <w:tc>
          <w:tcPr>
            <w:tcW w:w="993"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3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2202F4">
            <w:pPr>
              <w:snapToGrid w:val="0"/>
              <w:jc w:val="center"/>
              <w:rPr>
                <w:rFonts w:ascii="Arial Narrow" w:hAnsi="Arial Narrow"/>
                <w:sz w:val="20"/>
              </w:rPr>
            </w:pPr>
            <w:r w:rsidRPr="00EB2B34">
              <w:rPr>
                <w:rFonts w:ascii="Arial Narrow" w:hAnsi="Arial Narrow"/>
                <w:sz w:val="20"/>
              </w:rPr>
              <w:t xml:space="preserve">1 </w:t>
            </w:r>
          </w:p>
        </w:tc>
      </w:tr>
      <w:tr w:rsidR="005320C3" w:rsidRPr="00EB2B34" w:rsidTr="007B6364">
        <w:tc>
          <w:tcPr>
            <w:tcW w:w="1980" w:type="dxa"/>
            <w:tcBorders>
              <w:top w:val="single" w:sz="4" w:space="0" w:color="auto"/>
              <w:left w:val="single" w:sz="4" w:space="0" w:color="auto"/>
              <w:bottom w:val="single" w:sz="4" w:space="0" w:color="auto"/>
              <w:right w:val="single" w:sz="4" w:space="0" w:color="auto"/>
            </w:tcBorders>
            <w:hideMark/>
          </w:tcPr>
          <w:p w:rsidR="005320C3" w:rsidRPr="00EB2B34" w:rsidRDefault="008F1466">
            <w:pPr>
              <w:snapToGrid w:val="0"/>
              <w:rPr>
                <w:rFonts w:ascii="Arial Narrow" w:hAnsi="Arial Narrow"/>
                <w:sz w:val="20"/>
              </w:rPr>
            </w:pPr>
            <w:r w:rsidRPr="00EB2B34">
              <w:rPr>
                <w:rFonts w:ascii="Arial Narrow" w:hAnsi="Arial Narrow"/>
                <w:sz w:val="20"/>
              </w:rPr>
              <w:t>Papilledema</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7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-3 </w:t>
            </w:r>
          </w:p>
        </w:tc>
        <w:tc>
          <w:tcPr>
            <w:tcW w:w="993"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2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3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2202F4">
            <w:pPr>
              <w:snapToGrid w:val="0"/>
              <w:jc w:val="center"/>
              <w:rPr>
                <w:rFonts w:ascii="Arial Narrow" w:hAnsi="Arial Narrow"/>
                <w:sz w:val="20"/>
              </w:rPr>
            </w:pPr>
            <w:r w:rsidRPr="00EB2B34">
              <w:rPr>
                <w:rFonts w:ascii="Arial Narrow" w:hAnsi="Arial Narrow"/>
                <w:sz w:val="20"/>
              </w:rPr>
              <w:t xml:space="preserve">1 </w:t>
            </w:r>
          </w:p>
        </w:tc>
      </w:tr>
      <w:tr w:rsidR="005320C3" w:rsidRPr="00EB2B34" w:rsidTr="007B6364">
        <w:tc>
          <w:tcPr>
            <w:tcW w:w="1980"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Hearing loss</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6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6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0 </w:t>
            </w:r>
          </w:p>
        </w:tc>
        <w:tc>
          <w:tcPr>
            <w:tcW w:w="993"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3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2202F4">
            <w:pPr>
              <w:snapToGrid w:val="0"/>
              <w:jc w:val="center"/>
              <w:rPr>
                <w:rFonts w:ascii="Arial Narrow" w:hAnsi="Arial Narrow"/>
                <w:sz w:val="20"/>
              </w:rPr>
            </w:pPr>
            <w:r w:rsidRPr="00EB2B34">
              <w:rPr>
                <w:rFonts w:ascii="Arial Narrow" w:hAnsi="Arial Narrow"/>
                <w:sz w:val="20"/>
              </w:rPr>
              <w:t xml:space="preserve">1 </w:t>
            </w:r>
          </w:p>
        </w:tc>
      </w:tr>
      <w:tr w:rsidR="005320C3" w:rsidRPr="00EB2B34" w:rsidTr="007B6364">
        <w:tc>
          <w:tcPr>
            <w:tcW w:w="1980"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rPr>
                <w:rFonts w:ascii="Arial Narrow" w:hAnsi="Arial Narrow"/>
                <w:sz w:val="20"/>
              </w:rPr>
            </w:pPr>
            <w:r w:rsidRPr="00EB2B34">
              <w:rPr>
                <w:rFonts w:ascii="Arial Narrow" w:hAnsi="Arial Narrow"/>
                <w:sz w:val="20"/>
              </w:rPr>
              <w:t>Bone dysplasia</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5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5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0 </w:t>
            </w:r>
          </w:p>
        </w:tc>
        <w:tc>
          <w:tcPr>
            <w:tcW w:w="993"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1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2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2202F4">
            <w:pPr>
              <w:snapToGrid w:val="0"/>
              <w:jc w:val="center"/>
              <w:rPr>
                <w:rFonts w:ascii="Arial Narrow" w:hAnsi="Arial Narrow"/>
                <w:sz w:val="20"/>
              </w:rPr>
            </w:pPr>
            <w:r w:rsidRPr="00EB2B34">
              <w:rPr>
                <w:rFonts w:ascii="Arial Narrow" w:hAnsi="Arial Narrow"/>
                <w:sz w:val="20"/>
              </w:rPr>
              <w:t xml:space="preserve">1 </w:t>
            </w:r>
          </w:p>
        </w:tc>
      </w:tr>
      <w:tr w:rsidR="005320C3" w:rsidRPr="00EB2B34" w:rsidTr="007B6364">
        <w:tc>
          <w:tcPr>
            <w:tcW w:w="1980" w:type="dxa"/>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ind w:right="-57"/>
              <w:rPr>
                <w:rFonts w:ascii="Arial Narrow" w:hAnsi="Arial Narrow"/>
                <w:sz w:val="20"/>
              </w:rPr>
            </w:pPr>
            <w:r w:rsidRPr="00EB2B34">
              <w:rPr>
                <w:rFonts w:ascii="Arial Narrow" w:hAnsi="Arial Narrow"/>
                <w:sz w:val="20"/>
              </w:rPr>
              <w:t xml:space="preserve">Acute phase </w:t>
            </w:r>
            <w:proofErr w:type="spellStart"/>
            <w:r w:rsidRPr="00EB2B34">
              <w:rPr>
                <w:rFonts w:ascii="Arial Narrow" w:hAnsi="Arial Narrow"/>
                <w:sz w:val="20"/>
              </w:rPr>
              <w:t>reactants</w:t>
            </w:r>
            <w:r w:rsidRPr="00EB2B34">
              <w:rPr>
                <w:rFonts w:ascii="Arial Narrow" w:hAnsi="Arial Narrow"/>
                <w:sz w:val="20"/>
                <w:vertAlign w:val="superscript"/>
              </w:rPr>
              <w:t>a</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14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-14 </w:t>
            </w:r>
          </w:p>
        </w:tc>
        <w:tc>
          <w:tcPr>
            <w:tcW w:w="993"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5 </w:t>
            </w:r>
          </w:p>
        </w:tc>
        <w:tc>
          <w:tcPr>
            <w:tcW w:w="1134" w:type="dxa"/>
            <w:tcBorders>
              <w:top w:val="single" w:sz="4" w:space="0" w:color="auto"/>
              <w:left w:val="single" w:sz="4" w:space="0" w:color="auto"/>
              <w:bottom w:val="single" w:sz="4" w:space="0" w:color="auto"/>
              <w:right w:val="single" w:sz="4" w:space="0" w:color="auto"/>
            </w:tcBorders>
            <w:hideMark/>
          </w:tcPr>
          <w:p w:rsidR="005320C3" w:rsidRPr="00EB2B34" w:rsidRDefault="005320C3" w:rsidP="003304E2">
            <w:pPr>
              <w:snapToGrid w:val="0"/>
              <w:jc w:val="center"/>
              <w:rPr>
                <w:rFonts w:ascii="Arial Narrow" w:hAnsi="Arial Narrow"/>
                <w:sz w:val="20"/>
              </w:rPr>
            </w:pPr>
            <w:r w:rsidRPr="00EB2B34">
              <w:rPr>
                <w:rFonts w:ascii="Arial Narrow" w:hAnsi="Arial Narrow"/>
                <w:sz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rsidR="005320C3" w:rsidRPr="00EB2B34" w:rsidRDefault="005320C3" w:rsidP="002202F4">
            <w:pPr>
              <w:snapToGrid w:val="0"/>
              <w:jc w:val="center"/>
              <w:rPr>
                <w:rFonts w:ascii="Arial Narrow" w:hAnsi="Arial Narrow"/>
                <w:sz w:val="20"/>
              </w:rPr>
            </w:pPr>
            <w:r w:rsidRPr="00EB2B34">
              <w:rPr>
                <w:rFonts w:ascii="Arial Narrow" w:hAnsi="Arial Narrow"/>
                <w:sz w:val="20"/>
              </w:rPr>
              <w:t xml:space="preserve">-1 </w:t>
            </w:r>
          </w:p>
        </w:tc>
      </w:tr>
    </w:tbl>
    <w:p w:rsidR="005320C3" w:rsidRPr="00EB2B34" w:rsidRDefault="005320C3" w:rsidP="005320C3">
      <w:pPr>
        <w:pStyle w:val="TableFooter"/>
        <w:ind w:left="720"/>
      </w:pPr>
      <w:proofErr w:type="spellStart"/>
      <w:proofErr w:type="gramStart"/>
      <w:r w:rsidRPr="00EB2B34">
        <w:rPr>
          <w:vertAlign w:val="superscript"/>
        </w:rPr>
        <w:t>a</w:t>
      </w:r>
      <w:proofErr w:type="spellEnd"/>
      <w:proofErr w:type="gramEnd"/>
      <w:r w:rsidRPr="00EB2B34">
        <w:t xml:space="preserve"> Including serum amyloid A, C-reactive protein, erythrocyte sedimentation rate, immunoglobulin G and immunoglobulin A. </w:t>
      </w:r>
    </w:p>
    <w:p w:rsidR="005320C3" w:rsidRPr="00EB2B34" w:rsidRDefault="005320C3" w:rsidP="00BB3BC5">
      <w:pPr>
        <w:pStyle w:val="TableFooter"/>
        <w:ind w:left="709"/>
        <w:rPr>
          <w:rStyle w:val="Font"/>
          <w:rFonts w:ascii="Arial Narrow" w:eastAsiaTheme="majorEastAsia" w:hAnsi="Arial Narrow"/>
          <w:sz w:val="18"/>
        </w:rPr>
      </w:pPr>
      <w:r w:rsidRPr="00EB2B34">
        <w:rPr>
          <w:rStyle w:val="Font"/>
          <w:rFonts w:ascii="Arial Narrow" w:eastAsiaTheme="majorEastAsia" w:hAnsi="Arial Narrow"/>
          <w:sz w:val="18"/>
        </w:rPr>
        <w:t>Source: Constructed during the evaluation based on Figure 9, p63 of the main submission</w:t>
      </w:r>
    </w:p>
    <w:p w:rsidR="005320C3" w:rsidRPr="00EB2B34" w:rsidRDefault="005320C3" w:rsidP="005320C3">
      <w:pPr>
        <w:rPr>
          <w:rFonts w:eastAsiaTheme="majorEastAsia"/>
          <w:szCs w:val="22"/>
        </w:rPr>
      </w:pPr>
    </w:p>
    <w:p w:rsidR="005320C3" w:rsidRPr="00EB2B34" w:rsidRDefault="005320C3" w:rsidP="005320C3">
      <w:pPr>
        <w:rPr>
          <w:b/>
          <w:szCs w:val="22"/>
        </w:rPr>
      </w:pPr>
      <w:proofErr w:type="spellStart"/>
      <w:r w:rsidRPr="00EB2B34">
        <w:rPr>
          <w:b/>
          <w:szCs w:val="22"/>
        </w:rPr>
        <w:t>Kuemmerle-Deschner</w:t>
      </w:r>
      <w:proofErr w:type="spellEnd"/>
      <w:r w:rsidR="00BD73A9" w:rsidRPr="00EB2B34">
        <w:rPr>
          <w:b/>
          <w:szCs w:val="22"/>
        </w:rPr>
        <w:t xml:space="preserve"> </w:t>
      </w:r>
      <w:r w:rsidR="001A6C3C" w:rsidRPr="00EB2B34">
        <w:rPr>
          <w:b/>
          <w:szCs w:val="22"/>
        </w:rPr>
        <w:t xml:space="preserve">2011 </w:t>
      </w:r>
      <w:r w:rsidR="00BD73A9" w:rsidRPr="00EB2B34">
        <w:rPr>
          <w:b/>
          <w:szCs w:val="22"/>
        </w:rPr>
        <w:t>Study</w:t>
      </w:r>
    </w:p>
    <w:p w:rsidR="005320C3" w:rsidRPr="00EB2B34" w:rsidRDefault="005320C3" w:rsidP="005320C3">
      <w:pPr>
        <w:rPr>
          <w:szCs w:val="22"/>
        </w:rPr>
      </w:pPr>
    </w:p>
    <w:p w:rsidR="005320C3" w:rsidRPr="00EB2B34" w:rsidRDefault="005320C3" w:rsidP="00771D92">
      <w:pPr>
        <w:pStyle w:val="ListParagraph"/>
        <w:widowControl/>
        <w:numPr>
          <w:ilvl w:val="1"/>
          <w:numId w:val="16"/>
        </w:numPr>
        <w:snapToGrid w:val="0"/>
        <w:rPr>
          <w:szCs w:val="22"/>
        </w:rPr>
      </w:pPr>
      <w:r w:rsidRPr="00EB2B34">
        <w:rPr>
          <w:szCs w:val="22"/>
        </w:rPr>
        <w:t xml:space="preserve">All 12 patients in the </w:t>
      </w:r>
      <w:r w:rsidR="001F1D12" w:rsidRPr="00EB2B34">
        <w:rPr>
          <w:szCs w:val="22"/>
        </w:rPr>
        <w:t xml:space="preserve">single-arm </w:t>
      </w:r>
      <w:proofErr w:type="spellStart"/>
      <w:r w:rsidRPr="00EB2B34">
        <w:rPr>
          <w:szCs w:val="22"/>
        </w:rPr>
        <w:t>Kuemmerle-Deschner</w:t>
      </w:r>
      <w:proofErr w:type="spellEnd"/>
      <w:r w:rsidRPr="00EB2B34">
        <w:rPr>
          <w:szCs w:val="22"/>
        </w:rPr>
        <w:t xml:space="preserve"> study </w:t>
      </w:r>
      <w:r w:rsidR="001F1D12" w:rsidRPr="00EB2B34">
        <w:rPr>
          <w:szCs w:val="22"/>
        </w:rPr>
        <w:t>responded</w:t>
      </w:r>
      <w:r w:rsidRPr="00EB2B34">
        <w:rPr>
          <w:szCs w:val="22"/>
        </w:rPr>
        <w:t xml:space="preserve"> to anakinra </w:t>
      </w:r>
      <w:r w:rsidR="008C768A" w:rsidRPr="00EB2B34">
        <w:rPr>
          <w:szCs w:val="22"/>
        </w:rPr>
        <w:t>as measured by the</w:t>
      </w:r>
      <w:r w:rsidR="00DD2603" w:rsidRPr="00EB2B34">
        <w:rPr>
          <w:szCs w:val="22"/>
        </w:rPr>
        <w:t xml:space="preserve"> disease activity s</w:t>
      </w:r>
      <w:r w:rsidRPr="00EB2B34">
        <w:rPr>
          <w:szCs w:val="22"/>
        </w:rPr>
        <w:t xml:space="preserve">core (DAS) (MWS DAS of &lt;10) at 2 weeks. The mean DAS at Week 2 was 3.2, representing a statistically significant improvement </w:t>
      </w:r>
      <w:r w:rsidRPr="00EB2B34">
        <w:rPr>
          <w:szCs w:val="22"/>
        </w:rPr>
        <w:lastRenderedPageBreak/>
        <w:t xml:space="preserve">compared to baseline (p&lt;0.001). </w:t>
      </w:r>
      <w:r w:rsidR="00771D92" w:rsidRPr="00EB2B34">
        <w:rPr>
          <w:szCs w:val="22"/>
        </w:rPr>
        <w:t>This study excluded patients concurrently treated with immunomodulatory agents (such as methotrexate) at patient en</w:t>
      </w:r>
      <w:r w:rsidR="00670E74">
        <w:rPr>
          <w:szCs w:val="22"/>
        </w:rPr>
        <w:t>rolment.</w:t>
      </w:r>
      <w:r w:rsidR="00670E74">
        <w:rPr>
          <w:szCs w:val="22"/>
        </w:rPr>
        <w:br/>
      </w:r>
      <w:r w:rsidR="00954396" w:rsidRPr="00EB2B34">
        <w:rPr>
          <w:szCs w:val="22"/>
        </w:rPr>
        <w:t xml:space="preserve">A before-and-after </w:t>
      </w:r>
      <w:r w:rsidR="000334CC" w:rsidRPr="00EB2B34">
        <w:rPr>
          <w:szCs w:val="22"/>
        </w:rPr>
        <w:t xml:space="preserve">comparison from this study may overestimate the benefit of anakinra over best supportive care in clinical practice. </w:t>
      </w:r>
      <w:r w:rsidR="00771D92" w:rsidRPr="00EB2B34">
        <w:rPr>
          <w:szCs w:val="22"/>
        </w:rPr>
        <w:t>In addition, t</w:t>
      </w:r>
      <w:r w:rsidR="007C231D" w:rsidRPr="00EB2B34">
        <w:rPr>
          <w:szCs w:val="22"/>
        </w:rPr>
        <w:t>he s</w:t>
      </w:r>
      <w:r w:rsidRPr="00EB2B34">
        <w:rPr>
          <w:szCs w:val="22"/>
        </w:rPr>
        <w:t xml:space="preserve">tudy did not </w:t>
      </w:r>
      <w:r w:rsidR="007C231D" w:rsidRPr="00EB2B34">
        <w:rPr>
          <w:szCs w:val="22"/>
        </w:rPr>
        <w:t>find</w:t>
      </w:r>
      <w:r w:rsidRPr="00EB2B34">
        <w:rPr>
          <w:szCs w:val="22"/>
        </w:rPr>
        <w:t xml:space="preserve"> </w:t>
      </w:r>
      <w:r w:rsidR="001A6C3C" w:rsidRPr="00EB2B34">
        <w:rPr>
          <w:szCs w:val="22"/>
        </w:rPr>
        <w:t xml:space="preserve">compelling </w:t>
      </w:r>
      <w:r w:rsidRPr="00EB2B34">
        <w:rPr>
          <w:szCs w:val="22"/>
        </w:rPr>
        <w:t xml:space="preserve">evidence </w:t>
      </w:r>
      <w:r w:rsidR="007C231D" w:rsidRPr="00EB2B34">
        <w:rPr>
          <w:szCs w:val="22"/>
        </w:rPr>
        <w:t xml:space="preserve">of a </w:t>
      </w:r>
      <w:r w:rsidRPr="00EB2B34">
        <w:rPr>
          <w:szCs w:val="22"/>
        </w:rPr>
        <w:t xml:space="preserve">beneficial treatment effect </w:t>
      </w:r>
      <w:r w:rsidR="007C231D" w:rsidRPr="00EB2B34">
        <w:rPr>
          <w:szCs w:val="22"/>
        </w:rPr>
        <w:t xml:space="preserve">from </w:t>
      </w:r>
      <w:r w:rsidRPr="00EB2B34">
        <w:rPr>
          <w:szCs w:val="22"/>
        </w:rPr>
        <w:t xml:space="preserve">anakinra on some important CAPS complications, including renal failure, </w:t>
      </w:r>
      <w:proofErr w:type="spellStart"/>
      <w:r w:rsidRPr="00EB2B34">
        <w:rPr>
          <w:szCs w:val="22"/>
        </w:rPr>
        <w:t>papill</w:t>
      </w:r>
      <w:r w:rsidR="007C231D" w:rsidRPr="00EB2B34">
        <w:rPr>
          <w:szCs w:val="22"/>
        </w:rPr>
        <w:t>o</w:t>
      </w:r>
      <w:r w:rsidRPr="00EB2B34">
        <w:rPr>
          <w:szCs w:val="22"/>
        </w:rPr>
        <w:t>edema</w:t>
      </w:r>
      <w:proofErr w:type="spellEnd"/>
      <w:r w:rsidRPr="00EB2B34">
        <w:rPr>
          <w:szCs w:val="22"/>
        </w:rPr>
        <w:t xml:space="preserve"> and </w:t>
      </w:r>
      <w:proofErr w:type="spellStart"/>
      <w:r w:rsidR="004049C5">
        <w:rPr>
          <w:szCs w:val="22"/>
        </w:rPr>
        <w:t>sensorineural</w:t>
      </w:r>
      <w:proofErr w:type="spellEnd"/>
      <w:r w:rsidR="004049C5">
        <w:rPr>
          <w:szCs w:val="22"/>
        </w:rPr>
        <w:t xml:space="preserve"> hearing loss. It wa</w:t>
      </w:r>
      <w:r w:rsidRPr="00EB2B34">
        <w:rPr>
          <w:szCs w:val="22"/>
        </w:rPr>
        <w:t>s acknowledged that the median follow-up of 11 months in this study may not be sufficient to examine the impact of anakinra on these CAPS complications.</w:t>
      </w:r>
    </w:p>
    <w:p w:rsidR="005320C3" w:rsidRPr="00EB2B34" w:rsidRDefault="005320C3" w:rsidP="005320C3">
      <w:pPr>
        <w:pStyle w:val="ListParagraph"/>
        <w:widowControl/>
        <w:rPr>
          <w:szCs w:val="22"/>
        </w:rPr>
      </w:pPr>
    </w:p>
    <w:p w:rsidR="005320C3" w:rsidRPr="00EB2B34" w:rsidRDefault="005320C3" w:rsidP="005320C3">
      <w:pPr>
        <w:widowControl/>
        <w:rPr>
          <w:b/>
          <w:szCs w:val="22"/>
        </w:rPr>
      </w:pPr>
      <w:r w:rsidRPr="00EB2B34">
        <w:rPr>
          <w:b/>
          <w:szCs w:val="22"/>
        </w:rPr>
        <w:t>Ross</w:t>
      </w:r>
      <w:r w:rsidR="00F17B11" w:rsidRPr="00EB2B34">
        <w:rPr>
          <w:b/>
          <w:szCs w:val="22"/>
        </w:rPr>
        <w:t xml:space="preserve"> </w:t>
      </w:r>
      <w:r w:rsidR="001A6C3C" w:rsidRPr="00EB2B34">
        <w:rPr>
          <w:b/>
          <w:szCs w:val="22"/>
        </w:rPr>
        <w:t xml:space="preserve">2008 </w:t>
      </w:r>
      <w:r w:rsidR="00F17B11" w:rsidRPr="00EB2B34">
        <w:rPr>
          <w:b/>
          <w:szCs w:val="22"/>
        </w:rPr>
        <w:t>Study</w:t>
      </w:r>
    </w:p>
    <w:p w:rsidR="005320C3" w:rsidRPr="00EB2B34" w:rsidRDefault="005320C3" w:rsidP="005320C3">
      <w:pPr>
        <w:widowControl/>
        <w:rPr>
          <w:b/>
          <w:szCs w:val="22"/>
        </w:rPr>
      </w:pPr>
    </w:p>
    <w:p w:rsidR="005320C3" w:rsidRPr="00EB2B34" w:rsidRDefault="005320C3" w:rsidP="005320C3">
      <w:pPr>
        <w:pStyle w:val="ListParagraph"/>
        <w:widowControl/>
        <w:numPr>
          <w:ilvl w:val="1"/>
          <w:numId w:val="16"/>
        </w:numPr>
        <w:snapToGrid w:val="0"/>
        <w:rPr>
          <w:szCs w:val="22"/>
        </w:rPr>
      </w:pPr>
      <w:r w:rsidRPr="00EB2B34">
        <w:rPr>
          <w:szCs w:val="22"/>
        </w:rPr>
        <w:t xml:space="preserve">All eight patients in </w:t>
      </w:r>
      <w:r w:rsidR="007C231D" w:rsidRPr="00EB2B34">
        <w:rPr>
          <w:szCs w:val="22"/>
        </w:rPr>
        <w:t xml:space="preserve">this </w:t>
      </w:r>
      <w:r w:rsidR="001F1D12" w:rsidRPr="00EB2B34">
        <w:rPr>
          <w:szCs w:val="22"/>
        </w:rPr>
        <w:t xml:space="preserve">single-arm </w:t>
      </w:r>
      <w:r w:rsidRPr="00EB2B34">
        <w:rPr>
          <w:szCs w:val="22"/>
        </w:rPr>
        <w:t xml:space="preserve">study had their FCAS-associated clinical manifestations resolve within 1 day after the initiation of anakinra therapy and remained symptom-free during the 4-week treatment period. Following withdrawal of anakinra treatment, the symptoms relapsed completely in all but one (the patient with moderate FCAS) within 36 hours. Patients enrolled in the Ross study were not allowed to receive best supportive care 2 weeks before the baseline visit. </w:t>
      </w:r>
    </w:p>
    <w:p w:rsidR="005320C3" w:rsidRPr="00EB2B34" w:rsidRDefault="005320C3" w:rsidP="005320C3">
      <w:pPr>
        <w:rPr>
          <w:szCs w:val="22"/>
        </w:rPr>
      </w:pPr>
    </w:p>
    <w:p w:rsidR="005320C3" w:rsidRPr="00EB2B34" w:rsidRDefault="00B80E6F" w:rsidP="005320C3">
      <w:pPr>
        <w:rPr>
          <w:b/>
          <w:szCs w:val="22"/>
        </w:rPr>
      </w:pPr>
      <w:r w:rsidRPr="00EB2B34">
        <w:rPr>
          <w:b/>
          <w:szCs w:val="22"/>
        </w:rPr>
        <w:t>Proportion m</w:t>
      </w:r>
      <w:r w:rsidR="005320C3" w:rsidRPr="00EB2B34">
        <w:rPr>
          <w:b/>
          <w:szCs w:val="22"/>
        </w:rPr>
        <w:t>eta-analysis</w:t>
      </w:r>
    </w:p>
    <w:p w:rsidR="005320C3" w:rsidRPr="00EB2B34" w:rsidRDefault="005320C3" w:rsidP="005320C3">
      <w:pPr>
        <w:rPr>
          <w:szCs w:val="22"/>
        </w:rPr>
      </w:pPr>
    </w:p>
    <w:p w:rsidR="004049C5" w:rsidRDefault="005320C3" w:rsidP="000100DB">
      <w:pPr>
        <w:pStyle w:val="ListParagraph"/>
        <w:widowControl/>
        <w:numPr>
          <w:ilvl w:val="1"/>
          <w:numId w:val="16"/>
        </w:numPr>
        <w:snapToGrid w:val="0"/>
        <w:rPr>
          <w:szCs w:val="22"/>
        </w:rPr>
      </w:pPr>
      <w:r w:rsidRPr="00EB2B34">
        <w:rPr>
          <w:szCs w:val="22"/>
        </w:rPr>
        <w:t>Overall,</w:t>
      </w:r>
      <w:r w:rsidR="003578E1">
        <w:rPr>
          <w:szCs w:val="22"/>
        </w:rPr>
        <w:t xml:space="preserve"> from </w:t>
      </w:r>
      <w:r w:rsidR="003578E1" w:rsidRPr="00EB2B34">
        <w:rPr>
          <w:szCs w:val="22"/>
        </w:rPr>
        <w:t xml:space="preserve">the proportion meta-analysis of the 03-AR-0298, </w:t>
      </w:r>
      <w:proofErr w:type="spellStart"/>
      <w:r w:rsidR="003578E1" w:rsidRPr="00EB2B34">
        <w:rPr>
          <w:szCs w:val="22"/>
        </w:rPr>
        <w:t>Lepore</w:t>
      </w:r>
      <w:proofErr w:type="spellEnd"/>
      <w:r w:rsidR="003578E1" w:rsidRPr="00EB2B34">
        <w:rPr>
          <w:szCs w:val="22"/>
        </w:rPr>
        <w:t xml:space="preserve"> and </w:t>
      </w:r>
      <w:proofErr w:type="spellStart"/>
      <w:r w:rsidR="003578E1" w:rsidRPr="00EB2B34">
        <w:rPr>
          <w:szCs w:val="22"/>
        </w:rPr>
        <w:t>Kuemmerle-Deschner</w:t>
      </w:r>
      <w:proofErr w:type="spellEnd"/>
      <w:r w:rsidR="003578E1" w:rsidRPr="00EB2B34">
        <w:rPr>
          <w:szCs w:val="22"/>
        </w:rPr>
        <w:t xml:space="preserve"> studies</w:t>
      </w:r>
      <w:r w:rsidR="003578E1">
        <w:rPr>
          <w:szCs w:val="22"/>
        </w:rPr>
        <w:t>,</w:t>
      </w:r>
      <w:r w:rsidRPr="00EB2B34">
        <w:rPr>
          <w:szCs w:val="22"/>
        </w:rPr>
        <w:t xml:space="preserve"> patients receiving anakinra had statistically significantly improvements in all symptoms/inflammatory markers from baseline to t</w:t>
      </w:r>
      <w:r w:rsidR="004049C5">
        <w:rPr>
          <w:szCs w:val="22"/>
        </w:rPr>
        <w:t>he last follow-up. This supported</w:t>
      </w:r>
      <w:r w:rsidRPr="00EB2B34">
        <w:rPr>
          <w:szCs w:val="22"/>
        </w:rPr>
        <w:t xml:space="preserve"> the conclusions from the individual studies. As expected, results show</w:t>
      </w:r>
      <w:r w:rsidR="004049C5">
        <w:rPr>
          <w:szCs w:val="22"/>
        </w:rPr>
        <w:t>ed</w:t>
      </w:r>
      <w:r w:rsidR="007C231D" w:rsidRPr="00EB2B34">
        <w:rPr>
          <w:szCs w:val="22"/>
        </w:rPr>
        <w:t xml:space="preserve"> a</w:t>
      </w:r>
      <w:r w:rsidRPr="00EB2B34">
        <w:rPr>
          <w:szCs w:val="22"/>
        </w:rPr>
        <w:t xml:space="preserve"> high degree of heterogeneity </w:t>
      </w:r>
      <w:r w:rsidR="007C231D" w:rsidRPr="00EB2B34">
        <w:rPr>
          <w:szCs w:val="22"/>
        </w:rPr>
        <w:t xml:space="preserve">in results </w:t>
      </w:r>
      <w:r w:rsidRPr="00EB2B34">
        <w:rPr>
          <w:szCs w:val="22"/>
        </w:rPr>
        <w:t xml:space="preserve">across </w:t>
      </w:r>
      <w:r w:rsidR="007C231D" w:rsidRPr="00EB2B34">
        <w:rPr>
          <w:szCs w:val="22"/>
        </w:rPr>
        <w:t xml:space="preserve">the </w:t>
      </w:r>
      <w:r w:rsidRPr="00EB2B34">
        <w:rPr>
          <w:szCs w:val="22"/>
        </w:rPr>
        <w:t>studies.</w:t>
      </w:r>
      <w:r w:rsidR="000100DB">
        <w:rPr>
          <w:szCs w:val="22"/>
        </w:rPr>
        <w:t xml:space="preserve"> </w:t>
      </w:r>
      <w:r w:rsidR="000100DB" w:rsidRPr="007F6C15">
        <w:rPr>
          <w:szCs w:val="22"/>
        </w:rPr>
        <w:t>The ES</w:t>
      </w:r>
      <w:r w:rsidR="004049C5">
        <w:rPr>
          <w:szCs w:val="22"/>
        </w:rPr>
        <w:t>C advised that the meta-anal</w:t>
      </w:r>
      <w:r w:rsidR="000100DB" w:rsidRPr="007F6C15">
        <w:rPr>
          <w:szCs w:val="22"/>
        </w:rPr>
        <w:t xml:space="preserve">ysis’ validity is severely limited by: </w:t>
      </w:r>
    </w:p>
    <w:p w:rsidR="004049C5" w:rsidRDefault="000100DB" w:rsidP="004049C5">
      <w:pPr>
        <w:pStyle w:val="ListParagraph"/>
        <w:widowControl/>
        <w:snapToGrid w:val="0"/>
        <w:rPr>
          <w:szCs w:val="22"/>
        </w:rPr>
      </w:pPr>
      <w:r w:rsidRPr="007F6C15">
        <w:rPr>
          <w:szCs w:val="22"/>
        </w:rPr>
        <w:t xml:space="preserve">1) </w:t>
      </w:r>
      <w:proofErr w:type="gramStart"/>
      <w:r w:rsidRPr="007F6C15">
        <w:rPr>
          <w:szCs w:val="22"/>
        </w:rPr>
        <w:t>the</w:t>
      </w:r>
      <w:proofErr w:type="gramEnd"/>
      <w:r w:rsidRPr="007F6C15">
        <w:rPr>
          <w:szCs w:val="22"/>
        </w:rPr>
        <w:t xml:space="preserve"> extremely small control group (n=5, solely from the </w:t>
      </w:r>
      <w:proofErr w:type="spellStart"/>
      <w:r w:rsidRPr="007F6C15">
        <w:rPr>
          <w:szCs w:val="22"/>
        </w:rPr>
        <w:t>Lepore</w:t>
      </w:r>
      <w:proofErr w:type="spellEnd"/>
      <w:r w:rsidRPr="007F6C15">
        <w:rPr>
          <w:szCs w:val="22"/>
        </w:rPr>
        <w:t xml:space="preserve"> study); and </w:t>
      </w:r>
    </w:p>
    <w:p w:rsidR="004049C5" w:rsidRDefault="000100DB" w:rsidP="004049C5">
      <w:pPr>
        <w:pStyle w:val="ListParagraph"/>
        <w:widowControl/>
        <w:snapToGrid w:val="0"/>
        <w:rPr>
          <w:szCs w:val="22"/>
        </w:rPr>
      </w:pPr>
      <w:r w:rsidRPr="007F6C15">
        <w:rPr>
          <w:szCs w:val="22"/>
        </w:rPr>
        <w:t xml:space="preserve">2) </w:t>
      </w:r>
      <w:proofErr w:type="gramStart"/>
      <w:r w:rsidRPr="007F6C15">
        <w:rPr>
          <w:szCs w:val="22"/>
        </w:rPr>
        <w:t>the</w:t>
      </w:r>
      <w:proofErr w:type="gramEnd"/>
      <w:r w:rsidRPr="007F6C15">
        <w:rPr>
          <w:szCs w:val="22"/>
        </w:rPr>
        <w:t xml:space="preserve"> incomparability of some important prognostic factors between treated and untreated arms (confounding) and across treated cohorts (heterogeneity). </w:t>
      </w:r>
    </w:p>
    <w:p w:rsidR="005320C3" w:rsidRPr="007F6C15" w:rsidRDefault="000100DB" w:rsidP="004049C5">
      <w:pPr>
        <w:pStyle w:val="ListParagraph"/>
        <w:widowControl/>
        <w:snapToGrid w:val="0"/>
        <w:rPr>
          <w:szCs w:val="22"/>
        </w:rPr>
      </w:pPr>
      <w:r w:rsidRPr="007F6C15">
        <w:rPr>
          <w:szCs w:val="22"/>
        </w:rPr>
        <w:t>Therefore, the meta-analysis is exploratory in nature and should be interpreted with caution.</w:t>
      </w:r>
    </w:p>
    <w:p w:rsidR="005320C3" w:rsidRDefault="005320C3" w:rsidP="005320C3">
      <w:pPr>
        <w:rPr>
          <w:szCs w:val="22"/>
        </w:rPr>
      </w:pPr>
    </w:p>
    <w:p w:rsidR="00F47FB0" w:rsidRPr="007F6C15" w:rsidRDefault="00F47FB0" w:rsidP="00F47FB0">
      <w:pPr>
        <w:pStyle w:val="ListParagraph"/>
        <w:widowControl/>
        <w:numPr>
          <w:ilvl w:val="1"/>
          <w:numId w:val="16"/>
        </w:numPr>
        <w:snapToGrid w:val="0"/>
        <w:rPr>
          <w:szCs w:val="22"/>
        </w:rPr>
      </w:pPr>
      <w:r w:rsidRPr="00EB2B34">
        <w:t xml:space="preserve">The superior treatment effect of anakinra over best supportive care in terms of resolving common CAPS symptoms and inferior safety </w:t>
      </w:r>
      <w:r w:rsidR="004049C5">
        <w:t>wa</w:t>
      </w:r>
      <w:r w:rsidRPr="00EB2B34">
        <w:t>s supported by the evidence presented in the submission.</w:t>
      </w:r>
      <w:r w:rsidRPr="007F6C15">
        <w:t xml:space="preserve"> However, </w:t>
      </w:r>
      <w:r w:rsidR="004049C5">
        <w:t xml:space="preserve">consistent with the Commentary, </w:t>
      </w:r>
      <w:r w:rsidRPr="007F6C15">
        <w:t xml:space="preserve">the ESC </w:t>
      </w:r>
      <w:r w:rsidR="004049C5">
        <w:t xml:space="preserve">advised </w:t>
      </w:r>
      <w:r w:rsidRPr="007F6C15">
        <w:t xml:space="preserve">that the magnitude of the clinical benefits of anakinra cannot be reliably estimated, due to </w:t>
      </w:r>
    </w:p>
    <w:p w:rsidR="00F47FB0" w:rsidRPr="007F6C15" w:rsidRDefault="00F47FB0" w:rsidP="00F47FB0">
      <w:pPr>
        <w:pStyle w:val="ListParagraph"/>
        <w:widowControl/>
        <w:numPr>
          <w:ilvl w:val="0"/>
          <w:numId w:val="23"/>
        </w:numPr>
        <w:snapToGrid w:val="0"/>
        <w:rPr>
          <w:szCs w:val="22"/>
        </w:rPr>
      </w:pPr>
      <w:r w:rsidRPr="007F6C15">
        <w:rPr>
          <w:szCs w:val="22"/>
        </w:rPr>
        <w:t>the open-label administration of anakinra and the subjective nature of the outcome</w:t>
      </w:r>
      <w:r w:rsidR="004049C5">
        <w:rPr>
          <w:szCs w:val="22"/>
        </w:rPr>
        <w:t>s</w:t>
      </w:r>
      <w:r w:rsidRPr="007F6C15">
        <w:rPr>
          <w:szCs w:val="22"/>
        </w:rPr>
        <w:t>,</w:t>
      </w:r>
    </w:p>
    <w:p w:rsidR="00F47FB0" w:rsidRPr="007F6C15" w:rsidRDefault="00F47FB0" w:rsidP="00F47FB0">
      <w:pPr>
        <w:pStyle w:val="ListParagraph"/>
        <w:widowControl/>
        <w:numPr>
          <w:ilvl w:val="0"/>
          <w:numId w:val="23"/>
        </w:numPr>
        <w:snapToGrid w:val="0"/>
        <w:rPr>
          <w:szCs w:val="22"/>
        </w:rPr>
      </w:pPr>
      <w:r w:rsidRPr="007F6C15">
        <w:rPr>
          <w:szCs w:val="22"/>
        </w:rPr>
        <w:t xml:space="preserve">the difference in some patient characteristics between the treatment groups and their controls in Studies 03-AR-0298 and </w:t>
      </w:r>
      <w:proofErr w:type="spellStart"/>
      <w:r w:rsidRPr="007F6C15">
        <w:rPr>
          <w:szCs w:val="22"/>
        </w:rPr>
        <w:t>Lepore</w:t>
      </w:r>
      <w:proofErr w:type="spellEnd"/>
      <w:r w:rsidRPr="007F6C15">
        <w:rPr>
          <w:szCs w:val="22"/>
        </w:rPr>
        <w:t xml:space="preserve"> 2010, </w:t>
      </w:r>
    </w:p>
    <w:p w:rsidR="00F47FB0" w:rsidRPr="007F6C15" w:rsidRDefault="00F47FB0" w:rsidP="00F47FB0">
      <w:pPr>
        <w:pStyle w:val="ListParagraph"/>
        <w:widowControl/>
        <w:numPr>
          <w:ilvl w:val="0"/>
          <w:numId w:val="23"/>
        </w:numPr>
        <w:snapToGrid w:val="0"/>
        <w:rPr>
          <w:szCs w:val="22"/>
        </w:rPr>
      </w:pPr>
      <w:r w:rsidRPr="007F6C15">
        <w:rPr>
          <w:szCs w:val="22"/>
        </w:rPr>
        <w:t xml:space="preserve">the absence of control groups in the studies by </w:t>
      </w:r>
      <w:proofErr w:type="spellStart"/>
      <w:r w:rsidRPr="007F6C15">
        <w:rPr>
          <w:szCs w:val="22"/>
        </w:rPr>
        <w:t>Kuemmerle-Deschner</w:t>
      </w:r>
      <w:proofErr w:type="spellEnd"/>
      <w:r w:rsidRPr="007F6C15">
        <w:rPr>
          <w:szCs w:val="22"/>
        </w:rPr>
        <w:t xml:space="preserve"> (2011) and Ross (2008), and </w:t>
      </w:r>
    </w:p>
    <w:p w:rsidR="00F47FB0" w:rsidRPr="007F6C15" w:rsidRDefault="00F47FB0" w:rsidP="00F47FB0">
      <w:pPr>
        <w:pStyle w:val="ListParagraph"/>
        <w:widowControl/>
        <w:numPr>
          <w:ilvl w:val="0"/>
          <w:numId w:val="23"/>
        </w:numPr>
        <w:snapToGrid w:val="0"/>
        <w:rPr>
          <w:szCs w:val="22"/>
        </w:rPr>
      </w:pPr>
      <w:proofErr w:type="gramStart"/>
      <w:r w:rsidRPr="007F6C15">
        <w:rPr>
          <w:szCs w:val="22"/>
        </w:rPr>
        <w:t>the</w:t>
      </w:r>
      <w:proofErr w:type="gramEnd"/>
      <w:r w:rsidRPr="007F6C15">
        <w:rPr>
          <w:szCs w:val="22"/>
        </w:rPr>
        <w:t xml:space="preserve"> very small number of patients in the included studies.</w:t>
      </w:r>
    </w:p>
    <w:p w:rsidR="00B177A3" w:rsidRPr="007F6C15" w:rsidRDefault="00B177A3" w:rsidP="00B177A3">
      <w:pPr>
        <w:pStyle w:val="ListParagraph"/>
        <w:widowControl/>
        <w:snapToGrid w:val="0"/>
      </w:pPr>
    </w:p>
    <w:p w:rsidR="00B177A3" w:rsidRDefault="00B177A3" w:rsidP="00B177A3">
      <w:pPr>
        <w:pStyle w:val="ListParagraph"/>
        <w:widowControl/>
        <w:numPr>
          <w:ilvl w:val="1"/>
          <w:numId w:val="16"/>
        </w:numPr>
        <w:snapToGrid w:val="0"/>
      </w:pPr>
      <w:r w:rsidRPr="00EB2B34">
        <w:t>Evidence indicate</w:t>
      </w:r>
      <w:r w:rsidR="004049C5">
        <w:t>d</w:t>
      </w:r>
      <w:r w:rsidRPr="00EB2B34">
        <w:t xml:space="preserve"> that anakinra had a limited effect on some important complications of CAPS (e.g. hearing loss, bone dysplasia and mental retardation), especially if treatment with anakinra did not start until the advanced stages of the </w:t>
      </w:r>
      <w:r w:rsidRPr="00EB2B34">
        <w:lastRenderedPageBreak/>
        <w:t>disease. The impact of anakinra on the prevention of organ involvement was not well-supported by the clinical evidence provided in the submission.</w:t>
      </w:r>
    </w:p>
    <w:p w:rsidR="00B177A3" w:rsidRPr="00EB2B34" w:rsidRDefault="00B177A3" w:rsidP="005320C3">
      <w:pPr>
        <w:rPr>
          <w:szCs w:val="22"/>
        </w:rPr>
      </w:pPr>
    </w:p>
    <w:p w:rsidR="005320C3" w:rsidRPr="00FE71D2" w:rsidRDefault="005320C3" w:rsidP="00FE71D2">
      <w:pPr>
        <w:rPr>
          <w:b/>
          <w:szCs w:val="22"/>
        </w:rPr>
      </w:pPr>
      <w:bookmarkStart w:id="9" w:name="_Toc398303327"/>
      <w:r w:rsidRPr="00FE71D2">
        <w:rPr>
          <w:b/>
          <w:szCs w:val="22"/>
        </w:rPr>
        <w:t>Comparative harms</w:t>
      </w:r>
      <w:bookmarkEnd w:id="9"/>
    </w:p>
    <w:p w:rsidR="005320C3" w:rsidRPr="00EB2B34" w:rsidRDefault="005320C3" w:rsidP="005320C3">
      <w:pPr>
        <w:ind w:left="720" w:hanging="720"/>
        <w:rPr>
          <w:szCs w:val="22"/>
        </w:rPr>
      </w:pPr>
    </w:p>
    <w:p w:rsidR="005320C3" w:rsidRPr="00EB2B34" w:rsidRDefault="004049C5" w:rsidP="005320C3">
      <w:pPr>
        <w:pStyle w:val="ListParagraph"/>
        <w:widowControl/>
        <w:numPr>
          <w:ilvl w:val="1"/>
          <w:numId w:val="16"/>
        </w:numPr>
        <w:snapToGrid w:val="0"/>
        <w:rPr>
          <w:szCs w:val="22"/>
        </w:rPr>
      </w:pPr>
      <w:r>
        <w:t>The submission did</w:t>
      </w:r>
      <w:r w:rsidR="005320C3" w:rsidRPr="00EB2B34">
        <w:t xml:space="preserve"> not present any safety data </w:t>
      </w:r>
      <w:r w:rsidR="00C507C7" w:rsidRPr="00EB2B34">
        <w:t>comparing</w:t>
      </w:r>
      <w:r w:rsidR="005320C3" w:rsidRPr="00EB2B34">
        <w:t xml:space="preserve"> anakinra ± best supportive care versus best supportive care</w:t>
      </w:r>
      <w:r w:rsidR="00C507C7" w:rsidRPr="00EB2B34">
        <w:t xml:space="preserve"> alone</w:t>
      </w:r>
      <w:r w:rsidR="005320C3" w:rsidRPr="00EB2B34">
        <w:t xml:space="preserve">. The absence of </w:t>
      </w:r>
      <w:r w:rsidR="00C507C7" w:rsidRPr="00EB2B34">
        <w:t>this information</w:t>
      </w:r>
      <w:r>
        <w:t xml:space="preserve"> made</w:t>
      </w:r>
      <w:r w:rsidR="005320C3" w:rsidRPr="00EB2B34">
        <w:t xml:space="preserve"> it impossible to estimate the proportions of adverse events (AEs) reported in anakinra studies that are likely to be attributable to anakinra therapy, rather than best supportive care and/or CAPS disease.</w:t>
      </w:r>
    </w:p>
    <w:p w:rsidR="005320C3" w:rsidRPr="00EB2B34" w:rsidRDefault="005320C3" w:rsidP="005320C3">
      <w:pPr>
        <w:pStyle w:val="ListParagraph"/>
        <w:widowControl/>
        <w:rPr>
          <w:szCs w:val="22"/>
        </w:rPr>
      </w:pPr>
    </w:p>
    <w:p w:rsidR="00B91BFC" w:rsidRPr="00B91BFC" w:rsidRDefault="005320C3" w:rsidP="00B91BFC">
      <w:pPr>
        <w:pStyle w:val="ListParagraph"/>
        <w:widowControl/>
        <w:numPr>
          <w:ilvl w:val="1"/>
          <w:numId w:val="16"/>
        </w:numPr>
        <w:snapToGrid w:val="0"/>
        <w:rPr>
          <w:szCs w:val="22"/>
        </w:rPr>
      </w:pPr>
      <w:r w:rsidRPr="00EB2B34">
        <w:rPr>
          <w:szCs w:val="22"/>
        </w:rPr>
        <w:t>The most common AEs associated with a</w:t>
      </w:r>
      <w:r w:rsidR="004049C5">
        <w:rPr>
          <w:szCs w:val="22"/>
        </w:rPr>
        <w:t>nakinra ± best supportive care we</w:t>
      </w:r>
      <w:r w:rsidRPr="00EB2B34">
        <w:rPr>
          <w:szCs w:val="22"/>
        </w:rPr>
        <w:t>re infections and injection site reaction</w:t>
      </w:r>
      <w:r w:rsidR="004B52F3" w:rsidRPr="00EB2B34">
        <w:rPr>
          <w:szCs w:val="22"/>
        </w:rPr>
        <w:t>s</w:t>
      </w:r>
      <w:r w:rsidRPr="00EB2B34">
        <w:rPr>
          <w:szCs w:val="22"/>
        </w:rPr>
        <w:t xml:space="preserve">. Serious drug-related AEs </w:t>
      </w:r>
      <w:r w:rsidR="00A655BF" w:rsidRPr="00EB2B34">
        <w:rPr>
          <w:szCs w:val="22"/>
        </w:rPr>
        <w:t xml:space="preserve">included </w:t>
      </w:r>
      <w:r w:rsidRPr="00EB2B34">
        <w:rPr>
          <w:szCs w:val="22"/>
        </w:rPr>
        <w:t>infections</w:t>
      </w:r>
      <w:r w:rsidR="001A6C3C" w:rsidRPr="00EB2B34">
        <w:rPr>
          <w:szCs w:val="22"/>
        </w:rPr>
        <w:t xml:space="preserve">, </w:t>
      </w:r>
      <w:r w:rsidR="00B91BFC">
        <w:rPr>
          <w:szCs w:val="22"/>
        </w:rPr>
        <w:t>(</w:t>
      </w:r>
      <w:r w:rsidR="00D548B5" w:rsidRPr="00EB2B34">
        <w:rPr>
          <w:szCs w:val="22"/>
        </w:rPr>
        <w:t>e.g.</w:t>
      </w:r>
      <w:r w:rsidR="001A6C3C" w:rsidRPr="00EB2B34">
        <w:rPr>
          <w:szCs w:val="22"/>
        </w:rPr>
        <w:t xml:space="preserve"> pneumonia</w:t>
      </w:r>
      <w:r w:rsidR="00B91BFC">
        <w:rPr>
          <w:szCs w:val="22"/>
        </w:rPr>
        <w:t>)</w:t>
      </w:r>
      <w:r w:rsidR="001A6C3C" w:rsidRPr="00EB2B34">
        <w:rPr>
          <w:szCs w:val="22"/>
        </w:rPr>
        <w:t xml:space="preserve"> and gastroenteritis</w:t>
      </w:r>
      <w:r w:rsidRPr="00EB2B34">
        <w:rPr>
          <w:szCs w:val="22"/>
        </w:rPr>
        <w:t>.</w:t>
      </w:r>
      <w:r w:rsidR="00B91BFC">
        <w:rPr>
          <w:szCs w:val="22"/>
        </w:rPr>
        <w:t xml:space="preserve"> The table below</w:t>
      </w:r>
      <w:r w:rsidR="00B91BFC" w:rsidRPr="00B91BFC">
        <w:rPr>
          <w:szCs w:val="22"/>
        </w:rPr>
        <w:t xml:space="preserve"> summarises treatment-emergent AEs (TEAEs) by categories reported in Study 03-AR-0298. </w:t>
      </w:r>
      <w:r w:rsidR="00B91BFC">
        <w:rPr>
          <w:szCs w:val="22"/>
        </w:rPr>
        <w:t xml:space="preserve"> </w:t>
      </w:r>
      <w:r w:rsidR="00B91BFC" w:rsidRPr="00B91BFC">
        <w:rPr>
          <w:szCs w:val="22"/>
        </w:rPr>
        <w:t>All AEs</w:t>
      </w:r>
      <w:r w:rsidR="00B91BFC">
        <w:rPr>
          <w:szCs w:val="22"/>
        </w:rPr>
        <w:t xml:space="preserve"> </w:t>
      </w:r>
      <w:r w:rsidR="00B91BFC" w:rsidRPr="00B91BFC">
        <w:rPr>
          <w:szCs w:val="22"/>
        </w:rPr>
        <w:t>recorded from the first dose of anakinra</w:t>
      </w:r>
      <w:r w:rsidR="00B91BFC">
        <w:rPr>
          <w:szCs w:val="22"/>
        </w:rPr>
        <w:t xml:space="preserve"> up to the m</w:t>
      </w:r>
      <w:r w:rsidR="00B91BFC" w:rsidRPr="00B91BFC">
        <w:rPr>
          <w:szCs w:val="22"/>
        </w:rPr>
        <w:t>onth 60 visit, the last day of study medication, or the data cut-off date</w:t>
      </w:r>
      <w:r w:rsidR="00B91BFC">
        <w:rPr>
          <w:szCs w:val="22"/>
        </w:rPr>
        <w:t>,</w:t>
      </w:r>
      <w:r w:rsidR="00B91BFC" w:rsidRPr="00B91BFC">
        <w:rPr>
          <w:szCs w:val="22"/>
        </w:rPr>
        <w:t xml:space="preserve"> are presented. TEAE is defined as any AE which did not occur prior to initiation of anakinra treatment. The safety population involved a total of 43 patients who received anakinra, of which 26 subjects (60.5%) had </w:t>
      </w:r>
      <w:proofErr w:type="gramStart"/>
      <w:r w:rsidR="00B91BFC" w:rsidRPr="00B91BFC">
        <w:rPr>
          <w:szCs w:val="22"/>
        </w:rPr>
        <w:t>a treatment</w:t>
      </w:r>
      <w:proofErr w:type="gramEnd"/>
      <w:r w:rsidR="00B91BFC" w:rsidRPr="00B91BFC">
        <w:rPr>
          <w:szCs w:val="22"/>
        </w:rPr>
        <w:t xml:space="preserve"> duration of </w:t>
      </w:r>
      <w:r w:rsidR="00B91BFC">
        <w:rPr>
          <w:szCs w:val="22"/>
        </w:rPr>
        <w:t xml:space="preserve">greater than </w:t>
      </w:r>
      <w:r w:rsidR="00B91BFC" w:rsidRPr="00B91BFC">
        <w:rPr>
          <w:szCs w:val="22"/>
        </w:rPr>
        <w:t xml:space="preserve">4 years. The median duration of anakinra exposure was 4.9 years and total exposure was 159.8 patient-years. Overall, the AE reporting rate decreased after the first year of anakinra treatment. </w:t>
      </w:r>
    </w:p>
    <w:p w:rsidR="005320C3" w:rsidRDefault="005320C3" w:rsidP="00B91BFC">
      <w:pPr>
        <w:pStyle w:val="ListParagraph"/>
        <w:widowControl/>
        <w:snapToGrid w:val="0"/>
        <w:rPr>
          <w:szCs w:val="22"/>
        </w:rPr>
      </w:pPr>
    </w:p>
    <w:p w:rsidR="00B91BFC" w:rsidRPr="00D27496" w:rsidRDefault="00B91BFC" w:rsidP="00B91BFC">
      <w:pPr>
        <w:ind w:left="709"/>
        <w:rPr>
          <w:rStyle w:val="CommentReference"/>
        </w:rPr>
      </w:pPr>
      <w:r w:rsidRPr="00D27496">
        <w:rPr>
          <w:rStyle w:val="CommentReference"/>
        </w:rPr>
        <w:t>Overview of adverse events</w:t>
      </w:r>
      <w:r>
        <w:rPr>
          <w:rStyle w:val="CommentReference"/>
        </w:rPr>
        <w:t xml:space="preserve"> in Study 03-AR-0298 (</w:t>
      </w:r>
      <w:r w:rsidRPr="00D27496">
        <w:rPr>
          <w:rStyle w:val="CommentReference"/>
        </w:rPr>
        <w:t>safety population</w:t>
      </w:r>
      <w:r>
        <w:rPr>
          <w:rStyle w:val="CommentReference"/>
        </w:rPr>
        <w:t>)</w:t>
      </w:r>
    </w:p>
    <w:tbl>
      <w:tblPr>
        <w:tblStyle w:val="TableGrid"/>
        <w:tblW w:w="0" w:type="auto"/>
        <w:tblInd w:w="817" w:type="dxa"/>
        <w:tblLook w:val="04A0" w:firstRow="1" w:lastRow="0" w:firstColumn="1" w:lastColumn="0" w:noHBand="0" w:noVBand="1"/>
      </w:tblPr>
      <w:tblGrid>
        <w:gridCol w:w="3402"/>
        <w:gridCol w:w="1418"/>
        <w:gridCol w:w="1275"/>
        <w:gridCol w:w="1418"/>
        <w:gridCol w:w="913"/>
      </w:tblGrid>
      <w:tr w:rsidR="00B91BFC" w:rsidRPr="00D27496" w:rsidTr="00B91BFC">
        <w:tc>
          <w:tcPr>
            <w:tcW w:w="3402" w:type="dxa"/>
            <w:vMerge w:val="restart"/>
            <w:shd w:val="clear" w:color="auto" w:fill="FFFFFF" w:themeFill="background1"/>
            <w:vAlign w:val="center"/>
          </w:tcPr>
          <w:p w:rsidR="00B91BFC" w:rsidRPr="00D27496" w:rsidRDefault="00B91BFC" w:rsidP="007F6C15">
            <w:pPr>
              <w:rPr>
                <w:rFonts w:ascii="Arial Narrow" w:hAnsi="Arial Narrow" w:cs="Times New Roman"/>
                <w:b/>
                <w:sz w:val="20"/>
              </w:rPr>
            </w:pPr>
            <w:r w:rsidRPr="00D27496">
              <w:rPr>
                <w:rFonts w:ascii="Arial Narrow" w:hAnsi="Arial Narrow" w:cs="Times New Roman"/>
                <w:b/>
                <w:sz w:val="20"/>
              </w:rPr>
              <w:t>Event category</w:t>
            </w:r>
          </w:p>
        </w:tc>
        <w:tc>
          <w:tcPr>
            <w:tcW w:w="2693" w:type="dxa"/>
            <w:gridSpan w:val="2"/>
            <w:shd w:val="clear" w:color="auto" w:fill="FFFFFF" w:themeFill="background1"/>
          </w:tcPr>
          <w:p w:rsidR="00B91BFC" w:rsidRPr="00D27496" w:rsidRDefault="00B91BFC" w:rsidP="007F6C15">
            <w:pPr>
              <w:jc w:val="center"/>
              <w:rPr>
                <w:rFonts w:ascii="Arial Narrow" w:hAnsi="Arial Narrow" w:cs="Times New Roman"/>
                <w:b/>
                <w:sz w:val="20"/>
              </w:rPr>
            </w:pPr>
            <w:r w:rsidRPr="00D27496">
              <w:rPr>
                <w:rFonts w:ascii="Arial Narrow" w:hAnsi="Arial Narrow" w:cs="Times New Roman"/>
                <w:b/>
                <w:sz w:val="20"/>
              </w:rPr>
              <w:t>Patient count</w:t>
            </w:r>
            <w:r>
              <w:rPr>
                <w:rFonts w:ascii="Arial Narrow" w:hAnsi="Arial Narrow" w:cs="Times New Roman"/>
                <w:b/>
                <w:sz w:val="20"/>
              </w:rPr>
              <w:t xml:space="preserve"> (N=43)</w:t>
            </w:r>
          </w:p>
        </w:tc>
        <w:tc>
          <w:tcPr>
            <w:tcW w:w="2331" w:type="dxa"/>
            <w:gridSpan w:val="2"/>
            <w:shd w:val="clear" w:color="auto" w:fill="FFFFFF" w:themeFill="background1"/>
          </w:tcPr>
          <w:p w:rsidR="00B91BFC" w:rsidRPr="00D27496" w:rsidRDefault="00B91BFC" w:rsidP="007F6C15">
            <w:pPr>
              <w:jc w:val="center"/>
              <w:rPr>
                <w:rFonts w:ascii="Arial Narrow" w:hAnsi="Arial Narrow" w:cs="Times New Roman"/>
                <w:b/>
                <w:sz w:val="20"/>
              </w:rPr>
            </w:pPr>
            <w:r w:rsidRPr="00D27496">
              <w:rPr>
                <w:rFonts w:ascii="Arial Narrow" w:hAnsi="Arial Narrow" w:cs="Times New Roman"/>
                <w:b/>
                <w:sz w:val="20"/>
              </w:rPr>
              <w:t>Event count</w:t>
            </w:r>
          </w:p>
        </w:tc>
      </w:tr>
      <w:tr w:rsidR="00B91BFC" w:rsidRPr="00D27496" w:rsidTr="00B91BFC">
        <w:tc>
          <w:tcPr>
            <w:tcW w:w="3402" w:type="dxa"/>
            <w:vMerge/>
            <w:shd w:val="clear" w:color="auto" w:fill="FFFFFF" w:themeFill="background1"/>
          </w:tcPr>
          <w:p w:rsidR="00B91BFC" w:rsidRPr="00D27496" w:rsidRDefault="00B91BFC" w:rsidP="007F6C15">
            <w:pPr>
              <w:rPr>
                <w:rFonts w:ascii="Arial Narrow" w:hAnsi="Arial Narrow" w:cs="Times New Roman"/>
                <w:b/>
                <w:sz w:val="20"/>
              </w:rPr>
            </w:pPr>
          </w:p>
        </w:tc>
        <w:tc>
          <w:tcPr>
            <w:tcW w:w="1418" w:type="dxa"/>
            <w:shd w:val="clear" w:color="auto" w:fill="FFFFFF" w:themeFill="background1"/>
          </w:tcPr>
          <w:p w:rsidR="00B91BFC" w:rsidRPr="00D27496" w:rsidRDefault="00B91BFC" w:rsidP="007F6C15">
            <w:pPr>
              <w:jc w:val="center"/>
              <w:rPr>
                <w:rFonts w:ascii="Arial Narrow" w:hAnsi="Arial Narrow" w:cs="Times New Roman"/>
                <w:b/>
                <w:sz w:val="20"/>
              </w:rPr>
            </w:pPr>
            <w:r w:rsidRPr="00D27496">
              <w:rPr>
                <w:rFonts w:ascii="Arial Narrow" w:hAnsi="Arial Narrow" w:cs="Times New Roman"/>
                <w:b/>
                <w:sz w:val="20"/>
              </w:rPr>
              <w:t>No. patients</w:t>
            </w:r>
          </w:p>
        </w:tc>
        <w:tc>
          <w:tcPr>
            <w:tcW w:w="1275" w:type="dxa"/>
            <w:shd w:val="clear" w:color="auto" w:fill="FFFFFF" w:themeFill="background1"/>
          </w:tcPr>
          <w:p w:rsidR="00B91BFC" w:rsidRPr="00D27496" w:rsidRDefault="00B91BFC" w:rsidP="007F6C15">
            <w:pPr>
              <w:jc w:val="center"/>
              <w:rPr>
                <w:rFonts w:ascii="Arial Narrow" w:hAnsi="Arial Narrow" w:cs="Times New Roman"/>
                <w:b/>
                <w:sz w:val="20"/>
              </w:rPr>
            </w:pPr>
            <w:r w:rsidRPr="00D27496">
              <w:rPr>
                <w:rFonts w:ascii="Arial Narrow" w:hAnsi="Arial Narrow" w:cs="Times New Roman"/>
                <w:b/>
                <w:sz w:val="20"/>
              </w:rPr>
              <w:t>%</w:t>
            </w:r>
          </w:p>
        </w:tc>
        <w:tc>
          <w:tcPr>
            <w:tcW w:w="1418" w:type="dxa"/>
            <w:shd w:val="clear" w:color="auto" w:fill="FFFFFF" w:themeFill="background1"/>
          </w:tcPr>
          <w:p w:rsidR="00B91BFC" w:rsidRPr="00D27496" w:rsidRDefault="00B91BFC" w:rsidP="007F6C15">
            <w:pPr>
              <w:jc w:val="center"/>
              <w:rPr>
                <w:rFonts w:ascii="Arial Narrow" w:hAnsi="Arial Narrow" w:cs="Times New Roman"/>
                <w:b/>
                <w:sz w:val="20"/>
              </w:rPr>
            </w:pPr>
            <w:r w:rsidRPr="00D27496">
              <w:rPr>
                <w:rFonts w:ascii="Arial Narrow" w:hAnsi="Arial Narrow" w:cs="Times New Roman"/>
                <w:b/>
                <w:sz w:val="20"/>
              </w:rPr>
              <w:t>No. events</w:t>
            </w:r>
          </w:p>
        </w:tc>
        <w:tc>
          <w:tcPr>
            <w:tcW w:w="913" w:type="dxa"/>
            <w:shd w:val="clear" w:color="auto" w:fill="FFFFFF" w:themeFill="background1"/>
          </w:tcPr>
          <w:p w:rsidR="00B91BFC" w:rsidRPr="00D27496" w:rsidRDefault="00B91BFC" w:rsidP="007F6C15">
            <w:pPr>
              <w:jc w:val="center"/>
              <w:rPr>
                <w:rFonts w:ascii="Arial Narrow" w:hAnsi="Arial Narrow" w:cs="Times New Roman"/>
                <w:b/>
                <w:sz w:val="20"/>
              </w:rPr>
            </w:pPr>
            <w:r>
              <w:rPr>
                <w:rFonts w:ascii="Arial Narrow" w:hAnsi="Arial Narrow" w:cs="Times New Roman"/>
                <w:b/>
                <w:sz w:val="20"/>
              </w:rPr>
              <w:t>%</w:t>
            </w:r>
          </w:p>
        </w:tc>
      </w:tr>
      <w:tr w:rsidR="00B91BFC" w:rsidRPr="00D27496" w:rsidTr="00B91BFC">
        <w:tc>
          <w:tcPr>
            <w:tcW w:w="3402" w:type="dxa"/>
          </w:tcPr>
          <w:p w:rsidR="00B91BFC" w:rsidRPr="00D27496" w:rsidRDefault="00B91BFC" w:rsidP="007F6C15">
            <w:pPr>
              <w:rPr>
                <w:rFonts w:ascii="Arial Narrow" w:hAnsi="Arial Narrow" w:cs="Times New Roman"/>
                <w:sz w:val="20"/>
              </w:rPr>
            </w:pPr>
            <w:r w:rsidRPr="00D27496">
              <w:rPr>
                <w:rFonts w:ascii="Arial Narrow" w:hAnsi="Arial Narrow" w:cs="Times New Roman"/>
                <w:sz w:val="20"/>
              </w:rPr>
              <w:t xml:space="preserve">Any </w:t>
            </w:r>
            <w:r>
              <w:rPr>
                <w:rFonts w:ascii="Arial Narrow" w:hAnsi="Arial Narrow" w:cs="Times New Roman"/>
                <w:sz w:val="20"/>
              </w:rPr>
              <w:t>treatment-emergent adverse event</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41</w:t>
            </w:r>
          </w:p>
        </w:tc>
        <w:tc>
          <w:tcPr>
            <w:tcW w:w="1275"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95.3</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1</w:t>
            </w:r>
            <w:r>
              <w:rPr>
                <w:rFonts w:ascii="Arial Narrow" w:hAnsi="Arial Narrow" w:cs="Times New Roman"/>
                <w:sz w:val="20"/>
              </w:rPr>
              <w:t>,</w:t>
            </w:r>
            <w:r w:rsidRPr="00D27496">
              <w:rPr>
                <w:rFonts w:ascii="Arial Narrow" w:hAnsi="Arial Narrow" w:cs="Times New Roman"/>
                <w:sz w:val="20"/>
              </w:rPr>
              <w:t>233</w:t>
            </w:r>
          </w:p>
        </w:tc>
        <w:tc>
          <w:tcPr>
            <w:tcW w:w="913" w:type="dxa"/>
          </w:tcPr>
          <w:p w:rsidR="00B91BFC" w:rsidRPr="00D27496" w:rsidRDefault="00B91BFC" w:rsidP="007F6C15">
            <w:pPr>
              <w:jc w:val="center"/>
              <w:rPr>
                <w:rFonts w:ascii="Arial Narrow" w:hAnsi="Arial Narrow" w:cs="Times New Roman"/>
                <w:sz w:val="20"/>
              </w:rPr>
            </w:pPr>
            <w:r>
              <w:rPr>
                <w:rFonts w:ascii="Arial Narrow" w:hAnsi="Arial Narrow" w:cs="Times New Roman"/>
                <w:sz w:val="20"/>
              </w:rPr>
              <w:t>100%</w:t>
            </w:r>
          </w:p>
        </w:tc>
      </w:tr>
      <w:tr w:rsidR="00B91BFC" w:rsidRPr="00D27496" w:rsidTr="00B91BFC">
        <w:tc>
          <w:tcPr>
            <w:tcW w:w="3402" w:type="dxa"/>
          </w:tcPr>
          <w:p w:rsidR="00B91BFC" w:rsidRPr="00D27496" w:rsidRDefault="00B91BFC" w:rsidP="007F6C15">
            <w:pPr>
              <w:rPr>
                <w:rFonts w:ascii="Arial Narrow" w:hAnsi="Arial Narrow" w:cs="Times New Roman"/>
                <w:sz w:val="20"/>
              </w:rPr>
            </w:pPr>
            <w:r w:rsidRPr="00D27496">
              <w:rPr>
                <w:rFonts w:ascii="Arial Narrow" w:hAnsi="Arial Narrow" w:cs="Times New Roman"/>
                <w:sz w:val="20"/>
              </w:rPr>
              <w:t xml:space="preserve">Severe </w:t>
            </w:r>
            <w:r>
              <w:rPr>
                <w:rFonts w:ascii="Arial Narrow" w:hAnsi="Arial Narrow" w:cs="Times New Roman"/>
                <w:sz w:val="20"/>
              </w:rPr>
              <w:t>treatment-emergent adverse event</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7</w:t>
            </w:r>
          </w:p>
        </w:tc>
        <w:tc>
          <w:tcPr>
            <w:tcW w:w="1275"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16.3</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14</w:t>
            </w:r>
          </w:p>
        </w:tc>
        <w:tc>
          <w:tcPr>
            <w:tcW w:w="913" w:type="dxa"/>
          </w:tcPr>
          <w:p w:rsidR="00B91BFC" w:rsidRPr="00D27496" w:rsidRDefault="00B91BFC" w:rsidP="007F6C15">
            <w:pPr>
              <w:jc w:val="center"/>
              <w:rPr>
                <w:rFonts w:ascii="Arial Narrow" w:hAnsi="Arial Narrow" w:cs="Times New Roman"/>
                <w:sz w:val="20"/>
              </w:rPr>
            </w:pPr>
            <w:r>
              <w:rPr>
                <w:rFonts w:ascii="Arial Narrow" w:hAnsi="Arial Narrow" w:cs="Times New Roman"/>
                <w:sz w:val="20"/>
              </w:rPr>
              <w:t>1.1</w:t>
            </w:r>
          </w:p>
        </w:tc>
      </w:tr>
      <w:tr w:rsidR="00B91BFC" w:rsidRPr="00D27496" w:rsidTr="00B91BFC">
        <w:tc>
          <w:tcPr>
            <w:tcW w:w="3402" w:type="dxa"/>
          </w:tcPr>
          <w:p w:rsidR="00B91BFC" w:rsidRPr="00D27496" w:rsidRDefault="00B91BFC" w:rsidP="007F6C15">
            <w:pPr>
              <w:rPr>
                <w:rFonts w:ascii="Arial Narrow" w:hAnsi="Arial Narrow" w:cs="Times New Roman"/>
                <w:sz w:val="20"/>
              </w:rPr>
            </w:pPr>
            <w:r>
              <w:rPr>
                <w:rFonts w:ascii="Arial Narrow" w:hAnsi="Arial Narrow" w:cs="Times New Roman"/>
                <w:sz w:val="20"/>
              </w:rPr>
              <w:t>Serious treatment-emergent adverse event</w:t>
            </w:r>
          </w:p>
        </w:tc>
        <w:tc>
          <w:tcPr>
            <w:tcW w:w="1418" w:type="dxa"/>
          </w:tcPr>
          <w:p w:rsidR="00B91BFC" w:rsidRPr="00D27496" w:rsidRDefault="00B91BFC" w:rsidP="007F6C15">
            <w:pPr>
              <w:jc w:val="center"/>
              <w:rPr>
                <w:rFonts w:ascii="Arial Narrow" w:hAnsi="Arial Narrow" w:cs="Times New Roman"/>
                <w:sz w:val="20"/>
              </w:rPr>
            </w:pPr>
            <w:r>
              <w:rPr>
                <w:rFonts w:ascii="Arial Narrow" w:hAnsi="Arial Narrow" w:cs="Times New Roman"/>
                <w:sz w:val="20"/>
              </w:rPr>
              <w:t>14</w:t>
            </w:r>
          </w:p>
        </w:tc>
        <w:tc>
          <w:tcPr>
            <w:tcW w:w="1275"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32.6</w:t>
            </w:r>
          </w:p>
        </w:tc>
        <w:tc>
          <w:tcPr>
            <w:tcW w:w="1418" w:type="dxa"/>
          </w:tcPr>
          <w:p w:rsidR="00B91BFC" w:rsidRPr="00D27496" w:rsidRDefault="00B91BFC" w:rsidP="007F6C15">
            <w:pPr>
              <w:jc w:val="center"/>
              <w:rPr>
                <w:rFonts w:ascii="Arial Narrow" w:hAnsi="Arial Narrow" w:cs="Times New Roman"/>
                <w:sz w:val="20"/>
              </w:rPr>
            </w:pPr>
            <w:r>
              <w:rPr>
                <w:rFonts w:ascii="Arial Narrow" w:hAnsi="Arial Narrow" w:cs="Times New Roman"/>
                <w:sz w:val="20"/>
              </w:rPr>
              <w:t>24</w:t>
            </w:r>
          </w:p>
        </w:tc>
        <w:tc>
          <w:tcPr>
            <w:tcW w:w="913" w:type="dxa"/>
          </w:tcPr>
          <w:p w:rsidR="00B91BFC" w:rsidRDefault="00B91BFC" w:rsidP="007F6C15">
            <w:pPr>
              <w:jc w:val="center"/>
              <w:rPr>
                <w:rFonts w:ascii="Arial Narrow" w:hAnsi="Arial Narrow" w:cs="Times New Roman"/>
                <w:sz w:val="20"/>
              </w:rPr>
            </w:pPr>
            <w:r>
              <w:rPr>
                <w:rFonts w:ascii="Arial Narrow" w:hAnsi="Arial Narrow" w:cs="Times New Roman"/>
                <w:sz w:val="20"/>
              </w:rPr>
              <w:t>1.9</w:t>
            </w:r>
          </w:p>
        </w:tc>
      </w:tr>
      <w:tr w:rsidR="00B91BFC" w:rsidRPr="00D27496" w:rsidTr="00B91BFC">
        <w:tc>
          <w:tcPr>
            <w:tcW w:w="3402" w:type="dxa"/>
          </w:tcPr>
          <w:p w:rsidR="00B91BFC" w:rsidRPr="00D27496" w:rsidRDefault="00B91BFC" w:rsidP="007F6C15">
            <w:pPr>
              <w:rPr>
                <w:rFonts w:ascii="Arial Narrow" w:hAnsi="Arial Narrow" w:cs="Times New Roman"/>
                <w:sz w:val="20"/>
              </w:rPr>
            </w:pPr>
            <w:r w:rsidRPr="00D27496">
              <w:rPr>
                <w:rFonts w:ascii="Arial Narrow" w:hAnsi="Arial Narrow" w:cs="Times New Roman"/>
                <w:sz w:val="20"/>
              </w:rPr>
              <w:t xml:space="preserve">Significant </w:t>
            </w:r>
            <w:r>
              <w:rPr>
                <w:rFonts w:ascii="Arial Narrow" w:hAnsi="Arial Narrow" w:cs="Times New Roman"/>
                <w:sz w:val="20"/>
              </w:rPr>
              <w:t>treatment-emergent adverse event</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15</w:t>
            </w:r>
          </w:p>
        </w:tc>
        <w:tc>
          <w:tcPr>
            <w:tcW w:w="1275"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34.9</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32</w:t>
            </w:r>
          </w:p>
        </w:tc>
        <w:tc>
          <w:tcPr>
            <w:tcW w:w="913" w:type="dxa"/>
          </w:tcPr>
          <w:p w:rsidR="00B91BFC" w:rsidRPr="00D27496" w:rsidRDefault="00B91BFC" w:rsidP="007F6C15">
            <w:pPr>
              <w:jc w:val="center"/>
              <w:rPr>
                <w:rFonts w:ascii="Arial Narrow" w:hAnsi="Arial Narrow" w:cs="Times New Roman"/>
                <w:sz w:val="20"/>
              </w:rPr>
            </w:pPr>
            <w:r>
              <w:rPr>
                <w:rFonts w:ascii="Arial Narrow" w:hAnsi="Arial Narrow" w:cs="Times New Roman"/>
                <w:sz w:val="20"/>
              </w:rPr>
              <w:t>2.6</w:t>
            </w:r>
          </w:p>
        </w:tc>
      </w:tr>
      <w:tr w:rsidR="00B91BFC" w:rsidRPr="00D27496" w:rsidTr="00B91BFC">
        <w:tc>
          <w:tcPr>
            <w:tcW w:w="3402" w:type="dxa"/>
          </w:tcPr>
          <w:p w:rsidR="00B91BFC" w:rsidRPr="00D27496" w:rsidRDefault="00B91BFC" w:rsidP="007F6C15">
            <w:pPr>
              <w:rPr>
                <w:rFonts w:ascii="Arial Narrow" w:hAnsi="Arial Narrow" w:cs="Times New Roman"/>
                <w:sz w:val="20"/>
              </w:rPr>
            </w:pPr>
            <w:r w:rsidRPr="00D27496">
              <w:rPr>
                <w:rFonts w:ascii="Arial Narrow" w:hAnsi="Arial Narrow" w:cs="Times New Roman"/>
                <w:sz w:val="20"/>
              </w:rPr>
              <w:t>Death</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0</w:t>
            </w:r>
          </w:p>
        </w:tc>
        <w:tc>
          <w:tcPr>
            <w:tcW w:w="1275"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0.0</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0</w:t>
            </w:r>
          </w:p>
        </w:tc>
        <w:tc>
          <w:tcPr>
            <w:tcW w:w="913" w:type="dxa"/>
          </w:tcPr>
          <w:p w:rsidR="00B91BFC" w:rsidRPr="00D27496" w:rsidRDefault="00B91BFC" w:rsidP="007F6C15">
            <w:pPr>
              <w:jc w:val="center"/>
              <w:rPr>
                <w:rFonts w:ascii="Arial Narrow" w:hAnsi="Arial Narrow" w:cs="Times New Roman"/>
                <w:sz w:val="20"/>
              </w:rPr>
            </w:pPr>
            <w:r>
              <w:rPr>
                <w:rFonts w:ascii="Arial Narrow" w:hAnsi="Arial Narrow" w:cs="Times New Roman"/>
                <w:sz w:val="20"/>
              </w:rPr>
              <w:t>0.0</w:t>
            </w:r>
          </w:p>
        </w:tc>
      </w:tr>
      <w:tr w:rsidR="00B91BFC" w:rsidRPr="00D27496" w:rsidTr="00B91BFC">
        <w:tc>
          <w:tcPr>
            <w:tcW w:w="3402" w:type="dxa"/>
          </w:tcPr>
          <w:p w:rsidR="00B91BFC" w:rsidRPr="00D27496" w:rsidRDefault="00B91BFC" w:rsidP="007F6C15">
            <w:pPr>
              <w:rPr>
                <w:rFonts w:ascii="Arial Narrow" w:hAnsi="Arial Narrow" w:cs="Times New Roman"/>
                <w:sz w:val="20"/>
              </w:rPr>
            </w:pPr>
            <w:r w:rsidRPr="00D27496">
              <w:rPr>
                <w:rFonts w:ascii="Arial Narrow" w:hAnsi="Arial Narrow" w:cs="Times New Roman"/>
                <w:sz w:val="20"/>
              </w:rPr>
              <w:t>AE leading to permanent discontinuation</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0</w:t>
            </w:r>
          </w:p>
        </w:tc>
        <w:tc>
          <w:tcPr>
            <w:tcW w:w="1275"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0.0</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0</w:t>
            </w:r>
          </w:p>
        </w:tc>
        <w:tc>
          <w:tcPr>
            <w:tcW w:w="913" w:type="dxa"/>
          </w:tcPr>
          <w:p w:rsidR="00B91BFC" w:rsidRPr="00D27496" w:rsidRDefault="00B91BFC" w:rsidP="007F6C15">
            <w:pPr>
              <w:jc w:val="center"/>
              <w:rPr>
                <w:rFonts w:ascii="Arial Narrow" w:hAnsi="Arial Narrow" w:cs="Times New Roman"/>
                <w:sz w:val="20"/>
              </w:rPr>
            </w:pPr>
            <w:r>
              <w:rPr>
                <w:rFonts w:ascii="Arial Narrow" w:hAnsi="Arial Narrow" w:cs="Times New Roman"/>
                <w:sz w:val="20"/>
              </w:rPr>
              <w:t>0.0</w:t>
            </w:r>
          </w:p>
        </w:tc>
      </w:tr>
      <w:tr w:rsidR="00B91BFC" w:rsidRPr="00D27496" w:rsidTr="00B91BFC">
        <w:tc>
          <w:tcPr>
            <w:tcW w:w="3402" w:type="dxa"/>
          </w:tcPr>
          <w:p w:rsidR="00B91BFC" w:rsidRPr="00D27496" w:rsidRDefault="00B91BFC" w:rsidP="007F6C15">
            <w:pPr>
              <w:rPr>
                <w:rFonts w:ascii="Arial Narrow" w:hAnsi="Arial Narrow" w:cs="Times New Roman"/>
                <w:sz w:val="20"/>
              </w:rPr>
            </w:pPr>
            <w:r w:rsidRPr="00D27496">
              <w:rPr>
                <w:rFonts w:ascii="Arial Narrow" w:hAnsi="Arial Narrow" w:cs="Times New Roman"/>
                <w:sz w:val="20"/>
              </w:rPr>
              <w:t>AE leading to temporary discontinuation</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1</w:t>
            </w:r>
          </w:p>
        </w:tc>
        <w:tc>
          <w:tcPr>
            <w:tcW w:w="1275"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2.3</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3</w:t>
            </w:r>
          </w:p>
        </w:tc>
        <w:tc>
          <w:tcPr>
            <w:tcW w:w="913" w:type="dxa"/>
          </w:tcPr>
          <w:p w:rsidR="00B91BFC" w:rsidRPr="00D27496" w:rsidRDefault="00B91BFC" w:rsidP="007F6C15">
            <w:pPr>
              <w:jc w:val="center"/>
              <w:rPr>
                <w:rFonts w:ascii="Arial Narrow" w:hAnsi="Arial Narrow" w:cs="Times New Roman"/>
                <w:sz w:val="20"/>
              </w:rPr>
            </w:pPr>
            <w:r>
              <w:rPr>
                <w:rFonts w:ascii="Arial Narrow" w:hAnsi="Arial Narrow" w:cs="Times New Roman"/>
                <w:sz w:val="20"/>
              </w:rPr>
              <w:t>0.2</w:t>
            </w:r>
          </w:p>
        </w:tc>
      </w:tr>
      <w:tr w:rsidR="00B91BFC" w:rsidRPr="00D27496" w:rsidTr="00B91BFC">
        <w:tc>
          <w:tcPr>
            <w:tcW w:w="3402" w:type="dxa"/>
          </w:tcPr>
          <w:p w:rsidR="00B91BFC" w:rsidRPr="00D27496" w:rsidRDefault="00B91BFC" w:rsidP="007F6C15">
            <w:pPr>
              <w:rPr>
                <w:rFonts w:ascii="Arial Narrow" w:hAnsi="Arial Narrow" w:cs="Times New Roman"/>
                <w:sz w:val="20"/>
              </w:rPr>
            </w:pPr>
            <w:r w:rsidRPr="00D27496">
              <w:rPr>
                <w:rFonts w:ascii="Arial Narrow" w:hAnsi="Arial Narrow" w:cs="Times New Roman"/>
                <w:sz w:val="20"/>
              </w:rPr>
              <w:t>AE leading to dose adjustment</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5</w:t>
            </w:r>
          </w:p>
        </w:tc>
        <w:tc>
          <w:tcPr>
            <w:tcW w:w="1275"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11.6</w:t>
            </w:r>
          </w:p>
        </w:tc>
        <w:tc>
          <w:tcPr>
            <w:tcW w:w="1418" w:type="dxa"/>
          </w:tcPr>
          <w:p w:rsidR="00B91BFC" w:rsidRPr="00D27496" w:rsidRDefault="00B91BFC" w:rsidP="007F6C15">
            <w:pPr>
              <w:jc w:val="center"/>
              <w:rPr>
                <w:rFonts w:ascii="Arial Narrow" w:hAnsi="Arial Narrow" w:cs="Times New Roman"/>
                <w:sz w:val="20"/>
              </w:rPr>
            </w:pPr>
            <w:r w:rsidRPr="00D27496">
              <w:rPr>
                <w:rFonts w:ascii="Arial Narrow" w:hAnsi="Arial Narrow" w:cs="Times New Roman"/>
                <w:sz w:val="20"/>
              </w:rPr>
              <w:t>11</w:t>
            </w:r>
          </w:p>
        </w:tc>
        <w:tc>
          <w:tcPr>
            <w:tcW w:w="913" w:type="dxa"/>
          </w:tcPr>
          <w:p w:rsidR="00B91BFC" w:rsidRPr="00D27496" w:rsidRDefault="00B91BFC" w:rsidP="007F6C15">
            <w:pPr>
              <w:jc w:val="center"/>
              <w:rPr>
                <w:rFonts w:ascii="Arial Narrow" w:hAnsi="Arial Narrow" w:cs="Times New Roman"/>
                <w:sz w:val="20"/>
              </w:rPr>
            </w:pPr>
            <w:r>
              <w:rPr>
                <w:rFonts w:ascii="Arial Narrow" w:hAnsi="Arial Narrow" w:cs="Times New Roman"/>
                <w:sz w:val="20"/>
              </w:rPr>
              <w:t>0.9</w:t>
            </w:r>
          </w:p>
        </w:tc>
      </w:tr>
    </w:tbl>
    <w:p w:rsidR="00B91BFC" w:rsidRPr="00B91BFC" w:rsidRDefault="00B91BFC" w:rsidP="00B91BFC">
      <w:pPr>
        <w:pStyle w:val="TableFooter"/>
        <w:ind w:left="709"/>
      </w:pPr>
      <w:r>
        <w:t>Source: Table 18, p60 of the main submission</w:t>
      </w:r>
    </w:p>
    <w:p w:rsidR="005320C3" w:rsidRPr="00EB2B34" w:rsidRDefault="005320C3" w:rsidP="005320C3">
      <w:pPr>
        <w:pStyle w:val="ListParagraph"/>
        <w:rPr>
          <w:szCs w:val="22"/>
        </w:rPr>
      </w:pPr>
    </w:p>
    <w:p w:rsidR="005320C3" w:rsidRPr="00EB2B34" w:rsidRDefault="005320C3" w:rsidP="005320C3">
      <w:pPr>
        <w:pStyle w:val="ListParagraph"/>
        <w:widowControl/>
        <w:numPr>
          <w:ilvl w:val="1"/>
          <w:numId w:val="16"/>
        </w:numPr>
        <w:snapToGrid w:val="0"/>
        <w:rPr>
          <w:szCs w:val="22"/>
        </w:rPr>
      </w:pPr>
      <w:r w:rsidRPr="00EB2B34">
        <w:rPr>
          <w:szCs w:val="22"/>
        </w:rPr>
        <w:t xml:space="preserve">Given the small numbers of treated patients in all anakinra studies (34 in Study 03-AR-0298, 14 in </w:t>
      </w:r>
      <w:proofErr w:type="spellStart"/>
      <w:r w:rsidRPr="00EB2B34">
        <w:rPr>
          <w:szCs w:val="22"/>
        </w:rPr>
        <w:t>Lepore</w:t>
      </w:r>
      <w:proofErr w:type="spellEnd"/>
      <w:r w:rsidR="00712269" w:rsidRPr="00EB2B34">
        <w:rPr>
          <w:szCs w:val="22"/>
        </w:rPr>
        <w:t xml:space="preserve"> </w:t>
      </w:r>
      <w:r w:rsidR="005162B0" w:rsidRPr="00EB2B34">
        <w:rPr>
          <w:szCs w:val="22"/>
        </w:rPr>
        <w:t>2010</w:t>
      </w:r>
      <w:r w:rsidRPr="00EB2B34">
        <w:rPr>
          <w:szCs w:val="22"/>
        </w:rPr>
        <w:t xml:space="preserve">, 12 in </w:t>
      </w:r>
      <w:proofErr w:type="spellStart"/>
      <w:r w:rsidRPr="00EB2B34">
        <w:rPr>
          <w:szCs w:val="22"/>
        </w:rPr>
        <w:t>Kuemmerle-Deschner</w:t>
      </w:r>
      <w:proofErr w:type="spellEnd"/>
      <w:r w:rsidRPr="00EB2B34">
        <w:rPr>
          <w:szCs w:val="22"/>
        </w:rPr>
        <w:t xml:space="preserve"> </w:t>
      </w:r>
      <w:r w:rsidR="005162B0" w:rsidRPr="00EB2B34">
        <w:rPr>
          <w:szCs w:val="22"/>
        </w:rPr>
        <w:t>2011</w:t>
      </w:r>
      <w:r w:rsidR="001A6C3C" w:rsidRPr="00EB2B34">
        <w:rPr>
          <w:szCs w:val="22"/>
        </w:rPr>
        <w:t xml:space="preserve"> </w:t>
      </w:r>
      <w:r w:rsidRPr="00EB2B34">
        <w:rPr>
          <w:szCs w:val="22"/>
        </w:rPr>
        <w:t>and 8 in Ross</w:t>
      </w:r>
      <w:r w:rsidR="00712269" w:rsidRPr="00EB2B34">
        <w:rPr>
          <w:szCs w:val="22"/>
        </w:rPr>
        <w:t xml:space="preserve"> </w:t>
      </w:r>
      <w:r w:rsidR="005162B0" w:rsidRPr="00EB2B34">
        <w:rPr>
          <w:szCs w:val="22"/>
        </w:rPr>
        <w:t>2008</w:t>
      </w:r>
      <w:r w:rsidRPr="00EB2B34">
        <w:rPr>
          <w:szCs w:val="22"/>
        </w:rPr>
        <w:t>), some important AEs might not be captured in these studies.</w:t>
      </w:r>
    </w:p>
    <w:p w:rsidR="005320C3" w:rsidRPr="00EB2B34" w:rsidRDefault="005320C3" w:rsidP="005320C3">
      <w:pPr>
        <w:pStyle w:val="ListParagraph"/>
        <w:ind w:left="0"/>
        <w:rPr>
          <w:szCs w:val="22"/>
        </w:rPr>
      </w:pPr>
    </w:p>
    <w:p w:rsidR="005320C3" w:rsidRPr="00FE71D2" w:rsidRDefault="005320C3" w:rsidP="00FE71D2">
      <w:pPr>
        <w:rPr>
          <w:b/>
          <w:szCs w:val="22"/>
        </w:rPr>
      </w:pPr>
      <w:bookmarkStart w:id="10" w:name="_Toc398303328"/>
      <w:r w:rsidRPr="00FE71D2">
        <w:rPr>
          <w:b/>
          <w:szCs w:val="22"/>
        </w:rPr>
        <w:t>Benefits/harms</w:t>
      </w:r>
      <w:bookmarkEnd w:id="10"/>
    </w:p>
    <w:p w:rsidR="005320C3" w:rsidRPr="00EB2B34" w:rsidRDefault="005320C3" w:rsidP="005320C3">
      <w:pPr>
        <w:pStyle w:val="ListParagraph"/>
        <w:ind w:left="0"/>
        <w:rPr>
          <w:szCs w:val="22"/>
        </w:rPr>
      </w:pPr>
    </w:p>
    <w:p w:rsidR="005320C3" w:rsidRPr="00EB2B34" w:rsidRDefault="005320C3" w:rsidP="001A6C3C">
      <w:pPr>
        <w:pStyle w:val="ListParagraph"/>
        <w:widowControl/>
        <w:numPr>
          <w:ilvl w:val="1"/>
          <w:numId w:val="16"/>
        </w:numPr>
        <w:snapToGrid w:val="0"/>
      </w:pPr>
      <w:r w:rsidRPr="00EB2B34">
        <w:t>On the basis of the four quasi-experimental studies presented in the submission, ana</w:t>
      </w:r>
      <w:r w:rsidR="00694097">
        <w:t>kinra appeared</w:t>
      </w:r>
      <w:r w:rsidR="001A6C3C" w:rsidRPr="00EB2B34">
        <w:t xml:space="preserve"> to have superior </w:t>
      </w:r>
      <w:r w:rsidRPr="00EB2B34">
        <w:t>effect</w:t>
      </w:r>
      <w:r w:rsidR="00A655BF" w:rsidRPr="00EB2B34">
        <w:t>iveness,</w:t>
      </w:r>
      <w:r w:rsidRPr="00EB2B34">
        <w:t xml:space="preserve"> </w:t>
      </w:r>
      <w:r w:rsidR="00A655BF" w:rsidRPr="00EB2B34">
        <w:t xml:space="preserve">in terms of </w:t>
      </w:r>
      <w:r w:rsidR="001A6C3C" w:rsidRPr="00EB2B34">
        <w:t>resolving common CAPS symptoms</w:t>
      </w:r>
      <w:r w:rsidR="00A655BF" w:rsidRPr="00EB2B34">
        <w:t xml:space="preserve">, </w:t>
      </w:r>
      <w:r w:rsidRPr="00EB2B34">
        <w:t xml:space="preserve">and </w:t>
      </w:r>
      <w:r w:rsidR="004B52F3" w:rsidRPr="00EB2B34">
        <w:t xml:space="preserve">an </w:t>
      </w:r>
      <w:r w:rsidRPr="00EB2B34">
        <w:t>inferior safety profile</w:t>
      </w:r>
      <w:r w:rsidR="00044785">
        <w:t>,</w:t>
      </w:r>
      <w:r w:rsidRPr="00EB2B34">
        <w:t xml:space="preserve"> compared with best supportive care. However, </w:t>
      </w:r>
      <w:proofErr w:type="spellStart"/>
      <w:r w:rsidR="00AD1795">
        <w:t>anakinra’s</w:t>
      </w:r>
      <w:proofErr w:type="spellEnd"/>
      <w:r w:rsidRPr="00EB2B34">
        <w:t xml:space="preserve"> relative benefits and harms compared with best supportive care </w:t>
      </w:r>
      <w:r w:rsidR="00694097">
        <w:t xml:space="preserve">could not </w:t>
      </w:r>
      <w:r w:rsidRPr="00EB2B34">
        <w:t xml:space="preserve">be accurately quantified due to the </w:t>
      </w:r>
      <w:r w:rsidR="00044785">
        <w:t>observational design</w:t>
      </w:r>
      <w:r w:rsidRPr="00EB2B34">
        <w:t xml:space="preserve"> of </w:t>
      </w:r>
      <w:r w:rsidR="00A655BF" w:rsidRPr="00EB2B34">
        <w:t xml:space="preserve">the </w:t>
      </w:r>
      <w:r w:rsidRPr="00EB2B34">
        <w:t>stud</w:t>
      </w:r>
      <w:r w:rsidR="00A655BF" w:rsidRPr="00EB2B34">
        <w:t>ies</w:t>
      </w:r>
      <w:r w:rsidRPr="00EB2B34">
        <w:t xml:space="preserve"> and the very small </w:t>
      </w:r>
      <w:r w:rsidR="00A655BF" w:rsidRPr="00EB2B34">
        <w:t>sample sizes</w:t>
      </w:r>
      <w:r w:rsidRPr="00EB2B34">
        <w:t xml:space="preserve">. </w:t>
      </w:r>
    </w:p>
    <w:p w:rsidR="005320C3" w:rsidRPr="00EB2B34" w:rsidRDefault="005320C3" w:rsidP="005320C3">
      <w:pPr>
        <w:pStyle w:val="ListParagraph"/>
        <w:widowControl/>
      </w:pPr>
    </w:p>
    <w:p w:rsidR="00670E74" w:rsidRDefault="00670E74">
      <w:pPr>
        <w:widowControl/>
        <w:jc w:val="left"/>
        <w:rPr>
          <w:b/>
        </w:rPr>
      </w:pPr>
      <w:bookmarkStart w:id="11" w:name="_Toc398303329"/>
      <w:r>
        <w:br w:type="page"/>
      </w:r>
    </w:p>
    <w:p w:rsidR="005320C3" w:rsidRPr="00FE71D2" w:rsidRDefault="005320C3" w:rsidP="00FE71D2">
      <w:pPr>
        <w:rPr>
          <w:b/>
          <w:szCs w:val="22"/>
        </w:rPr>
      </w:pPr>
      <w:r w:rsidRPr="00FE71D2">
        <w:rPr>
          <w:b/>
          <w:szCs w:val="22"/>
        </w:rPr>
        <w:lastRenderedPageBreak/>
        <w:t>Clinical claim</w:t>
      </w:r>
      <w:bookmarkEnd w:id="11"/>
    </w:p>
    <w:p w:rsidR="005320C3" w:rsidRPr="00EB2B34" w:rsidRDefault="005320C3" w:rsidP="005320C3">
      <w:pPr>
        <w:ind w:left="720" w:hanging="720"/>
        <w:rPr>
          <w:szCs w:val="22"/>
        </w:rPr>
      </w:pPr>
    </w:p>
    <w:p w:rsidR="00B177A3" w:rsidRDefault="005320C3" w:rsidP="00B177A3">
      <w:pPr>
        <w:pStyle w:val="ListParagraph"/>
        <w:numPr>
          <w:ilvl w:val="1"/>
          <w:numId w:val="16"/>
        </w:numPr>
      </w:pPr>
      <w:r w:rsidRPr="00EB2B34">
        <w:t>The submission descri</w:t>
      </w:r>
      <w:r w:rsidR="00694097">
        <w:t>bed</w:t>
      </w:r>
      <w:r w:rsidRPr="00EB2B34">
        <w:t xml:space="preserve"> anakinra ± best supportive care as superior in terms of comparative effectiveness and inferior in terms of comparative safety over best supportive care. </w:t>
      </w:r>
    </w:p>
    <w:p w:rsidR="00DA47E0" w:rsidRDefault="00DA47E0" w:rsidP="00DA47E0">
      <w:pPr>
        <w:pStyle w:val="ListParagraph"/>
      </w:pPr>
    </w:p>
    <w:p w:rsidR="00DA47E0" w:rsidRPr="00DA47E0" w:rsidRDefault="00DA47E0" w:rsidP="00DA47E0">
      <w:pPr>
        <w:pStyle w:val="ListParagraph"/>
        <w:numPr>
          <w:ilvl w:val="1"/>
          <w:numId w:val="16"/>
        </w:numPr>
      </w:pPr>
      <w:r>
        <w:t xml:space="preserve">The Commentary </w:t>
      </w:r>
      <w:r w:rsidR="00DE53B8">
        <w:t xml:space="preserve">and ESC </w:t>
      </w:r>
      <w:r>
        <w:t>observed that t</w:t>
      </w:r>
      <w:r w:rsidRPr="00EB2B34">
        <w:t xml:space="preserve">he superior treatment effect of anakinra over best supportive care in terms of resolving common CAPS symptoms and inferior safety is supported by the evidence presented in the submission. </w:t>
      </w:r>
      <w:r>
        <w:t xml:space="preserve">The Commentary </w:t>
      </w:r>
      <w:r w:rsidR="00DE53B8">
        <w:t xml:space="preserve">and ESC </w:t>
      </w:r>
      <w:r>
        <w:t>further observed that the evidence indicated</w:t>
      </w:r>
      <w:r w:rsidRPr="00DA47E0">
        <w:t xml:space="preserve"> that anakinra had a limited effect on some important complications of CAPS (e.g. hearing loss, bone dysplasia and mental retardation), especially if treatment with anakinra </w:t>
      </w:r>
      <w:r>
        <w:t>had not</w:t>
      </w:r>
      <w:r w:rsidRPr="00DA47E0">
        <w:t xml:space="preserve"> start</w:t>
      </w:r>
      <w:r>
        <w:t>ed</w:t>
      </w:r>
      <w:r w:rsidRPr="00DA47E0">
        <w:t xml:space="preserve"> until the advanced stages of the disease. The impact of anakinra on the prevention of organ involvement was not well-supported by the clinical evidence provided in the submission.</w:t>
      </w:r>
    </w:p>
    <w:p w:rsidR="00DA47E0" w:rsidRPr="00DA47E0" w:rsidRDefault="00DA47E0" w:rsidP="00DA47E0">
      <w:pPr>
        <w:pStyle w:val="ListParagraph"/>
        <w:widowControl/>
        <w:snapToGrid w:val="0"/>
        <w:rPr>
          <w:i/>
          <w:szCs w:val="22"/>
        </w:rPr>
      </w:pPr>
    </w:p>
    <w:p w:rsidR="00DE53B8" w:rsidRPr="00BB7EC3" w:rsidRDefault="00DE53B8" w:rsidP="00DE53B8">
      <w:pPr>
        <w:pStyle w:val="ListParagraph"/>
        <w:ind w:left="709"/>
        <w:rPr>
          <w:i/>
          <w:szCs w:val="22"/>
        </w:rPr>
      </w:pPr>
      <w:r>
        <w:rPr>
          <w:i/>
          <w:szCs w:val="22"/>
        </w:rPr>
        <w:t>For more detail on PBAC’s view, see section 7 “PBAC outcome”</w:t>
      </w:r>
    </w:p>
    <w:p w:rsidR="002E5F6D" w:rsidRPr="00694097" w:rsidRDefault="002E5F6D" w:rsidP="00694097">
      <w:pPr>
        <w:widowControl/>
        <w:snapToGrid w:val="0"/>
        <w:rPr>
          <w:szCs w:val="22"/>
        </w:rPr>
      </w:pPr>
    </w:p>
    <w:p w:rsidR="005320C3" w:rsidRPr="00FE71D2" w:rsidRDefault="005320C3" w:rsidP="00FE71D2">
      <w:pPr>
        <w:rPr>
          <w:b/>
          <w:szCs w:val="22"/>
        </w:rPr>
      </w:pPr>
      <w:bookmarkStart w:id="12" w:name="_Toc398303330"/>
      <w:r w:rsidRPr="00FE71D2">
        <w:rPr>
          <w:b/>
          <w:szCs w:val="22"/>
        </w:rPr>
        <w:t>Economic analysis</w:t>
      </w:r>
      <w:bookmarkEnd w:id="12"/>
      <w:r w:rsidRPr="00FE71D2">
        <w:rPr>
          <w:b/>
          <w:szCs w:val="22"/>
        </w:rPr>
        <w:t xml:space="preserve"> </w:t>
      </w:r>
    </w:p>
    <w:p w:rsidR="005320C3" w:rsidRPr="00EB2B34" w:rsidRDefault="005320C3" w:rsidP="005320C3">
      <w:pPr>
        <w:ind w:left="720" w:hanging="720"/>
        <w:rPr>
          <w:szCs w:val="22"/>
        </w:rPr>
      </w:pPr>
    </w:p>
    <w:p w:rsidR="005320C3" w:rsidRPr="00EB2B34" w:rsidRDefault="00FC2D1A" w:rsidP="005320C3">
      <w:pPr>
        <w:pStyle w:val="ListParagraph"/>
        <w:widowControl/>
        <w:numPr>
          <w:ilvl w:val="1"/>
          <w:numId w:val="16"/>
        </w:numPr>
        <w:snapToGrid w:val="0"/>
        <w:rPr>
          <w:szCs w:val="22"/>
        </w:rPr>
      </w:pPr>
      <w:r w:rsidRPr="00EB2B34">
        <w:t>The</w:t>
      </w:r>
      <w:r w:rsidR="00A4575A">
        <w:t xml:space="preserve"> submission presented</w:t>
      </w:r>
      <w:r w:rsidRPr="00EB2B34">
        <w:t xml:space="preserve"> one cost-effectiveness analysis (short-term) and two cost-utility analyses (one short</w:t>
      </w:r>
      <w:r w:rsidR="00A4575A">
        <w:t>-term and one long-term). This wa</w:t>
      </w:r>
      <w:r w:rsidRPr="00EB2B34">
        <w:t xml:space="preserve">s consistent with the clinical claim that anakinra is superior in terms of effectiveness but inferior in terms of safety to best supportive care. </w:t>
      </w:r>
      <w:r w:rsidR="005320C3" w:rsidRPr="00EB2B34">
        <w:t>The submission described the approach as a stepped economic evaluat</w:t>
      </w:r>
      <w:r w:rsidR="00A4575A">
        <w:t>ion. However, this description wa</w:t>
      </w:r>
      <w:r w:rsidR="005320C3" w:rsidRPr="00EB2B34">
        <w:t xml:space="preserve">s not consistent with the </w:t>
      </w:r>
      <w:r w:rsidR="0022251F" w:rsidRPr="00EB2B34">
        <w:t xml:space="preserve">2013 </w:t>
      </w:r>
      <w:r w:rsidR="005320C3" w:rsidRPr="00EB2B34">
        <w:t xml:space="preserve">PBAC </w:t>
      </w:r>
      <w:r w:rsidR="0022251F" w:rsidRPr="00EB2B34">
        <w:t>G</w:t>
      </w:r>
      <w:r w:rsidR="005320C3" w:rsidRPr="00EB2B34">
        <w:t>uideli</w:t>
      </w:r>
      <w:r w:rsidR="00A4575A">
        <w:t>nes as the final step (Step 3) wa</w:t>
      </w:r>
      <w:r w:rsidR="005320C3" w:rsidRPr="00EB2B34">
        <w:t>s not an adaptation of previous steps, but an entirely new analysis incorporating a completely different population and data sources (with the ex</w:t>
      </w:r>
      <w:r w:rsidR="00935C9F" w:rsidRPr="00EB2B34">
        <w:t>ception of the response rate</w:t>
      </w:r>
      <w:r w:rsidR="00991FE8" w:rsidRPr="00EB2B34">
        <w:t xml:space="preserve"> and incidence of adverse events</w:t>
      </w:r>
      <w:r w:rsidR="00935C9F" w:rsidRPr="00EB2B34">
        <w:t xml:space="preserve">). </w:t>
      </w:r>
      <w:r w:rsidR="005320C3" w:rsidRPr="00EB2B34">
        <w:t>Therefore, the Commentary presented the short term (Steps 1 and 2) and long term (Step 3) analyses separately, and retained the submission’s terminology of Steps 1, 2 &amp; 3. The steps of the economic evaluation and model structures are summarised below.</w:t>
      </w:r>
    </w:p>
    <w:p w:rsidR="005320C3" w:rsidRPr="00EB2B34" w:rsidRDefault="005320C3" w:rsidP="005320C3">
      <w:pPr>
        <w:widowControl/>
        <w:rPr>
          <w:szCs w:val="22"/>
        </w:rPr>
      </w:pPr>
    </w:p>
    <w:p w:rsidR="005320C3" w:rsidRPr="00EB2B34" w:rsidRDefault="005320C3" w:rsidP="005320C3">
      <w:pPr>
        <w:ind w:firstLine="720"/>
        <w:rPr>
          <w:rStyle w:val="CommentReference"/>
        </w:rPr>
      </w:pPr>
      <w:r w:rsidRPr="00EB2B34">
        <w:rPr>
          <w:rStyle w:val="CommentReference"/>
        </w:rPr>
        <w:t>Steps in the economic evaluation</w:t>
      </w:r>
    </w:p>
    <w:tbl>
      <w:tblPr>
        <w:tblW w:w="4568" w:type="pct"/>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64"/>
        <w:gridCol w:w="7234"/>
      </w:tblGrid>
      <w:tr w:rsidR="005320C3" w:rsidRPr="00EB2B34" w:rsidTr="005320C3">
        <w:tc>
          <w:tcPr>
            <w:tcW w:w="641" w:type="pct"/>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left"/>
              <w:rPr>
                <w:rFonts w:ascii="Arial Narrow" w:hAnsi="Arial Narrow" w:cs="Times New Roman"/>
                <w:b/>
                <w:sz w:val="20"/>
              </w:rPr>
            </w:pPr>
            <w:r w:rsidRPr="00EB2B34">
              <w:rPr>
                <w:rFonts w:ascii="Arial Narrow" w:hAnsi="Arial Narrow" w:cs="Times New Roman"/>
                <w:b/>
                <w:sz w:val="20"/>
              </w:rPr>
              <w:t>Step</w:t>
            </w:r>
          </w:p>
        </w:tc>
        <w:tc>
          <w:tcPr>
            <w:tcW w:w="4359" w:type="pct"/>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center"/>
              <w:rPr>
                <w:rFonts w:ascii="Arial Narrow" w:hAnsi="Arial Narrow" w:cs="Times New Roman"/>
                <w:b/>
                <w:sz w:val="20"/>
              </w:rPr>
            </w:pPr>
            <w:r w:rsidRPr="00EB2B34">
              <w:rPr>
                <w:rFonts w:ascii="Arial Narrow" w:hAnsi="Arial Narrow" w:cs="Times New Roman"/>
                <w:b/>
                <w:sz w:val="20"/>
              </w:rPr>
              <w:t>Description</w:t>
            </w:r>
          </w:p>
        </w:tc>
      </w:tr>
      <w:tr w:rsidR="005320C3" w:rsidRPr="00EB2B34" w:rsidTr="005320C3">
        <w:tc>
          <w:tcPr>
            <w:tcW w:w="641" w:type="pct"/>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left"/>
              <w:rPr>
                <w:rFonts w:ascii="Arial Narrow" w:hAnsi="Arial Narrow" w:cs="Times New Roman"/>
                <w:sz w:val="20"/>
              </w:rPr>
            </w:pPr>
            <w:r w:rsidRPr="00EB2B34">
              <w:rPr>
                <w:rFonts w:ascii="Arial Narrow" w:hAnsi="Arial Narrow" w:cs="Times New Roman"/>
                <w:sz w:val="20"/>
              </w:rPr>
              <w:t>Step 1</w:t>
            </w:r>
          </w:p>
        </w:tc>
        <w:tc>
          <w:tcPr>
            <w:tcW w:w="4359" w:type="pct"/>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left"/>
              <w:rPr>
                <w:rFonts w:ascii="Arial Narrow" w:hAnsi="Arial Narrow" w:cs="Times New Roman"/>
                <w:sz w:val="20"/>
              </w:rPr>
            </w:pPr>
            <w:r w:rsidRPr="00EB2B34">
              <w:rPr>
                <w:rFonts w:ascii="Arial Narrow" w:hAnsi="Arial Narrow" w:cs="Times New Roman"/>
                <w:sz w:val="20"/>
              </w:rPr>
              <w:t>Study based cost-effectiveness analysis, stratified by CAPS phenotype</w:t>
            </w:r>
          </w:p>
        </w:tc>
      </w:tr>
      <w:tr w:rsidR="005320C3" w:rsidRPr="00EB2B34" w:rsidTr="005320C3">
        <w:tc>
          <w:tcPr>
            <w:tcW w:w="641" w:type="pct"/>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left"/>
              <w:rPr>
                <w:rFonts w:ascii="Arial Narrow" w:hAnsi="Arial Narrow" w:cs="Times New Roman"/>
                <w:sz w:val="20"/>
              </w:rPr>
            </w:pPr>
            <w:r w:rsidRPr="00EB2B34">
              <w:rPr>
                <w:rFonts w:ascii="Arial Narrow" w:hAnsi="Arial Narrow" w:cs="Times New Roman"/>
                <w:sz w:val="20"/>
              </w:rPr>
              <w:t>Step 2</w:t>
            </w:r>
          </w:p>
        </w:tc>
        <w:tc>
          <w:tcPr>
            <w:tcW w:w="4359" w:type="pct"/>
            <w:tcBorders>
              <w:top w:val="single" w:sz="4" w:space="0" w:color="auto"/>
              <w:left w:val="single" w:sz="4" w:space="0" w:color="auto"/>
              <w:bottom w:val="single" w:sz="4" w:space="0" w:color="auto"/>
              <w:right w:val="single" w:sz="4" w:space="0" w:color="auto"/>
            </w:tcBorders>
            <w:hideMark/>
          </w:tcPr>
          <w:p w:rsidR="005320C3" w:rsidRPr="00EB2B34" w:rsidRDefault="001B4C43" w:rsidP="00D52EF4">
            <w:pPr>
              <w:snapToGrid w:val="0"/>
              <w:jc w:val="left"/>
              <w:rPr>
                <w:rFonts w:ascii="Arial Narrow" w:hAnsi="Arial Narrow" w:cs="Times New Roman"/>
                <w:sz w:val="20"/>
              </w:rPr>
            </w:pPr>
            <w:r w:rsidRPr="00EB2B34">
              <w:rPr>
                <w:rFonts w:ascii="Arial Narrow" w:hAnsi="Arial Narrow" w:cs="Times New Roman"/>
                <w:sz w:val="20"/>
              </w:rPr>
              <w:t>Short-term cost-</w:t>
            </w:r>
            <w:r w:rsidR="005320C3" w:rsidRPr="00EB2B34">
              <w:rPr>
                <w:rFonts w:ascii="Arial Narrow" w:hAnsi="Arial Narrow" w:cs="Times New Roman"/>
                <w:sz w:val="20"/>
              </w:rPr>
              <w:t>utility analysis, stratified by CAPS phenotype, which draws on health related quality of life data from the anakinra studies “mapped” to a</w:t>
            </w:r>
            <w:r w:rsidR="00D52EF4" w:rsidRPr="00EB2B34">
              <w:rPr>
                <w:rFonts w:ascii="Arial Narrow" w:hAnsi="Arial Narrow" w:cs="Times New Roman"/>
                <w:sz w:val="20"/>
              </w:rPr>
              <w:t xml:space="preserve"> </w:t>
            </w:r>
            <w:r w:rsidR="005320C3" w:rsidRPr="00EB2B34">
              <w:rPr>
                <w:rFonts w:ascii="Arial Narrow" w:hAnsi="Arial Narrow" w:cs="Times New Roman"/>
                <w:sz w:val="20"/>
              </w:rPr>
              <w:t>utility instrument using information available from the published literature</w:t>
            </w:r>
          </w:p>
        </w:tc>
      </w:tr>
      <w:tr w:rsidR="005320C3" w:rsidRPr="00EB2B34" w:rsidTr="005320C3">
        <w:tc>
          <w:tcPr>
            <w:tcW w:w="641" w:type="pct"/>
            <w:tcBorders>
              <w:top w:val="single" w:sz="4" w:space="0" w:color="auto"/>
              <w:left w:val="single" w:sz="4" w:space="0" w:color="auto"/>
              <w:bottom w:val="single" w:sz="4" w:space="0" w:color="auto"/>
              <w:right w:val="single" w:sz="4" w:space="0" w:color="auto"/>
            </w:tcBorders>
            <w:hideMark/>
          </w:tcPr>
          <w:p w:rsidR="005320C3" w:rsidRPr="00EB2B34" w:rsidRDefault="005320C3">
            <w:pPr>
              <w:snapToGrid w:val="0"/>
              <w:jc w:val="left"/>
              <w:rPr>
                <w:rFonts w:ascii="Arial Narrow" w:hAnsi="Arial Narrow" w:cs="Times New Roman"/>
                <w:sz w:val="20"/>
              </w:rPr>
            </w:pPr>
            <w:r w:rsidRPr="00EB2B34">
              <w:rPr>
                <w:rFonts w:ascii="Arial Narrow" w:hAnsi="Arial Narrow" w:cs="Times New Roman"/>
                <w:sz w:val="20"/>
              </w:rPr>
              <w:t>Step 3</w:t>
            </w:r>
          </w:p>
        </w:tc>
        <w:tc>
          <w:tcPr>
            <w:tcW w:w="4359" w:type="pct"/>
            <w:tcBorders>
              <w:top w:val="single" w:sz="4" w:space="0" w:color="auto"/>
              <w:left w:val="single" w:sz="4" w:space="0" w:color="auto"/>
              <w:bottom w:val="single" w:sz="4" w:space="0" w:color="auto"/>
              <w:right w:val="single" w:sz="4" w:space="0" w:color="auto"/>
            </w:tcBorders>
            <w:hideMark/>
          </w:tcPr>
          <w:p w:rsidR="005320C3" w:rsidRPr="00EB2B34" w:rsidRDefault="001B4C43">
            <w:pPr>
              <w:snapToGrid w:val="0"/>
              <w:jc w:val="left"/>
              <w:rPr>
                <w:rFonts w:ascii="Arial Narrow" w:hAnsi="Arial Narrow" w:cs="Times New Roman"/>
                <w:sz w:val="20"/>
              </w:rPr>
            </w:pPr>
            <w:r w:rsidRPr="00EB2B34">
              <w:rPr>
                <w:rFonts w:ascii="Arial Narrow" w:hAnsi="Arial Narrow" w:cs="Times New Roman"/>
                <w:sz w:val="20"/>
              </w:rPr>
              <w:t>A long term modelled cost-</w:t>
            </w:r>
            <w:r w:rsidR="005320C3" w:rsidRPr="00EB2B34">
              <w:rPr>
                <w:rFonts w:ascii="Arial Narrow" w:hAnsi="Arial Narrow" w:cs="Times New Roman"/>
                <w:sz w:val="20"/>
              </w:rPr>
              <w:t>utility analysis which considers the long term costs and consequences of initiating anakinra treatment in a cohort of newly diagnosed CINCA/NOMID patients aged &lt;1 year.</w:t>
            </w:r>
          </w:p>
        </w:tc>
      </w:tr>
    </w:tbl>
    <w:p w:rsidR="007A0790" w:rsidRPr="00EB2B34" w:rsidRDefault="007A0790" w:rsidP="008E3611">
      <w:pPr>
        <w:pStyle w:val="TableFooter"/>
        <w:ind w:left="709"/>
      </w:pPr>
      <w:r w:rsidRPr="00EB2B34">
        <w:t xml:space="preserve">CAPS= </w:t>
      </w:r>
      <w:proofErr w:type="spellStart"/>
      <w:r w:rsidR="0043533D" w:rsidRPr="00EB2B34">
        <w:t>cryopyrin</w:t>
      </w:r>
      <w:proofErr w:type="spellEnd"/>
      <w:r w:rsidR="008E3611" w:rsidRPr="00EB2B34">
        <w:t xml:space="preserve">-associated periodic syndromes; CINCA = </w:t>
      </w:r>
      <w:r w:rsidR="0043533D" w:rsidRPr="00EB2B34">
        <w:t>chronic infantile neurological</w:t>
      </w:r>
      <w:r w:rsidR="008E3611" w:rsidRPr="00EB2B34">
        <w:t>, cutaneous, articular syndrome; N</w:t>
      </w:r>
      <w:r w:rsidR="001B4C43" w:rsidRPr="00EB2B34">
        <w:t>OMID = n</w:t>
      </w:r>
      <w:r w:rsidR="004625A6" w:rsidRPr="00EB2B34">
        <w:t>eonatal-</w:t>
      </w:r>
      <w:r w:rsidR="008E3611" w:rsidRPr="00EB2B34">
        <w:t>onset multisystem inflammatory disease</w:t>
      </w:r>
    </w:p>
    <w:p w:rsidR="005320C3" w:rsidRPr="00EB2B34" w:rsidRDefault="005320C3" w:rsidP="005320C3">
      <w:pPr>
        <w:pStyle w:val="TableFooter"/>
        <w:ind w:firstLine="720"/>
      </w:pPr>
      <w:r w:rsidRPr="00EB2B34">
        <w:t>Source: p95, Section D of the submission</w:t>
      </w:r>
    </w:p>
    <w:p w:rsidR="00A4575A" w:rsidRDefault="00A4575A">
      <w:pPr>
        <w:widowControl/>
        <w:jc w:val="left"/>
        <w:rPr>
          <w:rStyle w:val="CommentReference"/>
        </w:rPr>
      </w:pPr>
      <w:r>
        <w:rPr>
          <w:rStyle w:val="CommentReference"/>
        </w:rPr>
        <w:br w:type="page"/>
      </w:r>
    </w:p>
    <w:p w:rsidR="005320C3" w:rsidRPr="00EB2B34" w:rsidRDefault="005320C3" w:rsidP="005320C3">
      <w:pPr>
        <w:ind w:firstLine="720"/>
        <w:rPr>
          <w:rStyle w:val="CommentReference"/>
        </w:rPr>
      </w:pPr>
    </w:p>
    <w:p w:rsidR="005320C3" w:rsidRPr="00EB2B34" w:rsidRDefault="005320C3" w:rsidP="005320C3">
      <w:pPr>
        <w:ind w:firstLine="720"/>
        <w:rPr>
          <w:rStyle w:val="CommentReference"/>
        </w:rPr>
      </w:pPr>
      <w:r w:rsidRPr="00EB2B34">
        <w:rPr>
          <w:rStyle w:val="CommentReference"/>
        </w:rPr>
        <w:t>Summary of model structure and rationale – Short-term model</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5"/>
        <w:gridCol w:w="6350"/>
      </w:tblGrid>
      <w:tr w:rsidR="008E3611" w:rsidRPr="00EB2B34" w:rsidTr="008E3611">
        <w:trPr>
          <w:trHeight w:val="240"/>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Model Structure</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 xml:space="preserve">Decision analytic model </w:t>
            </w:r>
          </w:p>
        </w:tc>
      </w:tr>
      <w:tr w:rsidR="008E3611" w:rsidRPr="00EB2B34" w:rsidTr="008E3611">
        <w:trPr>
          <w:trHeight w:val="240"/>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Time horizon</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1 month in the model base case versus up to 60 months in the studies</w:t>
            </w:r>
          </w:p>
        </w:tc>
      </w:tr>
      <w:tr w:rsidR="008E3611" w:rsidRPr="00EB2B34" w:rsidTr="008E3611">
        <w:trPr>
          <w:trHeight w:val="448"/>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Outcomes</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rPr>
                <w:rFonts w:ascii="Arial Narrow" w:hAnsi="Arial Narrow"/>
                <w:sz w:val="20"/>
              </w:rPr>
            </w:pPr>
            <w:r w:rsidRPr="00EB2B34">
              <w:rPr>
                <w:rFonts w:ascii="Arial Narrow" w:hAnsi="Arial Narrow"/>
                <w:sz w:val="20"/>
              </w:rPr>
              <w:t>Response (Step 1)</w:t>
            </w:r>
          </w:p>
          <w:p w:rsidR="008E3611" w:rsidRPr="00EB2B34" w:rsidRDefault="008E3611" w:rsidP="00062886">
            <w:pPr>
              <w:snapToGrid w:val="0"/>
              <w:rPr>
                <w:rFonts w:ascii="Arial Narrow" w:hAnsi="Arial Narrow"/>
                <w:sz w:val="20"/>
              </w:rPr>
            </w:pPr>
            <w:r w:rsidRPr="00EB2B34">
              <w:rPr>
                <w:rFonts w:ascii="Arial Narrow" w:hAnsi="Arial Narrow"/>
                <w:sz w:val="20"/>
              </w:rPr>
              <w:t>QALY (Step 2)</w:t>
            </w:r>
          </w:p>
        </w:tc>
      </w:tr>
      <w:tr w:rsidR="008E3611" w:rsidRPr="00EB2B34" w:rsidTr="008E3611">
        <w:trPr>
          <w:trHeight w:val="704"/>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Methods used to generate results</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rPr>
                <w:rFonts w:ascii="Arial Narrow" w:hAnsi="Arial Narrow"/>
                <w:sz w:val="20"/>
              </w:rPr>
            </w:pPr>
            <w:r w:rsidRPr="00EB2B34">
              <w:rPr>
                <w:rFonts w:ascii="Arial Narrow" w:hAnsi="Arial Narrow"/>
                <w:sz w:val="20"/>
              </w:rPr>
              <w:t>For each phenotype:</w:t>
            </w:r>
          </w:p>
          <w:p w:rsidR="008E3611" w:rsidRPr="00EB2B34" w:rsidRDefault="008E3611" w:rsidP="00062886">
            <w:pPr>
              <w:rPr>
                <w:rFonts w:ascii="Arial Narrow" w:hAnsi="Arial Narrow"/>
                <w:sz w:val="20"/>
              </w:rPr>
            </w:pPr>
            <w:r w:rsidRPr="00EB2B34">
              <w:rPr>
                <w:rFonts w:ascii="Arial Narrow" w:hAnsi="Arial Narrow"/>
                <w:sz w:val="20"/>
              </w:rPr>
              <w:t>Step 1: Study based results for cost per month / response</w:t>
            </w:r>
          </w:p>
          <w:p w:rsidR="008E3611" w:rsidRPr="00EB2B34" w:rsidRDefault="008E3611" w:rsidP="00D15219">
            <w:pPr>
              <w:snapToGrid w:val="0"/>
              <w:rPr>
                <w:rFonts w:ascii="Arial Narrow" w:hAnsi="Arial Narrow"/>
                <w:sz w:val="20"/>
              </w:rPr>
            </w:pPr>
            <w:r w:rsidRPr="00EB2B34">
              <w:rPr>
                <w:rFonts w:ascii="Arial Narrow" w:hAnsi="Arial Narrow"/>
                <w:sz w:val="20"/>
              </w:rPr>
              <w:t>Step 2: Study based results for cost per month / QALY with translation of study-based HRQoL measures to utilities as described in Section C.2 of the submission.</w:t>
            </w:r>
          </w:p>
        </w:tc>
      </w:tr>
      <w:tr w:rsidR="008E3611" w:rsidRPr="00EB2B34" w:rsidTr="008E3611">
        <w:trPr>
          <w:trHeight w:val="448"/>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Transition probabilities</w:t>
            </w:r>
          </w:p>
        </w:tc>
        <w:tc>
          <w:tcPr>
            <w:tcW w:w="6350" w:type="dxa"/>
            <w:tcBorders>
              <w:top w:val="single" w:sz="4" w:space="0" w:color="auto"/>
              <w:left w:val="single" w:sz="4" w:space="0" w:color="auto"/>
              <w:bottom w:val="single" w:sz="4" w:space="0" w:color="auto"/>
              <w:right w:val="single" w:sz="4" w:space="0" w:color="auto"/>
            </w:tcBorders>
          </w:tcPr>
          <w:p w:rsidR="008E3611" w:rsidRPr="00EB2B34" w:rsidRDefault="008E3611" w:rsidP="00062886">
            <w:pPr>
              <w:rPr>
                <w:rFonts w:ascii="Arial Narrow" w:hAnsi="Arial Narrow"/>
                <w:sz w:val="20"/>
              </w:rPr>
            </w:pPr>
            <w:r w:rsidRPr="00EB2B34">
              <w:rPr>
                <w:rFonts w:ascii="Arial Narrow" w:hAnsi="Arial Narrow"/>
                <w:sz w:val="20"/>
              </w:rPr>
              <w:t>Response rates from the anakinra studies.</w:t>
            </w:r>
          </w:p>
          <w:p w:rsidR="008E3611" w:rsidRPr="00EB2B34" w:rsidRDefault="008E3611" w:rsidP="00062886">
            <w:pPr>
              <w:snapToGrid w:val="0"/>
              <w:rPr>
                <w:rFonts w:ascii="Arial Narrow" w:hAnsi="Arial Narrow"/>
                <w:sz w:val="20"/>
              </w:rPr>
            </w:pPr>
          </w:p>
        </w:tc>
      </w:tr>
      <w:tr w:rsidR="008E3611" w:rsidRPr="00EB2B34" w:rsidTr="008E3611">
        <w:trPr>
          <w:trHeight w:val="240"/>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Discount rate</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N/A</w:t>
            </w:r>
          </w:p>
        </w:tc>
      </w:tr>
      <w:tr w:rsidR="008E3611" w:rsidRPr="00EB2B34" w:rsidTr="008E3611">
        <w:trPr>
          <w:trHeight w:val="225"/>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Software package</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Excel 2010</w:t>
            </w:r>
          </w:p>
        </w:tc>
      </w:tr>
    </w:tbl>
    <w:p w:rsidR="008E3611" w:rsidRPr="00EB2B34" w:rsidRDefault="008E3611" w:rsidP="008E3611">
      <w:pPr>
        <w:pStyle w:val="TableFooter"/>
        <w:ind w:left="709"/>
      </w:pPr>
      <w:r w:rsidRPr="00EB2B34">
        <w:t>QALY=quality adjusted life year; HRQoL = health related quality of life</w:t>
      </w:r>
    </w:p>
    <w:p w:rsidR="008E3611" w:rsidRPr="00EB2B34" w:rsidRDefault="008E3611" w:rsidP="008E3611">
      <w:pPr>
        <w:pStyle w:val="TableFooter"/>
        <w:ind w:left="709"/>
      </w:pPr>
      <w:r w:rsidRPr="00EB2B34">
        <w:t>Source: constructed during the evaluation</w:t>
      </w:r>
    </w:p>
    <w:p w:rsidR="00C050FC" w:rsidRPr="00EB2B34" w:rsidRDefault="00C050FC">
      <w:pPr>
        <w:widowControl/>
        <w:jc w:val="left"/>
        <w:rPr>
          <w:rStyle w:val="CommentReference"/>
        </w:rPr>
      </w:pPr>
    </w:p>
    <w:p w:rsidR="005320C3" w:rsidRPr="00EB2B34" w:rsidRDefault="005320C3" w:rsidP="005320C3">
      <w:pPr>
        <w:ind w:firstLine="720"/>
        <w:rPr>
          <w:rStyle w:val="CommentReference"/>
        </w:rPr>
      </w:pPr>
      <w:r w:rsidRPr="00EB2B34">
        <w:rPr>
          <w:rStyle w:val="CommentReference"/>
        </w:rPr>
        <w:t>Summary of model structure and rationale – long-term model</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5"/>
        <w:gridCol w:w="6350"/>
      </w:tblGrid>
      <w:tr w:rsidR="008E3611" w:rsidRPr="00EB2B34" w:rsidTr="008E3611">
        <w:trPr>
          <w:trHeight w:val="240"/>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Time horizon</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30 years in the model base case versus median follow up of 37.5 months in the study (</w:t>
            </w:r>
            <w:proofErr w:type="spellStart"/>
            <w:r w:rsidRPr="00EB2B34">
              <w:rPr>
                <w:rFonts w:ascii="Arial Narrow" w:hAnsi="Arial Narrow"/>
                <w:sz w:val="20"/>
              </w:rPr>
              <w:t>Lepore</w:t>
            </w:r>
            <w:proofErr w:type="spellEnd"/>
            <w:r w:rsidRPr="00EB2B34">
              <w:rPr>
                <w:rFonts w:ascii="Arial Narrow" w:hAnsi="Arial Narrow"/>
                <w:sz w:val="20"/>
              </w:rPr>
              <w:t>)</w:t>
            </w:r>
          </w:p>
        </w:tc>
      </w:tr>
      <w:tr w:rsidR="008E3611" w:rsidRPr="00EB2B34" w:rsidTr="008E3611">
        <w:trPr>
          <w:trHeight w:val="313"/>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Outcomes</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QALYs</w:t>
            </w:r>
          </w:p>
        </w:tc>
      </w:tr>
      <w:tr w:rsidR="008E3611" w:rsidRPr="00EB2B34" w:rsidTr="008E3611">
        <w:trPr>
          <w:trHeight w:val="417"/>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Methods used to generate results</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Monte Carlo simulation with 1,000 iterations</w:t>
            </w:r>
          </w:p>
        </w:tc>
      </w:tr>
      <w:tr w:rsidR="008E3611" w:rsidRPr="00EB2B34" w:rsidTr="008E3611">
        <w:trPr>
          <w:trHeight w:val="225"/>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Cycle length</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1 year</w:t>
            </w:r>
          </w:p>
        </w:tc>
      </w:tr>
      <w:tr w:rsidR="008E3611" w:rsidRPr="00EB2B34" w:rsidTr="008E3611">
        <w:trPr>
          <w:trHeight w:val="448"/>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Transition probabilities</w:t>
            </w:r>
          </w:p>
        </w:tc>
        <w:tc>
          <w:tcPr>
            <w:tcW w:w="6350" w:type="dxa"/>
            <w:tcBorders>
              <w:top w:val="single" w:sz="4" w:space="0" w:color="auto"/>
              <w:left w:val="single" w:sz="4" w:space="0" w:color="auto"/>
              <w:bottom w:val="single" w:sz="4" w:space="0" w:color="auto"/>
              <w:right w:val="single" w:sz="4" w:space="0" w:color="auto"/>
            </w:tcBorders>
          </w:tcPr>
          <w:p w:rsidR="008E3611" w:rsidRPr="00EB2B34" w:rsidRDefault="008E3611" w:rsidP="00062886">
            <w:pPr>
              <w:rPr>
                <w:rFonts w:ascii="Arial Narrow" w:hAnsi="Arial Narrow"/>
                <w:sz w:val="20"/>
              </w:rPr>
            </w:pPr>
            <w:r w:rsidRPr="00EB2B34">
              <w:rPr>
                <w:rFonts w:ascii="Arial Narrow" w:hAnsi="Arial Narrow"/>
                <w:sz w:val="20"/>
              </w:rPr>
              <w:t>Anakinra arm:</w:t>
            </w:r>
          </w:p>
          <w:p w:rsidR="008E3611" w:rsidRPr="00EB2B34" w:rsidRDefault="008E3611" w:rsidP="00062886">
            <w:pPr>
              <w:pStyle w:val="ListParagraph"/>
              <w:numPr>
                <w:ilvl w:val="0"/>
                <w:numId w:val="2"/>
              </w:numPr>
              <w:snapToGrid w:val="0"/>
              <w:rPr>
                <w:rFonts w:ascii="Arial Narrow" w:hAnsi="Arial Narrow"/>
                <w:sz w:val="20"/>
              </w:rPr>
            </w:pPr>
            <w:r w:rsidRPr="00EB2B34">
              <w:rPr>
                <w:rFonts w:ascii="Arial Narrow" w:hAnsi="Arial Narrow"/>
                <w:sz w:val="20"/>
              </w:rPr>
              <w:t xml:space="preserve">Response rate: 100% </w:t>
            </w:r>
          </w:p>
          <w:p w:rsidR="008E3611" w:rsidRPr="00EB2B34" w:rsidRDefault="008E3611" w:rsidP="00062886">
            <w:pPr>
              <w:pStyle w:val="ListParagraph"/>
              <w:numPr>
                <w:ilvl w:val="0"/>
                <w:numId w:val="2"/>
              </w:numPr>
              <w:snapToGrid w:val="0"/>
              <w:rPr>
                <w:rFonts w:ascii="Arial Narrow" w:hAnsi="Arial Narrow"/>
                <w:sz w:val="20"/>
              </w:rPr>
            </w:pPr>
            <w:r w:rsidRPr="00EB2B34">
              <w:rPr>
                <w:rFonts w:ascii="Arial Narrow" w:hAnsi="Arial Narrow"/>
                <w:sz w:val="20"/>
              </w:rPr>
              <w:t>Death: age-specific all-cause mortality</w:t>
            </w:r>
          </w:p>
          <w:p w:rsidR="008E3611" w:rsidRPr="00EB2B34" w:rsidRDefault="008E3611" w:rsidP="00062886">
            <w:pPr>
              <w:pStyle w:val="ListParagraph"/>
              <w:numPr>
                <w:ilvl w:val="0"/>
                <w:numId w:val="2"/>
              </w:numPr>
              <w:snapToGrid w:val="0"/>
              <w:rPr>
                <w:rFonts w:ascii="Arial Narrow" w:hAnsi="Arial Narrow"/>
                <w:sz w:val="20"/>
              </w:rPr>
            </w:pPr>
            <w:r w:rsidRPr="00EB2B34">
              <w:rPr>
                <w:rFonts w:ascii="Arial Narrow" w:hAnsi="Arial Narrow"/>
                <w:sz w:val="20"/>
              </w:rPr>
              <w:t>CINCA Complications: 0%</w:t>
            </w:r>
          </w:p>
          <w:p w:rsidR="008E3611" w:rsidRPr="00EB2B34" w:rsidRDefault="008E3611" w:rsidP="00062886">
            <w:pPr>
              <w:rPr>
                <w:rFonts w:ascii="Arial Narrow" w:hAnsi="Arial Narrow"/>
                <w:sz w:val="20"/>
              </w:rPr>
            </w:pPr>
          </w:p>
          <w:p w:rsidR="008E3611" w:rsidRPr="00EB2B34" w:rsidRDefault="008E3611" w:rsidP="00062886">
            <w:pPr>
              <w:rPr>
                <w:rFonts w:ascii="Arial Narrow" w:hAnsi="Arial Narrow"/>
                <w:sz w:val="20"/>
              </w:rPr>
            </w:pPr>
            <w:r w:rsidRPr="00EB2B34">
              <w:rPr>
                <w:rFonts w:ascii="Arial Narrow" w:hAnsi="Arial Narrow"/>
                <w:sz w:val="20"/>
              </w:rPr>
              <w:t>Best supportive care arm:</w:t>
            </w:r>
          </w:p>
          <w:p w:rsidR="008E3611" w:rsidRPr="00EB2B34" w:rsidRDefault="008E3611" w:rsidP="00062886">
            <w:pPr>
              <w:pStyle w:val="ListParagraph"/>
              <w:numPr>
                <w:ilvl w:val="0"/>
                <w:numId w:val="2"/>
              </w:numPr>
              <w:snapToGrid w:val="0"/>
              <w:rPr>
                <w:rFonts w:ascii="Arial Narrow" w:hAnsi="Arial Narrow"/>
                <w:sz w:val="20"/>
              </w:rPr>
            </w:pPr>
            <w:r w:rsidRPr="00EB2B34">
              <w:rPr>
                <w:rFonts w:ascii="Arial Narrow" w:hAnsi="Arial Narrow"/>
                <w:sz w:val="20"/>
              </w:rPr>
              <w:t>Response rate: 0%</w:t>
            </w:r>
          </w:p>
          <w:p w:rsidR="008E3611" w:rsidRPr="00EB2B34" w:rsidRDefault="008E3611" w:rsidP="00062886">
            <w:pPr>
              <w:pStyle w:val="ListParagraph"/>
              <w:numPr>
                <w:ilvl w:val="0"/>
                <w:numId w:val="2"/>
              </w:numPr>
              <w:snapToGrid w:val="0"/>
              <w:rPr>
                <w:rFonts w:ascii="Arial Narrow" w:hAnsi="Arial Narrow"/>
                <w:sz w:val="20"/>
              </w:rPr>
            </w:pPr>
            <w:r w:rsidRPr="00EB2B34">
              <w:rPr>
                <w:rFonts w:ascii="Arial Narrow" w:hAnsi="Arial Narrow"/>
                <w:sz w:val="20"/>
              </w:rPr>
              <w:t>Death: annual probability of death for  non-responders = 0.01224;</w:t>
            </w:r>
          </w:p>
          <w:p w:rsidR="008E3611" w:rsidRPr="00EB2B34" w:rsidRDefault="008E3611" w:rsidP="00062886">
            <w:pPr>
              <w:pStyle w:val="ListParagraph"/>
              <w:numPr>
                <w:ilvl w:val="0"/>
                <w:numId w:val="2"/>
              </w:numPr>
              <w:snapToGrid w:val="0"/>
              <w:rPr>
                <w:rFonts w:ascii="Arial Narrow" w:hAnsi="Arial Narrow"/>
                <w:sz w:val="20"/>
              </w:rPr>
            </w:pPr>
            <w:r w:rsidRPr="00EB2B34">
              <w:rPr>
                <w:rFonts w:ascii="Arial Narrow" w:hAnsi="Arial Narrow"/>
                <w:sz w:val="20"/>
              </w:rPr>
              <w:t xml:space="preserve">CINCA Complications: based on transformation of epidemiological studies to annual probabilities. Assumes incidence of complications constant across life time (most epidemiological studies related to mean age of 11-12 years). </w:t>
            </w:r>
          </w:p>
        </w:tc>
      </w:tr>
      <w:tr w:rsidR="008E3611" w:rsidRPr="00EB2B34" w:rsidTr="008E3611">
        <w:trPr>
          <w:trHeight w:val="240"/>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Discount rate</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5% for costs and outcomes</w:t>
            </w:r>
          </w:p>
        </w:tc>
      </w:tr>
      <w:tr w:rsidR="008E3611" w:rsidRPr="00EB2B34" w:rsidTr="008E3611">
        <w:trPr>
          <w:trHeight w:val="225"/>
        </w:trPr>
        <w:tc>
          <w:tcPr>
            <w:tcW w:w="1985"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r w:rsidRPr="00EB2B34">
              <w:rPr>
                <w:rFonts w:ascii="Arial Narrow" w:hAnsi="Arial Narrow"/>
                <w:sz w:val="20"/>
              </w:rPr>
              <w:t>Software package</w:t>
            </w:r>
          </w:p>
        </w:tc>
        <w:tc>
          <w:tcPr>
            <w:tcW w:w="6350" w:type="dxa"/>
            <w:tcBorders>
              <w:top w:val="single" w:sz="4" w:space="0" w:color="auto"/>
              <w:left w:val="single" w:sz="4" w:space="0" w:color="auto"/>
              <w:bottom w:val="single" w:sz="4" w:space="0" w:color="auto"/>
              <w:right w:val="single" w:sz="4" w:space="0" w:color="auto"/>
            </w:tcBorders>
            <w:hideMark/>
          </w:tcPr>
          <w:p w:rsidR="008E3611" w:rsidRPr="00EB2B34" w:rsidRDefault="008E3611" w:rsidP="00062886">
            <w:pPr>
              <w:snapToGrid w:val="0"/>
              <w:rPr>
                <w:rFonts w:ascii="Arial Narrow" w:hAnsi="Arial Narrow"/>
                <w:sz w:val="20"/>
              </w:rPr>
            </w:pPr>
            <w:proofErr w:type="spellStart"/>
            <w:r w:rsidRPr="00EB2B34">
              <w:rPr>
                <w:rFonts w:ascii="Arial Narrow" w:hAnsi="Arial Narrow"/>
                <w:sz w:val="20"/>
              </w:rPr>
              <w:t>Treeage</w:t>
            </w:r>
            <w:proofErr w:type="spellEnd"/>
            <w:r w:rsidRPr="00EB2B34">
              <w:rPr>
                <w:rFonts w:ascii="Arial Narrow" w:hAnsi="Arial Narrow"/>
                <w:sz w:val="20"/>
              </w:rPr>
              <w:t xml:space="preserve"> 2014</w:t>
            </w:r>
          </w:p>
        </w:tc>
      </w:tr>
    </w:tbl>
    <w:p w:rsidR="008E3611" w:rsidRPr="00EB2B34" w:rsidRDefault="008E3611" w:rsidP="008E3611">
      <w:pPr>
        <w:pStyle w:val="TableFooter"/>
        <w:ind w:left="709"/>
      </w:pPr>
      <w:r w:rsidRPr="00EB2B34">
        <w:t xml:space="preserve">QALY=quality adjusted life year; HRQoL = health related quality of life; CINCA = </w:t>
      </w:r>
      <w:r w:rsidR="0043533D" w:rsidRPr="00EB2B34">
        <w:t>chronic infantile neurological</w:t>
      </w:r>
      <w:r w:rsidRPr="00EB2B34">
        <w:t>, cutaneous, articular syndrome</w:t>
      </w:r>
    </w:p>
    <w:p w:rsidR="008E3611" w:rsidRPr="00EB2B34" w:rsidRDefault="008E3611" w:rsidP="008E3611">
      <w:pPr>
        <w:pStyle w:val="TableFooter"/>
        <w:ind w:left="709"/>
      </w:pPr>
      <w:r w:rsidRPr="00EB2B34">
        <w:t>Source: constructed during the evaluation</w:t>
      </w:r>
    </w:p>
    <w:p w:rsidR="00670E74" w:rsidRDefault="00670E74">
      <w:pPr>
        <w:widowControl/>
        <w:jc w:val="left"/>
        <w:rPr>
          <w:szCs w:val="22"/>
        </w:rPr>
      </w:pPr>
      <w:r>
        <w:rPr>
          <w:szCs w:val="22"/>
        </w:rPr>
        <w:br w:type="page"/>
      </w:r>
    </w:p>
    <w:p w:rsidR="005320C3" w:rsidRPr="00EB2B34" w:rsidRDefault="005320C3" w:rsidP="005320C3">
      <w:pPr>
        <w:pStyle w:val="ListParagraph"/>
        <w:widowControl/>
        <w:numPr>
          <w:ilvl w:val="1"/>
          <w:numId w:val="16"/>
        </w:numPr>
        <w:snapToGrid w:val="0"/>
        <w:rPr>
          <w:szCs w:val="22"/>
        </w:rPr>
      </w:pPr>
      <w:r w:rsidRPr="00EB2B34">
        <w:lastRenderedPageBreak/>
        <w:t>The key drivers of the model are summarised below.</w:t>
      </w:r>
    </w:p>
    <w:p w:rsidR="005320C3" w:rsidRPr="00EB2B34" w:rsidRDefault="005320C3" w:rsidP="005320C3">
      <w:pPr>
        <w:widowControl/>
        <w:rPr>
          <w:szCs w:val="22"/>
        </w:rPr>
      </w:pPr>
    </w:p>
    <w:p w:rsidR="005320C3" w:rsidRPr="00EB2B34" w:rsidRDefault="005320C3" w:rsidP="005320C3">
      <w:pPr>
        <w:pStyle w:val="Caption"/>
        <w:keepNext/>
        <w:spacing w:after="0"/>
        <w:ind w:firstLine="720"/>
        <w:rPr>
          <w:rStyle w:val="CommentReference"/>
          <w:b/>
        </w:rPr>
      </w:pPr>
      <w:r w:rsidRPr="00EB2B34">
        <w:rPr>
          <w:rStyle w:val="CommentReference"/>
          <w:b/>
        </w:rPr>
        <w:t>Key drivers of the model</w:t>
      </w:r>
    </w:p>
    <w:tbl>
      <w:tblPr>
        <w:tblW w:w="4583" w:type="pct"/>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9"/>
        <w:gridCol w:w="5396"/>
        <w:gridCol w:w="1700"/>
      </w:tblGrid>
      <w:tr w:rsidR="005320C3" w:rsidRPr="00EB2B34" w:rsidTr="00B74279">
        <w:trPr>
          <w:tblHeader/>
        </w:trPr>
        <w:tc>
          <w:tcPr>
            <w:tcW w:w="738"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left"/>
              <w:rPr>
                <w:rFonts w:ascii="Arial Narrow" w:hAnsi="Arial Narrow"/>
                <w:b/>
                <w:sz w:val="20"/>
              </w:rPr>
            </w:pPr>
            <w:r w:rsidRPr="00EB2B34">
              <w:rPr>
                <w:rFonts w:ascii="Arial Narrow" w:hAnsi="Arial Narrow"/>
                <w:b/>
                <w:sz w:val="20"/>
              </w:rPr>
              <w:t>Description</w:t>
            </w: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1367CD">
            <w:pPr>
              <w:snapToGrid w:val="0"/>
              <w:ind w:left="125"/>
              <w:jc w:val="center"/>
              <w:rPr>
                <w:rFonts w:ascii="Arial Narrow" w:hAnsi="Arial Narrow"/>
                <w:b/>
                <w:sz w:val="20"/>
              </w:rPr>
            </w:pPr>
            <w:r w:rsidRPr="00EB2B34">
              <w:rPr>
                <w:rFonts w:ascii="Arial Narrow" w:hAnsi="Arial Narrow"/>
                <w:b/>
                <w:sz w:val="20"/>
              </w:rPr>
              <w:t>Method/Value</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center"/>
              <w:rPr>
                <w:rFonts w:ascii="Arial Narrow" w:hAnsi="Arial Narrow"/>
                <w:b/>
                <w:sz w:val="20"/>
              </w:rPr>
            </w:pPr>
            <w:r w:rsidRPr="00EB2B34">
              <w:rPr>
                <w:rFonts w:ascii="Arial Narrow" w:hAnsi="Arial Narrow"/>
                <w:b/>
                <w:sz w:val="20"/>
              </w:rPr>
              <w:t>Impact</w:t>
            </w:r>
          </w:p>
        </w:tc>
      </w:tr>
      <w:tr w:rsidR="005320C3" w:rsidRPr="00EB2B34" w:rsidTr="00491641">
        <w:trPr>
          <w:tblHead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1367CD">
            <w:pPr>
              <w:snapToGrid w:val="0"/>
              <w:ind w:left="125"/>
              <w:jc w:val="left"/>
              <w:rPr>
                <w:rFonts w:ascii="Arial Narrow" w:hAnsi="Arial Narrow"/>
                <w:b/>
                <w:sz w:val="20"/>
              </w:rPr>
            </w:pPr>
            <w:r w:rsidRPr="00EB2B34">
              <w:rPr>
                <w:rFonts w:ascii="Arial Narrow" w:hAnsi="Arial Narrow"/>
                <w:b/>
                <w:sz w:val="20"/>
              </w:rPr>
              <w:t>Short-term model</w:t>
            </w:r>
          </w:p>
        </w:tc>
      </w:tr>
      <w:tr w:rsidR="005320C3" w:rsidRPr="00EB2B34" w:rsidTr="00B74279">
        <w:trPr>
          <w:tblHeader/>
        </w:trPr>
        <w:tc>
          <w:tcPr>
            <w:tcW w:w="738"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left"/>
              <w:rPr>
                <w:rFonts w:ascii="Arial Narrow" w:hAnsi="Arial Narrow"/>
                <w:sz w:val="20"/>
              </w:rPr>
            </w:pPr>
            <w:r w:rsidRPr="00EB2B34">
              <w:rPr>
                <w:rFonts w:ascii="Arial Narrow" w:hAnsi="Arial Narrow"/>
                <w:sz w:val="20"/>
              </w:rPr>
              <w:t>Response rates</w:t>
            </w: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A4614B">
            <w:pPr>
              <w:snapToGrid w:val="0"/>
              <w:ind w:left="125"/>
              <w:jc w:val="left"/>
              <w:rPr>
                <w:rFonts w:ascii="Arial Narrow" w:hAnsi="Arial Narrow"/>
                <w:sz w:val="20"/>
              </w:rPr>
            </w:pPr>
            <w:r w:rsidRPr="00EB2B34">
              <w:rPr>
                <w:rFonts w:ascii="Arial Narrow" w:hAnsi="Arial Narrow"/>
                <w:sz w:val="20"/>
              </w:rPr>
              <w:t xml:space="preserve">Based on </w:t>
            </w:r>
            <w:r w:rsidR="00192B4F" w:rsidRPr="00EB2B34">
              <w:rPr>
                <w:rFonts w:ascii="Arial Narrow" w:hAnsi="Arial Narrow"/>
                <w:sz w:val="20"/>
              </w:rPr>
              <w:t xml:space="preserve">the </w:t>
            </w:r>
            <w:r w:rsidRPr="00EB2B34">
              <w:rPr>
                <w:rFonts w:ascii="Arial Narrow" w:hAnsi="Arial Narrow"/>
                <w:sz w:val="20"/>
              </w:rPr>
              <w:t xml:space="preserve">response rates observed in three of the anakinra studies. Response rates remain uncertain due to the small sample sizes and open-label nature </w:t>
            </w:r>
            <w:r w:rsidR="00A2653B" w:rsidRPr="00EB2B34">
              <w:rPr>
                <w:rFonts w:ascii="Arial Narrow" w:hAnsi="Arial Narrow"/>
                <w:sz w:val="20"/>
              </w:rPr>
              <w:t>of the stud</w:t>
            </w:r>
            <w:r w:rsidR="00192B4F" w:rsidRPr="00EB2B34">
              <w:rPr>
                <w:rFonts w:ascii="Arial Narrow" w:hAnsi="Arial Narrow"/>
                <w:sz w:val="20"/>
              </w:rPr>
              <w:t>ies</w:t>
            </w:r>
            <w:r w:rsidR="00A2653B" w:rsidRPr="00EB2B34">
              <w:rPr>
                <w:rFonts w:ascii="Arial Narrow" w:hAnsi="Arial Narrow"/>
                <w:sz w:val="20"/>
              </w:rPr>
              <w:t xml:space="preserve">. </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center"/>
              <w:rPr>
                <w:rFonts w:ascii="Arial Narrow" w:hAnsi="Arial Narrow"/>
                <w:sz w:val="20"/>
              </w:rPr>
            </w:pPr>
            <w:r w:rsidRPr="00EB2B34">
              <w:rPr>
                <w:rFonts w:ascii="Arial Narrow" w:hAnsi="Arial Narrow"/>
                <w:sz w:val="20"/>
              </w:rPr>
              <w:t>High, favours anakinra</w:t>
            </w:r>
          </w:p>
        </w:tc>
      </w:tr>
      <w:tr w:rsidR="005320C3" w:rsidRPr="00EB2B34" w:rsidTr="00B74279">
        <w:trPr>
          <w:tblHeader/>
        </w:trPr>
        <w:tc>
          <w:tcPr>
            <w:tcW w:w="738"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left"/>
              <w:rPr>
                <w:rFonts w:ascii="Arial Narrow" w:hAnsi="Arial Narrow"/>
                <w:sz w:val="20"/>
              </w:rPr>
            </w:pPr>
            <w:r w:rsidRPr="00EB2B34">
              <w:rPr>
                <w:rFonts w:ascii="Arial Narrow" w:hAnsi="Arial Narrow"/>
                <w:sz w:val="20"/>
              </w:rPr>
              <w:t>Dose of anakinra</w:t>
            </w: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A4614B">
            <w:pPr>
              <w:snapToGrid w:val="0"/>
              <w:ind w:left="125"/>
              <w:jc w:val="left"/>
              <w:rPr>
                <w:rFonts w:ascii="Arial Narrow" w:hAnsi="Arial Narrow"/>
                <w:sz w:val="20"/>
              </w:rPr>
            </w:pPr>
            <w:r w:rsidRPr="00EB2B34">
              <w:rPr>
                <w:rFonts w:ascii="Arial Narrow" w:hAnsi="Arial Narrow"/>
                <w:sz w:val="20"/>
              </w:rPr>
              <w:t>Assumed one syringe / patient / day (≤100/mg/day)</w:t>
            </w:r>
            <w:r w:rsidR="00D52EF4" w:rsidRPr="00EB2B34">
              <w:rPr>
                <w:rFonts w:ascii="Arial Narrow" w:hAnsi="Arial Narrow"/>
                <w:sz w:val="20"/>
              </w:rPr>
              <w:t xml:space="preserve"> for all CAPS phenotypes</w:t>
            </w:r>
            <w:r w:rsidRPr="00EB2B34">
              <w:rPr>
                <w:rFonts w:ascii="Arial Narrow" w:hAnsi="Arial Narrow"/>
                <w:sz w:val="20"/>
              </w:rPr>
              <w:t>. This may be an underestimate based on recommended dosing</w:t>
            </w:r>
            <w:r w:rsidR="00D52EF4" w:rsidRPr="00EB2B34">
              <w:rPr>
                <w:rFonts w:ascii="Arial Narrow" w:hAnsi="Arial Narrow"/>
                <w:sz w:val="20"/>
              </w:rPr>
              <w:t>, particularly for patients with CINCA</w:t>
            </w:r>
            <w:r w:rsidRPr="00EB2B34">
              <w:rPr>
                <w:rFonts w:ascii="Arial Narrow" w:hAnsi="Arial Narrow"/>
                <w:sz w:val="20"/>
              </w:rPr>
              <w:t xml:space="preserve">. </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C2417A">
            <w:pPr>
              <w:snapToGrid w:val="0"/>
              <w:jc w:val="center"/>
              <w:rPr>
                <w:rFonts w:ascii="Arial Narrow" w:hAnsi="Arial Narrow"/>
                <w:sz w:val="20"/>
              </w:rPr>
            </w:pPr>
            <w:r w:rsidRPr="00EB2B34">
              <w:rPr>
                <w:rFonts w:ascii="Arial Narrow" w:hAnsi="Arial Narrow"/>
                <w:sz w:val="20"/>
              </w:rPr>
              <w:t>High</w:t>
            </w:r>
            <w:r w:rsidR="00C2417A" w:rsidRPr="00EB2B34">
              <w:rPr>
                <w:rFonts w:ascii="Arial Narrow" w:hAnsi="Arial Narrow"/>
                <w:sz w:val="20"/>
              </w:rPr>
              <w:t>, f</w:t>
            </w:r>
            <w:r w:rsidRPr="00EB2B34">
              <w:rPr>
                <w:rFonts w:ascii="Arial Narrow" w:hAnsi="Arial Narrow"/>
                <w:sz w:val="20"/>
              </w:rPr>
              <w:t>avours anakinra</w:t>
            </w:r>
          </w:p>
        </w:tc>
      </w:tr>
      <w:tr w:rsidR="005320C3" w:rsidRPr="00EB2B34" w:rsidTr="00B74279">
        <w:trPr>
          <w:tblHeader/>
        </w:trPr>
        <w:tc>
          <w:tcPr>
            <w:tcW w:w="738"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left"/>
              <w:rPr>
                <w:rFonts w:ascii="Arial Narrow" w:hAnsi="Arial Narrow"/>
                <w:sz w:val="20"/>
              </w:rPr>
            </w:pPr>
            <w:r w:rsidRPr="00EB2B34">
              <w:rPr>
                <w:rFonts w:ascii="Arial Narrow" w:hAnsi="Arial Narrow"/>
                <w:sz w:val="20"/>
              </w:rPr>
              <w:t>QALYs</w:t>
            </w: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82211D">
            <w:pPr>
              <w:snapToGrid w:val="0"/>
              <w:ind w:left="125"/>
              <w:jc w:val="left"/>
              <w:rPr>
                <w:rFonts w:ascii="Arial Narrow" w:hAnsi="Arial Narrow"/>
                <w:sz w:val="20"/>
              </w:rPr>
            </w:pPr>
            <w:r w:rsidRPr="00EB2B34">
              <w:rPr>
                <w:rFonts w:ascii="Arial Narrow" w:hAnsi="Arial Narrow"/>
                <w:sz w:val="20"/>
              </w:rPr>
              <w:t>Transformation of DLQI scores to utility weights based on ‘mapping’ algorithms (</w:t>
            </w:r>
            <w:r w:rsidR="00D548B5" w:rsidRPr="00EB2B34">
              <w:rPr>
                <w:rFonts w:ascii="Arial Narrow" w:hAnsi="Arial Narrow"/>
                <w:sz w:val="20"/>
              </w:rPr>
              <w:t>e.g.</w:t>
            </w:r>
            <w:r w:rsidRPr="00EB2B34">
              <w:rPr>
                <w:rFonts w:ascii="Arial Narrow" w:hAnsi="Arial Narrow"/>
                <w:sz w:val="20"/>
              </w:rPr>
              <w:t xml:space="preserve"> regression analysis) obtained from the literature</w:t>
            </w:r>
            <w:r w:rsidR="003578E1">
              <w:rPr>
                <w:rFonts w:ascii="Arial Narrow" w:hAnsi="Arial Narrow"/>
                <w:sz w:val="20"/>
              </w:rPr>
              <w:t>.</w:t>
            </w:r>
            <w:r w:rsidRPr="00EB2B34">
              <w:rPr>
                <w:rFonts w:ascii="Arial Narrow" w:hAnsi="Arial Narrow"/>
                <w:sz w:val="20"/>
              </w:rPr>
              <w:t xml:space="preserve">  Mapping algorithms were based on an observed relationship between DLQI and EQ-5D utilities in a predominately adult psoriasis population. Treatment with anakinra results in a utility increment of 0.34 in the base case. </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C2417A">
            <w:pPr>
              <w:snapToGrid w:val="0"/>
              <w:jc w:val="center"/>
              <w:rPr>
                <w:rFonts w:ascii="Arial Narrow" w:hAnsi="Arial Narrow"/>
                <w:sz w:val="20"/>
              </w:rPr>
            </w:pPr>
            <w:r w:rsidRPr="00EB2B34">
              <w:rPr>
                <w:rFonts w:ascii="Arial Narrow" w:hAnsi="Arial Narrow"/>
                <w:sz w:val="20"/>
              </w:rPr>
              <w:t>Moderate,</w:t>
            </w:r>
            <w:r w:rsidR="005320C3" w:rsidRPr="00EB2B34">
              <w:rPr>
                <w:rFonts w:ascii="Arial Narrow" w:hAnsi="Arial Narrow"/>
                <w:sz w:val="20"/>
              </w:rPr>
              <w:t xml:space="preserve"> favours anakinra</w:t>
            </w:r>
          </w:p>
        </w:tc>
      </w:tr>
      <w:tr w:rsidR="005320C3" w:rsidRPr="00EB2B34" w:rsidTr="00491641">
        <w:trPr>
          <w:tblHead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1367CD">
            <w:pPr>
              <w:snapToGrid w:val="0"/>
              <w:ind w:left="125"/>
              <w:jc w:val="left"/>
              <w:rPr>
                <w:rFonts w:ascii="Arial Narrow" w:hAnsi="Arial Narrow"/>
                <w:b/>
                <w:sz w:val="20"/>
              </w:rPr>
            </w:pPr>
            <w:r w:rsidRPr="00EB2B34">
              <w:rPr>
                <w:rFonts w:ascii="Arial Narrow" w:hAnsi="Arial Narrow"/>
                <w:b/>
                <w:sz w:val="20"/>
              </w:rPr>
              <w:t>Long-term model</w:t>
            </w:r>
          </w:p>
        </w:tc>
      </w:tr>
      <w:tr w:rsidR="005320C3" w:rsidRPr="00EB2B34" w:rsidTr="00B74279">
        <w:trPr>
          <w:tblHeader/>
        </w:trPr>
        <w:tc>
          <w:tcPr>
            <w:tcW w:w="738"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left"/>
              <w:rPr>
                <w:rFonts w:ascii="Arial Narrow" w:hAnsi="Arial Narrow"/>
                <w:sz w:val="20"/>
              </w:rPr>
            </w:pPr>
            <w:r w:rsidRPr="00EB2B34">
              <w:rPr>
                <w:rFonts w:ascii="Arial Narrow" w:hAnsi="Arial Narrow"/>
                <w:sz w:val="20"/>
              </w:rPr>
              <w:t>Time horizon</w:t>
            </w: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1367CD">
            <w:pPr>
              <w:snapToGrid w:val="0"/>
              <w:ind w:left="125"/>
              <w:jc w:val="left"/>
              <w:rPr>
                <w:rFonts w:ascii="Arial Narrow" w:hAnsi="Arial Narrow"/>
                <w:sz w:val="20"/>
              </w:rPr>
            </w:pPr>
            <w:r w:rsidRPr="00EB2B34">
              <w:rPr>
                <w:rFonts w:ascii="Arial Narrow" w:hAnsi="Arial Narrow"/>
                <w:sz w:val="20"/>
              </w:rPr>
              <w:t>Base case of 30 years. 5, 10, 15 and 20 years are examined in sensitivity analyses</w:t>
            </w:r>
            <w:r w:rsidR="003578E1">
              <w:rPr>
                <w:rFonts w:ascii="Arial Narrow" w:hAnsi="Arial Narrow"/>
                <w:sz w:val="20"/>
              </w:rPr>
              <w:t>.</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center"/>
              <w:rPr>
                <w:rFonts w:ascii="Arial Narrow" w:hAnsi="Arial Narrow"/>
                <w:sz w:val="20"/>
              </w:rPr>
            </w:pPr>
            <w:r w:rsidRPr="00EB2B34">
              <w:rPr>
                <w:rFonts w:ascii="Arial Narrow" w:hAnsi="Arial Narrow"/>
                <w:sz w:val="20"/>
              </w:rPr>
              <w:t>High, favours anakinra</w:t>
            </w:r>
          </w:p>
        </w:tc>
      </w:tr>
      <w:tr w:rsidR="005320C3" w:rsidRPr="00EB2B34" w:rsidTr="00B74279">
        <w:trPr>
          <w:tblHeader/>
        </w:trPr>
        <w:tc>
          <w:tcPr>
            <w:tcW w:w="738"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left"/>
              <w:rPr>
                <w:rFonts w:ascii="Arial Narrow" w:hAnsi="Arial Narrow"/>
                <w:sz w:val="20"/>
              </w:rPr>
            </w:pPr>
            <w:r w:rsidRPr="00EB2B34">
              <w:rPr>
                <w:rFonts w:ascii="Arial Narrow" w:hAnsi="Arial Narrow"/>
                <w:sz w:val="20"/>
              </w:rPr>
              <w:t>Response rates</w:t>
            </w: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A4614B">
            <w:pPr>
              <w:snapToGrid w:val="0"/>
              <w:ind w:left="125"/>
              <w:jc w:val="left"/>
              <w:rPr>
                <w:rFonts w:ascii="Arial Narrow" w:hAnsi="Arial Narrow"/>
                <w:sz w:val="20"/>
              </w:rPr>
            </w:pPr>
            <w:r w:rsidRPr="00EB2B34">
              <w:rPr>
                <w:rFonts w:ascii="Arial Narrow" w:hAnsi="Arial Narrow"/>
                <w:sz w:val="20"/>
              </w:rPr>
              <w:t xml:space="preserve">Based on the response rate observed in </w:t>
            </w:r>
            <w:proofErr w:type="spellStart"/>
            <w:r w:rsidRPr="00EB2B34">
              <w:rPr>
                <w:rFonts w:ascii="Arial Narrow" w:hAnsi="Arial Narrow"/>
                <w:sz w:val="20"/>
              </w:rPr>
              <w:t>Lepore</w:t>
            </w:r>
            <w:proofErr w:type="spellEnd"/>
            <w:r w:rsidRPr="00EB2B34">
              <w:rPr>
                <w:rFonts w:ascii="Arial Narrow" w:hAnsi="Arial Narrow"/>
                <w:sz w:val="20"/>
              </w:rPr>
              <w:t xml:space="preserve"> (</w:t>
            </w:r>
            <w:r w:rsidR="00D52EF4" w:rsidRPr="00EB2B34">
              <w:rPr>
                <w:rFonts w:ascii="Arial Narrow" w:hAnsi="Arial Narrow"/>
                <w:sz w:val="20"/>
              </w:rPr>
              <w:t xml:space="preserve">patients with CINCA only, </w:t>
            </w:r>
            <w:r w:rsidRPr="00EB2B34">
              <w:rPr>
                <w:rFonts w:ascii="Arial Narrow" w:hAnsi="Arial Narrow"/>
                <w:sz w:val="20"/>
              </w:rPr>
              <w:t>anakinra arm n=10, control n=4). Response rates remain uncertain due to the small sample size and open-label design of</w:t>
            </w:r>
            <w:r w:rsidR="00A2653B" w:rsidRPr="00EB2B34">
              <w:rPr>
                <w:rFonts w:ascii="Arial Narrow" w:hAnsi="Arial Narrow"/>
                <w:sz w:val="20"/>
              </w:rPr>
              <w:t xml:space="preserve"> the study. </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center"/>
              <w:rPr>
                <w:rFonts w:ascii="Arial Narrow" w:hAnsi="Arial Narrow"/>
                <w:sz w:val="20"/>
              </w:rPr>
            </w:pPr>
            <w:r w:rsidRPr="00EB2B34">
              <w:rPr>
                <w:rFonts w:ascii="Arial Narrow" w:hAnsi="Arial Narrow"/>
                <w:sz w:val="20"/>
              </w:rPr>
              <w:t>High, favours anakinra</w:t>
            </w:r>
          </w:p>
        </w:tc>
      </w:tr>
      <w:tr w:rsidR="005320C3" w:rsidRPr="00EB2B34" w:rsidTr="00B74279">
        <w:trPr>
          <w:tblHeader/>
        </w:trPr>
        <w:tc>
          <w:tcPr>
            <w:tcW w:w="738" w:type="pct"/>
            <w:vMerge w:val="restar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left"/>
              <w:rPr>
                <w:rFonts w:ascii="Arial Narrow" w:hAnsi="Arial Narrow"/>
                <w:sz w:val="20"/>
              </w:rPr>
            </w:pPr>
            <w:r w:rsidRPr="00EB2B34">
              <w:rPr>
                <w:rFonts w:ascii="Arial Narrow" w:hAnsi="Arial Narrow"/>
                <w:sz w:val="20"/>
              </w:rPr>
              <w:t>Complication rates</w:t>
            </w: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A4614B">
            <w:pPr>
              <w:snapToGrid w:val="0"/>
              <w:ind w:left="125"/>
              <w:jc w:val="left"/>
              <w:rPr>
                <w:rFonts w:ascii="Arial Narrow" w:hAnsi="Arial Narrow"/>
                <w:sz w:val="20"/>
              </w:rPr>
            </w:pPr>
            <w:r w:rsidRPr="00EB2B34">
              <w:rPr>
                <w:rFonts w:ascii="Arial Narrow" w:hAnsi="Arial Narrow"/>
                <w:sz w:val="20"/>
              </w:rPr>
              <w:t>Patients who respond (</w:t>
            </w:r>
            <w:r w:rsidR="00D548B5" w:rsidRPr="00EB2B34">
              <w:rPr>
                <w:rFonts w:ascii="Arial Narrow" w:hAnsi="Arial Narrow"/>
                <w:sz w:val="20"/>
              </w:rPr>
              <w:t>e.g.</w:t>
            </w:r>
            <w:r w:rsidRPr="00EB2B34">
              <w:rPr>
                <w:rFonts w:ascii="Arial Narrow" w:hAnsi="Arial Narrow"/>
                <w:sz w:val="20"/>
              </w:rPr>
              <w:t xml:space="preserve"> 100% of the anakinra arm and 0% of the best supportive care arm) are assumed to be at </w:t>
            </w:r>
            <w:r w:rsidR="00C17430" w:rsidRPr="00EB2B34">
              <w:rPr>
                <w:rFonts w:ascii="Arial Narrow" w:hAnsi="Arial Narrow"/>
                <w:sz w:val="20"/>
              </w:rPr>
              <w:t xml:space="preserve">no </w:t>
            </w:r>
            <w:r w:rsidRPr="00EB2B34">
              <w:rPr>
                <w:rFonts w:ascii="Arial Narrow" w:hAnsi="Arial Narrow"/>
                <w:sz w:val="20"/>
              </w:rPr>
              <w:t>risk of developing CINCA-related complications (</w:t>
            </w:r>
            <w:r w:rsidR="00D548B5" w:rsidRPr="00EB2B34">
              <w:rPr>
                <w:rFonts w:ascii="Arial Narrow" w:hAnsi="Arial Narrow"/>
                <w:sz w:val="20"/>
              </w:rPr>
              <w:t>e.g.</w:t>
            </w:r>
            <w:r w:rsidRPr="00EB2B34">
              <w:rPr>
                <w:rFonts w:ascii="Arial Narrow" w:hAnsi="Arial Narrow"/>
                <w:sz w:val="20"/>
              </w:rPr>
              <w:t xml:space="preserve"> hearing / vision loss </w:t>
            </w:r>
            <w:r w:rsidR="00D548B5" w:rsidRPr="00EB2B34">
              <w:rPr>
                <w:rFonts w:ascii="Arial Narrow" w:hAnsi="Arial Narrow"/>
                <w:sz w:val="20"/>
              </w:rPr>
              <w:t>etc.</w:t>
            </w:r>
            <w:r w:rsidRPr="00EB2B34">
              <w:rPr>
                <w:rFonts w:ascii="Arial Narrow" w:hAnsi="Arial Narrow"/>
                <w:sz w:val="20"/>
              </w:rPr>
              <w:t xml:space="preserve">) and have the same mortality as the general population. This assumption has not been adequately justified and is not supported by the evidence presented in Section B. </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C2417A">
            <w:pPr>
              <w:snapToGrid w:val="0"/>
              <w:jc w:val="center"/>
              <w:rPr>
                <w:rFonts w:ascii="Arial Narrow" w:hAnsi="Arial Narrow"/>
                <w:sz w:val="20"/>
              </w:rPr>
            </w:pPr>
            <w:r w:rsidRPr="00EB2B34">
              <w:rPr>
                <w:rFonts w:ascii="Arial Narrow" w:hAnsi="Arial Narrow"/>
                <w:sz w:val="20"/>
              </w:rPr>
              <w:t>High,</w:t>
            </w:r>
            <w:r w:rsidR="005320C3" w:rsidRPr="00EB2B34">
              <w:rPr>
                <w:rFonts w:ascii="Arial Narrow" w:hAnsi="Arial Narrow"/>
                <w:sz w:val="20"/>
              </w:rPr>
              <w:t xml:space="preserve"> favours anakinra</w:t>
            </w:r>
          </w:p>
        </w:tc>
      </w:tr>
      <w:tr w:rsidR="005320C3" w:rsidRPr="00EB2B34" w:rsidTr="00B7427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sz w:val="20"/>
              </w:rPr>
            </w:pP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A4614B">
            <w:pPr>
              <w:snapToGrid w:val="0"/>
              <w:ind w:left="125"/>
              <w:jc w:val="left"/>
              <w:rPr>
                <w:rFonts w:ascii="Arial Narrow" w:hAnsi="Arial Narrow"/>
                <w:sz w:val="20"/>
              </w:rPr>
            </w:pPr>
            <w:r w:rsidRPr="00EB2B34">
              <w:rPr>
                <w:rFonts w:ascii="Arial Narrow" w:hAnsi="Arial Narrow"/>
                <w:sz w:val="20"/>
              </w:rPr>
              <w:t>Complication rates, their cost</w:t>
            </w:r>
            <w:r w:rsidR="001B4C43" w:rsidRPr="00EB2B34">
              <w:rPr>
                <w:rFonts w:ascii="Arial Narrow" w:hAnsi="Arial Narrow"/>
                <w:sz w:val="20"/>
              </w:rPr>
              <w:t>s</w:t>
            </w:r>
            <w:r w:rsidRPr="00EB2B34">
              <w:rPr>
                <w:rFonts w:ascii="Arial Narrow" w:hAnsi="Arial Narrow"/>
                <w:sz w:val="20"/>
              </w:rPr>
              <w:t xml:space="preserve"> and utilities have been gathered from the literature. They are based on heterogeneous populations and small epidemiological studies. </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C2417A">
            <w:pPr>
              <w:snapToGrid w:val="0"/>
              <w:jc w:val="center"/>
              <w:rPr>
                <w:rFonts w:ascii="Arial Narrow" w:hAnsi="Arial Narrow"/>
                <w:sz w:val="20"/>
              </w:rPr>
            </w:pPr>
            <w:r w:rsidRPr="00EB2B34">
              <w:rPr>
                <w:rFonts w:ascii="Arial Narrow" w:hAnsi="Arial Narrow"/>
                <w:sz w:val="20"/>
              </w:rPr>
              <w:t>Moderate,</w:t>
            </w:r>
            <w:r w:rsidR="005320C3" w:rsidRPr="00EB2B34">
              <w:rPr>
                <w:rFonts w:ascii="Arial Narrow" w:hAnsi="Arial Narrow"/>
                <w:sz w:val="20"/>
              </w:rPr>
              <w:t xml:space="preserve"> favours anakinra</w:t>
            </w:r>
          </w:p>
        </w:tc>
      </w:tr>
      <w:tr w:rsidR="005320C3" w:rsidRPr="00EB2B34" w:rsidTr="00B74279">
        <w:trPr>
          <w:tblHeader/>
        </w:trPr>
        <w:tc>
          <w:tcPr>
            <w:tcW w:w="738"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left"/>
              <w:rPr>
                <w:rFonts w:ascii="Arial Narrow" w:hAnsi="Arial Narrow"/>
                <w:sz w:val="20"/>
              </w:rPr>
            </w:pPr>
            <w:r w:rsidRPr="00EB2B34">
              <w:rPr>
                <w:rFonts w:ascii="Arial Narrow" w:hAnsi="Arial Narrow"/>
                <w:sz w:val="20"/>
              </w:rPr>
              <w:t>Dose of anakinra</w:t>
            </w: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rsidP="00A4614B">
            <w:pPr>
              <w:snapToGrid w:val="0"/>
              <w:ind w:left="125"/>
              <w:jc w:val="left"/>
              <w:rPr>
                <w:rFonts w:ascii="Arial Narrow" w:hAnsi="Arial Narrow"/>
                <w:sz w:val="20"/>
              </w:rPr>
            </w:pPr>
            <w:r w:rsidRPr="00EB2B34">
              <w:rPr>
                <w:rFonts w:ascii="Arial Narrow" w:hAnsi="Arial Narrow"/>
                <w:sz w:val="20"/>
              </w:rPr>
              <w:t>The submission has assumed that all patients will receive ≤100</w:t>
            </w:r>
            <w:r w:rsidR="003578E1">
              <w:rPr>
                <w:rFonts w:ascii="Arial Narrow" w:hAnsi="Arial Narrow"/>
                <w:sz w:val="20"/>
              </w:rPr>
              <w:t xml:space="preserve"> </w:t>
            </w:r>
            <w:r w:rsidRPr="00EB2B34">
              <w:rPr>
                <w:rFonts w:ascii="Arial Narrow" w:hAnsi="Arial Narrow"/>
                <w:sz w:val="20"/>
              </w:rPr>
              <w:t xml:space="preserve">mg/day (1 syringe). This may not be sufficient for CINCA patients </w:t>
            </w:r>
            <w:r w:rsidR="00C17430" w:rsidRPr="00EB2B34">
              <w:rPr>
                <w:rFonts w:ascii="Arial Narrow" w:hAnsi="Arial Narrow"/>
                <w:sz w:val="20"/>
              </w:rPr>
              <w:t xml:space="preserve">with a </w:t>
            </w:r>
            <w:r w:rsidRPr="00EB2B34">
              <w:rPr>
                <w:rFonts w:ascii="Arial Narrow" w:hAnsi="Arial Narrow"/>
                <w:sz w:val="20"/>
              </w:rPr>
              <w:t>weight more than 25-33</w:t>
            </w:r>
            <w:r w:rsidR="003578E1">
              <w:rPr>
                <w:rFonts w:ascii="Arial Narrow" w:hAnsi="Arial Narrow"/>
                <w:sz w:val="20"/>
              </w:rPr>
              <w:t xml:space="preserve"> </w:t>
            </w:r>
            <w:r w:rsidRPr="00EB2B34">
              <w:rPr>
                <w:rFonts w:ascii="Arial Narrow" w:hAnsi="Arial Narrow"/>
                <w:sz w:val="20"/>
              </w:rPr>
              <w:t>kg, based on the recommended dose of 3-4</w:t>
            </w:r>
            <w:r w:rsidR="003578E1">
              <w:rPr>
                <w:rFonts w:ascii="Arial Narrow" w:hAnsi="Arial Narrow"/>
                <w:sz w:val="20"/>
              </w:rPr>
              <w:t> </w:t>
            </w:r>
            <w:r w:rsidRPr="00EB2B34">
              <w:rPr>
                <w:rFonts w:ascii="Arial Narrow" w:hAnsi="Arial Narrow"/>
                <w:sz w:val="20"/>
              </w:rPr>
              <w:t xml:space="preserve">mg/kg/day. </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center"/>
              <w:rPr>
                <w:rFonts w:ascii="Arial Narrow" w:hAnsi="Arial Narrow"/>
                <w:sz w:val="20"/>
              </w:rPr>
            </w:pPr>
            <w:r w:rsidRPr="00EB2B34">
              <w:rPr>
                <w:rFonts w:ascii="Arial Narrow" w:hAnsi="Arial Narrow"/>
                <w:sz w:val="20"/>
              </w:rPr>
              <w:t>High, favours anakinra</w:t>
            </w:r>
          </w:p>
        </w:tc>
      </w:tr>
      <w:tr w:rsidR="005320C3" w:rsidRPr="00EB2B34" w:rsidTr="00B74279">
        <w:trPr>
          <w:tblHeader/>
        </w:trPr>
        <w:tc>
          <w:tcPr>
            <w:tcW w:w="738"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snapToGrid w:val="0"/>
              <w:jc w:val="left"/>
              <w:rPr>
                <w:rFonts w:ascii="Arial Narrow" w:hAnsi="Arial Narrow"/>
                <w:sz w:val="20"/>
              </w:rPr>
            </w:pPr>
            <w:r w:rsidRPr="00EB2B34">
              <w:rPr>
                <w:rFonts w:ascii="Arial Narrow" w:hAnsi="Arial Narrow"/>
                <w:sz w:val="20"/>
              </w:rPr>
              <w:t>QALYs</w:t>
            </w:r>
          </w:p>
        </w:tc>
        <w:tc>
          <w:tcPr>
            <w:tcW w:w="324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8F1128" w:rsidP="00A4614B">
            <w:pPr>
              <w:snapToGrid w:val="0"/>
              <w:ind w:left="125"/>
              <w:jc w:val="left"/>
              <w:rPr>
                <w:rFonts w:ascii="Arial Narrow" w:hAnsi="Arial Narrow"/>
                <w:sz w:val="20"/>
              </w:rPr>
            </w:pPr>
            <w:r>
              <w:rPr>
                <w:rFonts w:ascii="Arial Narrow" w:hAnsi="Arial Narrow"/>
                <w:sz w:val="20"/>
              </w:rPr>
              <w:t xml:space="preserve">Utility values for other complications sourced from the literature and largely not comparable. </w:t>
            </w:r>
            <w:r w:rsidR="005320C3" w:rsidRPr="00EB2B34">
              <w:rPr>
                <w:rFonts w:ascii="Arial Narrow" w:hAnsi="Arial Narrow"/>
                <w:sz w:val="20"/>
              </w:rPr>
              <w:t xml:space="preserve">Utility values applied in the economic model remain uncertain, </w:t>
            </w:r>
            <w:r w:rsidR="00C17430" w:rsidRPr="00EB2B34">
              <w:rPr>
                <w:rFonts w:ascii="Arial Narrow" w:hAnsi="Arial Narrow"/>
                <w:sz w:val="20"/>
              </w:rPr>
              <w:t xml:space="preserve">like </w:t>
            </w:r>
            <w:r w:rsidR="005320C3" w:rsidRPr="00EB2B34">
              <w:rPr>
                <w:rFonts w:ascii="Arial Narrow" w:hAnsi="Arial Narrow"/>
                <w:sz w:val="20"/>
              </w:rPr>
              <w:t xml:space="preserve">in the short term model. </w:t>
            </w:r>
          </w:p>
        </w:tc>
        <w:tc>
          <w:tcPr>
            <w:tcW w:w="1021" w:type="pct"/>
            <w:tcBorders>
              <w:top w:val="single" w:sz="4" w:space="0" w:color="auto"/>
              <w:left w:val="single" w:sz="4" w:space="0" w:color="auto"/>
              <w:bottom w:val="single" w:sz="4" w:space="0" w:color="auto"/>
              <w:right w:val="single" w:sz="4" w:space="0" w:color="auto"/>
            </w:tcBorders>
            <w:vAlign w:val="center"/>
            <w:hideMark/>
          </w:tcPr>
          <w:p w:rsidR="005320C3" w:rsidRPr="00EB2B34" w:rsidRDefault="00C2417A">
            <w:pPr>
              <w:snapToGrid w:val="0"/>
              <w:jc w:val="center"/>
              <w:rPr>
                <w:rFonts w:ascii="Arial Narrow" w:hAnsi="Arial Narrow"/>
                <w:sz w:val="20"/>
              </w:rPr>
            </w:pPr>
            <w:r w:rsidRPr="00EB2B34">
              <w:rPr>
                <w:rFonts w:ascii="Arial Narrow" w:hAnsi="Arial Narrow"/>
                <w:sz w:val="20"/>
              </w:rPr>
              <w:t>Moderate,</w:t>
            </w:r>
            <w:r w:rsidR="005320C3" w:rsidRPr="00EB2B34">
              <w:rPr>
                <w:rFonts w:ascii="Arial Narrow" w:hAnsi="Arial Narrow"/>
                <w:sz w:val="20"/>
              </w:rPr>
              <w:t xml:space="preserve"> favours anakinra</w:t>
            </w:r>
          </w:p>
        </w:tc>
      </w:tr>
    </w:tbl>
    <w:p w:rsidR="005320C3" w:rsidRPr="00EB2B34" w:rsidRDefault="005320C3" w:rsidP="00D52EF4">
      <w:pPr>
        <w:pStyle w:val="TableFooter"/>
        <w:ind w:left="709"/>
        <w:rPr>
          <w:rStyle w:val="Font"/>
          <w:rFonts w:ascii="Arial Narrow" w:eastAsiaTheme="majorEastAsia" w:hAnsi="Arial Narrow"/>
          <w:sz w:val="18"/>
        </w:rPr>
      </w:pPr>
      <w:r w:rsidRPr="00EB2B34">
        <w:rPr>
          <w:rStyle w:val="Font"/>
          <w:rFonts w:ascii="Arial Narrow" w:eastAsiaTheme="majorEastAsia" w:hAnsi="Arial Narrow"/>
          <w:sz w:val="18"/>
        </w:rPr>
        <w:t xml:space="preserve">DLQI = Dermatology Life Quality Index; EQ-5D = </w:t>
      </w:r>
      <w:proofErr w:type="spellStart"/>
      <w:r w:rsidRPr="00EB2B34">
        <w:rPr>
          <w:rStyle w:val="Font"/>
          <w:rFonts w:ascii="Arial Narrow" w:eastAsiaTheme="majorEastAsia" w:hAnsi="Arial Narrow"/>
          <w:sz w:val="18"/>
        </w:rPr>
        <w:t>EuroQol</w:t>
      </w:r>
      <w:proofErr w:type="spellEnd"/>
      <w:r w:rsidRPr="00EB2B34">
        <w:rPr>
          <w:rStyle w:val="Font"/>
          <w:rFonts w:ascii="Arial Narrow" w:eastAsiaTheme="majorEastAsia" w:hAnsi="Arial Narrow"/>
          <w:sz w:val="18"/>
        </w:rPr>
        <w:t xml:space="preserve"> five dimension scale; QALY = quality-adjusted life year; CINCA = </w:t>
      </w:r>
      <w:r w:rsidR="0043533D" w:rsidRPr="00EB2B34">
        <w:rPr>
          <w:rStyle w:val="Font"/>
          <w:rFonts w:ascii="Arial Narrow" w:eastAsiaTheme="majorEastAsia" w:hAnsi="Arial Narrow"/>
          <w:sz w:val="18"/>
        </w:rPr>
        <w:t>chronic infantile neurological</w:t>
      </w:r>
      <w:r w:rsidRPr="00EB2B34">
        <w:rPr>
          <w:rStyle w:val="Font"/>
          <w:rFonts w:ascii="Arial Narrow" w:eastAsiaTheme="majorEastAsia" w:hAnsi="Arial Narrow"/>
          <w:sz w:val="18"/>
        </w:rPr>
        <w:t>, cutaneous, articular syndrome.</w:t>
      </w:r>
    </w:p>
    <w:p w:rsidR="005320C3" w:rsidRPr="00EB2B34" w:rsidRDefault="005320C3" w:rsidP="00D52EF4">
      <w:pPr>
        <w:pStyle w:val="TableFooter"/>
        <w:ind w:left="709"/>
        <w:rPr>
          <w:rStyle w:val="CommentReference"/>
          <w:rFonts w:eastAsiaTheme="majorEastAsia"/>
          <w:b w:val="0"/>
          <w:color w:val="auto"/>
          <w:sz w:val="18"/>
          <w:szCs w:val="20"/>
        </w:rPr>
      </w:pPr>
      <w:r w:rsidRPr="00EB2B34">
        <w:rPr>
          <w:rStyle w:val="Font"/>
          <w:rFonts w:ascii="Arial Narrow" w:eastAsiaTheme="majorEastAsia" w:hAnsi="Arial Narrow"/>
          <w:sz w:val="18"/>
        </w:rPr>
        <w:t>Source: Compiled during the evaluation</w:t>
      </w:r>
    </w:p>
    <w:p w:rsidR="005320C3" w:rsidRPr="007F6C15" w:rsidRDefault="005320C3" w:rsidP="005320C3">
      <w:pPr>
        <w:widowControl/>
        <w:rPr>
          <w:szCs w:val="22"/>
        </w:rPr>
      </w:pPr>
    </w:p>
    <w:p w:rsidR="00477507" w:rsidRPr="007F6C15" w:rsidRDefault="00D15219" w:rsidP="008F1128">
      <w:pPr>
        <w:pStyle w:val="ListParagraph"/>
        <w:widowControl/>
        <w:numPr>
          <w:ilvl w:val="1"/>
          <w:numId w:val="16"/>
        </w:numPr>
        <w:rPr>
          <w:szCs w:val="22"/>
        </w:rPr>
      </w:pPr>
      <w:r w:rsidRPr="007F6C15">
        <w:rPr>
          <w:szCs w:val="22"/>
        </w:rPr>
        <w:t>The ESC</w:t>
      </w:r>
      <w:r w:rsidR="00A77C88" w:rsidRPr="007F6C15">
        <w:rPr>
          <w:szCs w:val="22"/>
        </w:rPr>
        <w:t xml:space="preserve"> </w:t>
      </w:r>
      <w:r w:rsidR="00A4575A">
        <w:rPr>
          <w:szCs w:val="22"/>
        </w:rPr>
        <w:t>advised</w:t>
      </w:r>
      <w:r w:rsidRPr="007F6C15">
        <w:rPr>
          <w:szCs w:val="22"/>
        </w:rPr>
        <w:t xml:space="preserve"> </w:t>
      </w:r>
      <w:r w:rsidR="005A2D6F" w:rsidRPr="007F6C15">
        <w:rPr>
          <w:szCs w:val="22"/>
        </w:rPr>
        <w:t>that the transformation</w:t>
      </w:r>
      <w:r w:rsidR="005A2D6F" w:rsidRPr="007F6C15">
        <w:t xml:space="preserve"> </w:t>
      </w:r>
      <w:r w:rsidR="005A2D6F" w:rsidRPr="007F6C15">
        <w:rPr>
          <w:szCs w:val="22"/>
        </w:rPr>
        <w:t>of DLQI scores to utility weights based on ‘mapping’ algorithms from literature was</w:t>
      </w:r>
      <w:r w:rsidR="003578E1" w:rsidRPr="007F6C15">
        <w:rPr>
          <w:szCs w:val="22"/>
        </w:rPr>
        <w:t xml:space="preserve"> highly likely to be</w:t>
      </w:r>
      <w:r w:rsidR="005A2D6F" w:rsidRPr="007F6C15">
        <w:rPr>
          <w:szCs w:val="22"/>
        </w:rPr>
        <w:t xml:space="preserve"> invalid given the low goodness of fit (in two of the</w:t>
      </w:r>
      <w:r w:rsidR="003578E1" w:rsidRPr="007F6C15">
        <w:rPr>
          <w:szCs w:val="22"/>
        </w:rPr>
        <w:t xml:space="preserve"> mapping </w:t>
      </w:r>
      <w:r w:rsidR="005A2D6F" w:rsidRPr="007F6C15">
        <w:rPr>
          <w:szCs w:val="22"/>
        </w:rPr>
        <w:t xml:space="preserve">algorithms, </w:t>
      </w:r>
      <w:r w:rsidR="003578E1" w:rsidRPr="007F6C15">
        <w:rPr>
          <w:szCs w:val="22"/>
        </w:rPr>
        <w:t xml:space="preserve">the </w:t>
      </w:r>
      <w:r w:rsidR="005A2D6F" w:rsidRPr="007F6C15">
        <w:rPr>
          <w:szCs w:val="22"/>
        </w:rPr>
        <w:t>range of the R</w:t>
      </w:r>
      <w:r w:rsidR="005A2D6F" w:rsidRPr="007F6C15">
        <w:rPr>
          <w:szCs w:val="22"/>
          <w:vertAlign w:val="superscript"/>
        </w:rPr>
        <w:t>2</w:t>
      </w:r>
      <w:r w:rsidR="005A2D6F" w:rsidRPr="007F6C15">
        <w:rPr>
          <w:szCs w:val="22"/>
        </w:rPr>
        <w:t xml:space="preserve"> </w:t>
      </w:r>
      <w:r w:rsidR="003578E1" w:rsidRPr="007F6C15">
        <w:rPr>
          <w:szCs w:val="22"/>
        </w:rPr>
        <w:t xml:space="preserve">value </w:t>
      </w:r>
      <w:r w:rsidR="005A2D6F" w:rsidRPr="007F6C15">
        <w:rPr>
          <w:szCs w:val="22"/>
        </w:rPr>
        <w:t>was 0.27 and 0.242). Only the Ross 2008 study used the DLQI</w:t>
      </w:r>
      <w:r w:rsidR="00647959" w:rsidRPr="007F6C15">
        <w:rPr>
          <w:szCs w:val="22"/>
        </w:rPr>
        <w:t xml:space="preserve"> which</w:t>
      </w:r>
      <w:r w:rsidR="00647959" w:rsidRPr="007F6C15">
        <w:t xml:space="preserve"> has not been validated in CAPS and given its focus on dermatological symptoms, may not reflect the whole spectrum of symptoms associated with CAPS.</w:t>
      </w:r>
      <w:r w:rsidR="005A2D6F" w:rsidRPr="007F6C15">
        <w:rPr>
          <w:szCs w:val="22"/>
        </w:rPr>
        <w:t xml:space="preserve"> The model also use</w:t>
      </w:r>
      <w:r w:rsidR="00AD44B1">
        <w:rPr>
          <w:szCs w:val="22"/>
        </w:rPr>
        <w:t>d</w:t>
      </w:r>
      <w:r w:rsidR="005A2D6F" w:rsidRPr="007F6C15">
        <w:rPr>
          <w:szCs w:val="22"/>
        </w:rPr>
        <w:t xml:space="preserve"> the pre-value for non-responders and the treatment value for responders</w:t>
      </w:r>
      <w:r w:rsidR="008F1128" w:rsidRPr="007F6C15">
        <w:rPr>
          <w:szCs w:val="22"/>
        </w:rPr>
        <w:t>. All of these limitations in the mapping process</w:t>
      </w:r>
      <w:r w:rsidR="005A2D6F" w:rsidRPr="007F6C15">
        <w:rPr>
          <w:szCs w:val="22"/>
        </w:rPr>
        <w:t xml:space="preserve"> result</w:t>
      </w:r>
      <w:r w:rsidR="00AD44B1">
        <w:rPr>
          <w:szCs w:val="22"/>
        </w:rPr>
        <w:t>ed</w:t>
      </w:r>
      <w:r w:rsidR="005A2D6F" w:rsidRPr="007F6C15">
        <w:rPr>
          <w:szCs w:val="22"/>
        </w:rPr>
        <w:t xml:space="preserve"> in </w:t>
      </w:r>
      <w:r w:rsidR="008F1128" w:rsidRPr="007F6C15">
        <w:rPr>
          <w:szCs w:val="22"/>
        </w:rPr>
        <w:t>a likely</w:t>
      </w:r>
      <w:r w:rsidR="005A2D6F" w:rsidRPr="007F6C15">
        <w:rPr>
          <w:szCs w:val="22"/>
        </w:rPr>
        <w:t xml:space="preserve"> invalid transformation</w:t>
      </w:r>
      <w:r w:rsidR="008F1128" w:rsidRPr="007F6C15">
        <w:rPr>
          <w:szCs w:val="22"/>
        </w:rPr>
        <w:t xml:space="preserve"> to utilities</w:t>
      </w:r>
      <w:r w:rsidR="005A2D6F" w:rsidRPr="007F6C15">
        <w:rPr>
          <w:szCs w:val="22"/>
        </w:rPr>
        <w:t>.</w:t>
      </w:r>
      <w:r w:rsidR="008F1128" w:rsidRPr="007F6C15">
        <w:rPr>
          <w:szCs w:val="22"/>
        </w:rPr>
        <w:t xml:space="preserve"> </w:t>
      </w:r>
      <w:r w:rsidR="00647959" w:rsidRPr="007F6C15">
        <w:rPr>
          <w:szCs w:val="22"/>
        </w:rPr>
        <w:t xml:space="preserve"> </w:t>
      </w:r>
      <w:r w:rsidR="008F1128" w:rsidRPr="007F6C15">
        <w:rPr>
          <w:szCs w:val="22"/>
        </w:rPr>
        <w:t>For model 3, the submission also source</w:t>
      </w:r>
      <w:r w:rsidR="00AD44B1">
        <w:rPr>
          <w:szCs w:val="22"/>
        </w:rPr>
        <w:t>d</w:t>
      </w:r>
      <w:r w:rsidR="008F1128" w:rsidRPr="007F6C15">
        <w:rPr>
          <w:szCs w:val="22"/>
        </w:rPr>
        <w:t xml:space="preserve"> utilities for various health states associated with the </w:t>
      </w:r>
      <w:proofErr w:type="spellStart"/>
      <w:r w:rsidR="008F1128" w:rsidRPr="007F6C15">
        <w:rPr>
          <w:szCs w:val="22"/>
        </w:rPr>
        <w:lastRenderedPageBreak/>
        <w:t>sequelae</w:t>
      </w:r>
      <w:proofErr w:type="spellEnd"/>
      <w:r w:rsidR="008F1128" w:rsidRPr="007F6C15">
        <w:rPr>
          <w:szCs w:val="22"/>
        </w:rPr>
        <w:t xml:space="preserve"> of the disease (such as mental retardation and renal transplants) from the published liter</w:t>
      </w:r>
      <w:r w:rsidR="00AD44B1">
        <w:rPr>
          <w:szCs w:val="22"/>
        </w:rPr>
        <w:t>ature. Many of these utilities we</w:t>
      </w:r>
      <w:r w:rsidR="008F1128" w:rsidRPr="007F6C15">
        <w:rPr>
          <w:szCs w:val="22"/>
        </w:rPr>
        <w:t>re not comparable because the patient populations differed and different instruments were used in different studies. Furthermore the model assumed an unsubstantiated disutility of 0.1 associated with injection site reaction.</w:t>
      </w:r>
    </w:p>
    <w:p w:rsidR="00477507" w:rsidRPr="007F6C15" w:rsidRDefault="00477507" w:rsidP="00477507">
      <w:pPr>
        <w:pStyle w:val="ListParagraph"/>
        <w:widowControl/>
        <w:rPr>
          <w:szCs w:val="22"/>
        </w:rPr>
      </w:pPr>
    </w:p>
    <w:p w:rsidR="00477507" w:rsidRPr="007F6C15" w:rsidRDefault="00477507" w:rsidP="00477507">
      <w:pPr>
        <w:pStyle w:val="ListParagraph"/>
        <w:widowControl/>
        <w:numPr>
          <w:ilvl w:val="1"/>
          <w:numId w:val="16"/>
        </w:numPr>
        <w:rPr>
          <w:szCs w:val="22"/>
        </w:rPr>
      </w:pPr>
      <w:r w:rsidRPr="007F6C15">
        <w:rPr>
          <w:szCs w:val="22"/>
        </w:rPr>
        <w:t xml:space="preserve">The submission assumed that all patients will receive ≤100 mg/day of anakinra (one syringe). While this may be </w:t>
      </w:r>
      <w:r w:rsidR="008F1128" w:rsidRPr="007F6C15">
        <w:rPr>
          <w:szCs w:val="22"/>
        </w:rPr>
        <w:t xml:space="preserve">sufficient </w:t>
      </w:r>
      <w:r w:rsidRPr="007F6C15">
        <w:rPr>
          <w:szCs w:val="22"/>
        </w:rPr>
        <w:t xml:space="preserve">for patients with less severe disease (FCAS or MWS), it may not be sufficient for patients with chronic infantile neurological, cutaneous, articular syndrome (CINCA) weighing more than 25-33 kg, based on the recommended dose of 3-4 mg/kg/day. This would underestimate anakinra treatment costs. The ESC further </w:t>
      </w:r>
      <w:r w:rsidR="00AD44B1">
        <w:rPr>
          <w:szCs w:val="22"/>
        </w:rPr>
        <w:t>advised</w:t>
      </w:r>
      <w:r w:rsidRPr="007F6C15">
        <w:rPr>
          <w:szCs w:val="22"/>
        </w:rPr>
        <w:t xml:space="preserve"> that the dosing patterns in Study 03-AR-0298 </w:t>
      </w:r>
      <w:r w:rsidR="008F1128" w:rsidRPr="007F6C15">
        <w:rPr>
          <w:szCs w:val="22"/>
        </w:rPr>
        <w:t xml:space="preserve"> suggest </w:t>
      </w:r>
      <w:r w:rsidRPr="007F6C15">
        <w:rPr>
          <w:szCs w:val="22"/>
        </w:rPr>
        <w:t>increased dosing over time (and therefore increasing treatment costs) that may potentially not be explained by patients</w:t>
      </w:r>
      <w:r w:rsidR="008F1128" w:rsidRPr="007F6C15">
        <w:rPr>
          <w:szCs w:val="22"/>
        </w:rPr>
        <w:t>’ age-related weight increases</w:t>
      </w:r>
      <w:r w:rsidRPr="007F6C15">
        <w:rPr>
          <w:szCs w:val="22"/>
        </w:rPr>
        <w:t>. In the figure shown below, although a ‘line of best fit’ is not drawn, there appear</w:t>
      </w:r>
      <w:r w:rsidR="00AD44B1">
        <w:rPr>
          <w:szCs w:val="22"/>
        </w:rPr>
        <w:t>ed</w:t>
      </w:r>
      <w:r w:rsidRPr="007F6C15">
        <w:rPr>
          <w:szCs w:val="22"/>
        </w:rPr>
        <w:t xml:space="preserve"> to be a trend towards increasing dosing on a per mg/kg basis over time. </w:t>
      </w:r>
    </w:p>
    <w:p w:rsidR="00477507" w:rsidRPr="007F6C15" w:rsidRDefault="00477507" w:rsidP="00477507">
      <w:pPr>
        <w:pStyle w:val="PBACHeading1"/>
        <w:numPr>
          <w:ilvl w:val="0"/>
          <w:numId w:val="0"/>
        </w:numPr>
        <w:ind w:left="720"/>
      </w:pPr>
    </w:p>
    <w:p w:rsidR="00DE7844" w:rsidRPr="00DE7844" w:rsidRDefault="00DE7844" w:rsidP="00477507">
      <w:pPr>
        <w:pStyle w:val="PBACHeading1"/>
        <w:numPr>
          <w:ilvl w:val="0"/>
          <w:numId w:val="0"/>
        </w:numPr>
        <w:ind w:left="720"/>
        <w:rPr>
          <w:rFonts w:ascii="Arial Narrow" w:hAnsi="Arial Narrow"/>
          <w:sz w:val="20"/>
          <w:szCs w:val="20"/>
        </w:rPr>
      </w:pPr>
      <w:r w:rsidRPr="00DE7844">
        <w:rPr>
          <w:rFonts w:ascii="Arial Narrow" w:hAnsi="Arial Narrow"/>
          <w:sz w:val="20"/>
          <w:szCs w:val="20"/>
        </w:rPr>
        <w:t>Anakinra dose by body weight during the study, all age groups</w:t>
      </w:r>
    </w:p>
    <w:p w:rsidR="00477507" w:rsidRPr="00477507" w:rsidRDefault="00477507" w:rsidP="00477507">
      <w:pPr>
        <w:pStyle w:val="PBACHeading1"/>
        <w:numPr>
          <w:ilvl w:val="0"/>
          <w:numId w:val="0"/>
        </w:numPr>
        <w:ind w:left="720"/>
        <w:rPr>
          <w:i/>
        </w:rPr>
      </w:pPr>
      <w:r w:rsidRPr="00477507">
        <w:rPr>
          <w:i/>
        </w:rPr>
        <w:t xml:space="preserve">  </w:t>
      </w:r>
      <w:r w:rsidRPr="006E69E6">
        <w:rPr>
          <w:noProof/>
          <w:snapToGrid/>
          <w:lang w:eastAsia="en-AU"/>
        </w:rPr>
        <w:drawing>
          <wp:inline distT="0" distB="0" distL="0" distR="0" wp14:anchorId="5108CB3E" wp14:editId="5969FA4A">
            <wp:extent cx="3490623" cy="2480807"/>
            <wp:effectExtent l="0" t="0" r="0" b="0"/>
            <wp:docPr id="21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1546" cy="2481463"/>
                    </a:xfrm>
                    <a:prstGeom prst="rect">
                      <a:avLst/>
                    </a:prstGeom>
                    <a:noFill/>
                    <a:ln>
                      <a:noFill/>
                    </a:ln>
                    <a:effectLst/>
                    <a:extLst/>
                  </pic:spPr>
                </pic:pic>
              </a:graphicData>
            </a:graphic>
          </wp:inline>
        </w:drawing>
      </w:r>
    </w:p>
    <w:p w:rsidR="00477507" w:rsidRDefault="00477507" w:rsidP="00477507">
      <w:pPr>
        <w:pStyle w:val="ListParagraph"/>
        <w:widowControl/>
        <w:ind w:left="993"/>
        <w:rPr>
          <w:rFonts w:ascii="Arial Narrow" w:hAnsi="Arial Narrow"/>
          <w:i/>
          <w:sz w:val="18"/>
          <w:szCs w:val="18"/>
        </w:rPr>
      </w:pPr>
    </w:p>
    <w:p w:rsidR="00D15219" w:rsidRPr="00477507" w:rsidRDefault="00477507" w:rsidP="00477507">
      <w:pPr>
        <w:pStyle w:val="ListParagraph"/>
        <w:widowControl/>
        <w:ind w:left="993"/>
        <w:rPr>
          <w:rFonts w:ascii="Arial Narrow" w:hAnsi="Arial Narrow"/>
          <w:i/>
          <w:sz w:val="18"/>
          <w:szCs w:val="18"/>
        </w:rPr>
      </w:pPr>
      <w:r>
        <w:rPr>
          <w:rFonts w:ascii="Arial Narrow" w:hAnsi="Arial Narrow"/>
          <w:i/>
          <w:sz w:val="18"/>
          <w:szCs w:val="18"/>
        </w:rPr>
        <w:t xml:space="preserve">Source: </w:t>
      </w:r>
      <w:r w:rsidRPr="00477507">
        <w:rPr>
          <w:rFonts w:ascii="Arial Narrow" w:hAnsi="Arial Narrow"/>
          <w:i/>
          <w:sz w:val="18"/>
          <w:szCs w:val="18"/>
        </w:rPr>
        <w:t xml:space="preserve">Figure 8, </w:t>
      </w:r>
      <w:r>
        <w:rPr>
          <w:rFonts w:ascii="Arial Narrow" w:hAnsi="Arial Narrow"/>
          <w:i/>
          <w:sz w:val="18"/>
          <w:szCs w:val="18"/>
        </w:rPr>
        <w:t xml:space="preserve">November 2014 </w:t>
      </w:r>
      <w:proofErr w:type="spellStart"/>
      <w:r w:rsidRPr="00477507">
        <w:rPr>
          <w:rFonts w:ascii="Arial Narrow" w:hAnsi="Arial Narrow"/>
          <w:i/>
          <w:sz w:val="18"/>
          <w:szCs w:val="18"/>
        </w:rPr>
        <w:t>Kineret</w:t>
      </w:r>
      <w:proofErr w:type="spellEnd"/>
      <w:r w:rsidRPr="00477507">
        <w:rPr>
          <w:rFonts w:ascii="Arial Narrow" w:hAnsi="Arial Narrow"/>
          <w:i/>
          <w:sz w:val="18"/>
          <w:szCs w:val="18"/>
        </w:rPr>
        <w:t xml:space="preserve"> PBS</w:t>
      </w:r>
      <w:r>
        <w:rPr>
          <w:rFonts w:ascii="Arial Narrow" w:hAnsi="Arial Narrow"/>
          <w:i/>
          <w:sz w:val="18"/>
          <w:szCs w:val="18"/>
        </w:rPr>
        <w:t xml:space="preserve"> </w:t>
      </w:r>
      <w:r w:rsidRPr="00477507">
        <w:rPr>
          <w:rFonts w:ascii="Arial Narrow" w:hAnsi="Arial Narrow"/>
          <w:i/>
          <w:sz w:val="18"/>
          <w:szCs w:val="18"/>
        </w:rPr>
        <w:t>submission, pp</w:t>
      </w:r>
      <w:r>
        <w:rPr>
          <w:rFonts w:ascii="Arial Narrow" w:hAnsi="Arial Narrow"/>
          <w:i/>
          <w:sz w:val="18"/>
          <w:szCs w:val="18"/>
        </w:rPr>
        <w:t>.</w:t>
      </w:r>
      <w:r w:rsidRPr="00477507">
        <w:rPr>
          <w:rFonts w:ascii="Arial Narrow" w:hAnsi="Arial Narrow"/>
          <w:i/>
          <w:sz w:val="18"/>
          <w:szCs w:val="18"/>
        </w:rPr>
        <w:t>59</w:t>
      </w:r>
    </w:p>
    <w:p w:rsidR="00D15219" w:rsidRDefault="00D15219" w:rsidP="00D15219">
      <w:pPr>
        <w:pStyle w:val="ListParagraph"/>
        <w:widowControl/>
        <w:rPr>
          <w:i/>
          <w:szCs w:val="22"/>
        </w:rPr>
      </w:pPr>
    </w:p>
    <w:p w:rsidR="00477507" w:rsidRPr="007F6C15" w:rsidRDefault="00304609" w:rsidP="00477507">
      <w:pPr>
        <w:pStyle w:val="ListParagraph"/>
        <w:widowControl/>
        <w:numPr>
          <w:ilvl w:val="1"/>
          <w:numId w:val="16"/>
        </w:numPr>
        <w:rPr>
          <w:szCs w:val="22"/>
        </w:rPr>
      </w:pPr>
      <w:r w:rsidRPr="007F6C15">
        <w:rPr>
          <w:szCs w:val="22"/>
        </w:rPr>
        <w:t xml:space="preserve">The ESC </w:t>
      </w:r>
      <w:r w:rsidR="00AD44B1">
        <w:rPr>
          <w:szCs w:val="22"/>
        </w:rPr>
        <w:t>advised</w:t>
      </w:r>
      <w:r w:rsidRPr="007F6C15">
        <w:rPr>
          <w:szCs w:val="22"/>
        </w:rPr>
        <w:t xml:space="preserve"> that a time horizon of 6 years</w:t>
      </w:r>
      <w:r w:rsidR="00700859" w:rsidRPr="007F6C15">
        <w:rPr>
          <w:szCs w:val="22"/>
        </w:rPr>
        <w:t xml:space="preserve"> as opposed to 30 years</w:t>
      </w:r>
      <w:r w:rsidR="00A4614B" w:rsidRPr="007F6C15">
        <w:rPr>
          <w:szCs w:val="22"/>
        </w:rPr>
        <w:t xml:space="preserve"> for the long-term model </w:t>
      </w:r>
      <w:r w:rsidR="00D15219" w:rsidRPr="007F6C15">
        <w:rPr>
          <w:szCs w:val="22"/>
        </w:rPr>
        <w:t>would be more appropriate</w:t>
      </w:r>
      <w:r w:rsidR="00A77C88" w:rsidRPr="007F6C15">
        <w:rPr>
          <w:szCs w:val="22"/>
        </w:rPr>
        <w:t xml:space="preserve"> because this shorter timeframe more closely reflected the evidence base (i.e. 03-AR-0298 had 5 year follow-up data and </w:t>
      </w:r>
      <w:proofErr w:type="spellStart"/>
      <w:r w:rsidR="00A77C88" w:rsidRPr="007F6C15">
        <w:rPr>
          <w:szCs w:val="22"/>
        </w:rPr>
        <w:t>Lepore</w:t>
      </w:r>
      <w:proofErr w:type="spellEnd"/>
      <w:r w:rsidR="00A77C88" w:rsidRPr="007F6C15">
        <w:rPr>
          <w:szCs w:val="22"/>
        </w:rPr>
        <w:t xml:space="preserve"> 2010 had 4 year follow-up data)</w:t>
      </w:r>
      <w:r w:rsidR="00D15219" w:rsidRPr="007F6C15">
        <w:rPr>
          <w:szCs w:val="22"/>
        </w:rPr>
        <w:t xml:space="preserve">. </w:t>
      </w:r>
    </w:p>
    <w:p w:rsidR="00304609" w:rsidRPr="00EB2B34" w:rsidRDefault="00304609" w:rsidP="005320C3">
      <w:pPr>
        <w:widowControl/>
        <w:rPr>
          <w:szCs w:val="22"/>
        </w:rPr>
      </w:pPr>
    </w:p>
    <w:p w:rsidR="00670E74" w:rsidRDefault="00670E74">
      <w:pPr>
        <w:widowControl/>
        <w:jc w:val="left"/>
      </w:pPr>
      <w:r>
        <w:br w:type="page"/>
      </w:r>
    </w:p>
    <w:p w:rsidR="005320C3" w:rsidRPr="00EB2B34" w:rsidRDefault="005320C3" w:rsidP="005320C3">
      <w:pPr>
        <w:pStyle w:val="ListParagraph"/>
        <w:widowControl/>
        <w:numPr>
          <w:ilvl w:val="1"/>
          <w:numId w:val="16"/>
        </w:numPr>
        <w:snapToGrid w:val="0"/>
        <w:rPr>
          <w:szCs w:val="22"/>
        </w:rPr>
      </w:pPr>
      <w:r w:rsidRPr="00EB2B34">
        <w:lastRenderedPageBreak/>
        <w:t xml:space="preserve">Results of the short-term economic analyses (Steps 1 and 2) and long term model </w:t>
      </w:r>
      <w:r w:rsidR="001F1D12" w:rsidRPr="00EB2B34">
        <w:t>(</w:t>
      </w:r>
      <w:r w:rsidR="00A77C88">
        <w:t>S</w:t>
      </w:r>
      <w:r w:rsidR="001F1D12" w:rsidRPr="00EB2B34">
        <w:t xml:space="preserve">tep 3) </w:t>
      </w:r>
      <w:r w:rsidRPr="00EB2B34">
        <w:t>are provided in the tables below.</w:t>
      </w:r>
    </w:p>
    <w:p w:rsidR="005320C3" w:rsidRPr="00EB2B34" w:rsidRDefault="005320C3" w:rsidP="005320C3">
      <w:pPr>
        <w:ind w:firstLine="720"/>
        <w:rPr>
          <w:rStyle w:val="CommentReference"/>
        </w:rPr>
      </w:pPr>
    </w:p>
    <w:p w:rsidR="005320C3" w:rsidRPr="00EB2B34" w:rsidRDefault="005320C3" w:rsidP="005320C3">
      <w:pPr>
        <w:ind w:firstLine="720"/>
        <w:rPr>
          <w:rStyle w:val="CommentReference"/>
        </w:rPr>
      </w:pPr>
      <w:r w:rsidRPr="00EB2B34">
        <w:rPr>
          <w:rStyle w:val="CommentReference"/>
        </w:rPr>
        <w:t>Results of the short term economic evaluation</w:t>
      </w:r>
    </w:p>
    <w:tbl>
      <w:tblPr>
        <w:tblStyle w:val="TableGrid"/>
        <w:tblW w:w="4500" w:type="pct"/>
        <w:tblInd w:w="836" w:type="dxa"/>
        <w:tblLook w:val="04A0" w:firstRow="1" w:lastRow="0" w:firstColumn="1" w:lastColumn="0" w:noHBand="0" w:noVBand="1"/>
      </w:tblPr>
      <w:tblGrid>
        <w:gridCol w:w="1077"/>
        <w:gridCol w:w="806"/>
        <w:gridCol w:w="755"/>
        <w:gridCol w:w="687"/>
        <w:gridCol w:w="755"/>
        <w:gridCol w:w="17"/>
        <w:gridCol w:w="837"/>
        <w:gridCol w:w="907"/>
        <w:gridCol w:w="18"/>
        <w:gridCol w:w="767"/>
        <w:gridCol w:w="13"/>
        <w:gridCol w:w="757"/>
        <w:gridCol w:w="923"/>
      </w:tblGrid>
      <w:tr w:rsidR="005320C3" w:rsidRPr="00EB2B34" w:rsidTr="004544F1">
        <w:trPr>
          <w:trHeight w:val="198"/>
        </w:trPr>
        <w:tc>
          <w:tcPr>
            <w:tcW w:w="647" w:type="pct"/>
            <w:vMerge w:val="restar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lang w:eastAsia="en-AU"/>
              </w:rPr>
            </w:pPr>
            <w:r w:rsidRPr="00EB2B34">
              <w:rPr>
                <w:rFonts w:ascii="Arial Narrow" w:hAnsi="Arial Narrow"/>
                <w:b/>
                <w:sz w:val="18"/>
                <w:szCs w:val="18"/>
                <w:lang w:eastAsia="en-AU"/>
              </w:rPr>
              <w:t>Analysis</w:t>
            </w:r>
          </w:p>
        </w:tc>
        <w:tc>
          <w:tcPr>
            <w:tcW w:w="2318" w:type="pct"/>
            <w:gridSpan w:val="6"/>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lang w:eastAsia="en-AU"/>
              </w:rPr>
            </w:pPr>
            <w:r w:rsidRPr="00EB2B34">
              <w:rPr>
                <w:rFonts w:ascii="Arial Narrow" w:hAnsi="Arial Narrow"/>
                <w:b/>
                <w:sz w:val="18"/>
                <w:szCs w:val="18"/>
                <w:lang w:eastAsia="en-AU"/>
              </w:rPr>
              <w:t>Costs*</w:t>
            </w:r>
          </w:p>
        </w:tc>
        <w:tc>
          <w:tcPr>
            <w:tcW w:w="1480" w:type="pct"/>
            <w:gridSpan w:val="5"/>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lang w:eastAsia="en-AU"/>
              </w:rPr>
            </w:pPr>
            <w:r w:rsidRPr="00EB2B34">
              <w:rPr>
                <w:rFonts w:ascii="Arial Narrow" w:hAnsi="Arial Narrow"/>
                <w:b/>
                <w:sz w:val="18"/>
                <w:szCs w:val="18"/>
                <w:lang w:eastAsia="en-AU"/>
              </w:rPr>
              <w:t>Outcomes**</w:t>
            </w:r>
          </w:p>
        </w:tc>
        <w:tc>
          <w:tcPr>
            <w:tcW w:w="556" w:type="pct"/>
            <w:vMerge w:val="restar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lang w:eastAsia="en-AU"/>
              </w:rPr>
            </w:pPr>
            <w:r w:rsidRPr="00EB2B34">
              <w:rPr>
                <w:rFonts w:ascii="Arial Narrow" w:hAnsi="Arial Narrow"/>
                <w:b/>
                <w:sz w:val="18"/>
                <w:szCs w:val="18"/>
                <w:lang w:eastAsia="en-AU"/>
              </w:rPr>
              <w:t>ICER</w:t>
            </w:r>
          </w:p>
        </w:tc>
      </w:tr>
      <w:tr w:rsidR="005320C3" w:rsidRPr="00EB2B34" w:rsidTr="004544F1">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b/>
                <w:sz w:val="18"/>
                <w:szCs w:val="18"/>
                <w:lang w:eastAsia="en-AU"/>
              </w:rPr>
            </w:pPr>
          </w:p>
        </w:tc>
        <w:tc>
          <w:tcPr>
            <w:tcW w:w="938"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rPr>
            </w:pPr>
            <w:r w:rsidRPr="00EB2B34">
              <w:rPr>
                <w:rFonts w:ascii="Arial Narrow" w:hAnsi="Arial Narrow"/>
                <w:b/>
                <w:sz w:val="18"/>
                <w:szCs w:val="18"/>
              </w:rPr>
              <w:t>ANA</w:t>
            </w:r>
          </w:p>
        </w:tc>
        <w:tc>
          <w:tcPr>
            <w:tcW w:w="867"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rPr>
            </w:pPr>
            <w:r w:rsidRPr="00EB2B34">
              <w:rPr>
                <w:rFonts w:ascii="Arial Narrow" w:hAnsi="Arial Narrow"/>
                <w:b/>
                <w:sz w:val="18"/>
                <w:szCs w:val="18"/>
              </w:rPr>
              <w:t>BSC</w:t>
            </w:r>
          </w:p>
        </w:tc>
        <w:tc>
          <w:tcPr>
            <w:tcW w:w="513"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rPr>
            </w:pPr>
            <w:r w:rsidRPr="00EB2B34">
              <w:rPr>
                <w:rFonts w:ascii="Arial Narrow" w:hAnsi="Arial Narrow"/>
                <w:b/>
                <w:sz w:val="18"/>
                <w:szCs w:val="18"/>
              </w:rPr>
              <w:t>INC</w:t>
            </w:r>
          </w:p>
        </w:tc>
        <w:tc>
          <w:tcPr>
            <w:tcW w:w="556"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rPr>
            </w:pPr>
            <w:r w:rsidRPr="00EB2B34">
              <w:rPr>
                <w:rFonts w:ascii="Arial Narrow" w:hAnsi="Arial Narrow"/>
                <w:b/>
                <w:sz w:val="18"/>
                <w:szCs w:val="18"/>
              </w:rPr>
              <w:t>ANA</w:t>
            </w:r>
          </w:p>
        </w:tc>
        <w:tc>
          <w:tcPr>
            <w:tcW w:w="469"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rPr>
            </w:pPr>
            <w:r w:rsidRPr="00EB2B34">
              <w:rPr>
                <w:rFonts w:ascii="Arial Narrow" w:hAnsi="Arial Narrow"/>
                <w:b/>
                <w:sz w:val="18"/>
                <w:szCs w:val="18"/>
              </w:rPr>
              <w:t>BSC</w:t>
            </w:r>
          </w:p>
        </w:tc>
        <w:tc>
          <w:tcPr>
            <w:tcW w:w="455" w:type="pct"/>
            <w:vMerge w:val="restar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rPr>
            </w:pPr>
            <w:r w:rsidRPr="00EB2B34">
              <w:rPr>
                <w:rFonts w:ascii="Arial Narrow" w:hAnsi="Arial Narrow"/>
                <w:b/>
                <w:sz w:val="18"/>
                <w:szCs w:val="18"/>
              </w:rPr>
              <w:t>INC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b/>
                <w:sz w:val="18"/>
                <w:szCs w:val="18"/>
                <w:lang w:eastAsia="en-AU"/>
              </w:rPr>
            </w:pPr>
          </w:p>
        </w:tc>
      </w:tr>
      <w:tr w:rsidR="005320C3" w:rsidRPr="00EB2B34" w:rsidTr="005320C3">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b/>
                <w:sz w:val="18"/>
                <w:szCs w:val="18"/>
                <w:lang w:eastAsia="en-AU"/>
              </w:rPr>
            </w:pP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lang w:eastAsia="en-AU"/>
              </w:rPr>
            </w:pPr>
            <w:r w:rsidRPr="00EB2B34">
              <w:rPr>
                <w:rFonts w:ascii="Arial Narrow" w:hAnsi="Arial Narrow"/>
                <w:b/>
                <w:sz w:val="18"/>
                <w:szCs w:val="18"/>
                <w:lang w:eastAsia="en-AU"/>
              </w:rPr>
              <w:t>Drug</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lang w:eastAsia="en-AU"/>
              </w:rPr>
            </w:pPr>
            <w:r w:rsidRPr="00EB2B34">
              <w:rPr>
                <w:rFonts w:ascii="Arial Narrow" w:hAnsi="Arial Narrow"/>
                <w:b/>
                <w:sz w:val="18"/>
                <w:szCs w:val="18"/>
                <w:lang w:eastAsia="en-AU"/>
              </w:rPr>
              <w:t>Other</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lang w:eastAsia="en-AU"/>
              </w:rPr>
            </w:pPr>
            <w:r w:rsidRPr="00EB2B34">
              <w:rPr>
                <w:rFonts w:ascii="Arial Narrow" w:hAnsi="Arial Narrow"/>
                <w:b/>
                <w:sz w:val="18"/>
                <w:szCs w:val="18"/>
                <w:lang w:eastAsia="en-AU"/>
              </w:rPr>
              <w:t>Drug</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jc w:val="center"/>
              <w:rPr>
                <w:rFonts w:ascii="Arial Narrow" w:hAnsi="Arial Narrow"/>
                <w:b/>
                <w:sz w:val="18"/>
                <w:szCs w:val="18"/>
                <w:lang w:eastAsia="en-AU"/>
              </w:rPr>
            </w:pPr>
            <w:r w:rsidRPr="00EB2B34">
              <w:rPr>
                <w:rFonts w:ascii="Arial Narrow" w:hAnsi="Arial Narrow"/>
                <w:b/>
                <w:sz w:val="18"/>
                <w:szCs w:val="18"/>
                <w:lang w:eastAsia="en-AU"/>
              </w:rPr>
              <w:t>Other</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b/>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b/>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b/>
                <w:sz w:val="18"/>
                <w:szCs w:val="18"/>
                <w:lang w:eastAsia="en-AU"/>
              </w:rPr>
            </w:pPr>
          </w:p>
        </w:tc>
      </w:tr>
      <w:tr w:rsidR="005320C3" w:rsidRPr="00EB2B34" w:rsidTr="005320C3">
        <w:trPr>
          <w:trHeight w:val="198"/>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b/>
                <w:sz w:val="18"/>
                <w:szCs w:val="18"/>
                <w:lang w:eastAsia="en-AU"/>
              </w:rPr>
            </w:pPr>
            <w:r w:rsidRPr="00EB2B34">
              <w:rPr>
                <w:rFonts w:ascii="Arial Narrow" w:hAnsi="Arial Narrow"/>
                <w:b/>
                <w:sz w:val="18"/>
                <w:szCs w:val="18"/>
                <w:lang w:eastAsia="en-AU"/>
              </w:rPr>
              <w:t>Step 1 - Cost effectiveness (monthly cost per responder</w:t>
            </w:r>
            <w:r w:rsidR="001F1D12" w:rsidRPr="00EB2B34">
              <w:rPr>
                <w:rFonts w:ascii="Arial Narrow" w:hAnsi="Arial Narrow"/>
                <w:b/>
                <w:sz w:val="18"/>
                <w:szCs w:val="18"/>
                <w:lang w:eastAsia="en-AU"/>
              </w:rPr>
              <w:t>***</w:t>
            </w:r>
            <w:r w:rsidRPr="00EB2B34">
              <w:rPr>
                <w:rFonts w:ascii="Arial Narrow" w:hAnsi="Arial Narrow"/>
                <w:b/>
                <w:sz w:val="18"/>
                <w:szCs w:val="18"/>
                <w:lang w:eastAsia="en-AU"/>
              </w:rPr>
              <w:t>)</w:t>
            </w:r>
          </w:p>
        </w:tc>
      </w:tr>
      <w:tr w:rsidR="005320C3" w:rsidRPr="00EB2B34" w:rsidTr="004544F1">
        <w:trPr>
          <w:trHeight w:val="198"/>
        </w:trPr>
        <w:tc>
          <w:tcPr>
            <w:tcW w:w="647"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sz w:val="18"/>
                <w:szCs w:val="18"/>
                <w:lang w:eastAsia="en-AU"/>
              </w:rPr>
            </w:pPr>
            <w:r w:rsidRPr="00EB2B34">
              <w:rPr>
                <w:rFonts w:ascii="Arial Narrow" w:hAnsi="Arial Narrow"/>
                <w:sz w:val="18"/>
                <w:szCs w:val="18"/>
                <w:lang w:eastAsia="en-AU"/>
              </w:rPr>
              <w:t>FCAS</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13"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45"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72"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63"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r>
      <w:tr w:rsidR="005320C3" w:rsidRPr="00EB2B34" w:rsidTr="004544F1">
        <w:trPr>
          <w:trHeight w:val="198"/>
        </w:trPr>
        <w:tc>
          <w:tcPr>
            <w:tcW w:w="647"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sz w:val="18"/>
                <w:szCs w:val="18"/>
                <w:lang w:eastAsia="en-AU"/>
              </w:rPr>
            </w:pPr>
            <w:r w:rsidRPr="00EB2B34">
              <w:rPr>
                <w:rFonts w:ascii="Arial Narrow" w:hAnsi="Arial Narrow"/>
                <w:sz w:val="18"/>
                <w:szCs w:val="18"/>
                <w:lang w:eastAsia="en-AU"/>
              </w:rPr>
              <w:t>MWS</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13"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45"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72"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63"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r>
      <w:tr w:rsidR="005320C3" w:rsidRPr="00EB2B34" w:rsidTr="004544F1">
        <w:trPr>
          <w:trHeight w:val="198"/>
        </w:trPr>
        <w:tc>
          <w:tcPr>
            <w:tcW w:w="647"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sz w:val="18"/>
                <w:szCs w:val="18"/>
                <w:lang w:eastAsia="en-AU"/>
              </w:rPr>
            </w:pPr>
            <w:r w:rsidRPr="00EB2B34">
              <w:rPr>
                <w:rFonts w:ascii="Arial Narrow" w:hAnsi="Arial Narrow"/>
                <w:sz w:val="18"/>
                <w:szCs w:val="18"/>
                <w:lang w:eastAsia="en-AU"/>
              </w:rPr>
              <w:t>CINCA/</w:t>
            </w:r>
            <w:r w:rsidRPr="00EB2B34">
              <w:rPr>
                <w:rFonts w:ascii="Arial Narrow" w:hAnsi="Arial Narrow"/>
                <w:sz w:val="18"/>
                <w:szCs w:val="18"/>
                <w:lang w:eastAsia="en-AU"/>
              </w:rPr>
              <w:br/>
              <w:t>NOMID</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13"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45"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72"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63"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r>
      <w:tr w:rsidR="005320C3" w:rsidRPr="00EB2B34" w:rsidTr="005320C3">
        <w:trPr>
          <w:trHeight w:val="198"/>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b/>
                <w:sz w:val="18"/>
                <w:szCs w:val="18"/>
                <w:lang w:eastAsia="en-AU"/>
              </w:rPr>
            </w:pPr>
            <w:r w:rsidRPr="00EB2B34">
              <w:rPr>
                <w:rFonts w:ascii="Arial Narrow" w:hAnsi="Arial Narrow"/>
                <w:b/>
                <w:sz w:val="18"/>
                <w:szCs w:val="18"/>
                <w:lang w:eastAsia="en-AU"/>
              </w:rPr>
              <w:t>Step 2 - Cost utility (cost/QALY)</w:t>
            </w:r>
          </w:p>
        </w:tc>
      </w:tr>
      <w:tr w:rsidR="005320C3" w:rsidRPr="00EB2B34" w:rsidTr="004544F1">
        <w:trPr>
          <w:trHeight w:val="198"/>
        </w:trPr>
        <w:tc>
          <w:tcPr>
            <w:tcW w:w="647"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sz w:val="18"/>
                <w:szCs w:val="18"/>
                <w:lang w:eastAsia="en-AU"/>
              </w:rPr>
            </w:pPr>
            <w:r w:rsidRPr="00EB2B34">
              <w:rPr>
                <w:rFonts w:ascii="Arial Narrow" w:hAnsi="Arial Narrow"/>
                <w:sz w:val="18"/>
                <w:szCs w:val="18"/>
                <w:lang w:eastAsia="en-AU"/>
              </w:rPr>
              <w:t>FCAS</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45"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c>
          <w:tcPr>
            <w:tcW w:w="480" w:type="pct"/>
            <w:gridSpan w:val="3"/>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r>
      <w:tr w:rsidR="005320C3" w:rsidRPr="00EB2B34" w:rsidTr="004544F1">
        <w:trPr>
          <w:trHeight w:val="198"/>
        </w:trPr>
        <w:tc>
          <w:tcPr>
            <w:tcW w:w="647"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sz w:val="18"/>
                <w:szCs w:val="18"/>
                <w:lang w:eastAsia="en-AU"/>
              </w:rPr>
            </w:pPr>
            <w:r w:rsidRPr="00EB2B34">
              <w:rPr>
                <w:rFonts w:ascii="Arial Narrow" w:hAnsi="Arial Narrow"/>
                <w:sz w:val="18"/>
                <w:szCs w:val="18"/>
                <w:lang w:eastAsia="en-AU"/>
              </w:rPr>
              <w:t>MWS</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45"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c>
          <w:tcPr>
            <w:tcW w:w="480" w:type="pct"/>
            <w:gridSpan w:val="3"/>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r>
      <w:tr w:rsidR="005320C3" w:rsidRPr="00EB2B34" w:rsidTr="004544F1">
        <w:trPr>
          <w:trHeight w:val="198"/>
        </w:trPr>
        <w:tc>
          <w:tcPr>
            <w:tcW w:w="647"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sz w:val="18"/>
                <w:szCs w:val="18"/>
                <w:lang w:eastAsia="en-AU"/>
              </w:rPr>
            </w:pPr>
            <w:r w:rsidRPr="00EB2B34">
              <w:rPr>
                <w:rFonts w:ascii="Arial Narrow" w:hAnsi="Arial Narrow"/>
                <w:sz w:val="18"/>
                <w:szCs w:val="18"/>
                <w:lang w:eastAsia="en-AU"/>
              </w:rPr>
              <w:t>CINCA/</w:t>
            </w:r>
            <w:r w:rsidRPr="00EB2B34">
              <w:rPr>
                <w:rFonts w:ascii="Arial Narrow" w:hAnsi="Arial Narrow"/>
                <w:sz w:val="18"/>
                <w:szCs w:val="18"/>
                <w:lang w:eastAsia="en-AU"/>
              </w:rPr>
              <w:br/>
              <w:t>NOMID</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18"/>
                <w:szCs w:val="18"/>
                <w:highlight w:val="black"/>
              </w:rPr>
            </w:pPr>
            <w:r>
              <w:rPr>
                <w:rFonts w:ascii="Arial Narrow" w:hAnsi="Arial Narrow"/>
                <w:noProof/>
                <w:color w:val="000000"/>
                <w:sz w:val="18"/>
                <w:szCs w:val="18"/>
                <w:highlight w:val="black"/>
              </w:rPr>
              <w:t>'''''''''''''''</w:t>
            </w:r>
          </w:p>
        </w:tc>
        <w:tc>
          <w:tcPr>
            <w:tcW w:w="545"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c>
          <w:tcPr>
            <w:tcW w:w="480" w:type="pct"/>
            <w:gridSpan w:val="3"/>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c>
          <w:tcPr>
            <w:tcW w:w="455"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Style w:val="Small"/>
                <w:rFonts w:ascii="Arial Narrow" w:hAnsi="Arial Narrow"/>
                <w:sz w:val="18"/>
                <w:szCs w:val="18"/>
                <w:highlight w:val="black"/>
              </w:rPr>
            </w:pPr>
            <w:r>
              <w:rPr>
                <w:rStyle w:val="Small"/>
                <w:rFonts w:ascii="Arial Narrow" w:hAnsi="Arial Narrow"/>
                <w:noProof/>
                <w:color w:val="000000"/>
                <w:sz w:val="18"/>
                <w:szCs w:val="18"/>
                <w:highlight w:val="black"/>
              </w:rPr>
              <w:t>'''''''''''''''''</w:t>
            </w:r>
          </w:p>
        </w:tc>
      </w:tr>
    </w:tbl>
    <w:p w:rsidR="004544F1" w:rsidRPr="00EB2B34" w:rsidRDefault="004544F1" w:rsidP="004544F1">
      <w:pPr>
        <w:pStyle w:val="TableFooter"/>
        <w:ind w:left="720"/>
      </w:pPr>
      <w:r w:rsidRPr="00EB2B34">
        <w:t xml:space="preserve">NAA = anakinra; BSC = best supportive care; INC = increment; ICER = incremental cost effectiveness ratio; QALY = quality-adjusted life year; FCAS = </w:t>
      </w:r>
      <w:r w:rsidR="0043533D" w:rsidRPr="00EB2B34">
        <w:t xml:space="preserve">familial cold </w:t>
      </w:r>
      <w:proofErr w:type="spellStart"/>
      <w:r w:rsidR="0043533D" w:rsidRPr="00EB2B34">
        <w:t>autoinflammatory</w:t>
      </w:r>
      <w:proofErr w:type="spellEnd"/>
      <w:r w:rsidR="0043533D" w:rsidRPr="00EB2B34">
        <w:t xml:space="preserve"> syndrome</w:t>
      </w:r>
      <w:r w:rsidRPr="00EB2B34">
        <w:t xml:space="preserve">; MWS = </w:t>
      </w:r>
      <w:proofErr w:type="spellStart"/>
      <w:r w:rsidRPr="00EB2B34">
        <w:t>Muckle</w:t>
      </w:r>
      <w:proofErr w:type="spellEnd"/>
      <w:r w:rsidRPr="00EB2B34">
        <w:t xml:space="preserve">-Wells syndrome; CINCA = </w:t>
      </w:r>
      <w:r w:rsidR="0043533D" w:rsidRPr="00EB2B34">
        <w:t>chronic infantile neurological</w:t>
      </w:r>
      <w:r w:rsidRPr="00EB2B34">
        <w:t>, cutaneou</w:t>
      </w:r>
      <w:r w:rsidR="004625A6" w:rsidRPr="00EB2B34">
        <w:t>s, articular syndrome; NOMID = n</w:t>
      </w:r>
      <w:r w:rsidRPr="00EB2B34">
        <w:t>eonatal-onset multisystem inflammatory disease.</w:t>
      </w:r>
    </w:p>
    <w:p w:rsidR="001F1D12" w:rsidRPr="00EB2B34" w:rsidRDefault="001F1D12" w:rsidP="005320C3">
      <w:pPr>
        <w:pStyle w:val="TableFooter"/>
        <w:ind w:left="720"/>
      </w:pPr>
      <w:r w:rsidRPr="00EB2B34">
        <w:t>*Cost/month</w:t>
      </w:r>
    </w:p>
    <w:p w:rsidR="005320C3" w:rsidRPr="00EB2B34" w:rsidRDefault="001F1D12" w:rsidP="005320C3">
      <w:pPr>
        <w:pStyle w:val="TableFooter"/>
        <w:ind w:left="720"/>
      </w:pPr>
      <w:r w:rsidRPr="00EB2B34">
        <w:t>** R</w:t>
      </w:r>
      <w:r w:rsidR="005320C3" w:rsidRPr="00EB2B34">
        <w:t xml:space="preserve">esponse rate/month or quality-adjusted life </w:t>
      </w:r>
      <w:r w:rsidR="001B4C43" w:rsidRPr="00EB2B34">
        <w:t>years</w:t>
      </w:r>
      <w:r w:rsidR="005320C3" w:rsidRPr="00EB2B34">
        <w:t xml:space="preserve"> </w:t>
      </w:r>
    </w:p>
    <w:p w:rsidR="001F1D12" w:rsidRPr="00EB2B34" w:rsidRDefault="001F1D12" w:rsidP="001F1D12">
      <w:pPr>
        <w:pStyle w:val="TableFooter"/>
        <w:ind w:left="720"/>
      </w:pPr>
      <w:r w:rsidRPr="00EB2B34">
        <w:t xml:space="preserve">*** Response </w:t>
      </w:r>
      <w:r w:rsidR="004544F1" w:rsidRPr="00EB2B34">
        <w:t xml:space="preserve">was </w:t>
      </w:r>
      <w:r w:rsidRPr="00EB2B34">
        <w:t>defined as “symptom free” (</w:t>
      </w:r>
      <w:r w:rsidR="00D548B5" w:rsidRPr="00EB2B34">
        <w:t>e.g.</w:t>
      </w:r>
      <w:r w:rsidRPr="00EB2B34">
        <w:t xml:space="preserve"> no CAPS-related symptoms: fever, headache, rash or joint pain)</w:t>
      </w:r>
      <w:r w:rsidR="004544F1" w:rsidRPr="00EB2B34">
        <w:t xml:space="preserve"> in the </w:t>
      </w:r>
      <w:proofErr w:type="spellStart"/>
      <w:r w:rsidR="004544F1" w:rsidRPr="00EB2B34">
        <w:t>Lepore</w:t>
      </w:r>
      <w:proofErr w:type="spellEnd"/>
      <w:r w:rsidR="004544F1" w:rsidRPr="00EB2B34">
        <w:t xml:space="preserve"> study (CINCA patients) and in the Ross study (FCAS patients); but defined as MWS </w:t>
      </w:r>
      <w:r w:rsidR="00DD2603" w:rsidRPr="00EB2B34">
        <w:t>disease activity s</w:t>
      </w:r>
      <w:r w:rsidR="004544F1" w:rsidRPr="00EB2B34">
        <w:t xml:space="preserve">core of &lt;10 in the </w:t>
      </w:r>
      <w:proofErr w:type="spellStart"/>
      <w:r w:rsidR="004544F1" w:rsidRPr="00EB2B34">
        <w:t>Kuemmerle-Deschner</w:t>
      </w:r>
      <w:proofErr w:type="spellEnd"/>
      <w:r w:rsidR="004544F1" w:rsidRPr="00EB2B34">
        <w:t xml:space="preserve"> study (MWS patients).</w:t>
      </w:r>
    </w:p>
    <w:p w:rsidR="005320C3" w:rsidRPr="00EB2B34" w:rsidRDefault="005320C3" w:rsidP="00495392">
      <w:pPr>
        <w:pStyle w:val="TableFooter"/>
        <w:ind w:left="720"/>
        <w:rPr>
          <w:rStyle w:val="CommentReference"/>
        </w:rPr>
      </w:pPr>
      <w:r w:rsidRPr="00EB2B34">
        <w:t>Source: Table 43, p108 Section D of the submission</w:t>
      </w:r>
    </w:p>
    <w:p w:rsidR="00C050FC" w:rsidRPr="00EB2B34" w:rsidRDefault="00C050FC">
      <w:pPr>
        <w:widowControl/>
        <w:jc w:val="left"/>
        <w:rPr>
          <w:rStyle w:val="CommentReference"/>
        </w:rPr>
      </w:pPr>
    </w:p>
    <w:p w:rsidR="005320C3" w:rsidRPr="00EB2B34" w:rsidRDefault="005320C3" w:rsidP="005320C3">
      <w:pPr>
        <w:ind w:firstLine="720"/>
        <w:rPr>
          <w:rStyle w:val="CommentReference"/>
        </w:rPr>
      </w:pPr>
      <w:r w:rsidRPr="00EB2B34">
        <w:rPr>
          <w:rStyle w:val="CommentReference"/>
        </w:rPr>
        <w:t>Results of the long term economic evaluation</w:t>
      </w:r>
    </w:p>
    <w:tbl>
      <w:tblPr>
        <w:tblStyle w:val="TableGrid"/>
        <w:tblW w:w="4450" w:type="pct"/>
        <w:tblInd w:w="836" w:type="dxa"/>
        <w:tblLook w:val="04A0" w:firstRow="1" w:lastRow="0" w:firstColumn="1" w:lastColumn="0" w:noHBand="0" w:noVBand="1"/>
      </w:tblPr>
      <w:tblGrid>
        <w:gridCol w:w="1153"/>
        <w:gridCol w:w="2313"/>
        <w:gridCol w:w="2585"/>
        <w:gridCol w:w="2175"/>
      </w:tblGrid>
      <w:tr w:rsidR="005320C3" w:rsidRPr="00EB2B34" w:rsidTr="005320C3">
        <w:trPr>
          <w:trHeight w:val="264"/>
        </w:trPr>
        <w:tc>
          <w:tcPr>
            <w:tcW w:w="701" w:type="pct"/>
            <w:tcBorders>
              <w:top w:val="single" w:sz="4" w:space="0" w:color="auto"/>
              <w:left w:val="single" w:sz="4" w:space="0" w:color="auto"/>
              <w:bottom w:val="single" w:sz="4" w:space="0" w:color="auto"/>
              <w:right w:val="single" w:sz="4" w:space="0" w:color="auto"/>
            </w:tcBorders>
            <w:noWrap/>
            <w:hideMark/>
          </w:tcPr>
          <w:p w:rsidR="005320C3" w:rsidRPr="00EB2B34" w:rsidRDefault="005320C3">
            <w:pPr>
              <w:snapToGrid w:val="0"/>
              <w:jc w:val="center"/>
              <w:rPr>
                <w:rFonts w:ascii="Arial Narrow" w:hAnsi="Arial Narrow"/>
                <w:b/>
                <w:sz w:val="20"/>
              </w:rPr>
            </w:pPr>
            <w:r w:rsidRPr="00EB2B34">
              <w:rPr>
                <w:rFonts w:ascii="Arial Narrow" w:hAnsi="Arial Narrow"/>
                <w:b/>
                <w:sz w:val="20"/>
              </w:rPr>
              <w:t>Group</w:t>
            </w:r>
          </w:p>
        </w:tc>
        <w:tc>
          <w:tcPr>
            <w:tcW w:w="1406" w:type="pct"/>
            <w:tcBorders>
              <w:top w:val="single" w:sz="4" w:space="0" w:color="auto"/>
              <w:left w:val="single" w:sz="4" w:space="0" w:color="auto"/>
              <w:bottom w:val="single" w:sz="4" w:space="0" w:color="auto"/>
              <w:right w:val="single" w:sz="4" w:space="0" w:color="auto"/>
            </w:tcBorders>
            <w:noWrap/>
            <w:hideMark/>
          </w:tcPr>
          <w:p w:rsidR="005320C3" w:rsidRPr="00EB2B34" w:rsidRDefault="005320C3">
            <w:pPr>
              <w:snapToGrid w:val="0"/>
              <w:jc w:val="center"/>
              <w:rPr>
                <w:rFonts w:ascii="Arial Narrow" w:hAnsi="Arial Narrow"/>
                <w:b/>
                <w:sz w:val="20"/>
              </w:rPr>
            </w:pPr>
            <w:r w:rsidRPr="00EB2B34">
              <w:rPr>
                <w:rFonts w:ascii="Arial Narrow" w:hAnsi="Arial Narrow"/>
                <w:b/>
                <w:sz w:val="20"/>
              </w:rPr>
              <w:t>Costs</w:t>
            </w:r>
          </w:p>
        </w:tc>
        <w:tc>
          <w:tcPr>
            <w:tcW w:w="1571" w:type="pct"/>
            <w:tcBorders>
              <w:top w:val="single" w:sz="4" w:space="0" w:color="auto"/>
              <w:left w:val="single" w:sz="4" w:space="0" w:color="auto"/>
              <w:bottom w:val="single" w:sz="4" w:space="0" w:color="auto"/>
              <w:right w:val="single" w:sz="4" w:space="0" w:color="auto"/>
            </w:tcBorders>
            <w:noWrap/>
            <w:hideMark/>
          </w:tcPr>
          <w:p w:rsidR="005320C3" w:rsidRPr="00EB2B34" w:rsidRDefault="005320C3">
            <w:pPr>
              <w:snapToGrid w:val="0"/>
              <w:jc w:val="center"/>
              <w:rPr>
                <w:rFonts w:ascii="Arial Narrow" w:hAnsi="Arial Narrow"/>
                <w:b/>
                <w:sz w:val="20"/>
              </w:rPr>
            </w:pPr>
            <w:r w:rsidRPr="00EB2B34">
              <w:rPr>
                <w:rFonts w:ascii="Arial Narrow" w:hAnsi="Arial Narrow"/>
                <w:b/>
                <w:sz w:val="20"/>
              </w:rPr>
              <w:t>QALYs</w:t>
            </w:r>
          </w:p>
        </w:tc>
        <w:tc>
          <w:tcPr>
            <w:tcW w:w="1323" w:type="pct"/>
            <w:tcBorders>
              <w:top w:val="single" w:sz="4" w:space="0" w:color="auto"/>
              <w:left w:val="single" w:sz="4" w:space="0" w:color="auto"/>
              <w:bottom w:val="single" w:sz="4" w:space="0" w:color="auto"/>
              <w:right w:val="single" w:sz="4" w:space="0" w:color="auto"/>
            </w:tcBorders>
            <w:noWrap/>
            <w:hideMark/>
          </w:tcPr>
          <w:p w:rsidR="005320C3" w:rsidRPr="00EB2B34" w:rsidRDefault="005320C3">
            <w:pPr>
              <w:snapToGrid w:val="0"/>
              <w:jc w:val="center"/>
              <w:rPr>
                <w:rFonts w:ascii="Arial Narrow" w:hAnsi="Arial Narrow"/>
                <w:b/>
                <w:sz w:val="20"/>
              </w:rPr>
            </w:pPr>
            <w:r w:rsidRPr="00EB2B34">
              <w:rPr>
                <w:rFonts w:ascii="Arial Narrow" w:hAnsi="Arial Narrow"/>
                <w:b/>
                <w:sz w:val="20"/>
              </w:rPr>
              <w:t>ICER</w:t>
            </w:r>
            <w:r w:rsidR="00750948" w:rsidRPr="00EB2B34">
              <w:rPr>
                <w:rFonts w:ascii="Arial Narrow" w:hAnsi="Arial Narrow"/>
                <w:b/>
                <w:sz w:val="20"/>
              </w:rPr>
              <w:t xml:space="preserve"> ($/QALY)</w:t>
            </w:r>
          </w:p>
        </w:tc>
      </w:tr>
      <w:tr w:rsidR="005320C3" w:rsidRPr="00EB2B34" w:rsidTr="005320C3">
        <w:trPr>
          <w:trHeight w:val="198"/>
        </w:trPr>
        <w:tc>
          <w:tcPr>
            <w:tcW w:w="701"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sz w:val="20"/>
              </w:rPr>
            </w:pPr>
            <w:r w:rsidRPr="00EB2B34">
              <w:rPr>
                <w:rFonts w:ascii="Arial Narrow" w:hAnsi="Arial Narrow"/>
                <w:sz w:val="20"/>
              </w:rPr>
              <w:t>ANA</w:t>
            </w:r>
          </w:p>
        </w:tc>
        <w:tc>
          <w:tcPr>
            <w:tcW w:w="1406"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20"/>
                <w:highlight w:val="black"/>
              </w:rPr>
            </w:pPr>
            <w:r>
              <w:rPr>
                <w:rFonts w:ascii="Arial Narrow" w:hAnsi="Arial Narrow"/>
                <w:noProof/>
                <w:color w:val="000000"/>
                <w:sz w:val="20"/>
                <w:highlight w:val="black"/>
              </w:rPr>
              <w:t>''''''''''''''''''''''</w:t>
            </w:r>
          </w:p>
        </w:tc>
        <w:tc>
          <w:tcPr>
            <w:tcW w:w="1571"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center"/>
              <w:rPr>
                <w:rFonts w:ascii="Arial Narrow" w:hAnsi="Arial Narrow"/>
                <w:sz w:val="20"/>
                <w:highlight w:val="black"/>
              </w:rPr>
            </w:pPr>
            <w:r>
              <w:rPr>
                <w:rFonts w:ascii="Arial Narrow" w:hAnsi="Arial Narrow"/>
                <w:noProof/>
                <w:color w:val="000000"/>
                <w:sz w:val="20"/>
                <w:highlight w:val="black"/>
              </w:rPr>
              <w:t>'''''''''''''''</w:t>
            </w:r>
          </w:p>
        </w:tc>
        <w:tc>
          <w:tcPr>
            <w:tcW w:w="1323" w:type="pct"/>
            <w:vMerge w:val="restar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center"/>
              <w:rPr>
                <w:rFonts w:ascii="Arial Narrow" w:hAnsi="Arial Narrow"/>
                <w:sz w:val="20"/>
                <w:highlight w:val="black"/>
              </w:rPr>
            </w:pPr>
            <w:r>
              <w:rPr>
                <w:rFonts w:ascii="Arial Narrow" w:hAnsi="Arial Narrow"/>
                <w:noProof/>
                <w:color w:val="000000"/>
                <w:sz w:val="20"/>
                <w:highlight w:val="black"/>
              </w:rPr>
              <w:t>''''''''''''''''</w:t>
            </w:r>
          </w:p>
        </w:tc>
      </w:tr>
      <w:tr w:rsidR="005320C3" w:rsidRPr="00EB2B34" w:rsidTr="005320C3">
        <w:trPr>
          <w:trHeight w:val="198"/>
        </w:trPr>
        <w:tc>
          <w:tcPr>
            <w:tcW w:w="701"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sz w:val="20"/>
              </w:rPr>
            </w:pPr>
            <w:r w:rsidRPr="00EB2B34">
              <w:rPr>
                <w:rFonts w:ascii="Arial Narrow" w:hAnsi="Arial Narrow"/>
                <w:sz w:val="20"/>
              </w:rPr>
              <w:t>BSC</w:t>
            </w:r>
          </w:p>
        </w:tc>
        <w:tc>
          <w:tcPr>
            <w:tcW w:w="1406"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20"/>
                <w:highlight w:val="black"/>
              </w:rPr>
            </w:pPr>
            <w:r>
              <w:rPr>
                <w:rFonts w:ascii="Arial Narrow" w:hAnsi="Arial Narrow"/>
                <w:noProof/>
                <w:color w:val="000000"/>
                <w:sz w:val="20"/>
                <w:highlight w:val="black"/>
              </w:rPr>
              <w:t>'''''''''''''''''''''''</w:t>
            </w:r>
          </w:p>
        </w:tc>
        <w:tc>
          <w:tcPr>
            <w:tcW w:w="1571"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center"/>
              <w:rPr>
                <w:rFonts w:ascii="Arial Narrow" w:hAnsi="Arial Narrow"/>
                <w:sz w:val="20"/>
                <w:highlight w:val="black"/>
              </w:rPr>
            </w:pPr>
            <w:r>
              <w:rPr>
                <w:rFonts w:ascii="Arial Narrow" w:hAnsi="Arial Narrow"/>
                <w:noProof/>
                <w:color w:val="000000"/>
                <w:sz w:val="20"/>
                <w:highlight w:val="black"/>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sz w:val="20"/>
              </w:rPr>
            </w:pPr>
          </w:p>
        </w:tc>
      </w:tr>
      <w:tr w:rsidR="005320C3" w:rsidRPr="00EB2B34" w:rsidTr="005320C3">
        <w:trPr>
          <w:trHeight w:val="198"/>
        </w:trPr>
        <w:tc>
          <w:tcPr>
            <w:tcW w:w="701" w:type="pct"/>
            <w:tcBorders>
              <w:top w:val="single" w:sz="4" w:space="0" w:color="auto"/>
              <w:left w:val="single" w:sz="4" w:space="0" w:color="auto"/>
              <w:bottom w:val="single" w:sz="4" w:space="0" w:color="auto"/>
              <w:right w:val="single" w:sz="4" w:space="0" w:color="auto"/>
            </w:tcBorders>
            <w:noWrap/>
            <w:vAlign w:val="center"/>
            <w:hideMark/>
          </w:tcPr>
          <w:p w:rsidR="005320C3" w:rsidRPr="00EB2B34" w:rsidRDefault="005320C3">
            <w:pPr>
              <w:snapToGrid w:val="0"/>
              <w:rPr>
                <w:rFonts w:ascii="Arial Narrow" w:hAnsi="Arial Narrow"/>
                <w:sz w:val="20"/>
              </w:rPr>
            </w:pPr>
            <w:r w:rsidRPr="00EB2B34">
              <w:rPr>
                <w:rFonts w:ascii="Arial Narrow" w:hAnsi="Arial Narrow"/>
                <w:sz w:val="20"/>
              </w:rPr>
              <w:t>Incremental</w:t>
            </w:r>
          </w:p>
        </w:tc>
        <w:tc>
          <w:tcPr>
            <w:tcW w:w="1406"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right"/>
              <w:rPr>
                <w:rFonts w:ascii="Arial Narrow" w:hAnsi="Arial Narrow"/>
                <w:sz w:val="20"/>
                <w:highlight w:val="black"/>
              </w:rPr>
            </w:pPr>
            <w:r>
              <w:rPr>
                <w:rFonts w:ascii="Arial Narrow" w:hAnsi="Arial Narrow"/>
                <w:noProof/>
                <w:color w:val="000000"/>
                <w:sz w:val="20"/>
                <w:highlight w:val="black"/>
              </w:rPr>
              <w:t>''''''''''''''''''''</w:t>
            </w:r>
          </w:p>
        </w:tc>
        <w:tc>
          <w:tcPr>
            <w:tcW w:w="1571" w:type="pct"/>
            <w:tcBorders>
              <w:top w:val="single" w:sz="4" w:space="0" w:color="auto"/>
              <w:left w:val="single" w:sz="4" w:space="0" w:color="auto"/>
              <w:bottom w:val="single" w:sz="4" w:space="0" w:color="auto"/>
              <w:right w:val="single" w:sz="4" w:space="0" w:color="auto"/>
            </w:tcBorders>
            <w:noWrap/>
            <w:vAlign w:val="center"/>
            <w:hideMark/>
          </w:tcPr>
          <w:p w:rsidR="005320C3" w:rsidRPr="00996334" w:rsidRDefault="00996334">
            <w:pPr>
              <w:snapToGrid w:val="0"/>
              <w:jc w:val="center"/>
              <w:rPr>
                <w:rFonts w:ascii="Arial Narrow" w:hAnsi="Arial Narrow"/>
                <w:sz w:val="20"/>
                <w:highlight w:val="black"/>
              </w:rPr>
            </w:pPr>
            <w:r>
              <w:rPr>
                <w:rFonts w:ascii="Arial Narrow" w:hAnsi="Arial Narrow"/>
                <w:noProof/>
                <w:color w:val="000000"/>
                <w:sz w:val="20"/>
                <w:highlight w:val="black"/>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C3" w:rsidRPr="00EB2B34" w:rsidRDefault="005320C3">
            <w:pPr>
              <w:widowControl/>
              <w:jc w:val="left"/>
              <w:rPr>
                <w:rFonts w:ascii="Arial Narrow" w:hAnsi="Arial Narrow"/>
                <w:sz w:val="20"/>
              </w:rPr>
            </w:pPr>
          </w:p>
        </w:tc>
      </w:tr>
    </w:tbl>
    <w:p w:rsidR="005320C3" w:rsidRPr="00EB2B34" w:rsidRDefault="005320C3" w:rsidP="005320C3">
      <w:pPr>
        <w:pStyle w:val="TableFooter"/>
        <w:ind w:left="720"/>
      </w:pPr>
      <w:r w:rsidRPr="00EB2B34">
        <w:t>ANA = anakinra; BSC = best supportive care; QALY = quality-adjusted life year; ICER = incremental cost-effectiveness ratio.</w:t>
      </w:r>
    </w:p>
    <w:p w:rsidR="005320C3" w:rsidRPr="00EB2B34" w:rsidRDefault="005320C3" w:rsidP="005320C3">
      <w:pPr>
        <w:pStyle w:val="TableFooter"/>
        <w:ind w:firstLine="720"/>
        <w:rPr>
          <w:rStyle w:val="CommentReference"/>
        </w:rPr>
      </w:pPr>
      <w:r w:rsidRPr="00EB2B34">
        <w:t>Source: Table 51, p115 Section D of the submission</w:t>
      </w:r>
    </w:p>
    <w:p w:rsidR="005320C3" w:rsidRPr="00EB2B34" w:rsidRDefault="005320C3" w:rsidP="005320C3">
      <w:pPr>
        <w:widowControl/>
        <w:rPr>
          <w:szCs w:val="22"/>
        </w:rPr>
      </w:pPr>
    </w:p>
    <w:p w:rsidR="00305AB0" w:rsidRDefault="005320C3" w:rsidP="00305AB0">
      <w:pPr>
        <w:pStyle w:val="ListParagraph"/>
        <w:widowControl/>
        <w:numPr>
          <w:ilvl w:val="1"/>
          <w:numId w:val="16"/>
        </w:numPr>
        <w:snapToGrid w:val="0"/>
      </w:pPr>
      <w:r w:rsidRPr="00EB2B34">
        <w:t xml:space="preserve">Sensitivity analyses </w:t>
      </w:r>
      <w:r w:rsidR="00AD44B1">
        <w:t>were</w:t>
      </w:r>
      <w:r w:rsidR="003578E1">
        <w:t xml:space="preserve"> </w:t>
      </w:r>
      <w:r w:rsidRPr="00EB2B34">
        <w:t xml:space="preserve">presented in the submission and </w:t>
      </w:r>
      <w:r w:rsidR="003578E1">
        <w:t>further analyses were</w:t>
      </w:r>
      <w:r w:rsidR="003578E1" w:rsidRPr="00EB2B34">
        <w:t xml:space="preserve"> </w:t>
      </w:r>
      <w:r w:rsidRPr="00EB2B34">
        <w:t xml:space="preserve">performed during the evaluation. As noted earlier, both the short term and the long term </w:t>
      </w:r>
      <w:r w:rsidR="00AD44B1">
        <w:t>evaluations we</w:t>
      </w:r>
      <w:r w:rsidRPr="007F6C15">
        <w:t xml:space="preserve">re most sensitive to the dosage of anakinra, </w:t>
      </w:r>
      <w:r w:rsidR="001B4C43" w:rsidRPr="007F6C15">
        <w:t xml:space="preserve">the </w:t>
      </w:r>
      <w:r w:rsidRPr="007F6C15">
        <w:t xml:space="preserve">response rate and the utility estimates for responder and non-responders, all of which </w:t>
      </w:r>
      <w:r w:rsidR="00493967">
        <w:t>were subject to limitations in derivation</w:t>
      </w:r>
      <w:r w:rsidRPr="007F6C15">
        <w:t xml:space="preserve">. The </w:t>
      </w:r>
      <w:r w:rsidR="00A77C88" w:rsidRPr="007F6C15">
        <w:t xml:space="preserve">ESC noted that the </w:t>
      </w:r>
      <w:r w:rsidR="00493967">
        <w:t>long term model wa</w:t>
      </w:r>
      <w:r w:rsidRPr="007F6C15">
        <w:t xml:space="preserve">s also particularly sensitive to the assumptions associated with the probabilities of developing CINCA-related long term complications among responders and non-responders. When assuming </w:t>
      </w:r>
      <w:r w:rsidR="0078350B" w:rsidRPr="007F6C15">
        <w:t>anakinra</w:t>
      </w:r>
      <w:r w:rsidRPr="007F6C15">
        <w:t xml:space="preserve"> has no effect in reducing CINCA-related long term complications, the inc</w:t>
      </w:r>
      <w:r w:rsidR="00493967">
        <w:t>remental cost per QALY increased</w:t>
      </w:r>
      <w:r w:rsidRPr="007F6C15">
        <w:t xml:space="preserve"> to </w:t>
      </w:r>
      <w:r w:rsidR="000D5A6C">
        <w:t>$75,000/QALY - $105,000/QALY</w:t>
      </w:r>
      <w:r w:rsidRPr="007F6C15">
        <w:t xml:space="preserve"> from a base case of </w:t>
      </w:r>
      <w:r w:rsidR="000D5A6C">
        <w:t>less than $15,000/QALY</w:t>
      </w:r>
      <w:r w:rsidRPr="007F6C15">
        <w:t>.</w:t>
      </w:r>
      <w:r w:rsidRPr="00EB2B34">
        <w:t xml:space="preserve"> </w:t>
      </w:r>
    </w:p>
    <w:p w:rsidR="00B64AB7" w:rsidRPr="007F6C15" w:rsidRDefault="00B64AB7" w:rsidP="003578E1">
      <w:pPr>
        <w:rPr>
          <w:szCs w:val="22"/>
        </w:rPr>
      </w:pPr>
    </w:p>
    <w:p w:rsidR="00B64AB7" w:rsidRPr="007F6C15" w:rsidRDefault="00DC6818" w:rsidP="00DC6818">
      <w:pPr>
        <w:pStyle w:val="ListParagraph"/>
        <w:widowControl/>
        <w:numPr>
          <w:ilvl w:val="1"/>
          <w:numId w:val="16"/>
        </w:numPr>
        <w:snapToGrid w:val="0"/>
        <w:rPr>
          <w:szCs w:val="22"/>
        </w:rPr>
      </w:pPr>
      <w:r w:rsidRPr="007F6C15">
        <w:rPr>
          <w:szCs w:val="22"/>
        </w:rPr>
        <w:t>Overall, t</w:t>
      </w:r>
      <w:r w:rsidR="0082211D" w:rsidRPr="007F6C15">
        <w:rPr>
          <w:szCs w:val="22"/>
        </w:rPr>
        <w:t xml:space="preserve">he ESC </w:t>
      </w:r>
      <w:r w:rsidR="00493967">
        <w:rPr>
          <w:szCs w:val="22"/>
        </w:rPr>
        <w:t xml:space="preserve">advised </w:t>
      </w:r>
      <w:r w:rsidRPr="007F6C15">
        <w:rPr>
          <w:szCs w:val="22"/>
        </w:rPr>
        <w:t>that</w:t>
      </w:r>
      <w:r w:rsidR="00305AB0" w:rsidRPr="007F6C15">
        <w:rPr>
          <w:szCs w:val="22"/>
        </w:rPr>
        <w:t xml:space="preserve"> </w:t>
      </w:r>
      <w:r w:rsidRPr="007F6C15">
        <w:rPr>
          <w:szCs w:val="22"/>
        </w:rPr>
        <w:t xml:space="preserve">the </w:t>
      </w:r>
      <w:r w:rsidR="00305AB0" w:rsidRPr="007F6C15">
        <w:rPr>
          <w:szCs w:val="22"/>
        </w:rPr>
        <w:t>Step 3</w:t>
      </w:r>
      <w:r w:rsidR="0082211D" w:rsidRPr="007F6C15">
        <w:rPr>
          <w:szCs w:val="22"/>
        </w:rPr>
        <w:t xml:space="preserve"> </w:t>
      </w:r>
      <w:r w:rsidR="00305AB0" w:rsidRPr="007F6C15">
        <w:rPr>
          <w:szCs w:val="22"/>
        </w:rPr>
        <w:t xml:space="preserve">model is highly likely to be </w:t>
      </w:r>
      <w:r w:rsidRPr="007F6C15">
        <w:rPr>
          <w:szCs w:val="22"/>
        </w:rPr>
        <w:t xml:space="preserve">unreliable due to concerns with </w:t>
      </w:r>
      <w:r w:rsidRPr="007F6C15">
        <w:t xml:space="preserve">the </w:t>
      </w:r>
      <w:r w:rsidRPr="007F6C15">
        <w:rPr>
          <w:szCs w:val="22"/>
        </w:rPr>
        <w:t xml:space="preserve">transformation of DLQI scores to utility weights, </w:t>
      </w:r>
      <w:r w:rsidR="008F1128" w:rsidRPr="007F6C15">
        <w:rPr>
          <w:szCs w:val="22"/>
        </w:rPr>
        <w:t xml:space="preserve">the incomparability of the utility weights of the other health states, </w:t>
      </w:r>
      <w:r w:rsidRPr="007F6C15">
        <w:rPr>
          <w:szCs w:val="22"/>
        </w:rPr>
        <w:t>the length of the model duration,</w:t>
      </w:r>
      <w:r w:rsidR="00305AB0" w:rsidRPr="007F6C15">
        <w:rPr>
          <w:szCs w:val="22"/>
        </w:rPr>
        <w:t xml:space="preserve"> </w:t>
      </w:r>
      <w:r w:rsidRPr="007F6C15">
        <w:rPr>
          <w:szCs w:val="22"/>
        </w:rPr>
        <w:t>potential underestimates of the dose of anakinra used in practice and therefore the estimated treatment costs</w:t>
      </w:r>
      <w:r w:rsidR="00305AB0" w:rsidRPr="007F6C15">
        <w:rPr>
          <w:szCs w:val="22"/>
        </w:rPr>
        <w:t xml:space="preserve">, </w:t>
      </w:r>
      <w:r w:rsidRPr="007F6C15">
        <w:rPr>
          <w:szCs w:val="22"/>
        </w:rPr>
        <w:t>the probability of developing</w:t>
      </w:r>
      <w:r w:rsidR="00305AB0" w:rsidRPr="007F6C15">
        <w:rPr>
          <w:szCs w:val="22"/>
        </w:rPr>
        <w:t xml:space="preserve"> complications</w:t>
      </w:r>
      <w:r w:rsidRPr="007F6C15">
        <w:rPr>
          <w:szCs w:val="22"/>
        </w:rPr>
        <w:t xml:space="preserve"> and the costs of managing these complications</w:t>
      </w:r>
      <w:r w:rsidR="00305AB0" w:rsidRPr="007F6C15">
        <w:rPr>
          <w:szCs w:val="22"/>
        </w:rPr>
        <w:t xml:space="preserve">. </w:t>
      </w:r>
    </w:p>
    <w:p w:rsidR="00B63F6D" w:rsidRPr="00016B0C" w:rsidRDefault="00B63F6D" w:rsidP="00513175">
      <w:pPr>
        <w:widowControl/>
        <w:rPr>
          <w:szCs w:val="22"/>
        </w:rPr>
      </w:pPr>
    </w:p>
    <w:p w:rsidR="00B63F6D" w:rsidRPr="00BB7EC3" w:rsidRDefault="00B63F6D" w:rsidP="00B63F6D">
      <w:pPr>
        <w:pStyle w:val="ListParagraph"/>
        <w:ind w:left="709"/>
        <w:rPr>
          <w:i/>
          <w:szCs w:val="22"/>
        </w:rPr>
      </w:pPr>
      <w:r>
        <w:rPr>
          <w:i/>
          <w:szCs w:val="22"/>
        </w:rPr>
        <w:t>For more detail on PBAC’s view, see section 7 “PBAC outcome”</w:t>
      </w:r>
    </w:p>
    <w:p w:rsidR="00C25D9C" w:rsidRPr="00EB2B34" w:rsidRDefault="00C25D9C" w:rsidP="00C25D9C">
      <w:pPr>
        <w:widowControl/>
        <w:rPr>
          <w:szCs w:val="22"/>
        </w:rPr>
      </w:pPr>
    </w:p>
    <w:p w:rsidR="00C25D9C" w:rsidRPr="00FE71D2" w:rsidRDefault="00C25D9C" w:rsidP="00FE71D2">
      <w:pPr>
        <w:rPr>
          <w:b/>
          <w:szCs w:val="22"/>
        </w:rPr>
      </w:pPr>
      <w:bookmarkStart w:id="13" w:name="_Toc398303331"/>
      <w:r w:rsidRPr="00FE71D2">
        <w:rPr>
          <w:b/>
          <w:szCs w:val="22"/>
        </w:rPr>
        <w:t>Drug cost/patient/</w:t>
      </w:r>
      <w:r w:rsidR="0078350B" w:rsidRPr="00FE71D2">
        <w:rPr>
          <w:b/>
          <w:szCs w:val="22"/>
        </w:rPr>
        <w:t>year</w:t>
      </w:r>
      <w:r w:rsidRPr="00FE71D2">
        <w:rPr>
          <w:b/>
          <w:szCs w:val="22"/>
        </w:rPr>
        <w:t>: $</w:t>
      </w:r>
      <w:bookmarkEnd w:id="13"/>
      <w:r w:rsidR="00996334" w:rsidRPr="00FE71D2">
        <w:rPr>
          <w:b/>
          <w:szCs w:val="22"/>
          <w:highlight w:val="black"/>
        </w:rPr>
        <w:t>'''''''''''''</w:t>
      </w:r>
    </w:p>
    <w:p w:rsidR="0078350B" w:rsidRPr="00EB2B34" w:rsidRDefault="0078350B" w:rsidP="0078350B">
      <w:pPr>
        <w:widowControl/>
        <w:rPr>
          <w:szCs w:val="22"/>
        </w:rPr>
      </w:pPr>
    </w:p>
    <w:p w:rsidR="0078350B" w:rsidRPr="00EB2B34" w:rsidRDefault="0078350B" w:rsidP="00B63F6D">
      <w:pPr>
        <w:pStyle w:val="ListParagraph"/>
        <w:widowControl/>
        <w:numPr>
          <w:ilvl w:val="1"/>
          <w:numId w:val="16"/>
        </w:numPr>
        <w:rPr>
          <w:szCs w:val="22"/>
        </w:rPr>
      </w:pPr>
      <w:r w:rsidRPr="00EB2B34">
        <w:rPr>
          <w:szCs w:val="22"/>
        </w:rPr>
        <w:t>Based on the submission’s assumption of 100</w:t>
      </w:r>
      <w:r w:rsidR="00493967">
        <w:rPr>
          <w:szCs w:val="22"/>
        </w:rPr>
        <w:t xml:space="preserve"> </w:t>
      </w:r>
      <w:r w:rsidRPr="00EB2B34">
        <w:rPr>
          <w:szCs w:val="22"/>
        </w:rPr>
        <w:t xml:space="preserve">mg/day (one syringe) of anakinra, distributions of FCAS, MWS and CINCA </w:t>
      </w:r>
      <w:r w:rsidR="004B52F3" w:rsidRPr="00EB2B34">
        <w:rPr>
          <w:szCs w:val="22"/>
        </w:rPr>
        <w:t>of</w:t>
      </w:r>
      <w:r w:rsidRPr="00EB2B34">
        <w:rPr>
          <w:szCs w:val="22"/>
        </w:rPr>
        <w:t xml:space="preserve"> </w:t>
      </w:r>
      <w:r w:rsidR="00996334">
        <w:rPr>
          <w:noProof/>
          <w:color w:val="000000"/>
          <w:szCs w:val="22"/>
          <w:highlight w:val="black"/>
        </w:rPr>
        <w:t>'''''</w:t>
      </w:r>
      <w:r w:rsidRPr="00EB2B34">
        <w:rPr>
          <w:szCs w:val="22"/>
        </w:rPr>
        <w:t xml:space="preserve">%, </w:t>
      </w:r>
      <w:r w:rsidR="00996334">
        <w:rPr>
          <w:noProof/>
          <w:color w:val="000000"/>
          <w:szCs w:val="22"/>
          <w:highlight w:val="black"/>
        </w:rPr>
        <w:t>''''''</w:t>
      </w:r>
      <w:r w:rsidRPr="00EB2B34">
        <w:rPr>
          <w:szCs w:val="22"/>
        </w:rPr>
        <w:t xml:space="preserve">% and </w:t>
      </w:r>
      <w:r w:rsidR="00996334">
        <w:rPr>
          <w:noProof/>
          <w:color w:val="000000"/>
          <w:szCs w:val="22"/>
          <w:highlight w:val="black"/>
        </w:rPr>
        <w:t>'''''''</w:t>
      </w:r>
      <w:r w:rsidRPr="00EB2B34">
        <w:rPr>
          <w:szCs w:val="22"/>
        </w:rPr>
        <w:t xml:space="preserve">% respectively, compliance rates of </w:t>
      </w:r>
      <w:r w:rsidR="00996334">
        <w:rPr>
          <w:noProof/>
          <w:color w:val="000000"/>
          <w:szCs w:val="22"/>
          <w:highlight w:val="black"/>
        </w:rPr>
        <w:t>''''''</w:t>
      </w:r>
      <w:r w:rsidRPr="00EB2B34">
        <w:rPr>
          <w:szCs w:val="22"/>
        </w:rPr>
        <w:t xml:space="preserve">% for FCAS, </w:t>
      </w:r>
      <w:r w:rsidR="00996334">
        <w:rPr>
          <w:noProof/>
          <w:color w:val="000000"/>
          <w:szCs w:val="22"/>
          <w:highlight w:val="black"/>
        </w:rPr>
        <w:t>'''''''</w:t>
      </w:r>
      <w:r w:rsidRPr="00EB2B34">
        <w:rPr>
          <w:szCs w:val="22"/>
        </w:rPr>
        <w:t xml:space="preserve">% for MWS and </w:t>
      </w:r>
      <w:r w:rsidR="00996334">
        <w:rPr>
          <w:noProof/>
          <w:color w:val="000000"/>
          <w:szCs w:val="22"/>
          <w:highlight w:val="black"/>
        </w:rPr>
        <w:t>'''''''''</w:t>
      </w:r>
      <w:r w:rsidRPr="00EB2B34">
        <w:rPr>
          <w:szCs w:val="22"/>
        </w:rPr>
        <w:t xml:space="preserve">% for CINCA, and a public/private hospital usage split of </w:t>
      </w:r>
      <w:r w:rsidR="00996334">
        <w:rPr>
          <w:noProof/>
          <w:color w:val="000000"/>
          <w:szCs w:val="22"/>
          <w:highlight w:val="black"/>
        </w:rPr>
        <w:t>''''''''''</w:t>
      </w:r>
      <w:r w:rsidRPr="00EB2B34">
        <w:rPr>
          <w:szCs w:val="22"/>
        </w:rPr>
        <w:t>%/</w:t>
      </w:r>
      <w:r w:rsidR="00996334">
        <w:rPr>
          <w:noProof/>
          <w:color w:val="000000"/>
          <w:szCs w:val="22"/>
          <w:highlight w:val="black"/>
        </w:rPr>
        <w:t>''''''''''</w:t>
      </w:r>
      <w:r w:rsidRPr="00EB2B34">
        <w:rPr>
          <w:szCs w:val="22"/>
        </w:rPr>
        <w:t>%, the estimated cost of anakinra is $</w:t>
      </w:r>
      <w:r w:rsidR="00996334">
        <w:rPr>
          <w:noProof/>
          <w:color w:val="000000"/>
          <w:szCs w:val="22"/>
          <w:highlight w:val="black"/>
        </w:rPr>
        <w:t>''''''''''''''''''</w:t>
      </w:r>
      <w:r w:rsidRPr="00EB2B34">
        <w:rPr>
          <w:szCs w:val="22"/>
        </w:rPr>
        <w:t xml:space="preserve"> per patient per year. As noted earlier, CINCA patients </w:t>
      </w:r>
      <w:r w:rsidR="00750948" w:rsidRPr="00EB2B34">
        <w:rPr>
          <w:szCs w:val="22"/>
        </w:rPr>
        <w:t xml:space="preserve">that </w:t>
      </w:r>
      <w:r w:rsidRPr="00EB2B34">
        <w:rPr>
          <w:szCs w:val="22"/>
        </w:rPr>
        <w:t>weigh more than 25-33</w:t>
      </w:r>
      <w:r w:rsidR="00DC6818">
        <w:rPr>
          <w:szCs w:val="22"/>
        </w:rPr>
        <w:t xml:space="preserve"> </w:t>
      </w:r>
      <w:r w:rsidRPr="00EB2B34">
        <w:rPr>
          <w:szCs w:val="22"/>
        </w:rPr>
        <w:t xml:space="preserve">kg may need 2 syringes </w:t>
      </w:r>
      <w:r w:rsidRPr="007F6C15">
        <w:rPr>
          <w:szCs w:val="22"/>
        </w:rPr>
        <w:t>per day, based on the recommended dose of 3-4</w:t>
      </w:r>
      <w:r w:rsidR="00493967">
        <w:rPr>
          <w:szCs w:val="22"/>
        </w:rPr>
        <w:t> </w:t>
      </w:r>
      <w:r w:rsidRPr="007F6C15">
        <w:rPr>
          <w:szCs w:val="22"/>
        </w:rPr>
        <w:t>mg/kg/day.</w:t>
      </w:r>
      <w:r w:rsidR="00DA10FC" w:rsidRPr="007F6C15">
        <w:rPr>
          <w:szCs w:val="22"/>
        </w:rPr>
        <w:t xml:space="preserve"> The</w:t>
      </w:r>
      <w:r w:rsidR="00DC6818" w:rsidRPr="007F6C15">
        <w:rPr>
          <w:szCs w:val="22"/>
        </w:rPr>
        <w:t xml:space="preserve"> </w:t>
      </w:r>
      <w:r w:rsidR="00DA10FC" w:rsidRPr="007F6C15">
        <w:rPr>
          <w:szCs w:val="22"/>
        </w:rPr>
        <w:t xml:space="preserve">PSCR </w:t>
      </w:r>
      <w:r w:rsidR="002444CC" w:rsidRPr="007F6C15">
        <w:rPr>
          <w:szCs w:val="22"/>
        </w:rPr>
        <w:t>indicate</w:t>
      </w:r>
      <w:r w:rsidR="002444CC">
        <w:rPr>
          <w:szCs w:val="22"/>
        </w:rPr>
        <w:t>d</w:t>
      </w:r>
      <w:r w:rsidR="002444CC" w:rsidRPr="007F6C15">
        <w:rPr>
          <w:szCs w:val="22"/>
        </w:rPr>
        <w:t xml:space="preserve"> </w:t>
      </w:r>
      <w:r w:rsidR="00DA10FC" w:rsidRPr="007F6C15">
        <w:rPr>
          <w:szCs w:val="22"/>
        </w:rPr>
        <w:t xml:space="preserve">that the sponsor is willing to consider the possibility of a </w:t>
      </w:r>
      <w:r w:rsidR="00DC6818" w:rsidRPr="007F6C15">
        <w:rPr>
          <w:szCs w:val="22"/>
        </w:rPr>
        <w:t>risk share arrangement</w:t>
      </w:r>
      <w:r w:rsidR="00DA10FC" w:rsidRPr="007F6C15">
        <w:rPr>
          <w:szCs w:val="22"/>
        </w:rPr>
        <w:t xml:space="preserve">, </w:t>
      </w:r>
      <w:r w:rsidR="00DC6818" w:rsidRPr="007F6C15">
        <w:rPr>
          <w:szCs w:val="22"/>
        </w:rPr>
        <w:t>but the ESC noted that no specific details were proposed</w:t>
      </w:r>
      <w:r w:rsidR="00DA10FC" w:rsidRPr="007F6C15">
        <w:rPr>
          <w:szCs w:val="22"/>
        </w:rPr>
        <w:t>.</w:t>
      </w:r>
      <w:r w:rsidR="00DA10FC">
        <w:rPr>
          <w:i/>
          <w:szCs w:val="22"/>
        </w:rPr>
        <w:t xml:space="preserve"> </w:t>
      </w:r>
    </w:p>
    <w:p w:rsidR="0078350B" w:rsidRPr="00EB2B34" w:rsidRDefault="0078350B" w:rsidP="0078350B">
      <w:pPr>
        <w:rPr>
          <w:szCs w:val="22"/>
        </w:rPr>
      </w:pPr>
      <w:bookmarkStart w:id="14" w:name="_GoBack"/>
      <w:bookmarkEnd w:id="14"/>
    </w:p>
    <w:p w:rsidR="0078350B" w:rsidRPr="00FE71D2" w:rsidRDefault="0078350B" w:rsidP="00FE71D2">
      <w:pPr>
        <w:rPr>
          <w:b/>
          <w:szCs w:val="22"/>
        </w:rPr>
      </w:pPr>
      <w:bookmarkStart w:id="15" w:name="_Toc397095069"/>
      <w:bookmarkStart w:id="16" w:name="_Toc398303332"/>
      <w:r w:rsidRPr="00FE71D2">
        <w:rPr>
          <w:b/>
          <w:szCs w:val="22"/>
        </w:rPr>
        <w:t>Estimated PBS usage &amp; financial implications</w:t>
      </w:r>
      <w:bookmarkEnd w:id="15"/>
      <w:bookmarkEnd w:id="16"/>
    </w:p>
    <w:p w:rsidR="0078350B" w:rsidRPr="00EB2B34" w:rsidRDefault="0078350B" w:rsidP="0078350B">
      <w:pPr>
        <w:ind w:left="720" w:hanging="720"/>
        <w:rPr>
          <w:b/>
          <w:szCs w:val="22"/>
        </w:rPr>
      </w:pPr>
    </w:p>
    <w:p w:rsidR="00276561" w:rsidRPr="00276561" w:rsidRDefault="0078350B" w:rsidP="00B63F6D">
      <w:pPr>
        <w:pStyle w:val="ListParagraph"/>
        <w:widowControl/>
        <w:numPr>
          <w:ilvl w:val="1"/>
          <w:numId w:val="16"/>
        </w:numPr>
        <w:rPr>
          <w:szCs w:val="22"/>
        </w:rPr>
      </w:pPr>
      <w:r w:rsidRPr="00EB2B34">
        <w:t xml:space="preserve">This submission </w:t>
      </w:r>
      <w:r w:rsidR="001574A4">
        <w:t>wa</w:t>
      </w:r>
      <w:r w:rsidRPr="00EB2B34">
        <w:t>s not considered by DUSC</w:t>
      </w:r>
      <w:r w:rsidR="00C74CC1" w:rsidRPr="00EB2B34">
        <w:t xml:space="preserve">. </w:t>
      </w:r>
    </w:p>
    <w:p w:rsidR="00276561" w:rsidRPr="00276561" w:rsidRDefault="00276561" w:rsidP="00276561">
      <w:pPr>
        <w:pStyle w:val="ListParagraph"/>
        <w:widowControl/>
        <w:rPr>
          <w:szCs w:val="22"/>
        </w:rPr>
      </w:pPr>
    </w:p>
    <w:p w:rsidR="008F1128" w:rsidRPr="00EB2B34" w:rsidRDefault="0078350B" w:rsidP="00B63F6D">
      <w:pPr>
        <w:pStyle w:val="ListParagraph"/>
        <w:widowControl/>
        <w:numPr>
          <w:ilvl w:val="1"/>
          <w:numId w:val="16"/>
        </w:numPr>
        <w:rPr>
          <w:szCs w:val="22"/>
        </w:rPr>
      </w:pPr>
      <w:r w:rsidRPr="00EB2B34">
        <w:t xml:space="preserve">The estimated usage and costs of anakinra are presented below. </w:t>
      </w:r>
    </w:p>
    <w:p w:rsidR="0078350B" w:rsidRPr="008F1128" w:rsidRDefault="0078350B" w:rsidP="008F1128">
      <w:pPr>
        <w:pStyle w:val="ListParagraph"/>
        <w:widowControl/>
      </w:pPr>
    </w:p>
    <w:p w:rsidR="0078350B" w:rsidRPr="00EB2B34" w:rsidRDefault="0078350B" w:rsidP="0078350B">
      <w:pPr>
        <w:widowControl/>
        <w:ind w:firstLine="720"/>
        <w:jc w:val="left"/>
        <w:rPr>
          <w:rStyle w:val="CommentReference"/>
        </w:rPr>
      </w:pPr>
      <w:r w:rsidRPr="00EB2B34">
        <w:rPr>
          <w:rStyle w:val="CommentReference"/>
        </w:rPr>
        <w:t>Estimated use and costs of anakinra</w:t>
      </w:r>
    </w:p>
    <w:tbl>
      <w:tblPr>
        <w:tblStyle w:val="TableGrid"/>
        <w:tblW w:w="8344" w:type="dxa"/>
        <w:tblInd w:w="836" w:type="dxa"/>
        <w:shd w:val="clear" w:color="auto" w:fill="FFFFFF" w:themeFill="background1"/>
        <w:tblLayout w:type="fixed"/>
        <w:tblLook w:val="04A0" w:firstRow="1" w:lastRow="0" w:firstColumn="1" w:lastColumn="0" w:noHBand="0" w:noVBand="1"/>
      </w:tblPr>
      <w:tblGrid>
        <w:gridCol w:w="1399"/>
        <w:gridCol w:w="1417"/>
        <w:gridCol w:w="1418"/>
        <w:gridCol w:w="1417"/>
        <w:gridCol w:w="1418"/>
        <w:gridCol w:w="1275"/>
      </w:tblGrid>
      <w:tr w:rsidR="0078350B" w:rsidRPr="00EB2B34" w:rsidTr="003F1CAB">
        <w:tc>
          <w:tcPr>
            <w:tcW w:w="1399" w:type="dxa"/>
            <w:shd w:val="clear" w:color="auto" w:fill="FFFFFF" w:themeFill="background1"/>
          </w:tcPr>
          <w:p w:rsidR="0078350B" w:rsidRPr="00EB2B34" w:rsidRDefault="0078350B" w:rsidP="0078350B">
            <w:pPr>
              <w:rPr>
                <w:rFonts w:ascii="Arial Narrow" w:hAnsi="Arial Narrow"/>
                <w:b/>
                <w:sz w:val="20"/>
              </w:rPr>
            </w:pPr>
          </w:p>
        </w:tc>
        <w:tc>
          <w:tcPr>
            <w:tcW w:w="1417" w:type="dxa"/>
            <w:shd w:val="clear" w:color="auto" w:fill="FFFFFF" w:themeFill="background1"/>
            <w:noWrap/>
            <w:hideMark/>
          </w:tcPr>
          <w:p w:rsidR="0078350B" w:rsidRPr="00EB2B34" w:rsidRDefault="0078350B" w:rsidP="0078350B">
            <w:pPr>
              <w:jc w:val="center"/>
              <w:rPr>
                <w:rFonts w:ascii="Arial Narrow" w:hAnsi="Arial Narrow"/>
                <w:b/>
                <w:sz w:val="20"/>
              </w:rPr>
            </w:pPr>
            <w:r w:rsidRPr="00EB2B34">
              <w:rPr>
                <w:rFonts w:ascii="Arial Narrow" w:hAnsi="Arial Narrow"/>
                <w:b/>
                <w:sz w:val="20"/>
              </w:rPr>
              <w:t>Year 1</w:t>
            </w:r>
          </w:p>
        </w:tc>
        <w:tc>
          <w:tcPr>
            <w:tcW w:w="1418" w:type="dxa"/>
            <w:shd w:val="clear" w:color="auto" w:fill="FFFFFF" w:themeFill="background1"/>
            <w:noWrap/>
            <w:hideMark/>
          </w:tcPr>
          <w:p w:rsidR="0078350B" w:rsidRPr="00EB2B34" w:rsidRDefault="0078350B" w:rsidP="0078350B">
            <w:pPr>
              <w:jc w:val="center"/>
              <w:rPr>
                <w:rFonts w:ascii="Arial Narrow" w:hAnsi="Arial Narrow"/>
                <w:b/>
                <w:sz w:val="20"/>
              </w:rPr>
            </w:pPr>
            <w:r w:rsidRPr="00EB2B34">
              <w:rPr>
                <w:rFonts w:ascii="Arial Narrow" w:hAnsi="Arial Narrow"/>
                <w:b/>
                <w:sz w:val="20"/>
              </w:rPr>
              <w:t>Year 2</w:t>
            </w:r>
          </w:p>
        </w:tc>
        <w:tc>
          <w:tcPr>
            <w:tcW w:w="1417" w:type="dxa"/>
            <w:shd w:val="clear" w:color="auto" w:fill="FFFFFF" w:themeFill="background1"/>
            <w:noWrap/>
            <w:hideMark/>
          </w:tcPr>
          <w:p w:rsidR="0078350B" w:rsidRPr="00EB2B34" w:rsidRDefault="0078350B" w:rsidP="0078350B">
            <w:pPr>
              <w:jc w:val="center"/>
              <w:rPr>
                <w:rFonts w:ascii="Arial Narrow" w:hAnsi="Arial Narrow"/>
                <w:b/>
                <w:sz w:val="20"/>
              </w:rPr>
            </w:pPr>
            <w:r w:rsidRPr="00EB2B34">
              <w:rPr>
                <w:rFonts w:ascii="Arial Narrow" w:hAnsi="Arial Narrow"/>
                <w:b/>
                <w:sz w:val="20"/>
              </w:rPr>
              <w:t>Year 3</w:t>
            </w:r>
          </w:p>
        </w:tc>
        <w:tc>
          <w:tcPr>
            <w:tcW w:w="1418" w:type="dxa"/>
            <w:shd w:val="clear" w:color="auto" w:fill="FFFFFF" w:themeFill="background1"/>
            <w:noWrap/>
            <w:hideMark/>
          </w:tcPr>
          <w:p w:rsidR="0078350B" w:rsidRPr="00EB2B34" w:rsidRDefault="0078350B" w:rsidP="0078350B">
            <w:pPr>
              <w:jc w:val="center"/>
              <w:rPr>
                <w:rFonts w:ascii="Arial Narrow" w:hAnsi="Arial Narrow"/>
                <w:b/>
                <w:sz w:val="20"/>
              </w:rPr>
            </w:pPr>
            <w:r w:rsidRPr="00EB2B34">
              <w:rPr>
                <w:rFonts w:ascii="Arial Narrow" w:hAnsi="Arial Narrow"/>
                <w:b/>
                <w:sz w:val="20"/>
              </w:rPr>
              <w:t>Year 4</w:t>
            </w:r>
          </w:p>
        </w:tc>
        <w:tc>
          <w:tcPr>
            <w:tcW w:w="1275" w:type="dxa"/>
            <w:shd w:val="clear" w:color="auto" w:fill="FFFFFF" w:themeFill="background1"/>
            <w:noWrap/>
            <w:hideMark/>
          </w:tcPr>
          <w:p w:rsidR="0078350B" w:rsidRPr="00EB2B34" w:rsidRDefault="0078350B" w:rsidP="0078350B">
            <w:pPr>
              <w:jc w:val="center"/>
              <w:rPr>
                <w:rFonts w:ascii="Arial Narrow" w:hAnsi="Arial Narrow"/>
                <w:b/>
                <w:sz w:val="20"/>
              </w:rPr>
            </w:pPr>
            <w:r w:rsidRPr="00EB2B34">
              <w:rPr>
                <w:rFonts w:ascii="Arial Narrow" w:hAnsi="Arial Narrow"/>
                <w:b/>
                <w:sz w:val="20"/>
              </w:rPr>
              <w:t>Year 5</w:t>
            </w:r>
          </w:p>
        </w:tc>
      </w:tr>
      <w:tr w:rsidR="0078350B" w:rsidRPr="00EB2B34" w:rsidTr="003F1CAB">
        <w:tc>
          <w:tcPr>
            <w:tcW w:w="8344" w:type="dxa"/>
            <w:gridSpan w:val="6"/>
            <w:shd w:val="clear" w:color="auto" w:fill="FFFFFF" w:themeFill="background1"/>
          </w:tcPr>
          <w:p w:rsidR="0078350B" w:rsidRPr="00EB2B34" w:rsidRDefault="0078350B" w:rsidP="0078350B">
            <w:pPr>
              <w:rPr>
                <w:rFonts w:ascii="Arial Narrow" w:hAnsi="Arial Narrow"/>
                <w:b/>
                <w:sz w:val="20"/>
              </w:rPr>
            </w:pPr>
            <w:r w:rsidRPr="00EB2B34">
              <w:rPr>
                <w:rFonts w:ascii="Arial Narrow" w:hAnsi="Arial Narrow"/>
                <w:b/>
                <w:sz w:val="20"/>
              </w:rPr>
              <w:t>Number of patients treated</w:t>
            </w:r>
          </w:p>
        </w:tc>
      </w:tr>
      <w:tr w:rsidR="0078350B" w:rsidRPr="00EB2B34" w:rsidTr="003F1CAB">
        <w:tc>
          <w:tcPr>
            <w:tcW w:w="1399" w:type="dxa"/>
            <w:shd w:val="clear" w:color="auto" w:fill="FFFFFF" w:themeFill="background1"/>
          </w:tcPr>
          <w:p w:rsidR="0078350B" w:rsidRPr="00EB2B34" w:rsidRDefault="0078350B" w:rsidP="0078350B">
            <w:pPr>
              <w:rPr>
                <w:rFonts w:ascii="Arial Narrow" w:hAnsi="Arial Narrow"/>
                <w:sz w:val="20"/>
              </w:rPr>
            </w:pPr>
            <w:r w:rsidRPr="00EB2B34">
              <w:rPr>
                <w:rFonts w:ascii="Arial Narrow" w:hAnsi="Arial Narrow"/>
                <w:sz w:val="20"/>
              </w:rPr>
              <w:t>FCAS</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r>
      <w:tr w:rsidR="0078350B" w:rsidRPr="00EB2B34" w:rsidTr="003F1CAB">
        <w:tc>
          <w:tcPr>
            <w:tcW w:w="1399" w:type="dxa"/>
            <w:shd w:val="clear" w:color="auto" w:fill="FFFFFF" w:themeFill="background1"/>
          </w:tcPr>
          <w:p w:rsidR="0078350B" w:rsidRPr="00EB2B34" w:rsidRDefault="0078350B" w:rsidP="0078350B">
            <w:pPr>
              <w:rPr>
                <w:rFonts w:ascii="Arial Narrow" w:hAnsi="Arial Narrow"/>
                <w:sz w:val="20"/>
              </w:rPr>
            </w:pPr>
            <w:r w:rsidRPr="00EB2B34">
              <w:rPr>
                <w:rFonts w:ascii="Arial Narrow" w:hAnsi="Arial Narrow"/>
                <w:sz w:val="20"/>
              </w:rPr>
              <w:t>MWS</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r>
      <w:tr w:rsidR="0078350B" w:rsidRPr="00EB2B34" w:rsidTr="003F1CAB">
        <w:tc>
          <w:tcPr>
            <w:tcW w:w="1399" w:type="dxa"/>
            <w:shd w:val="clear" w:color="auto" w:fill="FFFFFF" w:themeFill="background1"/>
          </w:tcPr>
          <w:p w:rsidR="0078350B" w:rsidRPr="00EB2B34" w:rsidRDefault="0078350B" w:rsidP="0078350B">
            <w:pPr>
              <w:rPr>
                <w:rFonts w:ascii="Arial Narrow" w:hAnsi="Arial Narrow"/>
                <w:sz w:val="20"/>
              </w:rPr>
            </w:pPr>
            <w:r w:rsidRPr="00EB2B34">
              <w:rPr>
                <w:rFonts w:ascii="Arial Narrow" w:hAnsi="Arial Narrow"/>
                <w:sz w:val="20"/>
              </w:rPr>
              <w:t>CINCA</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r>
      <w:tr w:rsidR="0078350B" w:rsidRPr="00EB2B34" w:rsidTr="003F1CAB">
        <w:tc>
          <w:tcPr>
            <w:tcW w:w="1399" w:type="dxa"/>
            <w:shd w:val="clear" w:color="auto" w:fill="FFFFFF" w:themeFill="background1"/>
          </w:tcPr>
          <w:p w:rsidR="0078350B" w:rsidRPr="00EB2B34" w:rsidRDefault="0078350B" w:rsidP="0078350B">
            <w:pPr>
              <w:rPr>
                <w:rFonts w:ascii="Arial Narrow" w:hAnsi="Arial Narrow"/>
                <w:sz w:val="20"/>
              </w:rPr>
            </w:pPr>
            <w:r w:rsidRPr="00EB2B34">
              <w:rPr>
                <w:rFonts w:ascii="Arial Narrow" w:hAnsi="Arial Narrow"/>
                <w:sz w:val="20"/>
              </w:rPr>
              <w:t>Total</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r>
      <w:tr w:rsidR="0078350B" w:rsidRPr="00EB2B34" w:rsidTr="003F1CAB">
        <w:tc>
          <w:tcPr>
            <w:tcW w:w="8344" w:type="dxa"/>
            <w:gridSpan w:val="6"/>
            <w:shd w:val="clear" w:color="auto" w:fill="FFFFFF" w:themeFill="background1"/>
          </w:tcPr>
          <w:p w:rsidR="0078350B" w:rsidRPr="00EB2B34" w:rsidRDefault="0078350B" w:rsidP="0078350B">
            <w:pPr>
              <w:rPr>
                <w:rFonts w:ascii="Arial Narrow" w:hAnsi="Arial Narrow"/>
                <w:b/>
                <w:sz w:val="20"/>
              </w:rPr>
            </w:pPr>
            <w:r w:rsidRPr="00EB2B34">
              <w:rPr>
                <w:rFonts w:ascii="Arial Narrow" w:hAnsi="Arial Narrow"/>
                <w:b/>
                <w:sz w:val="20"/>
              </w:rPr>
              <w:t xml:space="preserve">Number of anakinra prescriptions / packs </w:t>
            </w:r>
          </w:p>
        </w:tc>
      </w:tr>
      <w:tr w:rsidR="0078350B" w:rsidRPr="00EB2B34" w:rsidTr="003F1CAB">
        <w:tc>
          <w:tcPr>
            <w:tcW w:w="1399" w:type="dxa"/>
            <w:shd w:val="clear" w:color="auto" w:fill="FFFFFF" w:themeFill="background1"/>
          </w:tcPr>
          <w:p w:rsidR="0078350B" w:rsidRPr="00EB2B34" w:rsidRDefault="0078350B" w:rsidP="0078350B">
            <w:pPr>
              <w:rPr>
                <w:rFonts w:ascii="Arial Narrow" w:hAnsi="Arial Narrow"/>
                <w:sz w:val="20"/>
              </w:rPr>
            </w:pPr>
            <w:r w:rsidRPr="00EB2B34">
              <w:rPr>
                <w:rFonts w:ascii="Arial Narrow" w:hAnsi="Arial Narrow"/>
                <w:sz w:val="20"/>
              </w:rPr>
              <w:t xml:space="preserve">FCAS </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r>
      <w:tr w:rsidR="0078350B" w:rsidRPr="00EB2B34" w:rsidTr="003F1CAB">
        <w:tc>
          <w:tcPr>
            <w:tcW w:w="1399" w:type="dxa"/>
            <w:shd w:val="clear" w:color="auto" w:fill="FFFFFF" w:themeFill="background1"/>
          </w:tcPr>
          <w:p w:rsidR="0078350B" w:rsidRPr="00EB2B34" w:rsidRDefault="0078350B" w:rsidP="0078350B">
            <w:pPr>
              <w:rPr>
                <w:rFonts w:ascii="Arial Narrow" w:hAnsi="Arial Narrow"/>
                <w:sz w:val="20"/>
              </w:rPr>
            </w:pPr>
            <w:r w:rsidRPr="00EB2B34">
              <w:rPr>
                <w:rFonts w:ascii="Arial Narrow" w:hAnsi="Arial Narrow"/>
                <w:sz w:val="20"/>
              </w:rPr>
              <w:t>MWS</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r>
      <w:tr w:rsidR="0078350B" w:rsidRPr="00EB2B34" w:rsidTr="003F1CAB">
        <w:tc>
          <w:tcPr>
            <w:tcW w:w="1399" w:type="dxa"/>
            <w:shd w:val="clear" w:color="auto" w:fill="FFFFFF" w:themeFill="background1"/>
          </w:tcPr>
          <w:p w:rsidR="0078350B" w:rsidRPr="00EB2B34" w:rsidRDefault="0078350B" w:rsidP="0078350B">
            <w:pPr>
              <w:rPr>
                <w:rFonts w:ascii="Arial Narrow" w:hAnsi="Arial Narrow"/>
                <w:sz w:val="20"/>
              </w:rPr>
            </w:pPr>
            <w:r w:rsidRPr="00EB2B34">
              <w:rPr>
                <w:rFonts w:ascii="Arial Narrow" w:hAnsi="Arial Narrow"/>
                <w:sz w:val="20"/>
              </w:rPr>
              <w:t>CINCA</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r>
      <w:tr w:rsidR="0078350B" w:rsidRPr="00EB2B34" w:rsidTr="003F1CAB">
        <w:tc>
          <w:tcPr>
            <w:tcW w:w="1399" w:type="dxa"/>
            <w:shd w:val="clear" w:color="auto" w:fill="FFFFFF" w:themeFill="background1"/>
          </w:tcPr>
          <w:p w:rsidR="0078350B" w:rsidRPr="00EB2B34" w:rsidRDefault="0078350B" w:rsidP="0078350B">
            <w:pPr>
              <w:rPr>
                <w:rFonts w:ascii="Arial Narrow" w:hAnsi="Arial Narrow"/>
                <w:sz w:val="20"/>
              </w:rPr>
            </w:pPr>
            <w:r w:rsidRPr="00EB2B34">
              <w:rPr>
                <w:rFonts w:ascii="Arial Narrow" w:hAnsi="Arial Narrow"/>
                <w:sz w:val="20"/>
              </w:rPr>
              <w:t>Total</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FFFFFF" w:themeFill="background1"/>
            <w:noWrap/>
            <w:vAlign w:val="bottom"/>
            <w:hideMark/>
          </w:tcPr>
          <w:p w:rsidR="0078350B" w:rsidRPr="00996334" w:rsidRDefault="00996334" w:rsidP="0078350B">
            <w:pPr>
              <w:jc w:val="center"/>
              <w:rPr>
                <w:rFonts w:ascii="Arial Narrow" w:hAnsi="Arial Narrow"/>
                <w:sz w:val="20"/>
                <w:highlight w:val="black"/>
              </w:rPr>
            </w:pPr>
            <w:r>
              <w:rPr>
                <w:rFonts w:ascii="Arial Narrow" w:hAnsi="Arial Narrow"/>
                <w:noProof/>
                <w:color w:val="000000"/>
                <w:sz w:val="20"/>
                <w:highlight w:val="black"/>
              </w:rPr>
              <w:t>''''''''''</w:t>
            </w:r>
          </w:p>
        </w:tc>
      </w:tr>
      <w:tr w:rsidR="0078350B" w:rsidRPr="00EB2B34" w:rsidTr="003F1CAB">
        <w:tc>
          <w:tcPr>
            <w:tcW w:w="8344" w:type="dxa"/>
            <w:gridSpan w:val="6"/>
            <w:shd w:val="clear" w:color="auto" w:fill="FFFFFF" w:themeFill="background1"/>
          </w:tcPr>
          <w:p w:rsidR="0078350B" w:rsidRPr="00EB2B34" w:rsidRDefault="0078350B" w:rsidP="0078350B">
            <w:pPr>
              <w:rPr>
                <w:rFonts w:ascii="Arial Narrow" w:hAnsi="Arial Narrow"/>
                <w:b/>
                <w:sz w:val="20"/>
              </w:rPr>
            </w:pPr>
            <w:r w:rsidRPr="00EB2B34">
              <w:rPr>
                <w:rFonts w:ascii="Arial Narrow" w:hAnsi="Arial Narrow"/>
                <w:b/>
                <w:sz w:val="20"/>
              </w:rPr>
              <w:t>Net cost to the PBS (less patient co-payments)</w:t>
            </w:r>
          </w:p>
        </w:tc>
      </w:tr>
      <w:tr w:rsidR="0078350B" w:rsidRPr="00EB2B34" w:rsidTr="003F1CAB">
        <w:tc>
          <w:tcPr>
            <w:tcW w:w="1399" w:type="dxa"/>
            <w:shd w:val="clear" w:color="auto" w:fill="FFFFFF" w:themeFill="background1"/>
          </w:tcPr>
          <w:p w:rsidR="0078350B" w:rsidRPr="00EB2B34" w:rsidRDefault="0078350B" w:rsidP="0078350B">
            <w:pPr>
              <w:rPr>
                <w:rFonts w:ascii="Arial Narrow" w:hAnsi="Arial Narrow"/>
                <w:b/>
                <w:sz w:val="20"/>
              </w:rPr>
            </w:pPr>
            <w:r w:rsidRPr="00EB2B34">
              <w:rPr>
                <w:rFonts w:ascii="Arial Narrow" w:hAnsi="Arial Narrow"/>
                <w:b/>
                <w:sz w:val="20"/>
              </w:rPr>
              <w:t>Total</w:t>
            </w:r>
          </w:p>
        </w:tc>
        <w:tc>
          <w:tcPr>
            <w:tcW w:w="1417" w:type="dxa"/>
            <w:shd w:val="clear" w:color="auto" w:fill="FFFFFF" w:themeFill="background1"/>
            <w:noWrap/>
            <w:vAlign w:val="bottom"/>
            <w:hideMark/>
          </w:tcPr>
          <w:p w:rsidR="0078350B" w:rsidRPr="00996334" w:rsidRDefault="00996334" w:rsidP="0078350B">
            <w:pPr>
              <w:jc w:val="right"/>
              <w:rPr>
                <w:rFonts w:ascii="Arial Narrow" w:hAnsi="Arial Narrow"/>
                <w:b/>
                <w:sz w:val="20"/>
                <w:highlight w:val="black"/>
              </w:rPr>
            </w:pPr>
            <w:r>
              <w:rPr>
                <w:rFonts w:ascii="Arial Narrow" w:hAnsi="Arial Narrow"/>
                <w:b/>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right"/>
              <w:rPr>
                <w:rFonts w:ascii="Arial Narrow" w:hAnsi="Arial Narrow"/>
                <w:b/>
                <w:sz w:val="20"/>
                <w:highlight w:val="black"/>
              </w:rPr>
            </w:pPr>
            <w:r>
              <w:rPr>
                <w:rFonts w:ascii="Arial Narrow" w:hAnsi="Arial Narrow"/>
                <w:b/>
                <w:noProof/>
                <w:color w:val="000000"/>
                <w:sz w:val="20"/>
                <w:highlight w:val="black"/>
              </w:rPr>
              <w:t>''''''''''''''''''''''</w:t>
            </w:r>
          </w:p>
        </w:tc>
        <w:tc>
          <w:tcPr>
            <w:tcW w:w="1417" w:type="dxa"/>
            <w:shd w:val="clear" w:color="auto" w:fill="FFFFFF" w:themeFill="background1"/>
            <w:noWrap/>
            <w:vAlign w:val="bottom"/>
            <w:hideMark/>
          </w:tcPr>
          <w:p w:rsidR="0078350B" w:rsidRPr="00996334" w:rsidRDefault="00996334" w:rsidP="0078350B">
            <w:pPr>
              <w:jc w:val="right"/>
              <w:rPr>
                <w:rFonts w:ascii="Arial Narrow" w:hAnsi="Arial Narrow"/>
                <w:b/>
                <w:sz w:val="20"/>
                <w:highlight w:val="black"/>
              </w:rPr>
            </w:pPr>
            <w:r>
              <w:rPr>
                <w:rFonts w:ascii="Arial Narrow" w:hAnsi="Arial Narrow"/>
                <w:b/>
                <w:noProof/>
                <w:color w:val="000000"/>
                <w:sz w:val="20"/>
                <w:highlight w:val="black"/>
              </w:rPr>
              <w:t>''''''''''''''''''''''''</w:t>
            </w:r>
          </w:p>
        </w:tc>
        <w:tc>
          <w:tcPr>
            <w:tcW w:w="1418" w:type="dxa"/>
            <w:shd w:val="clear" w:color="auto" w:fill="FFFFFF" w:themeFill="background1"/>
            <w:noWrap/>
            <w:vAlign w:val="bottom"/>
            <w:hideMark/>
          </w:tcPr>
          <w:p w:rsidR="0078350B" w:rsidRPr="00996334" w:rsidRDefault="00996334" w:rsidP="0078350B">
            <w:pPr>
              <w:jc w:val="right"/>
              <w:rPr>
                <w:rFonts w:ascii="Arial Narrow" w:hAnsi="Arial Narrow"/>
                <w:b/>
                <w:sz w:val="20"/>
                <w:highlight w:val="black"/>
              </w:rPr>
            </w:pPr>
            <w:r>
              <w:rPr>
                <w:rFonts w:ascii="Arial Narrow" w:hAnsi="Arial Narrow"/>
                <w:b/>
                <w:noProof/>
                <w:color w:val="000000"/>
                <w:sz w:val="20"/>
                <w:highlight w:val="black"/>
              </w:rPr>
              <w:t>'''''''''''''''''''''</w:t>
            </w:r>
          </w:p>
        </w:tc>
        <w:tc>
          <w:tcPr>
            <w:tcW w:w="1275" w:type="dxa"/>
            <w:shd w:val="clear" w:color="auto" w:fill="FFFFFF" w:themeFill="background1"/>
            <w:noWrap/>
            <w:vAlign w:val="bottom"/>
            <w:hideMark/>
          </w:tcPr>
          <w:p w:rsidR="0078350B" w:rsidRPr="00996334" w:rsidRDefault="00996334" w:rsidP="0078350B">
            <w:pPr>
              <w:jc w:val="right"/>
              <w:rPr>
                <w:rFonts w:ascii="Arial Narrow" w:hAnsi="Arial Narrow"/>
                <w:b/>
                <w:sz w:val="20"/>
                <w:highlight w:val="black"/>
              </w:rPr>
            </w:pPr>
            <w:r>
              <w:rPr>
                <w:rFonts w:ascii="Arial Narrow" w:hAnsi="Arial Narrow"/>
                <w:b/>
                <w:noProof/>
                <w:color w:val="000000"/>
                <w:sz w:val="20"/>
                <w:highlight w:val="black"/>
              </w:rPr>
              <w:t>'''''''''''''''''''''</w:t>
            </w:r>
          </w:p>
        </w:tc>
      </w:tr>
    </w:tbl>
    <w:p w:rsidR="0078350B" w:rsidRPr="00EB2B34" w:rsidRDefault="0078350B" w:rsidP="0078350B">
      <w:pPr>
        <w:pStyle w:val="TableFooter"/>
        <w:ind w:left="720"/>
      </w:pPr>
      <w:r w:rsidRPr="00EB2B34">
        <w:t xml:space="preserve">FCAS = </w:t>
      </w:r>
      <w:r w:rsidR="0043533D" w:rsidRPr="00EB2B34">
        <w:t xml:space="preserve">familial cold </w:t>
      </w:r>
      <w:proofErr w:type="spellStart"/>
      <w:r w:rsidR="0043533D" w:rsidRPr="00EB2B34">
        <w:t>autoinflammatory</w:t>
      </w:r>
      <w:proofErr w:type="spellEnd"/>
      <w:r w:rsidR="0043533D" w:rsidRPr="00EB2B34">
        <w:t xml:space="preserve"> syndrome</w:t>
      </w:r>
      <w:r w:rsidRPr="00EB2B34">
        <w:t xml:space="preserve">; MWS = </w:t>
      </w:r>
      <w:proofErr w:type="spellStart"/>
      <w:r w:rsidRPr="00EB2B34">
        <w:t>Muckle</w:t>
      </w:r>
      <w:proofErr w:type="spellEnd"/>
      <w:r w:rsidRPr="00EB2B34">
        <w:t xml:space="preserve">-Wells syndrome; CINCA = </w:t>
      </w:r>
      <w:r w:rsidR="0043533D" w:rsidRPr="00EB2B34">
        <w:t>chronic infantile neurological</w:t>
      </w:r>
      <w:r w:rsidRPr="00EB2B34">
        <w:t xml:space="preserve">, cutaneous, articular syndrome </w:t>
      </w:r>
    </w:p>
    <w:p w:rsidR="0078350B" w:rsidRPr="00EB2B34" w:rsidRDefault="0078350B" w:rsidP="0078350B">
      <w:pPr>
        <w:pStyle w:val="TableFooter"/>
        <w:ind w:left="720"/>
      </w:pPr>
      <w:r w:rsidRPr="00EB2B34">
        <w:t>No additional cost to the MBS and other government health budget is estimated in the submission.</w:t>
      </w:r>
    </w:p>
    <w:p w:rsidR="0078350B" w:rsidRPr="00EB2B34" w:rsidRDefault="0078350B" w:rsidP="0078350B">
      <w:pPr>
        <w:pStyle w:val="TableFooter"/>
        <w:ind w:left="720"/>
        <w:rPr>
          <w:rStyle w:val="CommentReference"/>
        </w:rPr>
      </w:pPr>
      <w:r w:rsidRPr="00EB2B34">
        <w:t>Source: Table 55, p123 of the main submission.</w:t>
      </w:r>
    </w:p>
    <w:p w:rsidR="0078350B" w:rsidRDefault="0078350B" w:rsidP="0078350B">
      <w:pPr>
        <w:widowControl/>
        <w:rPr>
          <w:szCs w:val="22"/>
        </w:rPr>
      </w:pPr>
    </w:p>
    <w:p w:rsidR="005F0A2B" w:rsidRPr="005F0A2B" w:rsidRDefault="005F0A2B" w:rsidP="005F0A2B">
      <w:pPr>
        <w:pStyle w:val="ListParagraph"/>
        <w:widowControl/>
        <w:rPr>
          <w:i/>
          <w:szCs w:val="22"/>
        </w:rPr>
      </w:pPr>
      <w:r w:rsidRPr="005F0A2B">
        <w:rPr>
          <w:i/>
          <w:szCs w:val="22"/>
        </w:rPr>
        <w:t xml:space="preserve">The redacted table above shows that at Year 5, the estimated total number of patients treated with anakinra would be less than 10,000 and the total net cost to the PBS would be less than $10 million. </w:t>
      </w:r>
    </w:p>
    <w:p w:rsidR="005F0A2B" w:rsidRPr="00EB2B34" w:rsidRDefault="005F0A2B" w:rsidP="0078350B">
      <w:pPr>
        <w:widowControl/>
        <w:rPr>
          <w:szCs w:val="22"/>
        </w:rPr>
      </w:pPr>
    </w:p>
    <w:p w:rsidR="00CD401B" w:rsidRPr="003D37D5" w:rsidRDefault="0078350B" w:rsidP="004A5984">
      <w:pPr>
        <w:pStyle w:val="ListParagraph"/>
        <w:widowControl/>
        <w:numPr>
          <w:ilvl w:val="1"/>
          <w:numId w:val="16"/>
        </w:numPr>
        <w:rPr>
          <w:i/>
        </w:rPr>
      </w:pPr>
      <w:r w:rsidRPr="00EB2B34">
        <w:t>The estimated financial</w:t>
      </w:r>
      <w:r w:rsidR="008136EA">
        <w:t xml:space="preserve"> cost to the PBS wa</w:t>
      </w:r>
      <w:r w:rsidRPr="00EB2B34">
        <w:t>s uncertain primarily due to the paucity of reliable data on the prevalence of CAPS in the Australian population. Sensitivity analyses indicate</w:t>
      </w:r>
      <w:r w:rsidR="008136EA">
        <w:t>d</w:t>
      </w:r>
      <w:r w:rsidRPr="00EB2B34">
        <w:t xml:space="preserve"> that the prevalence of CAPS in Australia appear</w:t>
      </w:r>
      <w:r w:rsidR="008136EA">
        <w:t>ed</w:t>
      </w:r>
      <w:r w:rsidRPr="00EB2B34">
        <w:t xml:space="preserve"> to have the most impact on the financial estimates.</w:t>
      </w:r>
      <w:r w:rsidR="00276561">
        <w:t xml:space="preserve"> </w:t>
      </w:r>
      <w:r w:rsidR="00CD401B" w:rsidRPr="007F6C15">
        <w:t>The PSCR</w:t>
      </w:r>
      <w:r w:rsidR="0082211D" w:rsidRPr="007F6C15">
        <w:t xml:space="preserve"> </w:t>
      </w:r>
      <w:r w:rsidR="002444CC" w:rsidRPr="007F6C15">
        <w:t>provide</w:t>
      </w:r>
      <w:r w:rsidR="002444CC">
        <w:t>d</w:t>
      </w:r>
      <w:r w:rsidR="002444CC" w:rsidRPr="007F6C15">
        <w:t xml:space="preserve"> </w:t>
      </w:r>
      <w:r w:rsidR="00CD401B" w:rsidRPr="007F6C15">
        <w:t>results of an Australian registry of CAPS published in abstract form (</w:t>
      </w:r>
      <w:proofErr w:type="spellStart"/>
      <w:r w:rsidR="00CD401B" w:rsidRPr="007F6C15">
        <w:t>Mehr</w:t>
      </w:r>
      <w:proofErr w:type="spellEnd"/>
      <w:r w:rsidR="00CD401B" w:rsidRPr="007F6C15">
        <w:t xml:space="preserve"> et al., 2014) which indicate</w:t>
      </w:r>
      <w:r w:rsidR="008136EA">
        <w:t>d</w:t>
      </w:r>
      <w:r w:rsidR="00CD401B" w:rsidRPr="007F6C15">
        <w:t xml:space="preserve"> that the local prevalence of CAPS is likely to be at least </w:t>
      </w:r>
      <w:r w:rsidR="00996334">
        <w:rPr>
          <w:noProof/>
          <w:color w:val="000000"/>
          <w:highlight w:val="black"/>
        </w:rPr>
        <w:t>''''''''</w:t>
      </w:r>
      <w:r w:rsidR="00CD401B" w:rsidRPr="007F6C15">
        <w:t xml:space="preserve"> per million. </w:t>
      </w:r>
      <w:r w:rsidR="00276561" w:rsidRPr="007F6C15">
        <w:t>The ESC noted that this estimate is slightly lower than the submission’s estimated disease prevalence of between 1 and 3 per million.</w:t>
      </w:r>
      <w:r w:rsidR="004A5984" w:rsidRPr="007F6C15">
        <w:t xml:space="preserve"> Accepting the sponsors claim that off-label anakinra use (supplied privately or provided via hospital formulary </w:t>
      </w:r>
      <w:r w:rsidR="004A5984" w:rsidRPr="007F6C15">
        <w:lastRenderedPageBreak/>
        <w:t>arrangements) is the most prescribed therapy for CAPS, given the uncertainty that surrounds the incidence and prevalence of CAPS in Australia, and the sensitivity of the financial estimates to CAPS prevalence, the ESC queried whether the sponsor could provide current utilisation data of anakinra for use in CAPS in Australia, to inform the estimated financial cost to the PBS.</w:t>
      </w:r>
      <w:r w:rsidR="00C24161">
        <w:t xml:space="preserve"> In the Pre-PBAC Response, the sponsor advised that it currently supplies approximately </w:t>
      </w:r>
      <w:r w:rsidR="00996334">
        <w:rPr>
          <w:noProof/>
          <w:color w:val="000000"/>
          <w:highlight w:val="black"/>
        </w:rPr>
        <w:t>''''''</w:t>
      </w:r>
      <w:r w:rsidR="00C24161">
        <w:t xml:space="preserve"> packs of anakinra per month to Australian (mainly hospital) pharmacies.</w:t>
      </w:r>
    </w:p>
    <w:p w:rsidR="0078350B" w:rsidRPr="00EB2B34" w:rsidRDefault="0078350B" w:rsidP="0078350B">
      <w:pPr>
        <w:widowControl/>
        <w:rPr>
          <w:szCs w:val="22"/>
        </w:rPr>
      </w:pPr>
    </w:p>
    <w:p w:rsidR="0078350B" w:rsidRPr="00D548B5" w:rsidRDefault="0078350B" w:rsidP="00B63F6D">
      <w:pPr>
        <w:pStyle w:val="ListParagraph"/>
        <w:widowControl/>
        <w:numPr>
          <w:ilvl w:val="1"/>
          <w:numId w:val="16"/>
        </w:numPr>
      </w:pPr>
      <w:r w:rsidRPr="00EB2B34">
        <w:t xml:space="preserve">The submission </w:t>
      </w:r>
      <w:r w:rsidR="002444CC" w:rsidRPr="00EB2B34">
        <w:t>indicate</w:t>
      </w:r>
      <w:r w:rsidR="002444CC">
        <w:t>d</w:t>
      </w:r>
      <w:r w:rsidR="002444CC" w:rsidRPr="00EB2B34">
        <w:t xml:space="preserve"> </w:t>
      </w:r>
      <w:r w:rsidRPr="00EB2B34">
        <w:t>that the sponsor would be willing to enter into a risk sharing agreement to address any uncertainty regarding the size and composition of the eligible population.</w:t>
      </w:r>
      <w:r w:rsidR="00D548B5">
        <w:t xml:space="preserve"> </w:t>
      </w:r>
    </w:p>
    <w:p w:rsidR="007F6C15" w:rsidRDefault="007F6C15" w:rsidP="00A5666E">
      <w:pPr>
        <w:widowControl/>
        <w:rPr>
          <w:szCs w:val="22"/>
        </w:rPr>
      </w:pPr>
    </w:p>
    <w:p w:rsidR="007F6C15" w:rsidRDefault="007F6C15" w:rsidP="007F6C15">
      <w:pPr>
        <w:widowControl/>
        <w:ind w:left="720"/>
        <w:rPr>
          <w:szCs w:val="22"/>
        </w:rPr>
      </w:pPr>
      <w:r>
        <w:rPr>
          <w:i/>
          <w:szCs w:val="22"/>
        </w:rPr>
        <w:t>For more detail on PBAC’s view, see section 7 “PBAC outcome”</w:t>
      </w:r>
    </w:p>
    <w:p w:rsidR="007F6C15" w:rsidRDefault="007F6C15" w:rsidP="00A5666E">
      <w:pPr>
        <w:widowControl/>
        <w:rPr>
          <w:szCs w:val="22"/>
        </w:rPr>
      </w:pPr>
    </w:p>
    <w:p w:rsidR="003462C6" w:rsidRPr="007F6C15" w:rsidRDefault="003462C6" w:rsidP="00A5666E">
      <w:pPr>
        <w:widowControl/>
        <w:rPr>
          <w:szCs w:val="22"/>
        </w:rPr>
      </w:pPr>
    </w:p>
    <w:p w:rsidR="000415CA" w:rsidRPr="000F6022" w:rsidRDefault="000415CA" w:rsidP="000415CA">
      <w:pPr>
        <w:pStyle w:val="PBACHeading1"/>
        <w:numPr>
          <w:ilvl w:val="0"/>
          <w:numId w:val="16"/>
        </w:numPr>
        <w:snapToGrid w:val="0"/>
        <w:rPr>
          <w:b w:val="0"/>
        </w:rPr>
      </w:pPr>
      <w:r w:rsidRPr="00882085">
        <w:t xml:space="preserve">PBAC Outcome </w:t>
      </w:r>
    </w:p>
    <w:p w:rsidR="000415CA" w:rsidRPr="00882085" w:rsidRDefault="000415CA" w:rsidP="000415CA">
      <w:pPr>
        <w:rPr>
          <w:b/>
          <w:szCs w:val="22"/>
        </w:rPr>
      </w:pPr>
    </w:p>
    <w:p w:rsidR="000415CA" w:rsidRPr="00CB7561" w:rsidRDefault="000415CA" w:rsidP="00CB7561">
      <w:pPr>
        <w:pStyle w:val="ListParagraph"/>
        <w:widowControl/>
        <w:numPr>
          <w:ilvl w:val="1"/>
          <w:numId w:val="16"/>
        </w:numPr>
        <w:rPr>
          <w:szCs w:val="22"/>
        </w:rPr>
      </w:pPr>
      <w:r>
        <w:rPr>
          <w:szCs w:val="22"/>
        </w:rPr>
        <w:t>The PBAC recommended the listing of</w:t>
      </w:r>
      <w:r w:rsidR="00687637">
        <w:rPr>
          <w:szCs w:val="22"/>
        </w:rPr>
        <w:t xml:space="preserve"> anakinra</w:t>
      </w:r>
      <w:r w:rsidR="00C44E7B">
        <w:rPr>
          <w:szCs w:val="22"/>
        </w:rPr>
        <w:t xml:space="preserve"> </w:t>
      </w:r>
      <w:r w:rsidR="00981993">
        <w:rPr>
          <w:szCs w:val="22"/>
        </w:rPr>
        <w:t xml:space="preserve">for the treatment of </w:t>
      </w:r>
      <w:r w:rsidR="00BB0A3C">
        <w:rPr>
          <w:szCs w:val="22"/>
        </w:rPr>
        <w:t xml:space="preserve">moderate to severe </w:t>
      </w:r>
      <w:proofErr w:type="spellStart"/>
      <w:r w:rsidR="0061245B">
        <w:rPr>
          <w:szCs w:val="22"/>
        </w:rPr>
        <w:t>c</w:t>
      </w:r>
      <w:r w:rsidR="00981993">
        <w:rPr>
          <w:szCs w:val="22"/>
        </w:rPr>
        <w:t>ryopyrin</w:t>
      </w:r>
      <w:proofErr w:type="spellEnd"/>
      <w:r w:rsidR="00981993">
        <w:rPr>
          <w:szCs w:val="22"/>
        </w:rPr>
        <w:t>-</w:t>
      </w:r>
      <w:r w:rsidR="0061245B">
        <w:rPr>
          <w:szCs w:val="22"/>
        </w:rPr>
        <w:t>associated periodic s</w:t>
      </w:r>
      <w:r w:rsidR="00981993">
        <w:rPr>
          <w:szCs w:val="22"/>
        </w:rPr>
        <w:t>yndromes (CAPS) under the</w:t>
      </w:r>
      <w:r w:rsidR="00687637">
        <w:rPr>
          <w:szCs w:val="22"/>
        </w:rPr>
        <w:t xml:space="preserve"> Section 100</w:t>
      </w:r>
      <w:r w:rsidR="00981993">
        <w:rPr>
          <w:szCs w:val="22"/>
        </w:rPr>
        <w:t xml:space="preserve"> Highly Specialised Drugs Program (HSDP)</w:t>
      </w:r>
      <w:r w:rsidR="00251647">
        <w:rPr>
          <w:szCs w:val="22"/>
        </w:rPr>
        <w:t xml:space="preserve"> on the basis of acceptable cost-effectiveness compared to best supportive care.</w:t>
      </w:r>
      <w:r w:rsidR="0061245B">
        <w:rPr>
          <w:szCs w:val="22"/>
        </w:rPr>
        <w:t xml:space="preserve"> </w:t>
      </w:r>
    </w:p>
    <w:p w:rsidR="00BB0A3C" w:rsidRPr="00BB0A3C" w:rsidRDefault="00BB0A3C" w:rsidP="00BB0A3C">
      <w:pPr>
        <w:widowControl/>
        <w:rPr>
          <w:szCs w:val="22"/>
        </w:rPr>
      </w:pPr>
    </w:p>
    <w:p w:rsidR="004573F1" w:rsidRDefault="00BB0A3C" w:rsidP="004573F1">
      <w:pPr>
        <w:pStyle w:val="ListParagraph"/>
        <w:numPr>
          <w:ilvl w:val="1"/>
          <w:numId w:val="16"/>
        </w:numPr>
        <w:rPr>
          <w:szCs w:val="22"/>
        </w:rPr>
      </w:pPr>
      <w:r w:rsidRPr="004573F1">
        <w:rPr>
          <w:szCs w:val="22"/>
        </w:rPr>
        <w:t xml:space="preserve">The PBAC </w:t>
      </w:r>
      <w:r w:rsidR="00251647" w:rsidRPr="004573F1">
        <w:rPr>
          <w:szCs w:val="22"/>
        </w:rPr>
        <w:t>noted</w:t>
      </w:r>
      <w:r w:rsidRPr="004573F1">
        <w:rPr>
          <w:szCs w:val="22"/>
        </w:rPr>
        <w:t xml:space="preserve"> that CAPS is a rare condition </w:t>
      </w:r>
      <w:r w:rsidR="00392F7D" w:rsidRPr="004573F1">
        <w:rPr>
          <w:szCs w:val="22"/>
        </w:rPr>
        <w:t xml:space="preserve">for which anakinra had been designated by the TGA as an orphan drug for the CAPS indication </w:t>
      </w:r>
      <w:r w:rsidRPr="004573F1">
        <w:rPr>
          <w:szCs w:val="22"/>
        </w:rPr>
        <w:t>and that there are currently no drugs listed on the PBS for the</w:t>
      </w:r>
      <w:r w:rsidR="00392F7D" w:rsidRPr="004573F1">
        <w:rPr>
          <w:szCs w:val="22"/>
        </w:rPr>
        <w:t xml:space="preserve"> specific</w:t>
      </w:r>
      <w:r w:rsidRPr="004573F1">
        <w:rPr>
          <w:szCs w:val="22"/>
        </w:rPr>
        <w:t xml:space="preserve"> treatment of </w:t>
      </w:r>
      <w:r w:rsidR="00392F7D" w:rsidRPr="004573F1">
        <w:rPr>
          <w:szCs w:val="22"/>
        </w:rPr>
        <w:t>CAPS.</w:t>
      </w:r>
      <w:r w:rsidRPr="004573F1">
        <w:rPr>
          <w:szCs w:val="22"/>
        </w:rPr>
        <w:t xml:space="preserve"> </w:t>
      </w:r>
      <w:r w:rsidR="004573F1">
        <w:rPr>
          <w:szCs w:val="22"/>
        </w:rPr>
        <w:t>T</w:t>
      </w:r>
      <w:r w:rsidR="004573F1" w:rsidRPr="004573F1">
        <w:rPr>
          <w:szCs w:val="22"/>
        </w:rPr>
        <w:t xml:space="preserve">he consumer comments </w:t>
      </w:r>
      <w:r w:rsidR="004573F1">
        <w:rPr>
          <w:szCs w:val="22"/>
        </w:rPr>
        <w:t xml:space="preserve">received </w:t>
      </w:r>
      <w:r w:rsidR="004573F1" w:rsidRPr="004573F1">
        <w:rPr>
          <w:szCs w:val="22"/>
        </w:rPr>
        <w:t>in support of anakinra</w:t>
      </w:r>
      <w:r w:rsidR="004573F1">
        <w:rPr>
          <w:szCs w:val="22"/>
        </w:rPr>
        <w:t xml:space="preserve"> reflected this gap in treatment and</w:t>
      </w:r>
      <w:r w:rsidR="004573F1" w:rsidRPr="004573F1">
        <w:rPr>
          <w:szCs w:val="22"/>
        </w:rPr>
        <w:t xml:space="preserve"> the PBAC </w:t>
      </w:r>
      <w:r w:rsidR="004573F1">
        <w:rPr>
          <w:szCs w:val="22"/>
        </w:rPr>
        <w:t>acknowledged these comments.</w:t>
      </w:r>
    </w:p>
    <w:p w:rsidR="004573F1" w:rsidRPr="004573F1" w:rsidRDefault="004573F1" w:rsidP="004573F1">
      <w:pPr>
        <w:pStyle w:val="ListParagraph"/>
        <w:rPr>
          <w:szCs w:val="22"/>
        </w:rPr>
      </w:pPr>
    </w:p>
    <w:p w:rsidR="000415CA" w:rsidRPr="00CB7561" w:rsidRDefault="006339BF" w:rsidP="00CB7561">
      <w:pPr>
        <w:pStyle w:val="ListParagraph"/>
        <w:widowControl/>
        <w:numPr>
          <w:ilvl w:val="1"/>
          <w:numId w:val="16"/>
        </w:numPr>
        <w:rPr>
          <w:szCs w:val="22"/>
        </w:rPr>
      </w:pPr>
      <w:r>
        <w:rPr>
          <w:szCs w:val="22"/>
        </w:rPr>
        <w:t xml:space="preserve">Despite noting </w:t>
      </w:r>
      <w:r w:rsidRPr="006339BF">
        <w:rPr>
          <w:szCs w:val="22"/>
        </w:rPr>
        <w:t xml:space="preserve">that </w:t>
      </w:r>
      <w:r w:rsidR="00CB7561">
        <w:rPr>
          <w:szCs w:val="22"/>
        </w:rPr>
        <w:t xml:space="preserve">the drug </w:t>
      </w:r>
      <w:proofErr w:type="spellStart"/>
      <w:r w:rsidRPr="006339BF">
        <w:rPr>
          <w:szCs w:val="22"/>
        </w:rPr>
        <w:t>canakinumab</w:t>
      </w:r>
      <w:proofErr w:type="spellEnd"/>
      <w:r w:rsidRPr="006339BF">
        <w:rPr>
          <w:szCs w:val="22"/>
        </w:rPr>
        <w:t xml:space="preserve"> is TGA approved for the treatment of CAPS in patients aged 2 years and older and is dosed less frequently than anakinra</w:t>
      </w:r>
      <w:r>
        <w:rPr>
          <w:szCs w:val="22"/>
        </w:rPr>
        <w:t>,</w:t>
      </w:r>
      <w:r w:rsidRPr="006339BF">
        <w:rPr>
          <w:szCs w:val="22"/>
        </w:rPr>
        <w:t xml:space="preserve"> </w:t>
      </w:r>
      <w:r>
        <w:rPr>
          <w:szCs w:val="22"/>
        </w:rPr>
        <w:t>the PBAC accepted</w:t>
      </w:r>
      <w:r w:rsidRPr="006339BF">
        <w:rPr>
          <w:szCs w:val="22"/>
        </w:rPr>
        <w:t xml:space="preserve"> that off-label anakinra (supplied privately or provided via hospital formulary arrangements) is </w:t>
      </w:r>
      <w:r>
        <w:rPr>
          <w:szCs w:val="22"/>
        </w:rPr>
        <w:t xml:space="preserve">currently </w:t>
      </w:r>
      <w:r w:rsidRPr="006339BF">
        <w:rPr>
          <w:szCs w:val="22"/>
        </w:rPr>
        <w:t>the most prescribed chronic therapy for CAPS.</w:t>
      </w:r>
      <w:r w:rsidR="00CB7561">
        <w:rPr>
          <w:szCs w:val="22"/>
        </w:rPr>
        <w:t xml:space="preserve"> </w:t>
      </w:r>
      <w:r w:rsidR="00981993" w:rsidRPr="00CB7561">
        <w:rPr>
          <w:szCs w:val="22"/>
        </w:rPr>
        <w:t xml:space="preserve">The PBAC </w:t>
      </w:r>
      <w:r w:rsidR="00CB7561">
        <w:rPr>
          <w:szCs w:val="22"/>
        </w:rPr>
        <w:t xml:space="preserve">therefore </w:t>
      </w:r>
      <w:r w:rsidR="00981993" w:rsidRPr="00CB7561">
        <w:rPr>
          <w:szCs w:val="22"/>
        </w:rPr>
        <w:t xml:space="preserve">accepted </w:t>
      </w:r>
      <w:r w:rsidR="0061245B" w:rsidRPr="00CB7561">
        <w:rPr>
          <w:szCs w:val="22"/>
        </w:rPr>
        <w:t xml:space="preserve">that </w:t>
      </w:r>
      <w:r w:rsidR="00392F7D" w:rsidRPr="00CB7561">
        <w:rPr>
          <w:szCs w:val="22"/>
        </w:rPr>
        <w:t>best supportive care</w:t>
      </w:r>
      <w:r w:rsidR="0061245B" w:rsidRPr="00CB7561">
        <w:rPr>
          <w:szCs w:val="22"/>
        </w:rPr>
        <w:t xml:space="preserve"> was the appropriate comparator.</w:t>
      </w:r>
    </w:p>
    <w:p w:rsidR="000415CA" w:rsidRPr="00BB7EC3" w:rsidRDefault="000415CA" w:rsidP="000415CA">
      <w:pPr>
        <w:pStyle w:val="ListParagraph"/>
        <w:rPr>
          <w:szCs w:val="22"/>
        </w:rPr>
      </w:pPr>
    </w:p>
    <w:p w:rsidR="000415CA" w:rsidRPr="004573F1" w:rsidRDefault="00C44E7B" w:rsidP="004573F1">
      <w:pPr>
        <w:pStyle w:val="ListParagraph"/>
        <w:numPr>
          <w:ilvl w:val="1"/>
          <w:numId w:val="16"/>
        </w:numPr>
        <w:rPr>
          <w:szCs w:val="22"/>
        </w:rPr>
      </w:pPr>
      <w:r w:rsidRPr="004573F1">
        <w:rPr>
          <w:szCs w:val="22"/>
        </w:rPr>
        <w:t xml:space="preserve">The PBAC </w:t>
      </w:r>
      <w:r w:rsidR="00764057" w:rsidRPr="004573F1">
        <w:rPr>
          <w:szCs w:val="22"/>
        </w:rPr>
        <w:t>agreed</w:t>
      </w:r>
      <w:r w:rsidRPr="004573F1">
        <w:rPr>
          <w:szCs w:val="22"/>
        </w:rPr>
        <w:t xml:space="preserve"> </w:t>
      </w:r>
      <w:r w:rsidR="00764057" w:rsidRPr="004573F1">
        <w:rPr>
          <w:szCs w:val="22"/>
        </w:rPr>
        <w:t xml:space="preserve">with the ESC advice and Commentary </w:t>
      </w:r>
      <w:r w:rsidRPr="004573F1">
        <w:rPr>
          <w:szCs w:val="22"/>
        </w:rPr>
        <w:t xml:space="preserve">that the clinical evidence </w:t>
      </w:r>
      <w:r w:rsidR="00C93C22" w:rsidRPr="004573F1">
        <w:rPr>
          <w:szCs w:val="22"/>
        </w:rPr>
        <w:t xml:space="preserve">presented </w:t>
      </w:r>
      <w:r w:rsidRPr="004573F1">
        <w:rPr>
          <w:szCs w:val="22"/>
        </w:rPr>
        <w:t>in the submission</w:t>
      </w:r>
      <w:r w:rsidR="00035615" w:rsidRPr="004573F1">
        <w:rPr>
          <w:szCs w:val="22"/>
        </w:rPr>
        <w:t xml:space="preserve"> from four quasi-experimental studies</w:t>
      </w:r>
      <w:r w:rsidR="00F0432E" w:rsidRPr="004573F1">
        <w:rPr>
          <w:szCs w:val="22"/>
        </w:rPr>
        <w:t xml:space="preserve"> </w:t>
      </w:r>
      <w:r w:rsidR="00764057" w:rsidRPr="004573F1">
        <w:rPr>
          <w:szCs w:val="22"/>
        </w:rPr>
        <w:t>made it difficult to reliably estimate the magnitude of the clinical benefit of anakinra in CAPS</w:t>
      </w:r>
      <w:r w:rsidR="004C378C" w:rsidRPr="004573F1">
        <w:rPr>
          <w:szCs w:val="22"/>
        </w:rPr>
        <w:t xml:space="preserve"> due to </w:t>
      </w:r>
      <w:r w:rsidR="00C93C22" w:rsidRPr="004573F1">
        <w:rPr>
          <w:szCs w:val="22"/>
        </w:rPr>
        <w:t>the open-label administration, subjective nature of the outcome</w:t>
      </w:r>
      <w:r w:rsidR="00764057" w:rsidRPr="004573F1">
        <w:rPr>
          <w:szCs w:val="22"/>
        </w:rPr>
        <w:t>s</w:t>
      </w:r>
      <w:r w:rsidR="00C93C22" w:rsidRPr="004573F1">
        <w:rPr>
          <w:szCs w:val="22"/>
        </w:rPr>
        <w:t xml:space="preserve">, </w:t>
      </w:r>
      <w:r w:rsidR="006335D2" w:rsidRPr="004573F1">
        <w:rPr>
          <w:szCs w:val="22"/>
        </w:rPr>
        <w:t>difference</w:t>
      </w:r>
      <w:r w:rsidR="00DA1E9B" w:rsidRPr="004573F1">
        <w:rPr>
          <w:szCs w:val="22"/>
        </w:rPr>
        <w:t>s</w:t>
      </w:r>
      <w:r w:rsidR="006335D2" w:rsidRPr="004573F1">
        <w:rPr>
          <w:szCs w:val="22"/>
        </w:rPr>
        <w:t xml:space="preserve"> in some patient characteristic between treatment and control groups, </w:t>
      </w:r>
      <w:r w:rsidR="00C93C22" w:rsidRPr="004573F1">
        <w:rPr>
          <w:szCs w:val="22"/>
        </w:rPr>
        <w:t>absence of control groups, very small sample numbers and very limited long term data</w:t>
      </w:r>
      <w:r w:rsidRPr="004573F1">
        <w:rPr>
          <w:szCs w:val="22"/>
        </w:rPr>
        <w:t>.</w:t>
      </w:r>
      <w:r w:rsidR="000415CA" w:rsidRPr="004573F1">
        <w:rPr>
          <w:szCs w:val="22"/>
        </w:rPr>
        <w:t xml:space="preserve"> </w:t>
      </w:r>
      <w:r w:rsidR="006F0AA4" w:rsidRPr="004573F1">
        <w:rPr>
          <w:szCs w:val="22"/>
        </w:rPr>
        <w:t>However</w:t>
      </w:r>
      <w:r w:rsidR="00AE46A4" w:rsidRPr="004573F1">
        <w:rPr>
          <w:szCs w:val="22"/>
        </w:rPr>
        <w:t>,</w:t>
      </w:r>
      <w:r w:rsidR="000F6022" w:rsidRPr="004573F1">
        <w:rPr>
          <w:szCs w:val="22"/>
        </w:rPr>
        <w:t xml:space="preserve"> </w:t>
      </w:r>
      <w:r w:rsidR="00764057" w:rsidRPr="004573F1">
        <w:rPr>
          <w:szCs w:val="22"/>
        </w:rPr>
        <w:t>the PBAC considered that the evidence presented consistently showed</w:t>
      </w:r>
      <w:r w:rsidR="003462C6">
        <w:rPr>
          <w:szCs w:val="22"/>
        </w:rPr>
        <w:t xml:space="preserve"> that anakinra had</w:t>
      </w:r>
      <w:r w:rsidR="00764057" w:rsidRPr="004573F1">
        <w:rPr>
          <w:szCs w:val="22"/>
        </w:rPr>
        <w:t xml:space="preserve"> a superior treatment effect over best supportive care in terms of resolving symptoms common in </w:t>
      </w:r>
      <w:proofErr w:type="spellStart"/>
      <w:r w:rsidR="00764057" w:rsidRPr="004573F1">
        <w:rPr>
          <w:szCs w:val="22"/>
        </w:rPr>
        <w:t>cryopyrin</w:t>
      </w:r>
      <w:proofErr w:type="spellEnd"/>
      <w:r w:rsidR="00764057" w:rsidRPr="004573F1">
        <w:rPr>
          <w:szCs w:val="22"/>
        </w:rPr>
        <w:t>-associated periodic syndromes (CAPS)</w:t>
      </w:r>
      <w:r w:rsidR="004573F1" w:rsidRPr="004573F1">
        <w:rPr>
          <w:szCs w:val="22"/>
        </w:rPr>
        <w:t xml:space="preserve">. The PBAC was satisfied that anakinra provides, for some patients, a significant improvement in efficacy over best supportive care. </w:t>
      </w:r>
    </w:p>
    <w:p w:rsidR="00650C0C" w:rsidRPr="00650C0C" w:rsidRDefault="00650C0C" w:rsidP="00650C0C">
      <w:pPr>
        <w:widowControl/>
        <w:rPr>
          <w:szCs w:val="22"/>
        </w:rPr>
      </w:pPr>
    </w:p>
    <w:p w:rsidR="000415CA" w:rsidRDefault="00650C0C" w:rsidP="00DE3245">
      <w:pPr>
        <w:pStyle w:val="ListParagraph"/>
        <w:widowControl/>
        <w:numPr>
          <w:ilvl w:val="1"/>
          <w:numId w:val="16"/>
        </w:numPr>
        <w:rPr>
          <w:szCs w:val="22"/>
        </w:rPr>
      </w:pPr>
      <w:r>
        <w:rPr>
          <w:szCs w:val="22"/>
        </w:rPr>
        <w:t xml:space="preserve">The PBAC </w:t>
      </w:r>
      <w:r w:rsidR="001E1465">
        <w:rPr>
          <w:szCs w:val="22"/>
        </w:rPr>
        <w:t xml:space="preserve">noted that the submission did </w:t>
      </w:r>
      <w:r w:rsidR="001E1465" w:rsidRPr="001E1465">
        <w:rPr>
          <w:szCs w:val="22"/>
        </w:rPr>
        <w:t xml:space="preserve">not present any safety data comparing anakinra ± best supportive care versus best supportive care alone. The absence of this information </w:t>
      </w:r>
      <w:r w:rsidR="001E1465">
        <w:rPr>
          <w:szCs w:val="22"/>
        </w:rPr>
        <w:t>did not make it possible to</w:t>
      </w:r>
      <w:r w:rsidR="001E1465" w:rsidRPr="001E1465">
        <w:rPr>
          <w:szCs w:val="22"/>
        </w:rPr>
        <w:t xml:space="preserve"> estimate the proportions of adverse </w:t>
      </w:r>
      <w:r w:rsidR="001E1465" w:rsidRPr="001E1465">
        <w:rPr>
          <w:szCs w:val="22"/>
        </w:rPr>
        <w:lastRenderedPageBreak/>
        <w:t>events reported in anakinra studies that are likely to be attributable to anakinra therapy, rather than best supportive care and/or CAPS disease</w:t>
      </w:r>
      <w:r w:rsidR="001E1465">
        <w:rPr>
          <w:szCs w:val="22"/>
        </w:rPr>
        <w:t xml:space="preserve">. </w:t>
      </w:r>
      <w:r w:rsidR="00722F44">
        <w:rPr>
          <w:szCs w:val="22"/>
        </w:rPr>
        <w:t xml:space="preserve">The PBAC noted </w:t>
      </w:r>
      <w:r>
        <w:rPr>
          <w:szCs w:val="22"/>
        </w:rPr>
        <w:t xml:space="preserve">that the total exposure </w:t>
      </w:r>
      <w:r w:rsidR="00722F44">
        <w:rPr>
          <w:szCs w:val="22"/>
        </w:rPr>
        <w:t xml:space="preserve">to anakinra in patient years </w:t>
      </w:r>
      <w:r>
        <w:rPr>
          <w:szCs w:val="22"/>
        </w:rPr>
        <w:t xml:space="preserve">in Study 03-AR-298 was </w:t>
      </w:r>
      <w:r w:rsidR="00722F44">
        <w:rPr>
          <w:szCs w:val="22"/>
        </w:rPr>
        <w:t>159.8 patient years and considered the submission’s clinical claim of inferior safety compared to best supportive care likely t</w:t>
      </w:r>
      <w:r w:rsidR="00DE3245">
        <w:rPr>
          <w:szCs w:val="22"/>
        </w:rPr>
        <w:t xml:space="preserve">o be true on the basis of the reported </w:t>
      </w:r>
      <w:r w:rsidR="00DE3245" w:rsidRPr="00DE3245">
        <w:rPr>
          <w:szCs w:val="22"/>
        </w:rPr>
        <w:t>adverse events in Study 03-AR-0298 (safety population)</w:t>
      </w:r>
      <w:r w:rsidR="007873F2">
        <w:rPr>
          <w:szCs w:val="22"/>
        </w:rPr>
        <w:t xml:space="preserve">. </w:t>
      </w:r>
    </w:p>
    <w:p w:rsidR="000415CA" w:rsidRPr="00BB7EC3" w:rsidRDefault="00513175" w:rsidP="00513175">
      <w:pPr>
        <w:pStyle w:val="ListParagraph"/>
        <w:tabs>
          <w:tab w:val="left" w:pos="6945"/>
        </w:tabs>
        <w:rPr>
          <w:szCs w:val="22"/>
        </w:rPr>
      </w:pPr>
      <w:r>
        <w:rPr>
          <w:szCs w:val="22"/>
        </w:rPr>
        <w:tab/>
      </w:r>
    </w:p>
    <w:p w:rsidR="002C0886" w:rsidRDefault="002C0886" w:rsidP="002C0886">
      <w:pPr>
        <w:pStyle w:val="ListParagraph"/>
        <w:widowControl/>
        <w:numPr>
          <w:ilvl w:val="1"/>
          <w:numId w:val="16"/>
        </w:numPr>
        <w:rPr>
          <w:szCs w:val="22"/>
        </w:rPr>
      </w:pPr>
      <w:r w:rsidRPr="002C0886">
        <w:rPr>
          <w:szCs w:val="22"/>
        </w:rPr>
        <w:t>The PBAC acknowledged the difficulties associated with obtaining clinical data in rare conditions such as CAPS but recognised that it was unlikely that better data would become available.</w:t>
      </w:r>
      <w:r>
        <w:rPr>
          <w:szCs w:val="22"/>
        </w:rPr>
        <w:t xml:space="preserve"> Noting the limitations with the clinical evidence presented, the PBAC accepted the submission’s clinical claim that </w:t>
      </w:r>
      <w:r w:rsidRPr="002C0886">
        <w:rPr>
          <w:szCs w:val="22"/>
        </w:rPr>
        <w:t>a</w:t>
      </w:r>
      <w:r>
        <w:rPr>
          <w:szCs w:val="22"/>
        </w:rPr>
        <w:t>nakinra ± best supportive care i</w:t>
      </w:r>
      <w:r w:rsidRPr="002C0886">
        <w:rPr>
          <w:szCs w:val="22"/>
        </w:rPr>
        <w:t>s superior in terms of comparative effectiveness and inferior in terms of comparative safety over best supportive care</w:t>
      </w:r>
      <w:r>
        <w:rPr>
          <w:szCs w:val="22"/>
        </w:rPr>
        <w:t xml:space="preserve"> alone</w:t>
      </w:r>
      <w:r w:rsidRPr="002C0886">
        <w:rPr>
          <w:szCs w:val="22"/>
        </w:rPr>
        <w:t>.</w:t>
      </w:r>
    </w:p>
    <w:p w:rsidR="002C0886" w:rsidRDefault="002C0886" w:rsidP="002C0886">
      <w:pPr>
        <w:pStyle w:val="ListParagraph"/>
        <w:widowControl/>
        <w:rPr>
          <w:szCs w:val="22"/>
        </w:rPr>
      </w:pPr>
    </w:p>
    <w:p w:rsidR="000415CA" w:rsidRPr="0061245B" w:rsidRDefault="005106AD" w:rsidP="001D1B0C">
      <w:pPr>
        <w:pStyle w:val="ListParagraph"/>
        <w:widowControl/>
        <w:numPr>
          <w:ilvl w:val="1"/>
          <w:numId w:val="16"/>
        </w:numPr>
        <w:rPr>
          <w:szCs w:val="22"/>
        </w:rPr>
      </w:pPr>
      <w:r>
        <w:rPr>
          <w:szCs w:val="22"/>
        </w:rPr>
        <w:t xml:space="preserve">The PBAC considered the submission’s approach to the economic analysis </w:t>
      </w:r>
      <w:r w:rsidR="002835CA">
        <w:rPr>
          <w:szCs w:val="22"/>
        </w:rPr>
        <w:t>(cost-effectiveness/cost-utility analyses)</w:t>
      </w:r>
      <w:r w:rsidRPr="005106AD">
        <w:rPr>
          <w:szCs w:val="22"/>
        </w:rPr>
        <w:t xml:space="preserve"> </w:t>
      </w:r>
      <w:r w:rsidR="002835CA">
        <w:rPr>
          <w:szCs w:val="22"/>
        </w:rPr>
        <w:t xml:space="preserve">to be </w:t>
      </w:r>
      <w:r w:rsidRPr="005106AD">
        <w:rPr>
          <w:szCs w:val="22"/>
        </w:rPr>
        <w:t>consistent with the clinical claim</w:t>
      </w:r>
      <w:r w:rsidR="002835CA">
        <w:rPr>
          <w:szCs w:val="22"/>
        </w:rPr>
        <w:t xml:space="preserve"> but </w:t>
      </w:r>
      <w:r w:rsidR="00AC49F3">
        <w:rPr>
          <w:szCs w:val="22"/>
        </w:rPr>
        <w:t xml:space="preserve">accepted the ESC advice that </w:t>
      </w:r>
      <w:r w:rsidR="00AC49F3" w:rsidRPr="00AC49F3">
        <w:rPr>
          <w:szCs w:val="22"/>
        </w:rPr>
        <w:t>the results of the economic models</w:t>
      </w:r>
      <w:r w:rsidR="00AC49F3">
        <w:rPr>
          <w:szCs w:val="22"/>
        </w:rPr>
        <w:t xml:space="preserve"> (both short and long term models)</w:t>
      </w:r>
      <w:r w:rsidR="00AC49F3" w:rsidRPr="00AC49F3">
        <w:rPr>
          <w:szCs w:val="22"/>
        </w:rPr>
        <w:t>, particularly</w:t>
      </w:r>
      <w:r w:rsidR="00AC49F3">
        <w:rPr>
          <w:szCs w:val="22"/>
        </w:rPr>
        <w:t xml:space="preserve"> when expressed as cost/QALYs, we</w:t>
      </w:r>
      <w:r w:rsidR="00AC49F3" w:rsidRPr="00AC49F3">
        <w:rPr>
          <w:szCs w:val="22"/>
        </w:rPr>
        <w:t>re likely to be invalid</w:t>
      </w:r>
      <w:r w:rsidR="00AC49F3">
        <w:rPr>
          <w:szCs w:val="22"/>
        </w:rPr>
        <w:t xml:space="preserve"> for reasons</w:t>
      </w:r>
      <w:r w:rsidR="001D1B0C">
        <w:rPr>
          <w:szCs w:val="22"/>
        </w:rPr>
        <w:t xml:space="preserve"> relating to the reliability of transforming</w:t>
      </w:r>
      <w:r w:rsidR="001D1B0C" w:rsidRPr="001D1B0C">
        <w:t xml:space="preserve"> </w:t>
      </w:r>
      <w:r w:rsidR="001D1B0C" w:rsidRPr="001D1B0C">
        <w:rPr>
          <w:szCs w:val="22"/>
        </w:rPr>
        <w:t xml:space="preserve">Dermatology Life Quality Index (DLQI) scores </w:t>
      </w:r>
      <w:r w:rsidR="001D1B0C">
        <w:rPr>
          <w:szCs w:val="22"/>
        </w:rPr>
        <w:t>to utility weights, model duration, potential underestimation of anakinra dosing</w:t>
      </w:r>
      <w:r w:rsidR="00F930B5">
        <w:rPr>
          <w:szCs w:val="22"/>
        </w:rPr>
        <w:t xml:space="preserve"> (and </w:t>
      </w:r>
      <w:r w:rsidR="001D1B0C">
        <w:rPr>
          <w:szCs w:val="22"/>
        </w:rPr>
        <w:t>therefore drug costs</w:t>
      </w:r>
      <w:r w:rsidR="00F930B5">
        <w:rPr>
          <w:szCs w:val="22"/>
        </w:rPr>
        <w:t>)</w:t>
      </w:r>
      <w:r w:rsidR="001D1B0C">
        <w:rPr>
          <w:szCs w:val="22"/>
        </w:rPr>
        <w:t xml:space="preserve"> and an underestimation of the potential risk of CINCA complications developing</w:t>
      </w:r>
      <w:r w:rsidR="00AC49F3" w:rsidRPr="00AC49F3">
        <w:rPr>
          <w:szCs w:val="22"/>
        </w:rPr>
        <w:t>.</w:t>
      </w:r>
      <w:r w:rsidR="000415CA">
        <w:rPr>
          <w:szCs w:val="22"/>
        </w:rPr>
        <w:t xml:space="preserve"> </w:t>
      </w:r>
      <w:r w:rsidR="00F930B5">
        <w:rPr>
          <w:szCs w:val="22"/>
        </w:rPr>
        <w:t xml:space="preserve">When the results of the economic  analysis were expressed as an ICER for the monthly cost/responder for each CAPS variant, the PBAC considered the results </w:t>
      </w:r>
      <w:r w:rsidR="006E10F8">
        <w:rPr>
          <w:szCs w:val="22"/>
        </w:rPr>
        <w:t xml:space="preserve">(ICER of </w:t>
      </w:r>
      <w:r w:rsidR="00090D9D">
        <w:rPr>
          <w:szCs w:val="22"/>
        </w:rPr>
        <w:t>less than $15,000</w:t>
      </w:r>
      <w:r w:rsidR="006E10F8">
        <w:rPr>
          <w:szCs w:val="22"/>
        </w:rPr>
        <w:t>/responder) to be relatively more robust and sufficiently acceptable in the context of CAPS being a rare disease</w:t>
      </w:r>
      <w:r w:rsidR="006A1EB0">
        <w:rPr>
          <w:szCs w:val="22"/>
        </w:rPr>
        <w:t xml:space="preserve"> with debilitating clinical symptoms</w:t>
      </w:r>
      <w:r w:rsidR="006E10F8">
        <w:rPr>
          <w:szCs w:val="22"/>
        </w:rPr>
        <w:t>.</w:t>
      </w:r>
      <w:r w:rsidR="00F930B5">
        <w:rPr>
          <w:szCs w:val="22"/>
        </w:rPr>
        <w:t xml:space="preserve">  </w:t>
      </w:r>
    </w:p>
    <w:p w:rsidR="000415CA" w:rsidRPr="00BB7EC3" w:rsidRDefault="000415CA" w:rsidP="000415CA">
      <w:pPr>
        <w:pStyle w:val="ListParagraph"/>
        <w:rPr>
          <w:szCs w:val="22"/>
        </w:rPr>
      </w:pPr>
    </w:p>
    <w:p w:rsidR="00B23FDF" w:rsidRDefault="009F0C56" w:rsidP="009F0C56">
      <w:pPr>
        <w:pStyle w:val="ListParagraph"/>
        <w:widowControl/>
        <w:numPr>
          <w:ilvl w:val="1"/>
          <w:numId w:val="16"/>
        </w:numPr>
        <w:rPr>
          <w:szCs w:val="22"/>
        </w:rPr>
      </w:pPr>
      <w:r w:rsidRPr="009F0C56">
        <w:rPr>
          <w:szCs w:val="22"/>
        </w:rPr>
        <w:t xml:space="preserve">The PBAC </w:t>
      </w:r>
      <w:r>
        <w:rPr>
          <w:szCs w:val="22"/>
        </w:rPr>
        <w:t>expected that</w:t>
      </w:r>
      <w:r w:rsidRPr="009F0C56">
        <w:rPr>
          <w:szCs w:val="22"/>
        </w:rPr>
        <w:t xml:space="preserve"> a modest financial impact to the PBS</w:t>
      </w:r>
      <w:r>
        <w:rPr>
          <w:szCs w:val="22"/>
        </w:rPr>
        <w:t xml:space="preserve"> would occur due to the small number of patients expected to require treatment. </w:t>
      </w:r>
      <w:r w:rsidRPr="009F0C56">
        <w:rPr>
          <w:szCs w:val="22"/>
        </w:rPr>
        <w:t xml:space="preserve"> </w:t>
      </w:r>
      <w:r>
        <w:rPr>
          <w:szCs w:val="22"/>
        </w:rPr>
        <w:t>The PBAC noted further noted that the proposed annual drug cost per patient was considered to be relatively high ($</w:t>
      </w:r>
      <w:r w:rsidR="00996334">
        <w:rPr>
          <w:noProof/>
          <w:color w:val="000000"/>
          <w:szCs w:val="22"/>
          <w:highlight w:val="black"/>
        </w:rPr>
        <w:t>'''''''''''''''''</w:t>
      </w:r>
      <w:r>
        <w:rPr>
          <w:szCs w:val="22"/>
        </w:rPr>
        <w:t>). Together with this high drug cost, t</w:t>
      </w:r>
      <w:r w:rsidR="00BB0A3C" w:rsidRPr="009F0C56">
        <w:rPr>
          <w:szCs w:val="22"/>
        </w:rPr>
        <w:t xml:space="preserve">he PBAC </w:t>
      </w:r>
      <w:r w:rsidR="007C69B7" w:rsidRPr="009F0C56">
        <w:rPr>
          <w:szCs w:val="22"/>
        </w:rPr>
        <w:t xml:space="preserve">considered </w:t>
      </w:r>
      <w:r>
        <w:rPr>
          <w:szCs w:val="22"/>
        </w:rPr>
        <w:t xml:space="preserve">that </w:t>
      </w:r>
      <w:r w:rsidR="007C69B7" w:rsidRPr="009F0C56">
        <w:rPr>
          <w:szCs w:val="22"/>
        </w:rPr>
        <w:t>it w</w:t>
      </w:r>
      <w:r>
        <w:rPr>
          <w:szCs w:val="22"/>
        </w:rPr>
        <w:t xml:space="preserve">ould be </w:t>
      </w:r>
      <w:r w:rsidR="007C69B7" w:rsidRPr="009F0C56">
        <w:rPr>
          <w:szCs w:val="22"/>
        </w:rPr>
        <w:t>appropriate that</w:t>
      </w:r>
      <w:r w:rsidR="00BB0A3C" w:rsidRPr="009F0C56">
        <w:rPr>
          <w:szCs w:val="22"/>
        </w:rPr>
        <w:t xml:space="preserve"> a risk s</w:t>
      </w:r>
      <w:r w:rsidR="00F0432E" w:rsidRPr="009F0C56">
        <w:rPr>
          <w:szCs w:val="22"/>
        </w:rPr>
        <w:t xml:space="preserve">haring </w:t>
      </w:r>
      <w:r w:rsidR="00BB0A3C" w:rsidRPr="009F0C56">
        <w:rPr>
          <w:szCs w:val="22"/>
        </w:rPr>
        <w:t>a</w:t>
      </w:r>
      <w:r w:rsidR="00F0432E" w:rsidRPr="009F0C56">
        <w:rPr>
          <w:szCs w:val="22"/>
        </w:rPr>
        <w:t>rrangement between the sponsor and the Commonwealth</w:t>
      </w:r>
      <w:r w:rsidR="00BB0A3C" w:rsidRPr="009F0C56">
        <w:rPr>
          <w:szCs w:val="22"/>
        </w:rPr>
        <w:t xml:space="preserve"> is implemented to manage any</w:t>
      </w:r>
      <w:r w:rsidR="00F0432E" w:rsidRPr="009F0C56">
        <w:rPr>
          <w:szCs w:val="22"/>
        </w:rPr>
        <w:t xml:space="preserve"> risk of leakage</w:t>
      </w:r>
      <w:r w:rsidR="00672269" w:rsidRPr="009F0C56">
        <w:rPr>
          <w:szCs w:val="22"/>
        </w:rPr>
        <w:t xml:space="preserve"> into rheumatoid arthritis and mild</w:t>
      </w:r>
      <w:r w:rsidR="000D538C" w:rsidRPr="009F0C56">
        <w:rPr>
          <w:szCs w:val="22"/>
        </w:rPr>
        <w:t xml:space="preserve"> forms of</w:t>
      </w:r>
      <w:r w:rsidR="00672269" w:rsidRPr="009F0C56">
        <w:rPr>
          <w:szCs w:val="22"/>
        </w:rPr>
        <w:t xml:space="preserve"> FCAS</w:t>
      </w:r>
      <w:r w:rsidR="00F0432E" w:rsidRPr="009F0C56">
        <w:rPr>
          <w:szCs w:val="22"/>
        </w:rPr>
        <w:t xml:space="preserve">. </w:t>
      </w:r>
      <w:r w:rsidR="00BB0A3C" w:rsidRPr="009F0C56">
        <w:rPr>
          <w:szCs w:val="22"/>
        </w:rPr>
        <w:t xml:space="preserve">The risk sharing arrangement should </w:t>
      </w:r>
      <w:r w:rsidR="009D0C66" w:rsidRPr="009F0C56">
        <w:rPr>
          <w:szCs w:val="22"/>
        </w:rPr>
        <w:t>be</w:t>
      </w:r>
      <w:r w:rsidR="00BB0A3C" w:rsidRPr="009F0C56">
        <w:rPr>
          <w:szCs w:val="22"/>
        </w:rPr>
        <w:t xml:space="preserve"> a </w:t>
      </w:r>
      <w:r w:rsidR="000D538C" w:rsidRPr="009F0C56">
        <w:rPr>
          <w:szCs w:val="22"/>
        </w:rPr>
        <w:t xml:space="preserve">strict </w:t>
      </w:r>
      <w:r w:rsidR="00BB0A3C" w:rsidRPr="009F0C56">
        <w:rPr>
          <w:szCs w:val="22"/>
        </w:rPr>
        <w:t>cap</w:t>
      </w:r>
      <w:r w:rsidR="009D0C66" w:rsidRPr="009F0C56">
        <w:rPr>
          <w:szCs w:val="22"/>
        </w:rPr>
        <w:t xml:space="preserve"> (</w:t>
      </w:r>
      <w:r w:rsidR="00996334">
        <w:rPr>
          <w:noProof/>
          <w:color w:val="000000"/>
          <w:szCs w:val="22"/>
          <w:highlight w:val="black"/>
        </w:rPr>
        <w:t>''''''' '''' ''''''''''''''' ''''''''''''''</w:t>
      </w:r>
      <w:r w:rsidR="009D0C66" w:rsidRPr="009F0C56">
        <w:rPr>
          <w:szCs w:val="22"/>
        </w:rPr>
        <w:t>)</w:t>
      </w:r>
      <w:r w:rsidR="00BB0A3C" w:rsidRPr="009F0C56">
        <w:rPr>
          <w:szCs w:val="22"/>
        </w:rPr>
        <w:t xml:space="preserve"> </w:t>
      </w:r>
      <w:r w:rsidR="000D538C" w:rsidRPr="009F0C56">
        <w:rPr>
          <w:szCs w:val="22"/>
        </w:rPr>
        <w:t xml:space="preserve">on Commonwealth expenditure above a calculated level that is based </w:t>
      </w:r>
      <w:r w:rsidR="00BB0A3C" w:rsidRPr="009F0C56">
        <w:rPr>
          <w:szCs w:val="22"/>
        </w:rPr>
        <w:t xml:space="preserve">on </w:t>
      </w:r>
      <w:r w:rsidR="000D538C" w:rsidRPr="009F0C56">
        <w:rPr>
          <w:szCs w:val="22"/>
        </w:rPr>
        <w:t>the expected patient numbers as estimated in the submission and the submission’s assumption that all patients will</w:t>
      </w:r>
      <w:r w:rsidR="009D0C66" w:rsidRPr="009F0C56">
        <w:rPr>
          <w:szCs w:val="22"/>
        </w:rPr>
        <w:t xml:space="preserve"> receive ≤100 </w:t>
      </w:r>
      <w:r w:rsidR="000D538C" w:rsidRPr="009F0C56">
        <w:rPr>
          <w:szCs w:val="22"/>
        </w:rPr>
        <w:t>mg/day of anakinra (one syringe).</w:t>
      </w:r>
      <w:r w:rsidR="00BB0A3C" w:rsidRPr="009F0C56">
        <w:rPr>
          <w:szCs w:val="22"/>
        </w:rPr>
        <w:t xml:space="preserve"> </w:t>
      </w:r>
    </w:p>
    <w:p w:rsidR="003E7A0F" w:rsidRDefault="003E7A0F" w:rsidP="003E7A0F">
      <w:pPr>
        <w:pStyle w:val="ListParagraph"/>
        <w:widowControl/>
        <w:rPr>
          <w:szCs w:val="22"/>
        </w:rPr>
      </w:pPr>
    </w:p>
    <w:p w:rsidR="003E7A0F" w:rsidRPr="009F0C56" w:rsidRDefault="003E7A0F" w:rsidP="009F0C56">
      <w:pPr>
        <w:pStyle w:val="ListParagraph"/>
        <w:widowControl/>
        <w:numPr>
          <w:ilvl w:val="1"/>
          <w:numId w:val="16"/>
        </w:numPr>
        <w:rPr>
          <w:szCs w:val="22"/>
        </w:rPr>
      </w:pPr>
      <w:r>
        <w:rPr>
          <w:szCs w:val="22"/>
        </w:rPr>
        <w:t>The PBAC noted that prior to delisting on 1 December 2010, the dispensed price as per the Nove</w:t>
      </w:r>
      <w:r w:rsidR="00E85FC2">
        <w:rPr>
          <w:szCs w:val="22"/>
        </w:rPr>
        <w:t>mber 2010 PBS Schedule for</w:t>
      </w:r>
      <w:r>
        <w:rPr>
          <w:szCs w:val="22"/>
        </w:rPr>
        <w:t xml:space="preserve"> the maximum quantity (28 syringes) of anakinra was $</w:t>
      </w:r>
      <w:r w:rsidR="00996334">
        <w:rPr>
          <w:noProof/>
          <w:color w:val="000000"/>
          <w:szCs w:val="22"/>
          <w:highlight w:val="black"/>
        </w:rPr>
        <w:t>'''''''''''''''''''''''</w:t>
      </w:r>
      <w:r>
        <w:rPr>
          <w:szCs w:val="22"/>
        </w:rPr>
        <w:t>.</w:t>
      </w:r>
      <w:r w:rsidR="00574F9D">
        <w:rPr>
          <w:szCs w:val="22"/>
        </w:rPr>
        <w:t xml:space="preserve"> </w:t>
      </w:r>
      <w:r w:rsidR="00E85FC2">
        <w:rPr>
          <w:szCs w:val="22"/>
        </w:rPr>
        <w:t>The new ex-manufacture</w:t>
      </w:r>
      <w:r w:rsidR="003E72AF">
        <w:rPr>
          <w:szCs w:val="22"/>
        </w:rPr>
        <w:t>r</w:t>
      </w:r>
      <w:r w:rsidR="00E85FC2">
        <w:rPr>
          <w:szCs w:val="22"/>
        </w:rPr>
        <w:t xml:space="preserve"> price proposed by the submission for CAPS </w:t>
      </w:r>
      <w:r w:rsidR="001B65E5">
        <w:rPr>
          <w:szCs w:val="22"/>
        </w:rPr>
        <w:t xml:space="preserve">is </w:t>
      </w:r>
      <w:r w:rsidR="002C520A">
        <w:rPr>
          <w:szCs w:val="22"/>
        </w:rPr>
        <w:t xml:space="preserve">higher.  </w:t>
      </w:r>
    </w:p>
    <w:p w:rsidR="006339BF" w:rsidRDefault="006339BF" w:rsidP="006339BF">
      <w:pPr>
        <w:pStyle w:val="ListParagraph"/>
        <w:widowControl/>
        <w:rPr>
          <w:szCs w:val="22"/>
        </w:rPr>
      </w:pPr>
    </w:p>
    <w:p w:rsidR="006339BF" w:rsidRDefault="009F0C56" w:rsidP="00F87FEF">
      <w:pPr>
        <w:pStyle w:val="ListParagraph"/>
        <w:numPr>
          <w:ilvl w:val="1"/>
          <w:numId w:val="16"/>
        </w:numPr>
        <w:rPr>
          <w:szCs w:val="22"/>
        </w:rPr>
      </w:pPr>
      <w:r>
        <w:rPr>
          <w:szCs w:val="22"/>
        </w:rPr>
        <w:t>In terms of implementing a PBS restriction, t</w:t>
      </w:r>
      <w:r w:rsidR="006339BF" w:rsidRPr="006339BF">
        <w:rPr>
          <w:szCs w:val="22"/>
        </w:rPr>
        <w:t xml:space="preserve">he PBAC recommended that anakinra be </w:t>
      </w:r>
      <w:r>
        <w:rPr>
          <w:szCs w:val="22"/>
        </w:rPr>
        <w:t>subsidised for</w:t>
      </w:r>
      <w:r w:rsidR="006339BF" w:rsidRPr="006339BF">
        <w:rPr>
          <w:szCs w:val="22"/>
        </w:rPr>
        <w:t xml:space="preserve"> patients with moderate to severe CAPS, which is the patient population that best reflects the clinical evidence provided. </w:t>
      </w:r>
      <w:r w:rsidR="00F87FEF" w:rsidRPr="00F87FEF">
        <w:rPr>
          <w:szCs w:val="22"/>
        </w:rPr>
        <w:t xml:space="preserve">To minimise the risk of leakage beyond the restriction (e.g. use in rheumatoid arthritis), </w:t>
      </w:r>
      <w:r w:rsidR="00F87FEF">
        <w:rPr>
          <w:szCs w:val="22"/>
        </w:rPr>
        <w:t>the PBAC</w:t>
      </w:r>
      <w:r w:rsidR="00F87FEF" w:rsidRPr="00F87FEF">
        <w:rPr>
          <w:szCs w:val="22"/>
        </w:rPr>
        <w:t xml:space="preserve"> considered whether the listing should stipulate that a clinical diagnosis of CAPS must be confirmed by genetic analysis/skin biopsy</w:t>
      </w:r>
      <w:r w:rsidR="00F87FEF">
        <w:rPr>
          <w:szCs w:val="22"/>
        </w:rPr>
        <w:t xml:space="preserve"> but</w:t>
      </w:r>
      <w:r w:rsidR="00F87FEF" w:rsidRPr="00F87FEF">
        <w:rPr>
          <w:szCs w:val="22"/>
        </w:rPr>
        <w:t xml:space="preserve"> noted </w:t>
      </w:r>
      <w:r w:rsidR="00F87FEF">
        <w:rPr>
          <w:szCs w:val="22"/>
        </w:rPr>
        <w:t xml:space="preserve">advice </w:t>
      </w:r>
      <w:r w:rsidR="00F87FEF" w:rsidRPr="00F87FEF">
        <w:rPr>
          <w:szCs w:val="22"/>
        </w:rPr>
        <w:t xml:space="preserve">that there is currently </w:t>
      </w:r>
      <w:r w:rsidR="00F87FEF" w:rsidRPr="00F87FEF">
        <w:rPr>
          <w:szCs w:val="22"/>
        </w:rPr>
        <w:lastRenderedPageBreak/>
        <w:t>no MBS listing for genetic testing to determine CAPS</w:t>
      </w:r>
      <w:r w:rsidR="00F87FEF">
        <w:rPr>
          <w:szCs w:val="22"/>
        </w:rPr>
        <w:t xml:space="preserve"> and that</w:t>
      </w:r>
      <w:r w:rsidR="00F87FEF" w:rsidRPr="00F87FEF">
        <w:rPr>
          <w:szCs w:val="22"/>
        </w:rPr>
        <w:t xml:space="preserve"> a significant proportion (30-50%) of patients who present clinically with CINCA/NOMID and respond favourably to therapy with IL-1 blocking agents are negative for mutations in the relevant gene. </w:t>
      </w:r>
      <w:r w:rsidR="00F87FEF">
        <w:rPr>
          <w:szCs w:val="22"/>
        </w:rPr>
        <w:t>Therefore, the PBAC did not recommend that a PBS restriction</w:t>
      </w:r>
      <w:r w:rsidR="00F87FEF" w:rsidRPr="00F87FEF">
        <w:t xml:space="preserve"> </w:t>
      </w:r>
      <w:r w:rsidR="00F87FEF" w:rsidRPr="00F87FEF">
        <w:rPr>
          <w:szCs w:val="22"/>
        </w:rPr>
        <w:t>should stipulate that a clinical diagnosis of CAPS must be confirmed by genetic analysis/skin biopsy</w:t>
      </w:r>
      <w:r w:rsidR="00F87FEF">
        <w:rPr>
          <w:szCs w:val="22"/>
        </w:rPr>
        <w:t>. In view of the</w:t>
      </w:r>
      <w:r>
        <w:rPr>
          <w:szCs w:val="22"/>
        </w:rPr>
        <w:t xml:space="preserve"> complexity and rarity of </w:t>
      </w:r>
      <w:r w:rsidR="00F87FEF">
        <w:rPr>
          <w:szCs w:val="22"/>
        </w:rPr>
        <w:t>CAPS as a medical</w:t>
      </w:r>
      <w:r>
        <w:rPr>
          <w:szCs w:val="22"/>
        </w:rPr>
        <w:t xml:space="preserve"> condition</w:t>
      </w:r>
      <w:r w:rsidR="00F87FEF">
        <w:rPr>
          <w:szCs w:val="22"/>
        </w:rPr>
        <w:t>, t</w:t>
      </w:r>
      <w:r w:rsidR="00F87FEF" w:rsidRPr="00F87FEF">
        <w:rPr>
          <w:szCs w:val="22"/>
        </w:rPr>
        <w:t xml:space="preserve">he </w:t>
      </w:r>
      <w:r w:rsidR="00F87FEF">
        <w:rPr>
          <w:szCs w:val="22"/>
        </w:rPr>
        <w:t xml:space="preserve">PBAC </w:t>
      </w:r>
      <w:r w:rsidR="00F87FEF" w:rsidRPr="00F87FEF">
        <w:rPr>
          <w:szCs w:val="22"/>
        </w:rPr>
        <w:t xml:space="preserve">noted that CAPS would be </w:t>
      </w:r>
      <w:r w:rsidR="00F87FEF">
        <w:rPr>
          <w:szCs w:val="22"/>
        </w:rPr>
        <w:t xml:space="preserve">mainly </w:t>
      </w:r>
      <w:r w:rsidR="00F87FEF" w:rsidRPr="00F87FEF">
        <w:rPr>
          <w:szCs w:val="22"/>
        </w:rPr>
        <w:t xml:space="preserve">managed </w:t>
      </w:r>
      <w:r w:rsidR="00F87FEF">
        <w:rPr>
          <w:szCs w:val="22"/>
        </w:rPr>
        <w:t xml:space="preserve">in </w:t>
      </w:r>
      <w:r w:rsidR="00F87FEF" w:rsidRPr="00F87FEF">
        <w:rPr>
          <w:szCs w:val="22"/>
        </w:rPr>
        <w:t>tertiary</w:t>
      </w:r>
      <w:r w:rsidR="00F87FEF">
        <w:rPr>
          <w:szCs w:val="22"/>
        </w:rPr>
        <w:t xml:space="preserve"> health settings and therefore</w:t>
      </w:r>
      <w:r>
        <w:rPr>
          <w:szCs w:val="22"/>
        </w:rPr>
        <w:t xml:space="preserve"> further </w:t>
      </w:r>
      <w:r w:rsidR="006339BF" w:rsidRPr="006339BF">
        <w:rPr>
          <w:szCs w:val="22"/>
        </w:rPr>
        <w:t>recommended that anakinra be prescribed by or in consultation with a rheumatologist.</w:t>
      </w:r>
    </w:p>
    <w:p w:rsidR="000415CA" w:rsidRPr="00687637" w:rsidRDefault="000415CA" w:rsidP="00687637">
      <w:pPr>
        <w:rPr>
          <w:szCs w:val="22"/>
        </w:rPr>
      </w:pPr>
    </w:p>
    <w:p w:rsidR="000415CA" w:rsidRDefault="000415CA" w:rsidP="00B63F6D">
      <w:pPr>
        <w:pStyle w:val="ListParagraph"/>
        <w:widowControl/>
        <w:numPr>
          <w:ilvl w:val="1"/>
          <w:numId w:val="16"/>
        </w:numPr>
        <w:rPr>
          <w:szCs w:val="22"/>
        </w:rPr>
      </w:pPr>
      <w:r>
        <w:rPr>
          <w:szCs w:val="22"/>
        </w:rPr>
        <w:t xml:space="preserve">The PBAC advised that </w:t>
      </w:r>
      <w:r w:rsidR="00687637">
        <w:rPr>
          <w:szCs w:val="22"/>
        </w:rPr>
        <w:t>anakinra</w:t>
      </w:r>
      <w:r>
        <w:rPr>
          <w:szCs w:val="22"/>
        </w:rPr>
        <w:t xml:space="preserve"> is not suitable for prescribing by </w:t>
      </w:r>
      <w:r w:rsidRPr="00882085">
        <w:rPr>
          <w:szCs w:val="22"/>
        </w:rPr>
        <w:t>nurse practitioner</w:t>
      </w:r>
      <w:r w:rsidR="00513175">
        <w:rPr>
          <w:szCs w:val="22"/>
        </w:rPr>
        <w:t>s.</w:t>
      </w:r>
    </w:p>
    <w:p w:rsidR="000415CA" w:rsidRPr="00BB7EC3" w:rsidRDefault="000415CA" w:rsidP="000415CA">
      <w:pPr>
        <w:pStyle w:val="ListParagraph"/>
        <w:rPr>
          <w:szCs w:val="22"/>
        </w:rPr>
      </w:pPr>
    </w:p>
    <w:p w:rsidR="000415CA" w:rsidRDefault="000415CA" w:rsidP="00270FDA">
      <w:pPr>
        <w:pStyle w:val="ListParagraph"/>
        <w:widowControl/>
        <w:numPr>
          <w:ilvl w:val="1"/>
          <w:numId w:val="16"/>
        </w:numPr>
        <w:rPr>
          <w:szCs w:val="22"/>
        </w:rPr>
      </w:pPr>
      <w:r>
        <w:rPr>
          <w:szCs w:val="22"/>
        </w:rPr>
        <w:t>The PBAC recommended that the Safety Net 20 Day Rule should not apply.</w:t>
      </w:r>
      <w:r w:rsidRPr="00882085">
        <w:rPr>
          <w:szCs w:val="22"/>
        </w:rPr>
        <w:t xml:space="preserve"> </w:t>
      </w:r>
    </w:p>
    <w:p w:rsidR="00270FDA" w:rsidRPr="00270FDA" w:rsidRDefault="00270FDA" w:rsidP="00270FDA">
      <w:pPr>
        <w:pStyle w:val="ListParagraph"/>
        <w:rPr>
          <w:szCs w:val="22"/>
        </w:rPr>
      </w:pPr>
    </w:p>
    <w:p w:rsidR="000415CA" w:rsidRPr="00270FDA" w:rsidRDefault="000415CA" w:rsidP="00B177A3">
      <w:pPr>
        <w:pStyle w:val="ListParagraph"/>
        <w:widowControl/>
        <w:numPr>
          <w:ilvl w:val="1"/>
          <w:numId w:val="16"/>
        </w:numPr>
        <w:rPr>
          <w:szCs w:val="22"/>
        </w:rPr>
      </w:pPr>
      <w:r w:rsidRPr="00270FDA">
        <w:rPr>
          <w:szCs w:val="22"/>
        </w:rPr>
        <w:t xml:space="preserve">The PBAC noted that this submission is not eligible for an Independent Review. </w:t>
      </w:r>
    </w:p>
    <w:p w:rsidR="000415CA" w:rsidRDefault="000415CA" w:rsidP="000415CA">
      <w:pPr>
        <w:rPr>
          <w:szCs w:val="22"/>
        </w:rPr>
      </w:pPr>
    </w:p>
    <w:p w:rsidR="00A8021F" w:rsidRPr="00882085" w:rsidRDefault="00A8021F" w:rsidP="000415CA">
      <w:pPr>
        <w:rPr>
          <w:szCs w:val="22"/>
        </w:rPr>
      </w:pPr>
    </w:p>
    <w:p w:rsidR="000415CA" w:rsidRPr="00882085" w:rsidRDefault="000415CA" w:rsidP="000415CA">
      <w:pPr>
        <w:rPr>
          <w:b/>
          <w:szCs w:val="22"/>
        </w:rPr>
      </w:pPr>
      <w:r w:rsidRPr="00882085">
        <w:rPr>
          <w:b/>
          <w:szCs w:val="22"/>
        </w:rPr>
        <w:t>Outcome:</w:t>
      </w:r>
    </w:p>
    <w:p w:rsidR="000415CA" w:rsidRDefault="00687637" w:rsidP="000415CA">
      <w:pPr>
        <w:rPr>
          <w:szCs w:val="22"/>
        </w:rPr>
      </w:pPr>
      <w:r>
        <w:rPr>
          <w:szCs w:val="22"/>
        </w:rPr>
        <w:t>Recommended</w:t>
      </w:r>
    </w:p>
    <w:p w:rsidR="00F87FEF" w:rsidRDefault="00F87FEF" w:rsidP="00F87FEF">
      <w:pPr>
        <w:rPr>
          <w:szCs w:val="22"/>
        </w:rPr>
      </w:pPr>
    </w:p>
    <w:p w:rsidR="000D5A6C" w:rsidRDefault="000D5A6C" w:rsidP="00F87FEF">
      <w:pPr>
        <w:rPr>
          <w:szCs w:val="22"/>
        </w:rPr>
      </w:pPr>
    </w:p>
    <w:p w:rsidR="009318A9" w:rsidRPr="00882085" w:rsidRDefault="009318A9" w:rsidP="009318A9">
      <w:pPr>
        <w:pStyle w:val="PBACHeading1"/>
        <w:numPr>
          <w:ilvl w:val="0"/>
          <w:numId w:val="16"/>
        </w:numPr>
        <w:snapToGrid w:val="0"/>
        <w:rPr>
          <w:b w:val="0"/>
          <w:i/>
        </w:rPr>
      </w:pPr>
      <w:r w:rsidRPr="00882085">
        <w:t>Recommended listing</w:t>
      </w:r>
    </w:p>
    <w:p w:rsidR="009318A9" w:rsidRPr="00882085" w:rsidRDefault="009318A9" w:rsidP="009318A9">
      <w:pPr>
        <w:rPr>
          <w:szCs w:val="22"/>
        </w:rPr>
      </w:pPr>
    </w:p>
    <w:p w:rsidR="009318A9" w:rsidRDefault="009318A9" w:rsidP="009318A9">
      <w:pPr>
        <w:pStyle w:val="ListParagraph"/>
        <w:widowControl/>
        <w:numPr>
          <w:ilvl w:val="1"/>
          <w:numId w:val="16"/>
        </w:numPr>
        <w:rPr>
          <w:szCs w:val="22"/>
        </w:rPr>
      </w:pPr>
      <w:r w:rsidRPr="00145593">
        <w:rPr>
          <w:szCs w:val="22"/>
        </w:rPr>
        <w:t>Add new item:</w:t>
      </w:r>
    </w:p>
    <w:p w:rsidR="009318A9" w:rsidRPr="0082211D" w:rsidRDefault="009318A9" w:rsidP="009318A9">
      <w:pPr>
        <w:widowControl/>
        <w:rPr>
          <w:snapToGrid/>
          <w:szCs w:val="22"/>
          <w:lang w:eastAsia="en-AU"/>
        </w:rPr>
      </w:pPr>
    </w:p>
    <w:tbl>
      <w:tblPr>
        <w:tblW w:w="8363" w:type="dxa"/>
        <w:tblInd w:w="817" w:type="dxa"/>
        <w:tblLayout w:type="fixed"/>
        <w:tblLook w:val="0000" w:firstRow="0" w:lastRow="0" w:firstColumn="0" w:lastColumn="0" w:noHBand="0" w:noVBand="0"/>
      </w:tblPr>
      <w:tblGrid>
        <w:gridCol w:w="2948"/>
        <w:gridCol w:w="1021"/>
        <w:gridCol w:w="1134"/>
        <w:gridCol w:w="851"/>
        <w:gridCol w:w="1081"/>
        <w:gridCol w:w="1328"/>
      </w:tblGrid>
      <w:tr w:rsidR="009318A9" w:rsidRPr="0082211D" w:rsidTr="006103FA">
        <w:trPr>
          <w:cantSplit/>
          <w:trHeight w:val="447"/>
        </w:trPr>
        <w:tc>
          <w:tcPr>
            <w:tcW w:w="2948" w:type="dxa"/>
            <w:tcBorders>
              <w:bottom w:val="single" w:sz="4" w:space="0" w:color="auto"/>
            </w:tcBorders>
          </w:tcPr>
          <w:p w:rsidR="009318A9" w:rsidRPr="0082211D" w:rsidRDefault="009318A9" w:rsidP="006103FA">
            <w:pPr>
              <w:keepNext/>
              <w:widowControl/>
              <w:ind w:left="-108"/>
              <w:rPr>
                <w:rFonts w:ascii="Arial Narrow" w:hAnsi="Arial Narrow"/>
                <w:snapToGrid/>
                <w:sz w:val="20"/>
                <w:lang w:eastAsia="en-AU"/>
              </w:rPr>
            </w:pPr>
            <w:r w:rsidRPr="0082211D">
              <w:rPr>
                <w:rFonts w:ascii="Arial Narrow" w:hAnsi="Arial Narrow"/>
                <w:snapToGrid/>
                <w:sz w:val="20"/>
                <w:lang w:eastAsia="en-AU"/>
              </w:rPr>
              <w:t>Name, Restriction,</w:t>
            </w:r>
          </w:p>
          <w:p w:rsidR="009318A9" w:rsidRPr="0082211D" w:rsidRDefault="009318A9" w:rsidP="006103FA">
            <w:pPr>
              <w:keepNext/>
              <w:widowControl/>
              <w:ind w:left="-108" w:right="175"/>
              <w:rPr>
                <w:rFonts w:ascii="Arial Narrow" w:hAnsi="Arial Narrow"/>
                <w:snapToGrid/>
                <w:sz w:val="20"/>
                <w:lang w:eastAsia="en-AU"/>
              </w:rPr>
            </w:pPr>
            <w:r w:rsidRPr="0082211D">
              <w:rPr>
                <w:rFonts w:ascii="Arial Narrow" w:hAnsi="Arial Narrow"/>
                <w:snapToGrid/>
                <w:sz w:val="20"/>
                <w:lang w:eastAsia="en-AU"/>
              </w:rPr>
              <w:t>Manner of administration and form</w:t>
            </w:r>
          </w:p>
        </w:tc>
        <w:tc>
          <w:tcPr>
            <w:tcW w:w="1021" w:type="dxa"/>
            <w:tcBorders>
              <w:bottom w:val="single" w:sz="4" w:space="0" w:color="auto"/>
            </w:tcBorders>
          </w:tcPr>
          <w:p w:rsidR="009318A9" w:rsidRPr="0082211D" w:rsidRDefault="009318A9" w:rsidP="006103FA">
            <w:pPr>
              <w:keepNext/>
              <w:widowControl/>
              <w:ind w:left="-108"/>
              <w:jc w:val="left"/>
              <w:rPr>
                <w:rFonts w:ascii="Arial Narrow" w:hAnsi="Arial Narrow"/>
                <w:snapToGrid/>
                <w:sz w:val="20"/>
                <w:lang w:eastAsia="en-AU"/>
              </w:rPr>
            </w:pPr>
            <w:r w:rsidRPr="0082211D">
              <w:rPr>
                <w:rFonts w:ascii="Arial Narrow" w:hAnsi="Arial Narrow"/>
                <w:snapToGrid/>
                <w:sz w:val="20"/>
                <w:lang w:eastAsia="en-AU"/>
              </w:rPr>
              <w:t>Max.</w:t>
            </w:r>
            <w:r>
              <w:rPr>
                <w:rFonts w:ascii="Arial Narrow" w:hAnsi="Arial Narrow"/>
                <w:snapToGrid/>
                <w:sz w:val="20"/>
                <w:lang w:eastAsia="en-AU"/>
              </w:rPr>
              <w:t xml:space="preserve"> </w:t>
            </w:r>
            <w:r w:rsidRPr="0082211D">
              <w:rPr>
                <w:rFonts w:ascii="Arial Narrow" w:hAnsi="Arial Narrow"/>
                <w:snapToGrid/>
                <w:sz w:val="20"/>
                <w:lang w:eastAsia="en-AU"/>
              </w:rPr>
              <w:t>Qty (Packs)</w:t>
            </w:r>
          </w:p>
        </w:tc>
        <w:tc>
          <w:tcPr>
            <w:tcW w:w="1134" w:type="dxa"/>
            <w:tcBorders>
              <w:bottom w:val="single" w:sz="4" w:space="0" w:color="auto"/>
            </w:tcBorders>
          </w:tcPr>
          <w:p w:rsidR="009318A9" w:rsidRPr="0082211D" w:rsidRDefault="009318A9" w:rsidP="006103FA">
            <w:pPr>
              <w:keepNext/>
              <w:widowControl/>
              <w:ind w:left="-108"/>
              <w:jc w:val="left"/>
              <w:rPr>
                <w:rFonts w:ascii="Arial Narrow" w:hAnsi="Arial Narrow"/>
                <w:snapToGrid/>
                <w:sz w:val="20"/>
                <w:lang w:eastAsia="en-AU"/>
              </w:rPr>
            </w:pPr>
            <w:r w:rsidRPr="0082211D">
              <w:rPr>
                <w:rFonts w:ascii="Arial Narrow" w:hAnsi="Arial Narrow"/>
                <w:snapToGrid/>
                <w:sz w:val="20"/>
                <w:lang w:eastAsia="en-AU"/>
              </w:rPr>
              <w:t>Max. Qty (Units)</w:t>
            </w:r>
          </w:p>
        </w:tc>
        <w:tc>
          <w:tcPr>
            <w:tcW w:w="851" w:type="dxa"/>
            <w:tcBorders>
              <w:bottom w:val="single" w:sz="4" w:space="0" w:color="auto"/>
            </w:tcBorders>
          </w:tcPr>
          <w:p w:rsidR="009318A9" w:rsidRPr="0082211D" w:rsidRDefault="009318A9" w:rsidP="006103FA">
            <w:pPr>
              <w:keepNext/>
              <w:widowControl/>
              <w:ind w:left="-108"/>
              <w:jc w:val="left"/>
              <w:rPr>
                <w:rFonts w:ascii="Arial Narrow" w:hAnsi="Arial Narrow"/>
                <w:snapToGrid/>
                <w:sz w:val="20"/>
                <w:lang w:eastAsia="en-AU"/>
              </w:rPr>
            </w:pPr>
            <w:r w:rsidRPr="0082211D">
              <w:rPr>
                <w:rFonts w:ascii="Arial Narrow" w:hAnsi="Arial Narrow"/>
                <w:snapToGrid/>
                <w:sz w:val="20"/>
                <w:lang w:eastAsia="en-AU"/>
              </w:rPr>
              <w:t xml:space="preserve">No. of </w:t>
            </w:r>
          </w:p>
          <w:p w:rsidR="009318A9" w:rsidRPr="0082211D" w:rsidRDefault="009318A9" w:rsidP="006103FA">
            <w:pPr>
              <w:keepNext/>
              <w:widowControl/>
              <w:ind w:left="-108"/>
              <w:jc w:val="left"/>
              <w:rPr>
                <w:rFonts w:ascii="Arial Narrow" w:hAnsi="Arial Narrow"/>
                <w:snapToGrid/>
                <w:sz w:val="20"/>
                <w:lang w:eastAsia="en-AU"/>
              </w:rPr>
            </w:pPr>
            <w:r w:rsidRPr="0082211D">
              <w:rPr>
                <w:rFonts w:ascii="Arial Narrow" w:hAnsi="Arial Narrow"/>
                <w:snapToGrid/>
                <w:sz w:val="20"/>
                <w:lang w:eastAsia="en-AU"/>
              </w:rPr>
              <w:t>Rpts</w:t>
            </w:r>
          </w:p>
        </w:tc>
        <w:tc>
          <w:tcPr>
            <w:tcW w:w="2409" w:type="dxa"/>
            <w:gridSpan w:val="2"/>
            <w:tcBorders>
              <w:bottom w:val="single" w:sz="4" w:space="0" w:color="auto"/>
            </w:tcBorders>
          </w:tcPr>
          <w:p w:rsidR="009318A9" w:rsidRPr="0082211D" w:rsidRDefault="009318A9" w:rsidP="006103FA">
            <w:pPr>
              <w:keepNext/>
              <w:widowControl/>
              <w:jc w:val="left"/>
              <w:rPr>
                <w:rFonts w:ascii="Arial Narrow" w:hAnsi="Arial Narrow"/>
                <w:snapToGrid/>
                <w:sz w:val="20"/>
                <w:lang w:val="fr-FR" w:eastAsia="en-AU"/>
              </w:rPr>
            </w:pPr>
            <w:r w:rsidRPr="0082211D">
              <w:rPr>
                <w:rFonts w:ascii="Arial Narrow" w:hAnsi="Arial Narrow"/>
                <w:snapToGrid/>
                <w:sz w:val="20"/>
                <w:lang w:eastAsia="en-AU"/>
              </w:rPr>
              <w:t>Proprietary Name and Manufacturer</w:t>
            </w:r>
          </w:p>
        </w:tc>
      </w:tr>
      <w:tr w:rsidR="009318A9" w:rsidRPr="0082211D" w:rsidTr="006103FA">
        <w:trPr>
          <w:cantSplit/>
          <w:trHeight w:val="812"/>
        </w:trPr>
        <w:tc>
          <w:tcPr>
            <w:tcW w:w="2948" w:type="dxa"/>
          </w:tcPr>
          <w:p w:rsidR="009318A9" w:rsidRPr="0082211D" w:rsidRDefault="009318A9" w:rsidP="006103FA">
            <w:pPr>
              <w:keepNext/>
              <w:widowControl/>
              <w:ind w:left="-108"/>
              <w:rPr>
                <w:rFonts w:ascii="Arial Narrow" w:hAnsi="Arial Narrow"/>
                <w:snapToGrid/>
                <w:sz w:val="20"/>
                <w:lang w:eastAsia="en-AU"/>
              </w:rPr>
            </w:pPr>
            <w:r w:rsidRPr="0082211D">
              <w:rPr>
                <w:rFonts w:ascii="Arial Narrow" w:hAnsi="Arial Narrow"/>
                <w:snapToGrid/>
                <w:sz w:val="20"/>
                <w:lang w:eastAsia="en-AU"/>
              </w:rPr>
              <w:t>ANAKINRA</w:t>
            </w:r>
          </w:p>
          <w:p w:rsidR="009318A9" w:rsidRPr="0082211D" w:rsidRDefault="009318A9" w:rsidP="006103FA">
            <w:pPr>
              <w:keepNext/>
              <w:widowControl/>
              <w:ind w:left="-108" w:right="175"/>
              <w:jc w:val="left"/>
              <w:rPr>
                <w:rFonts w:ascii="Arial Narrow" w:hAnsi="Arial Narrow"/>
                <w:snapToGrid/>
                <w:sz w:val="20"/>
                <w:lang w:eastAsia="en-AU"/>
              </w:rPr>
            </w:pPr>
            <w:r w:rsidRPr="0082211D">
              <w:rPr>
                <w:rFonts w:ascii="Arial Narrow" w:hAnsi="Arial Narrow"/>
                <w:snapToGrid/>
                <w:sz w:val="20"/>
                <w:lang w:eastAsia="en-AU"/>
              </w:rPr>
              <w:t>anakinra 100 mg/0.67 mL, injection, 28 x 0.67 mL syringes</w:t>
            </w:r>
          </w:p>
        </w:tc>
        <w:tc>
          <w:tcPr>
            <w:tcW w:w="1021" w:type="dxa"/>
          </w:tcPr>
          <w:p w:rsidR="009318A9" w:rsidRPr="0082211D" w:rsidRDefault="009318A9" w:rsidP="006103FA">
            <w:pPr>
              <w:keepNext/>
              <w:widowControl/>
              <w:ind w:left="-108"/>
              <w:jc w:val="left"/>
              <w:rPr>
                <w:rFonts w:ascii="Arial Narrow" w:hAnsi="Arial Narrow"/>
                <w:snapToGrid/>
                <w:sz w:val="20"/>
                <w:lang w:eastAsia="en-AU"/>
              </w:rPr>
            </w:pPr>
          </w:p>
          <w:p w:rsidR="009318A9" w:rsidRPr="0082211D" w:rsidRDefault="009318A9" w:rsidP="006103FA">
            <w:pPr>
              <w:keepNext/>
              <w:widowControl/>
              <w:ind w:left="-108"/>
              <w:jc w:val="left"/>
              <w:rPr>
                <w:rFonts w:ascii="Arial Narrow" w:hAnsi="Arial Narrow"/>
                <w:snapToGrid/>
                <w:sz w:val="20"/>
                <w:lang w:eastAsia="en-AU"/>
              </w:rPr>
            </w:pPr>
            <w:r w:rsidRPr="0082211D">
              <w:rPr>
                <w:rFonts w:ascii="Arial Narrow" w:hAnsi="Arial Narrow"/>
                <w:snapToGrid/>
                <w:sz w:val="20"/>
                <w:lang w:eastAsia="en-AU"/>
              </w:rPr>
              <w:t>1</w:t>
            </w:r>
          </w:p>
        </w:tc>
        <w:tc>
          <w:tcPr>
            <w:tcW w:w="1134" w:type="dxa"/>
          </w:tcPr>
          <w:p w:rsidR="009318A9" w:rsidRPr="0082211D" w:rsidRDefault="009318A9" w:rsidP="006103FA">
            <w:pPr>
              <w:keepNext/>
              <w:widowControl/>
              <w:ind w:left="-108"/>
              <w:jc w:val="left"/>
              <w:rPr>
                <w:rFonts w:ascii="Arial Narrow" w:hAnsi="Arial Narrow"/>
                <w:snapToGrid/>
                <w:sz w:val="20"/>
                <w:lang w:eastAsia="en-AU"/>
              </w:rPr>
            </w:pPr>
          </w:p>
          <w:p w:rsidR="009318A9" w:rsidRPr="0082211D" w:rsidRDefault="009318A9" w:rsidP="006103FA">
            <w:pPr>
              <w:keepNext/>
              <w:widowControl/>
              <w:ind w:left="-108"/>
              <w:jc w:val="left"/>
              <w:rPr>
                <w:rFonts w:ascii="Arial Narrow" w:hAnsi="Arial Narrow"/>
                <w:snapToGrid/>
                <w:sz w:val="20"/>
                <w:lang w:eastAsia="en-AU"/>
              </w:rPr>
            </w:pPr>
            <w:r>
              <w:rPr>
                <w:rFonts w:ascii="Arial Narrow" w:hAnsi="Arial Narrow"/>
                <w:snapToGrid/>
                <w:sz w:val="20"/>
                <w:lang w:eastAsia="en-AU"/>
              </w:rPr>
              <w:t>28</w:t>
            </w:r>
          </w:p>
        </w:tc>
        <w:tc>
          <w:tcPr>
            <w:tcW w:w="851" w:type="dxa"/>
          </w:tcPr>
          <w:p w:rsidR="009318A9" w:rsidRPr="0082211D" w:rsidRDefault="009318A9" w:rsidP="006103FA">
            <w:pPr>
              <w:keepNext/>
              <w:widowControl/>
              <w:ind w:left="-108"/>
              <w:rPr>
                <w:rFonts w:ascii="Arial Narrow" w:hAnsi="Arial Narrow"/>
                <w:snapToGrid/>
                <w:sz w:val="20"/>
                <w:lang w:eastAsia="en-AU"/>
              </w:rPr>
            </w:pPr>
          </w:p>
          <w:p w:rsidR="009318A9" w:rsidRPr="0082211D" w:rsidRDefault="009318A9" w:rsidP="006103FA">
            <w:pPr>
              <w:keepNext/>
              <w:widowControl/>
              <w:ind w:left="-108"/>
              <w:rPr>
                <w:rFonts w:ascii="Arial Narrow" w:hAnsi="Arial Narrow"/>
                <w:snapToGrid/>
                <w:sz w:val="20"/>
                <w:lang w:eastAsia="en-AU"/>
              </w:rPr>
            </w:pPr>
            <w:r w:rsidRPr="0082211D">
              <w:rPr>
                <w:rFonts w:ascii="Arial Narrow" w:hAnsi="Arial Narrow"/>
                <w:snapToGrid/>
                <w:sz w:val="20"/>
                <w:lang w:eastAsia="en-AU"/>
              </w:rPr>
              <w:t>5</w:t>
            </w:r>
          </w:p>
        </w:tc>
        <w:tc>
          <w:tcPr>
            <w:tcW w:w="1081" w:type="dxa"/>
          </w:tcPr>
          <w:p w:rsidR="009318A9" w:rsidRPr="0082211D" w:rsidRDefault="009318A9" w:rsidP="006103FA">
            <w:pPr>
              <w:keepNext/>
              <w:widowControl/>
              <w:rPr>
                <w:rFonts w:ascii="Arial Narrow" w:hAnsi="Arial Narrow"/>
                <w:snapToGrid/>
                <w:sz w:val="20"/>
                <w:lang w:eastAsia="en-AU"/>
              </w:rPr>
            </w:pPr>
          </w:p>
          <w:p w:rsidR="009318A9" w:rsidRPr="0082211D" w:rsidRDefault="009318A9" w:rsidP="006103FA">
            <w:pPr>
              <w:keepNext/>
              <w:widowControl/>
              <w:rPr>
                <w:rFonts w:ascii="Arial Narrow" w:hAnsi="Arial Narrow"/>
                <w:snapToGrid/>
                <w:sz w:val="20"/>
                <w:lang w:eastAsia="en-AU"/>
              </w:rPr>
            </w:pPr>
            <w:proofErr w:type="spellStart"/>
            <w:r w:rsidRPr="0082211D">
              <w:rPr>
                <w:rFonts w:ascii="Arial Narrow" w:hAnsi="Arial Narrow"/>
                <w:snapToGrid/>
                <w:sz w:val="20"/>
                <w:lang w:eastAsia="en-AU"/>
              </w:rPr>
              <w:t>Kineret</w:t>
            </w:r>
            <w:proofErr w:type="spellEnd"/>
          </w:p>
        </w:tc>
        <w:tc>
          <w:tcPr>
            <w:tcW w:w="1328" w:type="dxa"/>
          </w:tcPr>
          <w:p w:rsidR="009318A9" w:rsidRPr="0082211D" w:rsidRDefault="009318A9" w:rsidP="006103FA">
            <w:pPr>
              <w:keepNext/>
              <w:widowControl/>
              <w:rPr>
                <w:rFonts w:ascii="Arial Narrow" w:hAnsi="Arial Narrow"/>
                <w:snapToGrid/>
                <w:sz w:val="20"/>
                <w:lang w:eastAsia="en-AU"/>
              </w:rPr>
            </w:pPr>
          </w:p>
          <w:p w:rsidR="009318A9" w:rsidRPr="0082211D" w:rsidRDefault="009318A9" w:rsidP="006103FA">
            <w:pPr>
              <w:keepNext/>
              <w:widowControl/>
              <w:rPr>
                <w:rFonts w:ascii="Arial Narrow" w:hAnsi="Arial Narrow"/>
                <w:snapToGrid/>
                <w:sz w:val="20"/>
                <w:lang w:eastAsia="en-AU"/>
              </w:rPr>
            </w:pPr>
            <w:proofErr w:type="spellStart"/>
            <w:r w:rsidRPr="0082211D">
              <w:rPr>
                <w:rFonts w:ascii="Arial Narrow" w:hAnsi="Arial Narrow"/>
                <w:snapToGrid/>
                <w:sz w:val="20"/>
                <w:lang w:eastAsia="en-AU"/>
              </w:rPr>
              <w:t>A.Menarini</w:t>
            </w:r>
            <w:proofErr w:type="spellEnd"/>
          </w:p>
        </w:tc>
      </w:tr>
    </w:tbl>
    <w:p w:rsidR="009318A9" w:rsidRPr="0082211D" w:rsidRDefault="009318A9" w:rsidP="009318A9">
      <w:pPr>
        <w:widowControl/>
        <w:jc w:val="left"/>
        <w:rPr>
          <w:snapToGrid/>
          <w:szCs w:val="22"/>
          <w:lang w:eastAsia="en-AU"/>
        </w:rPr>
      </w:pPr>
    </w:p>
    <w:tbl>
      <w:tblPr>
        <w:tblW w:w="8363" w:type="dxa"/>
        <w:tblInd w:w="817" w:type="dxa"/>
        <w:tblLayout w:type="fixed"/>
        <w:tblLook w:val="04A0" w:firstRow="1" w:lastRow="0" w:firstColumn="1" w:lastColumn="0" w:noHBand="0" w:noVBand="1"/>
      </w:tblPr>
      <w:tblGrid>
        <w:gridCol w:w="1985"/>
        <w:gridCol w:w="6378"/>
      </w:tblGrid>
      <w:tr w:rsidR="009318A9" w:rsidRPr="0082211D" w:rsidTr="006103FA">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9318A9" w:rsidRPr="0082211D" w:rsidRDefault="009318A9" w:rsidP="006103FA">
            <w:pPr>
              <w:widowControl/>
              <w:rPr>
                <w:rFonts w:ascii="Arial Narrow" w:hAnsi="Arial Narrow"/>
                <w:b/>
                <w:snapToGrid/>
                <w:sz w:val="20"/>
                <w:lang w:eastAsia="en-AU"/>
              </w:rPr>
            </w:pPr>
            <w:r w:rsidRPr="0082211D">
              <w:rPr>
                <w:rFonts w:ascii="Arial Narrow" w:hAnsi="Arial Narrow"/>
                <w:b/>
                <w:snapToGrid/>
                <w:sz w:val="20"/>
                <w:lang w:eastAsia="en-AU"/>
              </w:rPr>
              <w:t>Category / Program</w:t>
            </w:r>
          </w:p>
        </w:tc>
        <w:tc>
          <w:tcPr>
            <w:tcW w:w="6378" w:type="dxa"/>
            <w:tcBorders>
              <w:top w:val="single" w:sz="4" w:space="0" w:color="auto"/>
              <w:left w:val="single" w:sz="4" w:space="0" w:color="auto"/>
              <w:bottom w:val="single" w:sz="4" w:space="0" w:color="auto"/>
              <w:right w:val="single" w:sz="4" w:space="0" w:color="auto"/>
            </w:tcBorders>
            <w:hideMark/>
          </w:tcPr>
          <w:p w:rsidR="009318A9" w:rsidRDefault="009318A9" w:rsidP="006103FA">
            <w:pPr>
              <w:widowControl/>
              <w:jc w:val="left"/>
              <w:rPr>
                <w:rFonts w:ascii="Arial Narrow" w:hAnsi="Arial Narrow"/>
                <w:snapToGrid/>
                <w:sz w:val="20"/>
                <w:lang w:eastAsia="en-AU"/>
              </w:rPr>
            </w:pPr>
            <w:r w:rsidRPr="0082211D">
              <w:rPr>
                <w:rFonts w:ascii="Arial Narrow" w:hAnsi="Arial Narrow"/>
                <w:snapToGrid/>
                <w:sz w:val="20"/>
                <w:lang w:eastAsia="en-AU"/>
              </w:rPr>
              <w:t>Section 100 – Highly Specialised Drugs Program</w:t>
            </w:r>
            <w:r>
              <w:rPr>
                <w:rFonts w:ascii="Arial Narrow" w:hAnsi="Arial Narrow"/>
                <w:snapToGrid/>
                <w:sz w:val="20"/>
                <w:lang w:eastAsia="en-AU"/>
              </w:rPr>
              <w:t xml:space="preserve"> (Private Hospital)</w:t>
            </w:r>
          </w:p>
          <w:p w:rsidR="009318A9" w:rsidRPr="0082211D" w:rsidRDefault="009318A9" w:rsidP="006103FA">
            <w:pPr>
              <w:widowControl/>
              <w:jc w:val="left"/>
              <w:rPr>
                <w:rFonts w:ascii="Arial Narrow" w:hAnsi="Arial Narrow"/>
                <w:snapToGrid/>
                <w:sz w:val="20"/>
                <w:lang w:eastAsia="en-AU"/>
              </w:rPr>
            </w:pPr>
            <w:r>
              <w:rPr>
                <w:rFonts w:ascii="Arial Narrow" w:hAnsi="Arial Narrow"/>
                <w:snapToGrid/>
                <w:sz w:val="20"/>
                <w:lang w:eastAsia="en-AU"/>
              </w:rPr>
              <w:t>Section 100 – Highly Specialised Drugs Program (Public Hospital)</w:t>
            </w:r>
          </w:p>
          <w:p w:rsidR="009318A9" w:rsidRPr="0082211D" w:rsidRDefault="009318A9" w:rsidP="006103FA">
            <w:pPr>
              <w:widowControl/>
              <w:jc w:val="left"/>
              <w:rPr>
                <w:rFonts w:ascii="Arial Narrow" w:hAnsi="Arial Narrow"/>
                <w:snapToGrid/>
                <w:sz w:val="20"/>
                <w:lang w:eastAsia="en-AU"/>
              </w:rPr>
            </w:pPr>
          </w:p>
        </w:tc>
      </w:tr>
      <w:tr w:rsidR="009318A9" w:rsidRPr="0082211D" w:rsidTr="006103FA">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9318A9" w:rsidRPr="0082211D" w:rsidRDefault="009318A9" w:rsidP="006103FA">
            <w:pPr>
              <w:widowControl/>
              <w:rPr>
                <w:rFonts w:ascii="Arial Narrow" w:hAnsi="Arial Narrow"/>
                <w:b/>
                <w:snapToGrid/>
                <w:sz w:val="20"/>
                <w:lang w:eastAsia="en-AU"/>
              </w:rPr>
            </w:pPr>
            <w:r w:rsidRPr="0082211D">
              <w:rPr>
                <w:rFonts w:ascii="Arial Narrow" w:hAnsi="Arial Narrow"/>
                <w:b/>
                <w:snapToGrid/>
                <w:sz w:val="20"/>
                <w:lang w:eastAsia="en-AU"/>
              </w:rPr>
              <w:t>Prescriber type:</w:t>
            </w:r>
          </w:p>
        </w:tc>
        <w:tc>
          <w:tcPr>
            <w:tcW w:w="6378" w:type="dxa"/>
            <w:tcBorders>
              <w:top w:val="single" w:sz="4" w:space="0" w:color="auto"/>
              <w:left w:val="single" w:sz="4" w:space="0" w:color="auto"/>
              <w:bottom w:val="single" w:sz="4" w:space="0" w:color="auto"/>
              <w:right w:val="single" w:sz="4" w:space="0" w:color="auto"/>
            </w:tcBorders>
            <w:hideMark/>
          </w:tcPr>
          <w:p w:rsidR="009318A9" w:rsidRPr="0082211D" w:rsidRDefault="009318A9" w:rsidP="006103FA">
            <w:pPr>
              <w:widowControl/>
              <w:jc w:val="left"/>
              <w:rPr>
                <w:rFonts w:ascii="Arial Narrow" w:hAnsi="Arial Narrow"/>
                <w:snapToGrid/>
                <w:sz w:val="20"/>
                <w:lang w:eastAsia="en-AU"/>
              </w:rPr>
            </w:pPr>
            <w:r w:rsidRPr="0082211D">
              <w:rPr>
                <w:rFonts w:ascii="Arial Narrow" w:hAnsi="Arial Narrow"/>
                <w:snapToGrid/>
                <w:sz w:val="20"/>
                <w:lang w:eastAsia="en-AU"/>
              </w:rPr>
              <w:fldChar w:fldCharType="begin">
                <w:ffData>
                  <w:name w:val="Check1"/>
                  <w:enabled/>
                  <w:calcOnExit w:val="0"/>
                  <w:checkBox>
                    <w:sizeAuto/>
                    <w:default w:val="0"/>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 xml:space="preserve">Dental  </w:t>
            </w:r>
            <w:r w:rsidRPr="0082211D">
              <w:rPr>
                <w:rFonts w:ascii="Arial Narrow" w:hAnsi="Arial Narrow"/>
                <w:snapToGrid/>
                <w:sz w:val="20"/>
                <w:lang w:eastAsia="en-AU"/>
              </w:rPr>
              <w:fldChar w:fldCharType="begin">
                <w:ffData>
                  <w:name w:val=""/>
                  <w:enabled/>
                  <w:calcOnExit w:val="0"/>
                  <w:checkBox>
                    <w:sizeAuto/>
                    <w:default w:val="1"/>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 xml:space="preserve">Medical Practitioners  </w:t>
            </w:r>
            <w:r w:rsidRPr="0082211D">
              <w:rPr>
                <w:rFonts w:ascii="Arial Narrow" w:hAnsi="Arial Narrow"/>
                <w:snapToGrid/>
                <w:sz w:val="20"/>
                <w:lang w:eastAsia="en-AU"/>
              </w:rPr>
              <w:fldChar w:fldCharType="begin">
                <w:ffData>
                  <w:name w:val="Check3"/>
                  <w:enabled/>
                  <w:calcOnExit w:val="0"/>
                  <w:checkBox>
                    <w:sizeAuto/>
                    <w:default w:val="0"/>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 xml:space="preserve">Nurse practitioners  </w:t>
            </w:r>
            <w:r w:rsidRPr="0082211D">
              <w:rPr>
                <w:rFonts w:ascii="Arial Narrow" w:hAnsi="Arial Narrow"/>
                <w:snapToGrid/>
                <w:sz w:val="20"/>
                <w:lang w:eastAsia="en-AU"/>
              </w:rPr>
              <w:fldChar w:fldCharType="begin">
                <w:ffData>
                  <w:name w:val=""/>
                  <w:enabled/>
                  <w:calcOnExit w:val="0"/>
                  <w:checkBox>
                    <w:sizeAuto/>
                    <w:default w:val="0"/>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Optometrists</w:t>
            </w:r>
          </w:p>
          <w:p w:rsidR="009318A9" w:rsidRPr="0082211D" w:rsidRDefault="009318A9" w:rsidP="006103FA">
            <w:pPr>
              <w:widowControl/>
              <w:jc w:val="left"/>
              <w:rPr>
                <w:rFonts w:ascii="Arial Narrow" w:hAnsi="Arial Narrow"/>
                <w:snapToGrid/>
                <w:sz w:val="20"/>
                <w:lang w:eastAsia="en-AU"/>
              </w:rPr>
            </w:pPr>
            <w:r w:rsidRPr="0082211D">
              <w:rPr>
                <w:rFonts w:ascii="Arial Narrow" w:hAnsi="Arial Narrow"/>
                <w:snapToGrid/>
                <w:sz w:val="20"/>
                <w:lang w:eastAsia="en-AU"/>
              </w:rPr>
              <w:fldChar w:fldCharType="begin">
                <w:ffData>
                  <w:name w:val="Check5"/>
                  <w:enabled/>
                  <w:calcOnExit w:val="0"/>
                  <w:checkBox>
                    <w:sizeAuto/>
                    <w:default w:val="0"/>
                  </w:checkBox>
                </w:ffData>
              </w:fldChar>
            </w:r>
            <w:r w:rsidRPr="0082211D">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2211D">
              <w:rPr>
                <w:rFonts w:ascii="Arial Narrow" w:hAnsi="Arial Narrow"/>
                <w:snapToGrid/>
                <w:sz w:val="20"/>
                <w:lang w:eastAsia="en-AU"/>
              </w:rPr>
              <w:fldChar w:fldCharType="end"/>
            </w:r>
            <w:r w:rsidRPr="0082211D">
              <w:rPr>
                <w:rFonts w:ascii="Arial Narrow" w:hAnsi="Arial Narrow"/>
                <w:snapToGrid/>
                <w:sz w:val="20"/>
                <w:lang w:eastAsia="en-AU"/>
              </w:rPr>
              <w:t>Midwives</w:t>
            </w:r>
          </w:p>
        </w:tc>
      </w:tr>
      <w:tr w:rsidR="009318A9" w:rsidRPr="0082211D" w:rsidTr="006103FA">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9318A9" w:rsidRPr="0082211D" w:rsidRDefault="009318A9" w:rsidP="006103FA">
            <w:pPr>
              <w:widowControl/>
              <w:rPr>
                <w:rFonts w:ascii="Arial Narrow" w:hAnsi="Arial Narrow"/>
                <w:b/>
                <w:snapToGrid/>
                <w:sz w:val="20"/>
                <w:lang w:eastAsia="en-AU"/>
              </w:rPr>
            </w:pPr>
            <w:proofErr w:type="spellStart"/>
            <w:r w:rsidRPr="0082211D">
              <w:rPr>
                <w:rFonts w:ascii="Arial Narrow" w:hAnsi="Arial Narrow"/>
                <w:b/>
                <w:snapToGrid/>
                <w:sz w:val="20"/>
                <w:lang w:eastAsia="en-AU"/>
              </w:rPr>
              <w:t>Episodicity</w:t>
            </w:r>
            <w:proofErr w:type="spellEnd"/>
            <w:r w:rsidRPr="0082211D">
              <w:rPr>
                <w:rFonts w:ascii="Arial Narrow" w:hAnsi="Arial Narrow"/>
                <w:b/>
                <w:snapToGrid/>
                <w:sz w:val="20"/>
                <w:lang w:eastAsia="en-AU"/>
              </w:rPr>
              <w:t>:</w:t>
            </w:r>
          </w:p>
        </w:tc>
        <w:tc>
          <w:tcPr>
            <w:tcW w:w="6378" w:type="dxa"/>
            <w:tcBorders>
              <w:top w:val="single" w:sz="4" w:space="0" w:color="auto"/>
              <w:left w:val="single" w:sz="4" w:space="0" w:color="auto"/>
              <w:bottom w:val="single" w:sz="4" w:space="0" w:color="auto"/>
              <w:right w:val="single" w:sz="4" w:space="0" w:color="auto"/>
            </w:tcBorders>
          </w:tcPr>
          <w:p w:rsidR="009318A9" w:rsidRPr="0082211D" w:rsidRDefault="009318A9" w:rsidP="006103FA">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9318A9" w:rsidRPr="0082211D" w:rsidTr="006103FA">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9318A9" w:rsidRPr="0082211D" w:rsidRDefault="009318A9" w:rsidP="006103FA">
            <w:pPr>
              <w:widowControl/>
              <w:rPr>
                <w:rFonts w:ascii="Arial Narrow" w:hAnsi="Arial Narrow"/>
                <w:b/>
                <w:snapToGrid/>
                <w:sz w:val="20"/>
                <w:lang w:eastAsia="en-AU"/>
              </w:rPr>
            </w:pPr>
            <w:r w:rsidRPr="0082211D">
              <w:rPr>
                <w:rFonts w:ascii="Arial Narrow" w:hAnsi="Arial Narrow"/>
                <w:b/>
                <w:snapToGrid/>
                <w:sz w:val="20"/>
                <w:lang w:eastAsia="en-AU"/>
              </w:rPr>
              <w:t>Severity:</w:t>
            </w:r>
          </w:p>
        </w:tc>
        <w:tc>
          <w:tcPr>
            <w:tcW w:w="6378" w:type="dxa"/>
            <w:tcBorders>
              <w:top w:val="single" w:sz="4" w:space="0" w:color="auto"/>
              <w:left w:val="single" w:sz="4" w:space="0" w:color="auto"/>
              <w:bottom w:val="single" w:sz="4" w:space="0" w:color="auto"/>
              <w:right w:val="single" w:sz="4" w:space="0" w:color="auto"/>
            </w:tcBorders>
          </w:tcPr>
          <w:p w:rsidR="009318A9" w:rsidRPr="0082211D" w:rsidRDefault="009318A9" w:rsidP="006103FA">
            <w:pPr>
              <w:widowControl/>
              <w:jc w:val="left"/>
              <w:rPr>
                <w:rFonts w:ascii="Arial Narrow" w:hAnsi="Arial Narrow"/>
                <w:snapToGrid/>
                <w:sz w:val="20"/>
                <w:lang w:eastAsia="en-AU"/>
              </w:rPr>
            </w:pPr>
            <w:r>
              <w:rPr>
                <w:rFonts w:ascii="Arial Narrow" w:hAnsi="Arial Narrow"/>
                <w:snapToGrid/>
                <w:sz w:val="20"/>
                <w:lang w:eastAsia="en-AU"/>
              </w:rPr>
              <w:t>Moderate to severe</w:t>
            </w:r>
          </w:p>
        </w:tc>
      </w:tr>
      <w:tr w:rsidR="009318A9" w:rsidRPr="0082211D" w:rsidTr="006103FA">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9318A9" w:rsidRPr="0082211D" w:rsidRDefault="009318A9" w:rsidP="006103FA">
            <w:pPr>
              <w:widowControl/>
              <w:rPr>
                <w:rFonts w:ascii="Arial Narrow" w:hAnsi="Arial Narrow"/>
                <w:b/>
                <w:snapToGrid/>
                <w:sz w:val="20"/>
                <w:lang w:eastAsia="en-AU"/>
              </w:rPr>
            </w:pPr>
            <w:r w:rsidRPr="0082211D">
              <w:rPr>
                <w:rFonts w:ascii="Arial Narrow" w:hAnsi="Arial Narrow"/>
                <w:b/>
                <w:snapToGrid/>
                <w:sz w:val="20"/>
                <w:lang w:eastAsia="en-AU"/>
              </w:rPr>
              <w:t>Condition:</w:t>
            </w:r>
          </w:p>
        </w:tc>
        <w:tc>
          <w:tcPr>
            <w:tcW w:w="6378" w:type="dxa"/>
            <w:tcBorders>
              <w:top w:val="single" w:sz="4" w:space="0" w:color="auto"/>
              <w:left w:val="single" w:sz="4" w:space="0" w:color="auto"/>
              <w:bottom w:val="single" w:sz="4" w:space="0" w:color="auto"/>
              <w:right w:val="single" w:sz="4" w:space="0" w:color="auto"/>
            </w:tcBorders>
          </w:tcPr>
          <w:p w:rsidR="009318A9" w:rsidRPr="0082211D" w:rsidRDefault="009318A9" w:rsidP="006103FA">
            <w:pPr>
              <w:widowControl/>
              <w:jc w:val="left"/>
              <w:rPr>
                <w:rFonts w:ascii="Arial Narrow" w:hAnsi="Arial Narrow"/>
                <w:snapToGrid/>
                <w:sz w:val="20"/>
                <w:lang w:eastAsia="en-AU"/>
              </w:rPr>
            </w:pPr>
            <w:proofErr w:type="spellStart"/>
            <w:r w:rsidRPr="0082211D">
              <w:rPr>
                <w:rFonts w:ascii="Arial Narrow" w:hAnsi="Arial Narrow"/>
                <w:snapToGrid/>
                <w:sz w:val="20"/>
                <w:lang w:eastAsia="en-AU"/>
              </w:rPr>
              <w:t>Cryopyrin</w:t>
            </w:r>
            <w:proofErr w:type="spellEnd"/>
            <w:r w:rsidRPr="0082211D">
              <w:rPr>
                <w:rFonts w:ascii="Arial Narrow" w:hAnsi="Arial Narrow"/>
                <w:snapToGrid/>
                <w:sz w:val="20"/>
                <w:lang w:eastAsia="en-AU"/>
              </w:rPr>
              <w:t xml:space="preserve"> associated periodic syndromes</w:t>
            </w:r>
          </w:p>
        </w:tc>
      </w:tr>
      <w:tr w:rsidR="009318A9" w:rsidRPr="0082211D" w:rsidTr="006103FA">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9318A9" w:rsidRPr="0082211D" w:rsidRDefault="009318A9" w:rsidP="006103FA">
            <w:pPr>
              <w:widowControl/>
              <w:rPr>
                <w:rFonts w:ascii="Arial Narrow" w:hAnsi="Arial Narrow"/>
                <w:b/>
                <w:snapToGrid/>
                <w:sz w:val="20"/>
                <w:lang w:eastAsia="en-AU"/>
              </w:rPr>
            </w:pPr>
            <w:r w:rsidRPr="0082211D">
              <w:rPr>
                <w:rFonts w:ascii="Arial Narrow" w:hAnsi="Arial Narrow"/>
                <w:b/>
                <w:snapToGrid/>
                <w:sz w:val="20"/>
                <w:lang w:eastAsia="en-AU"/>
              </w:rPr>
              <w:t>PBS Indication:</w:t>
            </w:r>
          </w:p>
        </w:tc>
        <w:tc>
          <w:tcPr>
            <w:tcW w:w="6378" w:type="dxa"/>
            <w:tcBorders>
              <w:top w:val="single" w:sz="4" w:space="0" w:color="auto"/>
              <w:left w:val="single" w:sz="4" w:space="0" w:color="auto"/>
              <w:bottom w:val="single" w:sz="4" w:space="0" w:color="auto"/>
              <w:right w:val="single" w:sz="4" w:space="0" w:color="auto"/>
            </w:tcBorders>
          </w:tcPr>
          <w:p w:rsidR="009318A9" w:rsidRPr="0082211D" w:rsidRDefault="009318A9" w:rsidP="006103FA">
            <w:pPr>
              <w:widowControl/>
              <w:jc w:val="left"/>
              <w:rPr>
                <w:rFonts w:ascii="Arial Narrow" w:hAnsi="Arial Narrow"/>
                <w:snapToGrid/>
                <w:sz w:val="20"/>
                <w:lang w:eastAsia="en-AU"/>
              </w:rPr>
            </w:pPr>
            <w:r>
              <w:rPr>
                <w:rFonts w:ascii="Arial Narrow" w:hAnsi="Arial Narrow"/>
                <w:snapToGrid/>
                <w:sz w:val="20"/>
                <w:lang w:eastAsia="en-AU"/>
              </w:rPr>
              <w:t xml:space="preserve">Moderate to severe </w:t>
            </w:r>
            <w:proofErr w:type="spellStart"/>
            <w:r>
              <w:rPr>
                <w:rFonts w:ascii="Arial Narrow" w:hAnsi="Arial Narrow"/>
                <w:snapToGrid/>
                <w:sz w:val="20"/>
                <w:lang w:eastAsia="en-AU"/>
              </w:rPr>
              <w:t>c</w:t>
            </w:r>
            <w:r w:rsidRPr="0082211D">
              <w:rPr>
                <w:rFonts w:ascii="Arial Narrow" w:hAnsi="Arial Narrow"/>
                <w:snapToGrid/>
                <w:sz w:val="20"/>
                <w:lang w:eastAsia="en-AU"/>
              </w:rPr>
              <w:t>ryopyrin</w:t>
            </w:r>
            <w:proofErr w:type="spellEnd"/>
            <w:r w:rsidRPr="0082211D">
              <w:rPr>
                <w:rFonts w:ascii="Arial Narrow" w:hAnsi="Arial Narrow"/>
                <w:snapToGrid/>
                <w:sz w:val="20"/>
                <w:lang w:eastAsia="en-AU"/>
              </w:rPr>
              <w:t xml:space="preserve"> associated periodic syndromes</w:t>
            </w:r>
          </w:p>
        </w:tc>
      </w:tr>
      <w:tr w:rsidR="009318A9" w:rsidRPr="0082211D" w:rsidTr="006103FA">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9318A9" w:rsidRPr="0082211D" w:rsidRDefault="009318A9" w:rsidP="006103FA">
            <w:pPr>
              <w:widowControl/>
              <w:rPr>
                <w:rFonts w:ascii="Arial Narrow" w:hAnsi="Arial Narrow"/>
                <w:i/>
                <w:snapToGrid/>
                <w:sz w:val="20"/>
                <w:lang w:eastAsia="en-AU"/>
              </w:rPr>
            </w:pPr>
            <w:r w:rsidRPr="0082211D">
              <w:rPr>
                <w:rFonts w:ascii="Arial Narrow" w:hAnsi="Arial Narrow"/>
                <w:b/>
                <w:snapToGrid/>
                <w:sz w:val="20"/>
                <w:lang w:eastAsia="en-AU"/>
              </w:rPr>
              <w:t>Treatment phase:</w:t>
            </w:r>
          </w:p>
        </w:tc>
        <w:tc>
          <w:tcPr>
            <w:tcW w:w="6378" w:type="dxa"/>
            <w:tcBorders>
              <w:top w:val="single" w:sz="4" w:space="0" w:color="auto"/>
              <w:left w:val="single" w:sz="4" w:space="0" w:color="auto"/>
              <w:bottom w:val="single" w:sz="4" w:space="0" w:color="auto"/>
              <w:right w:val="single" w:sz="4" w:space="0" w:color="auto"/>
            </w:tcBorders>
          </w:tcPr>
          <w:p w:rsidR="009318A9" w:rsidRPr="0082211D" w:rsidRDefault="009318A9" w:rsidP="006103FA">
            <w:pPr>
              <w:widowControl/>
              <w:jc w:val="left"/>
              <w:rPr>
                <w:rFonts w:ascii="Arial Narrow" w:hAnsi="Arial Narrow"/>
                <w:snapToGrid/>
                <w:sz w:val="20"/>
                <w:lang w:eastAsia="en-AU"/>
              </w:rPr>
            </w:pPr>
            <w:r w:rsidRPr="0082211D">
              <w:rPr>
                <w:rFonts w:ascii="Arial Narrow" w:hAnsi="Arial Narrow"/>
                <w:snapToGrid/>
                <w:sz w:val="20"/>
                <w:lang w:eastAsia="en-AU"/>
              </w:rPr>
              <w:t>-</w:t>
            </w:r>
          </w:p>
        </w:tc>
      </w:tr>
      <w:tr w:rsidR="009318A9" w:rsidRPr="0082211D" w:rsidTr="006103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9318A9" w:rsidRDefault="009318A9" w:rsidP="006103FA">
            <w:pPr>
              <w:widowControl/>
              <w:rPr>
                <w:rFonts w:ascii="Arial Narrow" w:hAnsi="Arial Narrow"/>
                <w:b/>
                <w:snapToGrid/>
                <w:sz w:val="20"/>
                <w:lang w:eastAsia="en-AU"/>
              </w:rPr>
            </w:pPr>
            <w:r w:rsidRPr="0082211D">
              <w:rPr>
                <w:rFonts w:ascii="Arial Narrow" w:hAnsi="Arial Narrow"/>
                <w:b/>
                <w:snapToGrid/>
                <w:sz w:val="20"/>
                <w:lang w:eastAsia="en-AU"/>
              </w:rPr>
              <w:t>Restriction Level / Method:</w:t>
            </w:r>
          </w:p>
          <w:p w:rsidR="009318A9" w:rsidRPr="0082211D" w:rsidRDefault="009318A9" w:rsidP="006103FA">
            <w:pPr>
              <w:widowControl/>
              <w:rPr>
                <w:rFonts w:ascii="Arial Narrow" w:hAnsi="Arial Narrow"/>
                <w:b/>
                <w:snapToGrid/>
                <w:sz w:val="20"/>
                <w:lang w:eastAsia="en-AU"/>
              </w:rPr>
            </w:pPr>
          </w:p>
        </w:tc>
        <w:tc>
          <w:tcPr>
            <w:tcW w:w="6378" w:type="dxa"/>
            <w:tcBorders>
              <w:top w:val="single" w:sz="4" w:space="0" w:color="auto"/>
              <w:left w:val="single" w:sz="4" w:space="0" w:color="auto"/>
              <w:bottom w:val="single" w:sz="4" w:space="0" w:color="auto"/>
              <w:right w:val="single" w:sz="4" w:space="0" w:color="auto"/>
            </w:tcBorders>
          </w:tcPr>
          <w:p w:rsidR="009318A9" w:rsidRPr="008136EA" w:rsidRDefault="009318A9" w:rsidP="006103FA">
            <w:pPr>
              <w:widowControl/>
              <w:jc w:val="left"/>
              <w:rPr>
                <w:rFonts w:ascii="Arial Narrow" w:hAnsi="Arial Narrow"/>
                <w:snapToGrid/>
                <w:sz w:val="20"/>
                <w:lang w:eastAsia="en-AU"/>
              </w:rPr>
            </w:pPr>
            <w:r w:rsidRPr="008136EA">
              <w:rPr>
                <w:rFonts w:ascii="Arial Narrow" w:hAnsi="Arial Narrow"/>
                <w:snapToGrid/>
                <w:sz w:val="20"/>
                <w:lang w:eastAsia="en-AU"/>
              </w:rPr>
              <w:fldChar w:fldCharType="begin">
                <w:ffData>
                  <w:name w:val="Check1"/>
                  <w:enabled/>
                  <w:calcOnExit w:val="0"/>
                  <w:checkBox>
                    <w:sizeAuto/>
                    <w:default w:val="0"/>
                  </w:checkBox>
                </w:ffData>
              </w:fldChar>
            </w:r>
            <w:r w:rsidRPr="008136EA">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136EA">
              <w:rPr>
                <w:rFonts w:ascii="Arial Narrow" w:hAnsi="Arial Narrow"/>
                <w:snapToGrid/>
                <w:sz w:val="20"/>
                <w:lang w:eastAsia="en-AU"/>
              </w:rPr>
              <w:fldChar w:fldCharType="end"/>
            </w:r>
            <w:r w:rsidRPr="008136EA">
              <w:rPr>
                <w:rFonts w:ascii="Arial Narrow" w:hAnsi="Arial Narrow"/>
                <w:snapToGrid/>
                <w:sz w:val="20"/>
                <w:lang w:eastAsia="en-AU"/>
              </w:rPr>
              <w:t>Restricted benefit</w:t>
            </w:r>
          </w:p>
          <w:p w:rsidR="009318A9" w:rsidRPr="008136EA" w:rsidRDefault="009318A9" w:rsidP="006103FA">
            <w:pPr>
              <w:widowControl/>
              <w:jc w:val="left"/>
              <w:rPr>
                <w:rFonts w:ascii="Arial Narrow" w:hAnsi="Arial Narrow"/>
                <w:snapToGrid/>
                <w:sz w:val="20"/>
                <w:lang w:eastAsia="en-AU"/>
              </w:rPr>
            </w:pPr>
            <w:r w:rsidRPr="008136EA">
              <w:rPr>
                <w:rFonts w:ascii="Arial Narrow" w:hAnsi="Arial Narrow"/>
                <w:snapToGrid/>
                <w:sz w:val="20"/>
                <w:lang w:eastAsia="en-AU"/>
              </w:rPr>
              <w:fldChar w:fldCharType="begin">
                <w:ffData>
                  <w:name w:val=""/>
                  <w:enabled/>
                  <w:calcOnExit w:val="0"/>
                  <w:checkBox>
                    <w:sizeAuto/>
                    <w:default w:val="0"/>
                  </w:checkBox>
                </w:ffData>
              </w:fldChar>
            </w:r>
            <w:r w:rsidRPr="008136EA">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136EA">
              <w:rPr>
                <w:rFonts w:ascii="Arial Narrow" w:hAnsi="Arial Narrow"/>
                <w:snapToGrid/>
                <w:sz w:val="20"/>
                <w:lang w:eastAsia="en-AU"/>
              </w:rPr>
              <w:fldChar w:fldCharType="end"/>
            </w:r>
            <w:r w:rsidRPr="008136EA">
              <w:rPr>
                <w:rFonts w:ascii="Arial Narrow" w:hAnsi="Arial Narrow"/>
                <w:snapToGrid/>
                <w:sz w:val="20"/>
                <w:lang w:eastAsia="en-AU"/>
              </w:rPr>
              <w:t>Authority Required - In Writing</w:t>
            </w:r>
          </w:p>
          <w:p w:rsidR="009318A9" w:rsidRPr="008136EA" w:rsidRDefault="009318A9" w:rsidP="006103FA">
            <w:pPr>
              <w:widowControl/>
              <w:jc w:val="left"/>
              <w:rPr>
                <w:rFonts w:ascii="Arial Narrow" w:hAnsi="Arial Narrow"/>
                <w:snapToGrid/>
                <w:sz w:val="20"/>
                <w:lang w:eastAsia="en-AU"/>
              </w:rPr>
            </w:pPr>
            <w:r w:rsidRPr="008136EA">
              <w:rPr>
                <w:rFonts w:ascii="Arial Narrow" w:hAnsi="Arial Narrow"/>
                <w:snapToGrid/>
                <w:sz w:val="20"/>
                <w:lang w:eastAsia="en-AU"/>
              </w:rPr>
              <w:fldChar w:fldCharType="begin">
                <w:ffData>
                  <w:name w:val="Check3"/>
                  <w:enabled/>
                  <w:calcOnExit w:val="0"/>
                  <w:checkBox>
                    <w:sizeAuto/>
                    <w:default w:val="0"/>
                  </w:checkBox>
                </w:ffData>
              </w:fldChar>
            </w:r>
            <w:r w:rsidRPr="008136EA">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136EA">
              <w:rPr>
                <w:rFonts w:ascii="Arial Narrow" w:hAnsi="Arial Narrow"/>
                <w:snapToGrid/>
                <w:sz w:val="20"/>
                <w:lang w:eastAsia="en-AU"/>
              </w:rPr>
              <w:fldChar w:fldCharType="end"/>
            </w:r>
            <w:r w:rsidRPr="008136EA">
              <w:rPr>
                <w:rFonts w:ascii="Arial Narrow" w:hAnsi="Arial Narrow"/>
                <w:snapToGrid/>
                <w:sz w:val="20"/>
                <w:lang w:eastAsia="en-AU"/>
              </w:rPr>
              <w:t>Authority Required - Telephone</w:t>
            </w:r>
          </w:p>
          <w:p w:rsidR="009318A9" w:rsidRPr="008136EA" w:rsidRDefault="009318A9" w:rsidP="006103FA">
            <w:pPr>
              <w:widowControl/>
              <w:jc w:val="left"/>
              <w:rPr>
                <w:rFonts w:ascii="Arial Narrow" w:hAnsi="Arial Narrow"/>
                <w:snapToGrid/>
                <w:sz w:val="20"/>
                <w:lang w:eastAsia="en-AU"/>
              </w:rPr>
            </w:pPr>
            <w:r w:rsidRPr="008136EA">
              <w:rPr>
                <w:rFonts w:ascii="Arial Narrow" w:hAnsi="Arial Narrow"/>
                <w:snapToGrid/>
                <w:sz w:val="20"/>
                <w:lang w:eastAsia="en-AU"/>
              </w:rPr>
              <w:fldChar w:fldCharType="begin">
                <w:ffData>
                  <w:name w:val=""/>
                  <w:enabled/>
                  <w:calcOnExit w:val="0"/>
                  <w:checkBox>
                    <w:sizeAuto/>
                    <w:default w:val="0"/>
                  </w:checkBox>
                </w:ffData>
              </w:fldChar>
            </w:r>
            <w:r w:rsidRPr="008136EA">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136EA">
              <w:rPr>
                <w:rFonts w:ascii="Arial Narrow" w:hAnsi="Arial Narrow"/>
                <w:snapToGrid/>
                <w:sz w:val="20"/>
                <w:lang w:eastAsia="en-AU"/>
              </w:rPr>
              <w:fldChar w:fldCharType="end"/>
            </w:r>
            <w:r w:rsidRPr="008136EA">
              <w:rPr>
                <w:rFonts w:ascii="Arial Narrow" w:hAnsi="Arial Narrow"/>
                <w:snapToGrid/>
                <w:sz w:val="20"/>
                <w:lang w:eastAsia="en-AU"/>
              </w:rPr>
              <w:t>Authority Required – Emergency</w:t>
            </w:r>
          </w:p>
          <w:p w:rsidR="009318A9" w:rsidRPr="008136EA" w:rsidRDefault="009318A9" w:rsidP="006103FA">
            <w:pPr>
              <w:widowControl/>
              <w:jc w:val="left"/>
              <w:rPr>
                <w:rFonts w:ascii="Arial Narrow" w:hAnsi="Arial Narrow"/>
                <w:snapToGrid/>
                <w:sz w:val="20"/>
                <w:lang w:eastAsia="en-AU"/>
              </w:rPr>
            </w:pPr>
            <w:r w:rsidRPr="008136EA">
              <w:rPr>
                <w:rFonts w:ascii="Arial Narrow" w:hAnsi="Arial Narrow"/>
                <w:snapToGrid/>
                <w:sz w:val="20"/>
                <w:lang w:eastAsia="en-AU"/>
              </w:rPr>
              <w:fldChar w:fldCharType="begin">
                <w:ffData>
                  <w:name w:val="Check5"/>
                  <w:enabled/>
                  <w:calcOnExit w:val="0"/>
                  <w:checkBox>
                    <w:sizeAuto/>
                    <w:default w:val="0"/>
                  </w:checkBox>
                </w:ffData>
              </w:fldChar>
            </w:r>
            <w:r w:rsidRPr="008136EA">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sidRPr="008136EA">
              <w:rPr>
                <w:rFonts w:ascii="Arial Narrow" w:hAnsi="Arial Narrow"/>
                <w:snapToGrid/>
                <w:sz w:val="20"/>
                <w:lang w:eastAsia="en-AU"/>
              </w:rPr>
              <w:fldChar w:fldCharType="end"/>
            </w:r>
            <w:r w:rsidRPr="008136EA">
              <w:rPr>
                <w:rFonts w:ascii="Arial Narrow" w:hAnsi="Arial Narrow"/>
                <w:snapToGrid/>
                <w:sz w:val="20"/>
                <w:lang w:eastAsia="en-AU"/>
              </w:rPr>
              <w:t>Authority Required - Electronic</w:t>
            </w:r>
          </w:p>
          <w:p w:rsidR="009318A9" w:rsidRDefault="009318A9" w:rsidP="006103FA">
            <w:pPr>
              <w:widowControl/>
              <w:jc w:val="left"/>
              <w:rPr>
                <w:rFonts w:ascii="Arial Narrow" w:hAnsi="Arial Narrow"/>
                <w:snapToGrid/>
                <w:sz w:val="20"/>
                <w:lang w:eastAsia="en-AU"/>
              </w:rPr>
            </w:pPr>
            <w:r>
              <w:rPr>
                <w:rFonts w:ascii="Arial Narrow" w:hAnsi="Arial Narrow"/>
                <w:snapToGrid/>
                <w:sz w:val="20"/>
                <w:lang w:eastAsia="en-AU"/>
              </w:rPr>
              <w:fldChar w:fldCharType="begin">
                <w:ffData>
                  <w:name w:val="Check5"/>
                  <w:enabled/>
                  <w:calcOnExit w:val="0"/>
                  <w:checkBox>
                    <w:sizeAuto/>
                    <w:default w:val="1"/>
                  </w:checkBox>
                </w:ffData>
              </w:fldChar>
            </w:r>
            <w:bookmarkStart w:id="17" w:name="Check5"/>
            <w:r>
              <w:rPr>
                <w:rFonts w:ascii="Arial Narrow" w:hAnsi="Arial Narrow"/>
                <w:snapToGrid/>
                <w:sz w:val="20"/>
                <w:lang w:eastAsia="en-AU"/>
              </w:rPr>
              <w:instrText xml:space="preserve"> FORMCHECKBOX </w:instrText>
            </w:r>
            <w:r w:rsidR="00056896">
              <w:rPr>
                <w:rFonts w:ascii="Arial Narrow" w:hAnsi="Arial Narrow"/>
                <w:snapToGrid/>
                <w:sz w:val="20"/>
                <w:lang w:eastAsia="en-AU"/>
              </w:rPr>
            </w:r>
            <w:r w:rsidR="00056896">
              <w:rPr>
                <w:rFonts w:ascii="Arial Narrow" w:hAnsi="Arial Narrow"/>
                <w:snapToGrid/>
                <w:sz w:val="20"/>
                <w:lang w:eastAsia="en-AU"/>
              </w:rPr>
              <w:fldChar w:fldCharType="separate"/>
            </w:r>
            <w:r>
              <w:rPr>
                <w:rFonts w:ascii="Arial Narrow" w:hAnsi="Arial Narrow"/>
                <w:snapToGrid/>
                <w:sz w:val="20"/>
                <w:lang w:eastAsia="en-AU"/>
              </w:rPr>
              <w:fldChar w:fldCharType="end"/>
            </w:r>
            <w:bookmarkEnd w:id="17"/>
            <w:r w:rsidRPr="008136EA">
              <w:rPr>
                <w:rFonts w:ascii="Arial Narrow" w:hAnsi="Arial Narrow"/>
                <w:snapToGrid/>
                <w:sz w:val="20"/>
                <w:lang w:eastAsia="en-AU"/>
              </w:rPr>
              <w:t>Streamlined</w:t>
            </w:r>
          </w:p>
          <w:p w:rsidR="009318A9" w:rsidRPr="00407F93" w:rsidRDefault="009318A9" w:rsidP="006103FA">
            <w:pPr>
              <w:widowControl/>
              <w:jc w:val="left"/>
              <w:rPr>
                <w:rFonts w:ascii="Arial Narrow" w:hAnsi="Arial Narrow"/>
                <w:snapToGrid/>
                <w:sz w:val="20"/>
                <w:lang w:eastAsia="en-AU"/>
              </w:rPr>
            </w:pPr>
          </w:p>
        </w:tc>
      </w:tr>
      <w:tr w:rsidR="009318A9" w:rsidRPr="0082211D" w:rsidTr="006103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9318A9" w:rsidRPr="0082211D" w:rsidRDefault="009318A9" w:rsidP="006103FA">
            <w:pPr>
              <w:widowControl/>
              <w:jc w:val="left"/>
              <w:rPr>
                <w:rFonts w:ascii="Arial Narrow" w:hAnsi="Arial Narrow"/>
                <w:b/>
                <w:snapToGrid/>
                <w:sz w:val="20"/>
                <w:lang w:eastAsia="en-AU"/>
              </w:rPr>
            </w:pPr>
            <w:r w:rsidRPr="0082211D">
              <w:rPr>
                <w:rFonts w:ascii="Arial Narrow" w:hAnsi="Arial Narrow"/>
                <w:b/>
                <w:snapToGrid/>
                <w:sz w:val="20"/>
                <w:lang w:eastAsia="en-AU"/>
              </w:rPr>
              <w:lastRenderedPageBreak/>
              <w:t>Treatment criteria:</w:t>
            </w:r>
          </w:p>
        </w:tc>
        <w:tc>
          <w:tcPr>
            <w:tcW w:w="6378" w:type="dxa"/>
            <w:tcBorders>
              <w:top w:val="single" w:sz="4" w:space="0" w:color="auto"/>
              <w:left w:val="single" w:sz="4" w:space="0" w:color="auto"/>
              <w:bottom w:val="single" w:sz="4" w:space="0" w:color="auto"/>
              <w:right w:val="single" w:sz="4" w:space="0" w:color="auto"/>
            </w:tcBorders>
          </w:tcPr>
          <w:p w:rsidR="009318A9" w:rsidRPr="00DF4F5F" w:rsidRDefault="009318A9" w:rsidP="006103FA">
            <w:pPr>
              <w:widowControl/>
              <w:jc w:val="left"/>
              <w:rPr>
                <w:rFonts w:ascii="Arial Narrow" w:hAnsi="Arial Narrow"/>
                <w:snapToGrid/>
                <w:sz w:val="20"/>
                <w:lang w:eastAsia="en-AU"/>
              </w:rPr>
            </w:pPr>
            <w:r w:rsidRPr="00DF4F5F">
              <w:rPr>
                <w:rFonts w:ascii="Arial Narrow" w:hAnsi="Arial Narrow"/>
                <w:sz w:val="20"/>
              </w:rPr>
              <w:t>Must be treated by a rheumatologist or in consultation with a rheumatologist.</w:t>
            </w:r>
            <w:r w:rsidRPr="00DF4F5F">
              <w:rPr>
                <w:rFonts w:ascii="Arial Narrow" w:hAnsi="Arial Narrow"/>
                <w:snapToGrid/>
                <w:sz w:val="20"/>
                <w:lang w:eastAsia="en-AU"/>
              </w:rPr>
              <w:t xml:space="preserve"> </w:t>
            </w:r>
          </w:p>
        </w:tc>
      </w:tr>
    </w:tbl>
    <w:p w:rsidR="00A8021F" w:rsidRDefault="00A8021F" w:rsidP="00A8021F">
      <w:pPr>
        <w:pStyle w:val="PBACHeading1"/>
        <w:numPr>
          <w:ilvl w:val="0"/>
          <w:numId w:val="0"/>
        </w:numPr>
        <w:snapToGrid w:val="0"/>
        <w:ind w:left="720"/>
      </w:pPr>
    </w:p>
    <w:p w:rsidR="00A8021F" w:rsidRDefault="00A8021F" w:rsidP="00A8021F">
      <w:pPr>
        <w:pStyle w:val="PBACHeading1"/>
        <w:numPr>
          <w:ilvl w:val="0"/>
          <w:numId w:val="0"/>
        </w:numPr>
        <w:snapToGrid w:val="0"/>
        <w:ind w:left="720"/>
      </w:pPr>
    </w:p>
    <w:p w:rsidR="000D458D" w:rsidRPr="009318A9" w:rsidRDefault="000D458D" w:rsidP="009318A9">
      <w:pPr>
        <w:pStyle w:val="PBACHeading1"/>
        <w:numPr>
          <w:ilvl w:val="0"/>
          <w:numId w:val="16"/>
        </w:numPr>
        <w:snapToGrid w:val="0"/>
      </w:pPr>
      <w:r w:rsidRPr="009318A9">
        <w:t>Context for Decision</w:t>
      </w:r>
    </w:p>
    <w:p w:rsidR="000D458D" w:rsidRPr="00D4420F" w:rsidRDefault="000D458D" w:rsidP="000D458D">
      <w:pPr>
        <w:pStyle w:val="ListParagraph"/>
        <w:rPr>
          <w:b/>
        </w:rPr>
      </w:pPr>
    </w:p>
    <w:p w:rsidR="000D458D" w:rsidRPr="00D4420F" w:rsidRDefault="000D458D" w:rsidP="000D458D">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D458D" w:rsidRDefault="000D458D" w:rsidP="000D458D"/>
    <w:p w:rsidR="000D5A6C" w:rsidRPr="00D4420F" w:rsidRDefault="000D5A6C" w:rsidP="000D458D"/>
    <w:p w:rsidR="000D458D" w:rsidRPr="009318A9" w:rsidRDefault="000D458D" w:rsidP="009318A9">
      <w:pPr>
        <w:pStyle w:val="PBACHeading1"/>
        <w:numPr>
          <w:ilvl w:val="0"/>
          <w:numId w:val="16"/>
        </w:numPr>
        <w:snapToGrid w:val="0"/>
      </w:pPr>
      <w:r w:rsidRPr="009318A9">
        <w:t>Sponsor’s Comment</w:t>
      </w:r>
    </w:p>
    <w:p w:rsidR="000415CA" w:rsidRPr="00882085" w:rsidRDefault="000415CA" w:rsidP="000415CA">
      <w:pPr>
        <w:rPr>
          <w:szCs w:val="22"/>
        </w:rPr>
      </w:pPr>
    </w:p>
    <w:p w:rsidR="009318A9" w:rsidRPr="00FD03B4" w:rsidRDefault="00FD03B4" w:rsidP="00FD03B4">
      <w:pPr>
        <w:ind w:left="720"/>
      </w:pPr>
      <w:proofErr w:type="spellStart"/>
      <w:r w:rsidRPr="00FD03B4">
        <w:t>Menarini</w:t>
      </w:r>
      <w:proofErr w:type="spellEnd"/>
      <w:r w:rsidRPr="00FD03B4">
        <w:t xml:space="preserve"> welcomes the PBAC recommendation to reimburse anakinra for the treatment of </w:t>
      </w:r>
      <w:proofErr w:type="spellStart"/>
      <w:r w:rsidRPr="00FD03B4">
        <w:t>Cryopyrin</w:t>
      </w:r>
      <w:proofErr w:type="spellEnd"/>
      <w:r w:rsidRPr="00FD03B4">
        <w:t xml:space="preserve"> Associated Periodic Syndromes (CAPS).</w:t>
      </w:r>
    </w:p>
    <w:sectPr w:rsidR="009318A9" w:rsidRPr="00FD03B4" w:rsidSect="00EB2B34">
      <w:headerReference w:type="default" r:id="rId11"/>
      <w:footerReference w:type="default" r:id="rId12"/>
      <w:footnotePr>
        <w:numFmt w:val="lowerLetter"/>
      </w:footnotePr>
      <w:pgSz w:w="11907" w:h="16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34" w:rsidRDefault="00996334" w:rsidP="00124A51">
      <w:r>
        <w:separator/>
      </w:r>
    </w:p>
  </w:endnote>
  <w:endnote w:type="continuationSeparator" w:id="0">
    <w:p w:rsidR="00996334" w:rsidRDefault="00996334"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F6" w:rsidRPr="00D13A3E" w:rsidRDefault="00750FF6" w:rsidP="00A82017">
    <w:pPr>
      <w:ind w:right="360"/>
      <w:jc w:val="center"/>
      <w:rPr>
        <w:b/>
        <w:sz w:val="20"/>
      </w:rPr>
    </w:pPr>
  </w:p>
  <w:sdt>
    <w:sdtPr>
      <w:id w:val="-1993016915"/>
      <w:docPartObj>
        <w:docPartGallery w:val="Page Numbers (Bottom of Page)"/>
        <w:docPartUnique/>
      </w:docPartObj>
    </w:sdtPr>
    <w:sdtEndPr>
      <w:rPr>
        <w:noProof/>
        <w:sz w:val="20"/>
      </w:rPr>
    </w:sdtEndPr>
    <w:sdtContent>
      <w:p w:rsidR="00750FF6" w:rsidRDefault="00750FF6" w:rsidP="00A82017">
        <w:pPr>
          <w:pStyle w:val="Footer"/>
          <w:jc w:val="center"/>
          <w:rPr>
            <w:noProof/>
            <w:sz w:val="20"/>
          </w:rPr>
        </w:pPr>
        <w:r w:rsidRPr="00651169">
          <w:rPr>
            <w:sz w:val="20"/>
          </w:rPr>
          <w:fldChar w:fldCharType="begin"/>
        </w:r>
        <w:r w:rsidRPr="00651169">
          <w:rPr>
            <w:sz w:val="20"/>
          </w:rPr>
          <w:instrText xml:space="preserve"> PAGE   \* MERGEFORMAT </w:instrText>
        </w:r>
        <w:r w:rsidRPr="00651169">
          <w:rPr>
            <w:sz w:val="20"/>
          </w:rPr>
          <w:fldChar w:fldCharType="separate"/>
        </w:r>
        <w:r w:rsidR="00056896">
          <w:rPr>
            <w:noProof/>
            <w:sz w:val="20"/>
          </w:rPr>
          <w:t>16</w:t>
        </w:r>
        <w:r w:rsidRPr="00651169">
          <w:rPr>
            <w:noProof/>
            <w:sz w:val="20"/>
          </w:rPr>
          <w:fldChar w:fldCharType="end"/>
        </w:r>
      </w:p>
    </w:sdtContent>
  </w:sdt>
  <w:p w:rsidR="00750FF6" w:rsidRPr="000415CA" w:rsidRDefault="00750FF6" w:rsidP="00A820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34" w:rsidRDefault="00996334" w:rsidP="00124A51">
      <w:r>
        <w:separator/>
      </w:r>
    </w:p>
  </w:footnote>
  <w:footnote w:type="continuationSeparator" w:id="0">
    <w:p w:rsidR="00996334" w:rsidRDefault="00996334"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F6" w:rsidRPr="00DF217D" w:rsidRDefault="00750FF6" w:rsidP="00A82017">
    <w:pPr>
      <w:pStyle w:val="Header"/>
      <w:jc w:val="center"/>
      <w:rPr>
        <w:i/>
        <w:color w:val="808080"/>
      </w:rPr>
    </w:pPr>
    <w:r>
      <w:rPr>
        <w:i/>
        <w:color w:val="808080"/>
      </w:rPr>
      <w:t>Public Summary Document – November 2014 PBAC Meeting</w:t>
    </w:r>
  </w:p>
  <w:p w:rsidR="00750FF6" w:rsidRDefault="00750F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572"/>
    <w:multiLevelType w:val="hybridMultilevel"/>
    <w:tmpl w:val="B3649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E074F5"/>
    <w:multiLevelType w:val="hybridMultilevel"/>
    <w:tmpl w:val="613235D4"/>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2">
    <w:nsid w:val="07711A8F"/>
    <w:multiLevelType w:val="hybridMultilevel"/>
    <w:tmpl w:val="4E7AF16A"/>
    <w:lvl w:ilvl="0" w:tplc="3358259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3C40395"/>
    <w:multiLevelType w:val="hybridMultilevel"/>
    <w:tmpl w:val="2F8A32A8"/>
    <w:lvl w:ilvl="0" w:tplc="C638E14C">
      <w:start w:val="1"/>
      <w:numFmt w:val="bullet"/>
      <w:lvlText w:val="•"/>
      <w:lvlJc w:val="left"/>
      <w:pPr>
        <w:tabs>
          <w:tab w:val="num" w:pos="720"/>
        </w:tabs>
        <w:ind w:left="720" w:hanging="360"/>
      </w:pPr>
      <w:rPr>
        <w:rFonts w:ascii="Arial" w:hAnsi="Arial" w:hint="default"/>
      </w:rPr>
    </w:lvl>
    <w:lvl w:ilvl="1" w:tplc="AE42BB60" w:tentative="1">
      <w:start w:val="1"/>
      <w:numFmt w:val="bullet"/>
      <w:lvlText w:val="•"/>
      <w:lvlJc w:val="left"/>
      <w:pPr>
        <w:tabs>
          <w:tab w:val="num" w:pos="1440"/>
        </w:tabs>
        <w:ind w:left="1440" w:hanging="360"/>
      </w:pPr>
      <w:rPr>
        <w:rFonts w:ascii="Arial" w:hAnsi="Arial" w:hint="default"/>
      </w:rPr>
    </w:lvl>
    <w:lvl w:ilvl="2" w:tplc="C6F8B7C2" w:tentative="1">
      <w:start w:val="1"/>
      <w:numFmt w:val="bullet"/>
      <w:lvlText w:val="•"/>
      <w:lvlJc w:val="left"/>
      <w:pPr>
        <w:tabs>
          <w:tab w:val="num" w:pos="2160"/>
        </w:tabs>
        <w:ind w:left="2160" w:hanging="360"/>
      </w:pPr>
      <w:rPr>
        <w:rFonts w:ascii="Arial" w:hAnsi="Arial" w:hint="default"/>
      </w:rPr>
    </w:lvl>
    <w:lvl w:ilvl="3" w:tplc="1CCADDBC" w:tentative="1">
      <w:start w:val="1"/>
      <w:numFmt w:val="bullet"/>
      <w:lvlText w:val="•"/>
      <w:lvlJc w:val="left"/>
      <w:pPr>
        <w:tabs>
          <w:tab w:val="num" w:pos="2880"/>
        </w:tabs>
        <w:ind w:left="2880" w:hanging="360"/>
      </w:pPr>
      <w:rPr>
        <w:rFonts w:ascii="Arial" w:hAnsi="Arial" w:hint="default"/>
      </w:rPr>
    </w:lvl>
    <w:lvl w:ilvl="4" w:tplc="2834D53A" w:tentative="1">
      <w:start w:val="1"/>
      <w:numFmt w:val="bullet"/>
      <w:lvlText w:val="•"/>
      <w:lvlJc w:val="left"/>
      <w:pPr>
        <w:tabs>
          <w:tab w:val="num" w:pos="3600"/>
        </w:tabs>
        <w:ind w:left="3600" w:hanging="360"/>
      </w:pPr>
      <w:rPr>
        <w:rFonts w:ascii="Arial" w:hAnsi="Arial" w:hint="default"/>
      </w:rPr>
    </w:lvl>
    <w:lvl w:ilvl="5" w:tplc="A7EEE756" w:tentative="1">
      <w:start w:val="1"/>
      <w:numFmt w:val="bullet"/>
      <w:lvlText w:val="•"/>
      <w:lvlJc w:val="left"/>
      <w:pPr>
        <w:tabs>
          <w:tab w:val="num" w:pos="4320"/>
        </w:tabs>
        <w:ind w:left="4320" w:hanging="360"/>
      </w:pPr>
      <w:rPr>
        <w:rFonts w:ascii="Arial" w:hAnsi="Arial" w:hint="default"/>
      </w:rPr>
    </w:lvl>
    <w:lvl w:ilvl="6" w:tplc="82D24856" w:tentative="1">
      <w:start w:val="1"/>
      <w:numFmt w:val="bullet"/>
      <w:lvlText w:val="•"/>
      <w:lvlJc w:val="left"/>
      <w:pPr>
        <w:tabs>
          <w:tab w:val="num" w:pos="5040"/>
        </w:tabs>
        <w:ind w:left="5040" w:hanging="360"/>
      </w:pPr>
      <w:rPr>
        <w:rFonts w:ascii="Arial" w:hAnsi="Arial" w:hint="default"/>
      </w:rPr>
    </w:lvl>
    <w:lvl w:ilvl="7" w:tplc="7660C17E" w:tentative="1">
      <w:start w:val="1"/>
      <w:numFmt w:val="bullet"/>
      <w:lvlText w:val="•"/>
      <w:lvlJc w:val="left"/>
      <w:pPr>
        <w:tabs>
          <w:tab w:val="num" w:pos="5760"/>
        </w:tabs>
        <w:ind w:left="5760" w:hanging="360"/>
      </w:pPr>
      <w:rPr>
        <w:rFonts w:ascii="Arial" w:hAnsi="Arial" w:hint="default"/>
      </w:rPr>
    </w:lvl>
    <w:lvl w:ilvl="8" w:tplc="82009CF0" w:tentative="1">
      <w:start w:val="1"/>
      <w:numFmt w:val="bullet"/>
      <w:lvlText w:val="•"/>
      <w:lvlJc w:val="left"/>
      <w:pPr>
        <w:tabs>
          <w:tab w:val="num" w:pos="6480"/>
        </w:tabs>
        <w:ind w:left="6480" w:hanging="360"/>
      </w:pPr>
      <w:rPr>
        <w:rFonts w:ascii="Arial" w:hAnsi="Arial" w:hint="default"/>
      </w:rPr>
    </w:lvl>
  </w:abstractNum>
  <w:abstractNum w:abstractNumId="4">
    <w:nsid w:val="151E4E7B"/>
    <w:multiLevelType w:val="hybridMultilevel"/>
    <w:tmpl w:val="32D22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65D164A"/>
    <w:multiLevelType w:val="hybridMultilevel"/>
    <w:tmpl w:val="B2A87A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881B03"/>
    <w:multiLevelType w:val="multilevel"/>
    <w:tmpl w:val="0B82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47252"/>
    <w:multiLevelType w:val="hybridMultilevel"/>
    <w:tmpl w:val="033204B4"/>
    <w:lvl w:ilvl="0" w:tplc="B5BCA4A6">
      <w:start w:val="1"/>
      <w:numFmt w:val="bullet"/>
      <w:lvlText w:val="•"/>
      <w:lvlJc w:val="left"/>
      <w:pPr>
        <w:tabs>
          <w:tab w:val="num" w:pos="720"/>
        </w:tabs>
        <w:ind w:left="720" w:hanging="360"/>
      </w:pPr>
      <w:rPr>
        <w:rFonts w:ascii="Times" w:hAnsi="Times" w:hint="default"/>
      </w:rPr>
    </w:lvl>
    <w:lvl w:ilvl="1" w:tplc="04A225D8" w:tentative="1">
      <w:start w:val="1"/>
      <w:numFmt w:val="bullet"/>
      <w:lvlText w:val="•"/>
      <w:lvlJc w:val="left"/>
      <w:pPr>
        <w:tabs>
          <w:tab w:val="num" w:pos="1440"/>
        </w:tabs>
        <w:ind w:left="1440" w:hanging="360"/>
      </w:pPr>
      <w:rPr>
        <w:rFonts w:ascii="Times" w:hAnsi="Times" w:hint="default"/>
      </w:rPr>
    </w:lvl>
    <w:lvl w:ilvl="2" w:tplc="1152BEEE" w:tentative="1">
      <w:start w:val="1"/>
      <w:numFmt w:val="bullet"/>
      <w:lvlText w:val="•"/>
      <w:lvlJc w:val="left"/>
      <w:pPr>
        <w:tabs>
          <w:tab w:val="num" w:pos="2160"/>
        </w:tabs>
        <w:ind w:left="2160" w:hanging="360"/>
      </w:pPr>
      <w:rPr>
        <w:rFonts w:ascii="Times" w:hAnsi="Times" w:hint="default"/>
      </w:rPr>
    </w:lvl>
    <w:lvl w:ilvl="3" w:tplc="51F489F4" w:tentative="1">
      <w:start w:val="1"/>
      <w:numFmt w:val="bullet"/>
      <w:lvlText w:val="•"/>
      <w:lvlJc w:val="left"/>
      <w:pPr>
        <w:tabs>
          <w:tab w:val="num" w:pos="2880"/>
        </w:tabs>
        <w:ind w:left="2880" w:hanging="360"/>
      </w:pPr>
      <w:rPr>
        <w:rFonts w:ascii="Times" w:hAnsi="Times" w:hint="default"/>
      </w:rPr>
    </w:lvl>
    <w:lvl w:ilvl="4" w:tplc="D9BEF72E" w:tentative="1">
      <w:start w:val="1"/>
      <w:numFmt w:val="bullet"/>
      <w:lvlText w:val="•"/>
      <w:lvlJc w:val="left"/>
      <w:pPr>
        <w:tabs>
          <w:tab w:val="num" w:pos="3600"/>
        </w:tabs>
        <w:ind w:left="3600" w:hanging="360"/>
      </w:pPr>
      <w:rPr>
        <w:rFonts w:ascii="Times" w:hAnsi="Times" w:hint="default"/>
      </w:rPr>
    </w:lvl>
    <w:lvl w:ilvl="5" w:tplc="3A7E45E6" w:tentative="1">
      <w:start w:val="1"/>
      <w:numFmt w:val="bullet"/>
      <w:lvlText w:val="•"/>
      <w:lvlJc w:val="left"/>
      <w:pPr>
        <w:tabs>
          <w:tab w:val="num" w:pos="4320"/>
        </w:tabs>
        <w:ind w:left="4320" w:hanging="360"/>
      </w:pPr>
      <w:rPr>
        <w:rFonts w:ascii="Times" w:hAnsi="Times" w:hint="default"/>
      </w:rPr>
    </w:lvl>
    <w:lvl w:ilvl="6" w:tplc="D80CF8C2" w:tentative="1">
      <w:start w:val="1"/>
      <w:numFmt w:val="bullet"/>
      <w:lvlText w:val="•"/>
      <w:lvlJc w:val="left"/>
      <w:pPr>
        <w:tabs>
          <w:tab w:val="num" w:pos="5040"/>
        </w:tabs>
        <w:ind w:left="5040" w:hanging="360"/>
      </w:pPr>
      <w:rPr>
        <w:rFonts w:ascii="Times" w:hAnsi="Times" w:hint="default"/>
      </w:rPr>
    </w:lvl>
    <w:lvl w:ilvl="7" w:tplc="E0108662" w:tentative="1">
      <w:start w:val="1"/>
      <w:numFmt w:val="bullet"/>
      <w:lvlText w:val="•"/>
      <w:lvlJc w:val="left"/>
      <w:pPr>
        <w:tabs>
          <w:tab w:val="num" w:pos="5760"/>
        </w:tabs>
        <w:ind w:left="5760" w:hanging="360"/>
      </w:pPr>
      <w:rPr>
        <w:rFonts w:ascii="Times" w:hAnsi="Times" w:hint="default"/>
      </w:rPr>
    </w:lvl>
    <w:lvl w:ilvl="8" w:tplc="C9E86728" w:tentative="1">
      <w:start w:val="1"/>
      <w:numFmt w:val="bullet"/>
      <w:lvlText w:val="•"/>
      <w:lvlJc w:val="left"/>
      <w:pPr>
        <w:tabs>
          <w:tab w:val="num" w:pos="6480"/>
        </w:tabs>
        <w:ind w:left="6480" w:hanging="360"/>
      </w:pPr>
      <w:rPr>
        <w:rFonts w:ascii="Times" w:hAnsi="Times" w:hint="default"/>
      </w:rPr>
    </w:lvl>
  </w:abstractNum>
  <w:abstractNum w:abstractNumId="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0">
    <w:nsid w:val="29001B4B"/>
    <w:multiLevelType w:val="hybridMultilevel"/>
    <w:tmpl w:val="7564E5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2790C46"/>
    <w:multiLevelType w:val="hybridMultilevel"/>
    <w:tmpl w:val="08284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8E4A36"/>
    <w:multiLevelType w:val="hybridMultilevel"/>
    <w:tmpl w:val="9BA21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nsid w:val="420B6ECC"/>
    <w:multiLevelType w:val="hybridMultilevel"/>
    <w:tmpl w:val="8780BEA8"/>
    <w:lvl w:ilvl="0" w:tplc="D6089F2E">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5">
    <w:nsid w:val="46933A7F"/>
    <w:multiLevelType w:val="hybridMultilevel"/>
    <w:tmpl w:val="A6883B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98B1FA5"/>
    <w:multiLevelType w:val="hybridMultilevel"/>
    <w:tmpl w:val="655847DC"/>
    <w:lvl w:ilvl="0" w:tplc="2FB6CBF6">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AB259F1"/>
    <w:multiLevelType w:val="hybridMultilevel"/>
    <w:tmpl w:val="76F4CDD6"/>
    <w:lvl w:ilvl="0" w:tplc="020252D0">
      <w:start w:val="1"/>
      <w:numFmt w:val="bullet"/>
      <w:lvlText w:val="–"/>
      <w:lvlJc w:val="left"/>
      <w:pPr>
        <w:tabs>
          <w:tab w:val="num" w:pos="720"/>
        </w:tabs>
        <w:ind w:left="720" w:hanging="360"/>
      </w:pPr>
      <w:rPr>
        <w:rFonts w:ascii="Times" w:hAnsi="Times" w:hint="default"/>
      </w:rPr>
    </w:lvl>
    <w:lvl w:ilvl="1" w:tplc="5906D272">
      <w:start w:val="1"/>
      <w:numFmt w:val="bullet"/>
      <w:lvlText w:val="–"/>
      <w:lvlJc w:val="left"/>
      <w:pPr>
        <w:tabs>
          <w:tab w:val="num" w:pos="1440"/>
        </w:tabs>
        <w:ind w:left="1440" w:hanging="360"/>
      </w:pPr>
      <w:rPr>
        <w:rFonts w:ascii="Times" w:hAnsi="Times" w:hint="default"/>
      </w:rPr>
    </w:lvl>
    <w:lvl w:ilvl="2" w:tplc="E9609ACE" w:tentative="1">
      <w:start w:val="1"/>
      <w:numFmt w:val="bullet"/>
      <w:lvlText w:val="–"/>
      <w:lvlJc w:val="left"/>
      <w:pPr>
        <w:tabs>
          <w:tab w:val="num" w:pos="2160"/>
        </w:tabs>
        <w:ind w:left="2160" w:hanging="360"/>
      </w:pPr>
      <w:rPr>
        <w:rFonts w:ascii="Times" w:hAnsi="Times" w:hint="default"/>
      </w:rPr>
    </w:lvl>
    <w:lvl w:ilvl="3" w:tplc="671AB09A" w:tentative="1">
      <w:start w:val="1"/>
      <w:numFmt w:val="bullet"/>
      <w:lvlText w:val="–"/>
      <w:lvlJc w:val="left"/>
      <w:pPr>
        <w:tabs>
          <w:tab w:val="num" w:pos="2880"/>
        </w:tabs>
        <w:ind w:left="2880" w:hanging="360"/>
      </w:pPr>
      <w:rPr>
        <w:rFonts w:ascii="Times" w:hAnsi="Times" w:hint="default"/>
      </w:rPr>
    </w:lvl>
    <w:lvl w:ilvl="4" w:tplc="7E5AD26E" w:tentative="1">
      <w:start w:val="1"/>
      <w:numFmt w:val="bullet"/>
      <w:lvlText w:val="–"/>
      <w:lvlJc w:val="left"/>
      <w:pPr>
        <w:tabs>
          <w:tab w:val="num" w:pos="3600"/>
        </w:tabs>
        <w:ind w:left="3600" w:hanging="360"/>
      </w:pPr>
      <w:rPr>
        <w:rFonts w:ascii="Times" w:hAnsi="Times" w:hint="default"/>
      </w:rPr>
    </w:lvl>
    <w:lvl w:ilvl="5" w:tplc="6CCAE61A" w:tentative="1">
      <w:start w:val="1"/>
      <w:numFmt w:val="bullet"/>
      <w:lvlText w:val="–"/>
      <w:lvlJc w:val="left"/>
      <w:pPr>
        <w:tabs>
          <w:tab w:val="num" w:pos="4320"/>
        </w:tabs>
        <w:ind w:left="4320" w:hanging="360"/>
      </w:pPr>
      <w:rPr>
        <w:rFonts w:ascii="Times" w:hAnsi="Times" w:hint="default"/>
      </w:rPr>
    </w:lvl>
    <w:lvl w:ilvl="6" w:tplc="03E6D354" w:tentative="1">
      <w:start w:val="1"/>
      <w:numFmt w:val="bullet"/>
      <w:lvlText w:val="–"/>
      <w:lvlJc w:val="left"/>
      <w:pPr>
        <w:tabs>
          <w:tab w:val="num" w:pos="5040"/>
        </w:tabs>
        <w:ind w:left="5040" w:hanging="360"/>
      </w:pPr>
      <w:rPr>
        <w:rFonts w:ascii="Times" w:hAnsi="Times" w:hint="default"/>
      </w:rPr>
    </w:lvl>
    <w:lvl w:ilvl="7" w:tplc="B8726832" w:tentative="1">
      <w:start w:val="1"/>
      <w:numFmt w:val="bullet"/>
      <w:lvlText w:val="–"/>
      <w:lvlJc w:val="left"/>
      <w:pPr>
        <w:tabs>
          <w:tab w:val="num" w:pos="5760"/>
        </w:tabs>
        <w:ind w:left="5760" w:hanging="360"/>
      </w:pPr>
      <w:rPr>
        <w:rFonts w:ascii="Times" w:hAnsi="Times" w:hint="default"/>
      </w:rPr>
    </w:lvl>
    <w:lvl w:ilvl="8" w:tplc="CA0CC55E" w:tentative="1">
      <w:start w:val="1"/>
      <w:numFmt w:val="bullet"/>
      <w:lvlText w:val="–"/>
      <w:lvlJc w:val="left"/>
      <w:pPr>
        <w:tabs>
          <w:tab w:val="num" w:pos="6480"/>
        </w:tabs>
        <w:ind w:left="6480" w:hanging="360"/>
      </w:pPr>
      <w:rPr>
        <w:rFonts w:ascii="Times" w:hAnsi="Times" w:hint="default"/>
      </w:rPr>
    </w:lvl>
  </w:abstractNum>
  <w:abstractNum w:abstractNumId="19">
    <w:nsid w:val="50CC6EDC"/>
    <w:multiLevelType w:val="hybridMultilevel"/>
    <w:tmpl w:val="5482974A"/>
    <w:lvl w:ilvl="0" w:tplc="9F3E9DBE">
      <w:start w:val="1"/>
      <w:numFmt w:val="bullet"/>
      <w:lvlText w:val="–"/>
      <w:lvlJc w:val="left"/>
      <w:pPr>
        <w:tabs>
          <w:tab w:val="num" w:pos="720"/>
        </w:tabs>
        <w:ind w:left="720" w:hanging="360"/>
      </w:pPr>
      <w:rPr>
        <w:rFonts w:ascii="Times" w:hAnsi="Times" w:hint="default"/>
      </w:rPr>
    </w:lvl>
    <w:lvl w:ilvl="1" w:tplc="22EAF5D6">
      <w:start w:val="1"/>
      <w:numFmt w:val="bullet"/>
      <w:lvlText w:val="–"/>
      <w:lvlJc w:val="left"/>
      <w:pPr>
        <w:tabs>
          <w:tab w:val="num" w:pos="1440"/>
        </w:tabs>
        <w:ind w:left="1440" w:hanging="360"/>
      </w:pPr>
      <w:rPr>
        <w:rFonts w:ascii="Times" w:hAnsi="Times" w:hint="default"/>
      </w:rPr>
    </w:lvl>
    <w:lvl w:ilvl="2" w:tplc="DE92492E" w:tentative="1">
      <w:start w:val="1"/>
      <w:numFmt w:val="bullet"/>
      <w:lvlText w:val="–"/>
      <w:lvlJc w:val="left"/>
      <w:pPr>
        <w:tabs>
          <w:tab w:val="num" w:pos="2160"/>
        </w:tabs>
        <w:ind w:left="2160" w:hanging="360"/>
      </w:pPr>
      <w:rPr>
        <w:rFonts w:ascii="Times" w:hAnsi="Times" w:hint="default"/>
      </w:rPr>
    </w:lvl>
    <w:lvl w:ilvl="3" w:tplc="BD920B24" w:tentative="1">
      <w:start w:val="1"/>
      <w:numFmt w:val="bullet"/>
      <w:lvlText w:val="–"/>
      <w:lvlJc w:val="left"/>
      <w:pPr>
        <w:tabs>
          <w:tab w:val="num" w:pos="2880"/>
        </w:tabs>
        <w:ind w:left="2880" w:hanging="360"/>
      </w:pPr>
      <w:rPr>
        <w:rFonts w:ascii="Times" w:hAnsi="Times" w:hint="default"/>
      </w:rPr>
    </w:lvl>
    <w:lvl w:ilvl="4" w:tplc="C8EE05B2" w:tentative="1">
      <w:start w:val="1"/>
      <w:numFmt w:val="bullet"/>
      <w:lvlText w:val="–"/>
      <w:lvlJc w:val="left"/>
      <w:pPr>
        <w:tabs>
          <w:tab w:val="num" w:pos="3600"/>
        </w:tabs>
        <w:ind w:left="3600" w:hanging="360"/>
      </w:pPr>
      <w:rPr>
        <w:rFonts w:ascii="Times" w:hAnsi="Times" w:hint="default"/>
      </w:rPr>
    </w:lvl>
    <w:lvl w:ilvl="5" w:tplc="C27CAFC2" w:tentative="1">
      <w:start w:val="1"/>
      <w:numFmt w:val="bullet"/>
      <w:lvlText w:val="–"/>
      <w:lvlJc w:val="left"/>
      <w:pPr>
        <w:tabs>
          <w:tab w:val="num" w:pos="4320"/>
        </w:tabs>
        <w:ind w:left="4320" w:hanging="360"/>
      </w:pPr>
      <w:rPr>
        <w:rFonts w:ascii="Times" w:hAnsi="Times" w:hint="default"/>
      </w:rPr>
    </w:lvl>
    <w:lvl w:ilvl="6" w:tplc="23A6E272" w:tentative="1">
      <w:start w:val="1"/>
      <w:numFmt w:val="bullet"/>
      <w:lvlText w:val="–"/>
      <w:lvlJc w:val="left"/>
      <w:pPr>
        <w:tabs>
          <w:tab w:val="num" w:pos="5040"/>
        </w:tabs>
        <w:ind w:left="5040" w:hanging="360"/>
      </w:pPr>
      <w:rPr>
        <w:rFonts w:ascii="Times" w:hAnsi="Times" w:hint="default"/>
      </w:rPr>
    </w:lvl>
    <w:lvl w:ilvl="7" w:tplc="E884BDC4" w:tentative="1">
      <w:start w:val="1"/>
      <w:numFmt w:val="bullet"/>
      <w:lvlText w:val="–"/>
      <w:lvlJc w:val="left"/>
      <w:pPr>
        <w:tabs>
          <w:tab w:val="num" w:pos="5760"/>
        </w:tabs>
        <w:ind w:left="5760" w:hanging="360"/>
      </w:pPr>
      <w:rPr>
        <w:rFonts w:ascii="Times" w:hAnsi="Times" w:hint="default"/>
      </w:rPr>
    </w:lvl>
    <w:lvl w:ilvl="8" w:tplc="8F50687C" w:tentative="1">
      <w:start w:val="1"/>
      <w:numFmt w:val="bullet"/>
      <w:lvlText w:val="–"/>
      <w:lvlJc w:val="left"/>
      <w:pPr>
        <w:tabs>
          <w:tab w:val="num" w:pos="6480"/>
        </w:tabs>
        <w:ind w:left="6480" w:hanging="360"/>
      </w:pPr>
      <w:rPr>
        <w:rFonts w:ascii="Times" w:hAnsi="Times" w:hint="default"/>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452F15"/>
    <w:multiLevelType w:val="hybridMultilevel"/>
    <w:tmpl w:val="0CD4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83751B"/>
    <w:multiLevelType w:val="hybridMultilevel"/>
    <w:tmpl w:val="99F26E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86E1DC7"/>
    <w:multiLevelType w:val="hybridMultilevel"/>
    <w:tmpl w:val="A092A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9360EC7"/>
    <w:multiLevelType w:val="hybridMultilevel"/>
    <w:tmpl w:val="2CF8A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866AB9"/>
    <w:multiLevelType w:val="hybridMultilevel"/>
    <w:tmpl w:val="1B422A4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103B22"/>
    <w:multiLevelType w:val="hybridMultilevel"/>
    <w:tmpl w:val="7AD485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7D34C7"/>
    <w:multiLevelType w:val="hybridMultilevel"/>
    <w:tmpl w:val="D0C25A6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861939"/>
    <w:multiLevelType w:val="hybridMultilevel"/>
    <w:tmpl w:val="900A6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5465F5D"/>
    <w:multiLevelType w:val="hybridMultilevel"/>
    <w:tmpl w:val="7A94F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76E17168"/>
    <w:multiLevelType w:val="hybridMultilevel"/>
    <w:tmpl w:val="050CE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4D033C"/>
    <w:multiLevelType w:val="multilevel"/>
    <w:tmpl w:val="2910D56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nsid w:val="7E056891"/>
    <w:multiLevelType w:val="hybridMultilevel"/>
    <w:tmpl w:val="8060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34"/>
  </w:num>
  <w:num w:numId="5">
    <w:abstractNumId w:val="22"/>
  </w:num>
  <w:num w:numId="6">
    <w:abstractNumId w:val="36"/>
  </w:num>
  <w:num w:numId="7">
    <w:abstractNumId w:val="14"/>
  </w:num>
  <w:num w:numId="8">
    <w:abstractNumId w:val="0"/>
  </w:num>
  <w:num w:numId="9">
    <w:abstractNumId w:val="5"/>
  </w:num>
  <w:num w:numId="10">
    <w:abstractNumId w:val="27"/>
  </w:num>
  <w:num w:numId="11">
    <w:abstractNumId w:val="31"/>
  </w:num>
  <w:num w:numId="12">
    <w:abstractNumId w:val="11"/>
  </w:num>
  <w:num w:numId="13">
    <w:abstractNumId w:val="26"/>
  </w:num>
  <w:num w:numId="14">
    <w:abstractNumId w:val="1"/>
  </w:num>
  <w:num w:numId="15">
    <w:abstractNumId w:val="21"/>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0"/>
  </w:num>
  <w:num w:numId="19">
    <w:abstractNumId w:val="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4"/>
  </w:num>
  <w:num w:numId="23">
    <w:abstractNumId w:val="15"/>
  </w:num>
  <w:num w:numId="24">
    <w:abstractNumId w:val="2"/>
  </w:num>
  <w:num w:numId="25">
    <w:abstractNumId w:val="12"/>
  </w:num>
  <w:num w:numId="26">
    <w:abstractNumId w:val="29"/>
  </w:num>
  <w:num w:numId="27">
    <w:abstractNumId w:val="16"/>
  </w:num>
  <w:num w:numId="28">
    <w:abstractNumId w:val="10"/>
  </w:num>
  <w:num w:numId="29">
    <w:abstractNumId w:val="18"/>
  </w:num>
  <w:num w:numId="30">
    <w:abstractNumId w:val="19"/>
  </w:num>
  <w:num w:numId="31">
    <w:abstractNumId w:val="7"/>
  </w:num>
  <w:num w:numId="32">
    <w:abstractNumId w:val="28"/>
  </w:num>
  <w:num w:numId="33">
    <w:abstractNumId w:val="23"/>
  </w:num>
  <w:num w:numId="34">
    <w:abstractNumId w:val="20"/>
  </w:num>
  <w:num w:numId="35">
    <w:abstractNumId w:val="32"/>
  </w:num>
  <w:num w:numId="36">
    <w:abstractNumId w:val="35"/>
  </w:num>
  <w:num w:numId="37">
    <w:abstractNumId w:val="8"/>
  </w:num>
  <w:num w:numId="38">
    <w:abstractNumId w:val="34"/>
  </w:num>
  <w:num w:numId="39">
    <w:abstractNumId w:val="34"/>
  </w:num>
  <w:num w:numId="40">
    <w:abstractNumId w:val="6"/>
  </w:num>
  <w:num w:numId="41">
    <w:abstractNumId w:val="3"/>
  </w:num>
  <w:num w:numId="42">
    <w:abstractNumId w:val="34"/>
  </w:num>
  <w:num w:numId="43">
    <w:abstractNumId w:val="34"/>
  </w:num>
  <w:num w:numId="44">
    <w:abstractNumId w:val="3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BA">
    <w15:presenceInfo w15:providerId="None" w15:userId="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v0efxa0nfe2s6e9ztl5ex5gtxd5e2vpxx5x&quot;&gt;Anakinra&lt;record-ids&gt;&lt;item&gt;1&lt;/item&gt;&lt;item&gt;4&lt;/item&gt;&lt;item&gt;8&lt;/item&gt;&lt;item&gt;9&lt;/item&gt;&lt;item&gt;15&lt;/item&gt;&lt;item&gt;27&lt;/item&gt;&lt;item&gt;28&lt;/item&gt;&lt;item&gt;29&lt;/item&gt;&lt;item&gt;31&lt;/item&gt;&lt;item&gt;32&lt;/item&gt;&lt;item&gt;33&lt;/item&gt;&lt;item&gt;34&lt;/item&gt;&lt;item&gt;35&lt;/item&gt;&lt;item&gt;36&lt;/item&gt;&lt;item&gt;37&lt;/item&gt;&lt;item&gt;38&lt;/item&gt;&lt;item&gt;40&lt;/item&gt;&lt;item&gt;42&lt;/item&gt;&lt;item&gt;43&lt;/item&gt;&lt;item&gt;44&lt;/item&gt;&lt;item&gt;45&lt;/item&gt;&lt;item&gt;4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record-ids&gt;&lt;/item&gt;&lt;/Libraries&gt;"/>
  </w:docVars>
  <w:rsids>
    <w:rsidRoot w:val="00E65E79"/>
    <w:rsid w:val="00000790"/>
    <w:rsid w:val="0000110B"/>
    <w:rsid w:val="00002779"/>
    <w:rsid w:val="00003499"/>
    <w:rsid w:val="0000424C"/>
    <w:rsid w:val="000057D8"/>
    <w:rsid w:val="00005BBB"/>
    <w:rsid w:val="00007D32"/>
    <w:rsid w:val="000100DB"/>
    <w:rsid w:val="00010695"/>
    <w:rsid w:val="00013247"/>
    <w:rsid w:val="0001337F"/>
    <w:rsid w:val="00013ADF"/>
    <w:rsid w:val="000147DC"/>
    <w:rsid w:val="0001489C"/>
    <w:rsid w:val="00015886"/>
    <w:rsid w:val="000162EF"/>
    <w:rsid w:val="0001657D"/>
    <w:rsid w:val="00016B0C"/>
    <w:rsid w:val="0002225F"/>
    <w:rsid w:val="000224F5"/>
    <w:rsid w:val="0002260B"/>
    <w:rsid w:val="00023763"/>
    <w:rsid w:val="00027079"/>
    <w:rsid w:val="000315A9"/>
    <w:rsid w:val="000327FC"/>
    <w:rsid w:val="000330F5"/>
    <w:rsid w:val="000334CC"/>
    <w:rsid w:val="00035615"/>
    <w:rsid w:val="00040895"/>
    <w:rsid w:val="00040EC1"/>
    <w:rsid w:val="000415CA"/>
    <w:rsid w:val="0004232E"/>
    <w:rsid w:val="00043C37"/>
    <w:rsid w:val="00044785"/>
    <w:rsid w:val="0005229C"/>
    <w:rsid w:val="00052A71"/>
    <w:rsid w:val="00052E03"/>
    <w:rsid w:val="00053A3D"/>
    <w:rsid w:val="000546D7"/>
    <w:rsid w:val="00056497"/>
    <w:rsid w:val="00056581"/>
    <w:rsid w:val="00056896"/>
    <w:rsid w:val="000622D8"/>
    <w:rsid w:val="00062886"/>
    <w:rsid w:val="00065CB1"/>
    <w:rsid w:val="000665BC"/>
    <w:rsid w:val="00066653"/>
    <w:rsid w:val="00066813"/>
    <w:rsid w:val="000707E5"/>
    <w:rsid w:val="00070949"/>
    <w:rsid w:val="00070B13"/>
    <w:rsid w:val="00071248"/>
    <w:rsid w:val="000720B9"/>
    <w:rsid w:val="000735DF"/>
    <w:rsid w:val="00073F5C"/>
    <w:rsid w:val="00074C3C"/>
    <w:rsid w:val="00077297"/>
    <w:rsid w:val="00077EEA"/>
    <w:rsid w:val="00080A23"/>
    <w:rsid w:val="000812CA"/>
    <w:rsid w:val="0008188B"/>
    <w:rsid w:val="00083307"/>
    <w:rsid w:val="0008357E"/>
    <w:rsid w:val="000850E2"/>
    <w:rsid w:val="00085A03"/>
    <w:rsid w:val="00087434"/>
    <w:rsid w:val="0008776F"/>
    <w:rsid w:val="000901F8"/>
    <w:rsid w:val="00090C7E"/>
    <w:rsid w:val="00090D9D"/>
    <w:rsid w:val="00093032"/>
    <w:rsid w:val="00093515"/>
    <w:rsid w:val="00093A96"/>
    <w:rsid w:val="0009666C"/>
    <w:rsid w:val="00097243"/>
    <w:rsid w:val="00097B82"/>
    <w:rsid w:val="000A0756"/>
    <w:rsid w:val="000A18A0"/>
    <w:rsid w:val="000A1DF8"/>
    <w:rsid w:val="000A2383"/>
    <w:rsid w:val="000A5985"/>
    <w:rsid w:val="000A610B"/>
    <w:rsid w:val="000A7A63"/>
    <w:rsid w:val="000B7BD1"/>
    <w:rsid w:val="000C226B"/>
    <w:rsid w:val="000C3198"/>
    <w:rsid w:val="000C50B7"/>
    <w:rsid w:val="000C5FC5"/>
    <w:rsid w:val="000D0633"/>
    <w:rsid w:val="000D1BFC"/>
    <w:rsid w:val="000D3754"/>
    <w:rsid w:val="000D458D"/>
    <w:rsid w:val="000D538C"/>
    <w:rsid w:val="000D5A6C"/>
    <w:rsid w:val="000D5F32"/>
    <w:rsid w:val="000E16AE"/>
    <w:rsid w:val="000E3335"/>
    <w:rsid w:val="000E3505"/>
    <w:rsid w:val="000E4DC6"/>
    <w:rsid w:val="000E5E48"/>
    <w:rsid w:val="000F3B5D"/>
    <w:rsid w:val="000F4BB8"/>
    <w:rsid w:val="000F6022"/>
    <w:rsid w:val="000F6AB4"/>
    <w:rsid w:val="000F6DD2"/>
    <w:rsid w:val="000F7127"/>
    <w:rsid w:val="00100F8A"/>
    <w:rsid w:val="00100FEC"/>
    <w:rsid w:val="001011BB"/>
    <w:rsid w:val="00101BED"/>
    <w:rsid w:val="001056B0"/>
    <w:rsid w:val="00106E93"/>
    <w:rsid w:val="0011032E"/>
    <w:rsid w:val="00112571"/>
    <w:rsid w:val="0011348B"/>
    <w:rsid w:val="001135A8"/>
    <w:rsid w:val="00114DAA"/>
    <w:rsid w:val="00114E9B"/>
    <w:rsid w:val="0011547B"/>
    <w:rsid w:val="00115AD3"/>
    <w:rsid w:val="0011611A"/>
    <w:rsid w:val="0012036D"/>
    <w:rsid w:val="001206C3"/>
    <w:rsid w:val="00121799"/>
    <w:rsid w:val="001222FC"/>
    <w:rsid w:val="00124A51"/>
    <w:rsid w:val="00126621"/>
    <w:rsid w:val="001301BE"/>
    <w:rsid w:val="001301E9"/>
    <w:rsid w:val="00130749"/>
    <w:rsid w:val="00130F99"/>
    <w:rsid w:val="00131063"/>
    <w:rsid w:val="001367CD"/>
    <w:rsid w:val="0013721F"/>
    <w:rsid w:val="00137265"/>
    <w:rsid w:val="00137645"/>
    <w:rsid w:val="0014015A"/>
    <w:rsid w:val="00140E99"/>
    <w:rsid w:val="001414EF"/>
    <w:rsid w:val="00145540"/>
    <w:rsid w:val="00145593"/>
    <w:rsid w:val="001456B0"/>
    <w:rsid w:val="00146BBC"/>
    <w:rsid w:val="00146C1D"/>
    <w:rsid w:val="001477CB"/>
    <w:rsid w:val="001477E0"/>
    <w:rsid w:val="001513E5"/>
    <w:rsid w:val="00154DD1"/>
    <w:rsid w:val="00157130"/>
    <w:rsid w:val="001574A4"/>
    <w:rsid w:val="001602DC"/>
    <w:rsid w:val="00162350"/>
    <w:rsid w:val="00162913"/>
    <w:rsid w:val="001635DC"/>
    <w:rsid w:val="00163B63"/>
    <w:rsid w:val="00163EFF"/>
    <w:rsid w:val="00165A4B"/>
    <w:rsid w:val="001661FB"/>
    <w:rsid w:val="00171BC4"/>
    <w:rsid w:val="00172B06"/>
    <w:rsid w:val="00177E14"/>
    <w:rsid w:val="001824EA"/>
    <w:rsid w:val="00185BD5"/>
    <w:rsid w:val="001862DC"/>
    <w:rsid w:val="0018752F"/>
    <w:rsid w:val="00187565"/>
    <w:rsid w:val="00190EFC"/>
    <w:rsid w:val="001910D3"/>
    <w:rsid w:val="00191224"/>
    <w:rsid w:val="00192466"/>
    <w:rsid w:val="00192B4F"/>
    <w:rsid w:val="00195222"/>
    <w:rsid w:val="00195ADC"/>
    <w:rsid w:val="00196E04"/>
    <w:rsid w:val="001975D8"/>
    <w:rsid w:val="001A26CC"/>
    <w:rsid w:val="001A2CEE"/>
    <w:rsid w:val="001A4582"/>
    <w:rsid w:val="001A5E1C"/>
    <w:rsid w:val="001A6C3C"/>
    <w:rsid w:val="001A7D47"/>
    <w:rsid w:val="001B082D"/>
    <w:rsid w:val="001B0A95"/>
    <w:rsid w:val="001B2E6F"/>
    <w:rsid w:val="001B2FB7"/>
    <w:rsid w:val="001B3443"/>
    <w:rsid w:val="001B3EF6"/>
    <w:rsid w:val="001B48AC"/>
    <w:rsid w:val="001B4C43"/>
    <w:rsid w:val="001B5186"/>
    <w:rsid w:val="001B65E5"/>
    <w:rsid w:val="001C1728"/>
    <w:rsid w:val="001C18C5"/>
    <w:rsid w:val="001C2DB2"/>
    <w:rsid w:val="001C38B9"/>
    <w:rsid w:val="001C41C9"/>
    <w:rsid w:val="001C431C"/>
    <w:rsid w:val="001C4968"/>
    <w:rsid w:val="001C6C1F"/>
    <w:rsid w:val="001C6E66"/>
    <w:rsid w:val="001C71AE"/>
    <w:rsid w:val="001D102D"/>
    <w:rsid w:val="001D1B0C"/>
    <w:rsid w:val="001D2872"/>
    <w:rsid w:val="001D2CC9"/>
    <w:rsid w:val="001D40CB"/>
    <w:rsid w:val="001D6DB9"/>
    <w:rsid w:val="001E014B"/>
    <w:rsid w:val="001E023D"/>
    <w:rsid w:val="001E1465"/>
    <w:rsid w:val="001E238E"/>
    <w:rsid w:val="001E2B1E"/>
    <w:rsid w:val="001E3B14"/>
    <w:rsid w:val="001E52EB"/>
    <w:rsid w:val="001E56B3"/>
    <w:rsid w:val="001E740C"/>
    <w:rsid w:val="001E7A9D"/>
    <w:rsid w:val="001F01BA"/>
    <w:rsid w:val="001F1235"/>
    <w:rsid w:val="001F16BE"/>
    <w:rsid w:val="001F1CB3"/>
    <w:rsid w:val="001F1D12"/>
    <w:rsid w:val="001F30E5"/>
    <w:rsid w:val="001F4C42"/>
    <w:rsid w:val="001F58A6"/>
    <w:rsid w:val="001F5D31"/>
    <w:rsid w:val="001F7361"/>
    <w:rsid w:val="0020385F"/>
    <w:rsid w:val="00204A76"/>
    <w:rsid w:val="00207021"/>
    <w:rsid w:val="00207440"/>
    <w:rsid w:val="00207D00"/>
    <w:rsid w:val="002105C1"/>
    <w:rsid w:val="002113FE"/>
    <w:rsid w:val="00214BED"/>
    <w:rsid w:val="00214FFA"/>
    <w:rsid w:val="00216E7D"/>
    <w:rsid w:val="002202F4"/>
    <w:rsid w:val="00220DCE"/>
    <w:rsid w:val="0022251F"/>
    <w:rsid w:val="00223B49"/>
    <w:rsid w:val="00223CD1"/>
    <w:rsid w:val="00224DD4"/>
    <w:rsid w:val="002252B9"/>
    <w:rsid w:val="00226A93"/>
    <w:rsid w:val="0023048A"/>
    <w:rsid w:val="002309CC"/>
    <w:rsid w:val="00234FAA"/>
    <w:rsid w:val="002370DC"/>
    <w:rsid w:val="00240A9E"/>
    <w:rsid w:val="002423CE"/>
    <w:rsid w:val="00242689"/>
    <w:rsid w:val="00243978"/>
    <w:rsid w:val="002444CC"/>
    <w:rsid w:val="00244776"/>
    <w:rsid w:val="00245782"/>
    <w:rsid w:val="00247977"/>
    <w:rsid w:val="0024797D"/>
    <w:rsid w:val="0025020A"/>
    <w:rsid w:val="00251647"/>
    <w:rsid w:val="00251DD0"/>
    <w:rsid w:val="0025389B"/>
    <w:rsid w:val="00254DCF"/>
    <w:rsid w:val="0025534B"/>
    <w:rsid w:val="00255BB7"/>
    <w:rsid w:val="00256BC6"/>
    <w:rsid w:val="00261A00"/>
    <w:rsid w:val="00262A87"/>
    <w:rsid w:val="00262FA9"/>
    <w:rsid w:val="00264CBB"/>
    <w:rsid w:val="00265360"/>
    <w:rsid w:val="00265D31"/>
    <w:rsid w:val="002668D0"/>
    <w:rsid w:val="002675AF"/>
    <w:rsid w:val="0026778D"/>
    <w:rsid w:val="00267CF9"/>
    <w:rsid w:val="00270D32"/>
    <w:rsid w:val="00270FDA"/>
    <w:rsid w:val="00271062"/>
    <w:rsid w:val="002721C5"/>
    <w:rsid w:val="00275C5A"/>
    <w:rsid w:val="00276130"/>
    <w:rsid w:val="00276561"/>
    <w:rsid w:val="00277025"/>
    <w:rsid w:val="00281014"/>
    <w:rsid w:val="0028172F"/>
    <w:rsid w:val="00282C40"/>
    <w:rsid w:val="002835CA"/>
    <w:rsid w:val="00283C76"/>
    <w:rsid w:val="00284DD7"/>
    <w:rsid w:val="00285E5C"/>
    <w:rsid w:val="0028741F"/>
    <w:rsid w:val="00287B2B"/>
    <w:rsid w:val="00287FE6"/>
    <w:rsid w:val="002903DE"/>
    <w:rsid w:val="00297EE8"/>
    <w:rsid w:val="002A14AB"/>
    <w:rsid w:val="002A2BBE"/>
    <w:rsid w:val="002B1C1F"/>
    <w:rsid w:val="002B432F"/>
    <w:rsid w:val="002B4394"/>
    <w:rsid w:val="002B588B"/>
    <w:rsid w:val="002B6CCE"/>
    <w:rsid w:val="002C0886"/>
    <w:rsid w:val="002C0D88"/>
    <w:rsid w:val="002C2775"/>
    <w:rsid w:val="002C27C1"/>
    <w:rsid w:val="002C520A"/>
    <w:rsid w:val="002C52F7"/>
    <w:rsid w:val="002D06B5"/>
    <w:rsid w:val="002E05D3"/>
    <w:rsid w:val="002E451B"/>
    <w:rsid w:val="002E5902"/>
    <w:rsid w:val="002E5F6D"/>
    <w:rsid w:val="002F0DFD"/>
    <w:rsid w:val="002F193E"/>
    <w:rsid w:val="002F4BBD"/>
    <w:rsid w:val="002F4DF3"/>
    <w:rsid w:val="002F5156"/>
    <w:rsid w:val="00300D83"/>
    <w:rsid w:val="00301017"/>
    <w:rsid w:val="00304609"/>
    <w:rsid w:val="003055AD"/>
    <w:rsid w:val="00305AB0"/>
    <w:rsid w:val="0030786C"/>
    <w:rsid w:val="00307BD6"/>
    <w:rsid w:val="0031031A"/>
    <w:rsid w:val="00310981"/>
    <w:rsid w:val="003150FC"/>
    <w:rsid w:val="00315498"/>
    <w:rsid w:val="00316204"/>
    <w:rsid w:val="003218AF"/>
    <w:rsid w:val="00323BBF"/>
    <w:rsid w:val="003250EA"/>
    <w:rsid w:val="00327640"/>
    <w:rsid w:val="003304E2"/>
    <w:rsid w:val="003304EA"/>
    <w:rsid w:val="00334619"/>
    <w:rsid w:val="00335A40"/>
    <w:rsid w:val="00335B8D"/>
    <w:rsid w:val="003366C9"/>
    <w:rsid w:val="003371B0"/>
    <w:rsid w:val="003379D7"/>
    <w:rsid w:val="00340B76"/>
    <w:rsid w:val="003425CA"/>
    <w:rsid w:val="003462C6"/>
    <w:rsid w:val="00346640"/>
    <w:rsid w:val="0034726E"/>
    <w:rsid w:val="0034792B"/>
    <w:rsid w:val="00347CFC"/>
    <w:rsid w:val="00351E0D"/>
    <w:rsid w:val="00353697"/>
    <w:rsid w:val="00354861"/>
    <w:rsid w:val="0035620E"/>
    <w:rsid w:val="00356A53"/>
    <w:rsid w:val="00356A7B"/>
    <w:rsid w:val="003578E1"/>
    <w:rsid w:val="00372172"/>
    <w:rsid w:val="00375F18"/>
    <w:rsid w:val="0037635F"/>
    <w:rsid w:val="00377740"/>
    <w:rsid w:val="0038323D"/>
    <w:rsid w:val="0038365C"/>
    <w:rsid w:val="003871F0"/>
    <w:rsid w:val="003876B8"/>
    <w:rsid w:val="00390FFB"/>
    <w:rsid w:val="00392F7D"/>
    <w:rsid w:val="00394811"/>
    <w:rsid w:val="00396FD0"/>
    <w:rsid w:val="003A1A7A"/>
    <w:rsid w:val="003A23DC"/>
    <w:rsid w:val="003A453B"/>
    <w:rsid w:val="003A5349"/>
    <w:rsid w:val="003A5722"/>
    <w:rsid w:val="003A63C0"/>
    <w:rsid w:val="003B08E8"/>
    <w:rsid w:val="003B1B27"/>
    <w:rsid w:val="003B3F4C"/>
    <w:rsid w:val="003B400F"/>
    <w:rsid w:val="003B448F"/>
    <w:rsid w:val="003B54F4"/>
    <w:rsid w:val="003B5541"/>
    <w:rsid w:val="003B6BBC"/>
    <w:rsid w:val="003C125D"/>
    <w:rsid w:val="003C29AE"/>
    <w:rsid w:val="003C3CA3"/>
    <w:rsid w:val="003C4209"/>
    <w:rsid w:val="003C5DF6"/>
    <w:rsid w:val="003C6172"/>
    <w:rsid w:val="003C6EE5"/>
    <w:rsid w:val="003C7E1A"/>
    <w:rsid w:val="003D1828"/>
    <w:rsid w:val="003D2422"/>
    <w:rsid w:val="003D2837"/>
    <w:rsid w:val="003D37D5"/>
    <w:rsid w:val="003D387A"/>
    <w:rsid w:val="003E655D"/>
    <w:rsid w:val="003E72AF"/>
    <w:rsid w:val="003E7A0F"/>
    <w:rsid w:val="003F1CAB"/>
    <w:rsid w:val="003F3322"/>
    <w:rsid w:val="003F4156"/>
    <w:rsid w:val="003F7F7F"/>
    <w:rsid w:val="00400A01"/>
    <w:rsid w:val="0040404D"/>
    <w:rsid w:val="004049C5"/>
    <w:rsid w:val="0040626C"/>
    <w:rsid w:val="00407F93"/>
    <w:rsid w:val="0041017B"/>
    <w:rsid w:val="00410708"/>
    <w:rsid w:val="00410AB5"/>
    <w:rsid w:val="00410EC7"/>
    <w:rsid w:val="0041176F"/>
    <w:rsid w:val="004119A7"/>
    <w:rsid w:val="004125FB"/>
    <w:rsid w:val="004128DB"/>
    <w:rsid w:val="00414476"/>
    <w:rsid w:val="00420B9F"/>
    <w:rsid w:val="0042329A"/>
    <w:rsid w:val="00425C72"/>
    <w:rsid w:val="00431132"/>
    <w:rsid w:val="004317E6"/>
    <w:rsid w:val="004319F8"/>
    <w:rsid w:val="00433044"/>
    <w:rsid w:val="0043333B"/>
    <w:rsid w:val="00433592"/>
    <w:rsid w:val="0043533D"/>
    <w:rsid w:val="00435902"/>
    <w:rsid w:val="00436BB0"/>
    <w:rsid w:val="00440FEB"/>
    <w:rsid w:val="00441BB8"/>
    <w:rsid w:val="004436A3"/>
    <w:rsid w:val="004443A7"/>
    <w:rsid w:val="00445222"/>
    <w:rsid w:val="004464EB"/>
    <w:rsid w:val="00446A95"/>
    <w:rsid w:val="00446C11"/>
    <w:rsid w:val="00451487"/>
    <w:rsid w:val="00453DBE"/>
    <w:rsid w:val="00453DFF"/>
    <w:rsid w:val="004544F1"/>
    <w:rsid w:val="00454EE4"/>
    <w:rsid w:val="00455D45"/>
    <w:rsid w:val="004573F1"/>
    <w:rsid w:val="004610E9"/>
    <w:rsid w:val="00461A61"/>
    <w:rsid w:val="004625A6"/>
    <w:rsid w:val="004628F6"/>
    <w:rsid w:val="00464595"/>
    <w:rsid w:val="0046532A"/>
    <w:rsid w:val="00465D4E"/>
    <w:rsid w:val="00470B72"/>
    <w:rsid w:val="00470D38"/>
    <w:rsid w:val="00472165"/>
    <w:rsid w:val="00473555"/>
    <w:rsid w:val="004743CA"/>
    <w:rsid w:val="00474C8B"/>
    <w:rsid w:val="0047524A"/>
    <w:rsid w:val="00475C5E"/>
    <w:rsid w:val="00477507"/>
    <w:rsid w:val="0047773A"/>
    <w:rsid w:val="004800D8"/>
    <w:rsid w:val="00481B1D"/>
    <w:rsid w:val="00481CE0"/>
    <w:rsid w:val="004828EB"/>
    <w:rsid w:val="00485212"/>
    <w:rsid w:val="004867E2"/>
    <w:rsid w:val="00486A7F"/>
    <w:rsid w:val="00486FFB"/>
    <w:rsid w:val="004901CD"/>
    <w:rsid w:val="00491641"/>
    <w:rsid w:val="00491B3A"/>
    <w:rsid w:val="00492054"/>
    <w:rsid w:val="00492CFD"/>
    <w:rsid w:val="00493967"/>
    <w:rsid w:val="00494230"/>
    <w:rsid w:val="0049437A"/>
    <w:rsid w:val="00495392"/>
    <w:rsid w:val="004962D2"/>
    <w:rsid w:val="00496A34"/>
    <w:rsid w:val="004976DC"/>
    <w:rsid w:val="004A0DA1"/>
    <w:rsid w:val="004A318F"/>
    <w:rsid w:val="004A3F8F"/>
    <w:rsid w:val="004A5984"/>
    <w:rsid w:val="004A6597"/>
    <w:rsid w:val="004A7F61"/>
    <w:rsid w:val="004B0ABB"/>
    <w:rsid w:val="004B1CB4"/>
    <w:rsid w:val="004B2F18"/>
    <w:rsid w:val="004B3DDB"/>
    <w:rsid w:val="004B44FD"/>
    <w:rsid w:val="004B52F3"/>
    <w:rsid w:val="004B5CFC"/>
    <w:rsid w:val="004C17D3"/>
    <w:rsid w:val="004C378C"/>
    <w:rsid w:val="004C4AED"/>
    <w:rsid w:val="004C4BF5"/>
    <w:rsid w:val="004C5440"/>
    <w:rsid w:val="004C5F64"/>
    <w:rsid w:val="004C62AF"/>
    <w:rsid w:val="004C7FA0"/>
    <w:rsid w:val="004D0783"/>
    <w:rsid w:val="004D2769"/>
    <w:rsid w:val="004D385A"/>
    <w:rsid w:val="004D46C9"/>
    <w:rsid w:val="004D4DFC"/>
    <w:rsid w:val="004D5A64"/>
    <w:rsid w:val="004E0119"/>
    <w:rsid w:val="004E0EB8"/>
    <w:rsid w:val="004E2ADC"/>
    <w:rsid w:val="004E43B2"/>
    <w:rsid w:val="004E6904"/>
    <w:rsid w:val="004F1D02"/>
    <w:rsid w:val="004F2679"/>
    <w:rsid w:val="004F3F9E"/>
    <w:rsid w:val="004F5306"/>
    <w:rsid w:val="004F77AC"/>
    <w:rsid w:val="004F7865"/>
    <w:rsid w:val="004F7B84"/>
    <w:rsid w:val="00500711"/>
    <w:rsid w:val="0050473C"/>
    <w:rsid w:val="00505892"/>
    <w:rsid w:val="00506928"/>
    <w:rsid w:val="00507F7F"/>
    <w:rsid w:val="005106AD"/>
    <w:rsid w:val="005112AC"/>
    <w:rsid w:val="00511976"/>
    <w:rsid w:val="00513175"/>
    <w:rsid w:val="005152B5"/>
    <w:rsid w:val="005162B0"/>
    <w:rsid w:val="00516C32"/>
    <w:rsid w:val="005170F1"/>
    <w:rsid w:val="00521319"/>
    <w:rsid w:val="00523C28"/>
    <w:rsid w:val="00523C74"/>
    <w:rsid w:val="0052436E"/>
    <w:rsid w:val="00525A7E"/>
    <w:rsid w:val="005263BD"/>
    <w:rsid w:val="00526C37"/>
    <w:rsid w:val="00531414"/>
    <w:rsid w:val="005320C3"/>
    <w:rsid w:val="005363CB"/>
    <w:rsid w:val="005402C5"/>
    <w:rsid w:val="00541C76"/>
    <w:rsid w:val="00542AFC"/>
    <w:rsid w:val="00542E44"/>
    <w:rsid w:val="00543F17"/>
    <w:rsid w:val="00544958"/>
    <w:rsid w:val="005451F1"/>
    <w:rsid w:val="0054561C"/>
    <w:rsid w:val="00546006"/>
    <w:rsid w:val="0055161B"/>
    <w:rsid w:val="00552BD3"/>
    <w:rsid w:val="00552BF6"/>
    <w:rsid w:val="00552FEC"/>
    <w:rsid w:val="005533CB"/>
    <w:rsid w:val="00555109"/>
    <w:rsid w:val="00557F07"/>
    <w:rsid w:val="00562F33"/>
    <w:rsid w:val="0056696F"/>
    <w:rsid w:val="00572029"/>
    <w:rsid w:val="005743AE"/>
    <w:rsid w:val="00574F9D"/>
    <w:rsid w:val="005750A0"/>
    <w:rsid w:val="00575D8D"/>
    <w:rsid w:val="0057641A"/>
    <w:rsid w:val="00576972"/>
    <w:rsid w:val="00577472"/>
    <w:rsid w:val="00581861"/>
    <w:rsid w:val="00583699"/>
    <w:rsid w:val="00584A1F"/>
    <w:rsid w:val="00597B16"/>
    <w:rsid w:val="005A2D6F"/>
    <w:rsid w:val="005A3B84"/>
    <w:rsid w:val="005A6939"/>
    <w:rsid w:val="005B1D23"/>
    <w:rsid w:val="005B26A1"/>
    <w:rsid w:val="005B43B4"/>
    <w:rsid w:val="005B5857"/>
    <w:rsid w:val="005C06A9"/>
    <w:rsid w:val="005C1727"/>
    <w:rsid w:val="005C1B83"/>
    <w:rsid w:val="005C2CA7"/>
    <w:rsid w:val="005C346B"/>
    <w:rsid w:val="005C77A2"/>
    <w:rsid w:val="005C7FB5"/>
    <w:rsid w:val="005D044D"/>
    <w:rsid w:val="005D1192"/>
    <w:rsid w:val="005D18AD"/>
    <w:rsid w:val="005D3EA4"/>
    <w:rsid w:val="005E1353"/>
    <w:rsid w:val="005E3DF2"/>
    <w:rsid w:val="005E73C0"/>
    <w:rsid w:val="005F0A2B"/>
    <w:rsid w:val="005F1C06"/>
    <w:rsid w:val="005F2706"/>
    <w:rsid w:val="005F5085"/>
    <w:rsid w:val="005F512B"/>
    <w:rsid w:val="005F6A8F"/>
    <w:rsid w:val="0060386D"/>
    <w:rsid w:val="00603C97"/>
    <w:rsid w:val="00603CF1"/>
    <w:rsid w:val="006057BB"/>
    <w:rsid w:val="00607669"/>
    <w:rsid w:val="00611255"/>
    <w:rsid w:val="0061245B"/>
    <w:rsid w:val="0061290E"/>
    <w:rsid w:val="00612A67"/>
    <w:rsid w:val="00612B33"/>
    <w:rsid w:val="00612F97"/>
    <w:rsid w:val="006134E8"/>
    <w:rsid w:val="006147C8"/>
    <w:rsid w:val="006151EB"/>
    <w:rsid w:val="00616802"/>
    <w:rsid w:val="006168C9"/>
    <w:rsid w:val="006176E6"/>
    <w:rsid w:val="00617E12"/>
    <w:rsid w:val="00621477"/>
    <w:rsid w:val="00621652"/>
    <w:rsid w:val="006217C7"/>
    <w:rsid w:val="00623FFE"/>
    <w:rsid w:val="0062541B"/>
    <w:rsid w:val="0062590E"/>
    <w:rsid w:val="006276F0"/>
    <w:rsid w:val="00631D6B"/>
    <w:rsid w:val="00631E03"/>
    <w:rsid w:val="00632C21"/>
    <w:rsid w:val="006335D2"/>
    <w:rsid w:val="006339BF"/>
    <w:rsid w:val="0063475E"/>
    <w:rsid w:val="0063479F"/>
    <w:rsid w:val="006364A1"/>
    <w:rsid w:val="00636682"/>
    <w:rsid w:val="00637BFD"/>
    <w:rsid w:val="00637DA5"/>
    <w:rsid w:val="00640109"/>
    <w:rsid w:val="00641F3B"/>
    <w:rsid w:val="00646364"/>
    <w:rsid w:val="0064669D"/>
    <w:rsid w:val="006471CC"/>
    <w:rsid w:val="00647479"/>
    <w:rsid w:val="00647959"/>
    <w:rsid w:val="00647E9C"/>
    <w:rsid w:val="0065079F"/>
    <w:rsid w:val="00650C0C"/>
    <w:rsid w:val="0065119E"/>
    <w:rsid w:val="006518F4"/>
    <w:rsid w:val="00651AAF"/>
    <w:rsid w:val="00652648"/>
    <w:rsid w:val="00653E2C"/>
    <w:rsid w:val="00653F01"/>
    <w:rsid w:val="00654A53"/>
    <w:rsid w:val="006553F3"/>
    <w:rsid w:val="00655FEC"/>
    <w:rsid w:val="006608D4"/>
    <w:rsid w:val="00660A28"/>
    <w:rsid w:val="00660CED"/>
    <w:rsid w:val="00661275"/>
    <w:rsid w:val="00661AE9"/>
    <w:rsid w:val="00661BAF"/>
    <w:rsid w:val="00661F93"/>
    <w:rsid w:val="006634D2"/>
    <w:rsid w:val="006636C2"/>
    <w:rsid w:val="00664341"/>
    <w:rsid w:val="00664487"/>
    <w:rsid w:val="006679F9"/>
    <w:rsid w:val="00670E74"/>
    <w:rsid w:val="00672269"/>
    <w:rsid w:val="00674E42"/>
    <w:rsid w:val="0068012B"/>
    <w:rsid w:val="0068071C"/>
    <w:rsid w:val="00682112"/>
    <w:rsid w:val="00683AFB"/>
    <w:rsid w:val="00683D56"/>
    <w:rsid w:val="00684E6A"/>
    <w:rsid w:val="006872BA"/>
    <w:rsid w:val="00687637"/>
    <w:rsid w:val="00690145"/>
    <w:rsid w:val="0069086D"/>
    <w:rsid w:val="0069126F"/>
    <w:rsid w:val="0069128B"/>
    <w:rsid w:val="006917D7"/>
    <w:rsid w:val="006937A9"/>
    <w:rsid w:val="00694097"/>
    <w:rsid w:val="00694F44"/>
    <w:rsid w:val="00695941"/>
    <w:rsid w:val="00697DE8"/>
    <w:rsid w:val="006A1071"/>
    <w:rsid w:val="006A1EB0"/>
    <w:rsid w:val="006A4C48"/>
    <w:rsid w:val="006A5620"/>
    <w:rsid w:val="006B0A8D"/>
    <w:rsid w:val="006B15CA"/>
    <w:rsid w:val="006B374F"/>
    <w:rsid w:val="006C2A8E"/>
    <w:rsid w:val="006C2E6D"/>
    <w:rsid w:val="006C336F"/>
    <w:rsid w:val="006C4DC6"/>
    <w:rsid w:val="006D0A01"/>
    <w:rsid w:val="006D3C7D"/>
    <w:rsid w:val="006D5C99"/>
    <w:rsid w:val="006D5D5F"/>
    <w:rsid w:val="006D5FC1"/>
    <w:rsid w:val="006D63FC"/>
    <w:rsid w:val="006D6AE5"/>
    <w:rsid w:val="006E10F8"/>
    <w:rsid w:val="006E147D"/>
    <w:rsid w:val="006E1623"/>
    <w:rsid w:val="006E251C"/>
    <w:rsid w:val="006E48D0"/>
    <w:rsid w:val="006E5C39"/>
    <w:rsid w:val="006E69E6"/>
    <w:rsid w:val="006E6C36"/>
    <w:rsid w:val="006F0AA4"/>
    <w:rsid w:val="006F0C1C"/>
    <w:rsid w:val="006F3FFE"/>
    <w:rsid w:val="006F63A5"/>
    <w:rsid w:val="006F6AA4"/>
    <w:rsid w:val="00700859"/>
    <w:rsid w:val="0070276E"/>
    <w:rsid w:val="00702F8F"/>
    <w:rsid w:val="00704B3A"/>
    <w:rsid w:val="00704DB5"/>
    <w:rsid w:val="00711A36"/>
    <w:rsid w:val="0071200A"/>
    <w:rsid w:val="007120A7"/>
    <w:rsid w:val="00712269"/>
    <w:rsid w:val="00715820"/>
    <w:rsid w:val="00715B5D"/>
    <w:rsid w:val="00715BBA"/>
    <w:rsid w:val="00715CF0"/>
    <w:rsid w:val="007172AD"/>
    <w:rsid w:val="007178D3"/>
    <w:rsid w:val="00720BDB"/>
    <w:rsid w:val="00721586"/>
    <w:rsid w:val="00722F44"/>
    <w:rsid w:val="007237D8"/>
    <w:rsid w:val="007239D6"/>
    <w:rsid w:val="00723F6E"/>
    <w:rsid w:val="0072416F"/>
    <w:rsid w:val="00724C5F"/>
    <w:rsid w:val="00726CB4"/>
    <w:rsid w:val="00727557"/>
    <w:rsid w:val="00727D32"/>
    <w:rsid w:val="0073016B"/>
    <w:rsid w:val="0073073A"/>
    <w:rsid w:val="0073077E"/>
    <w:rsid w:val="00730EF5"/>
    <w:rsid w:val="00735328"/>
    <w:rsid w:val="0073685B"/>
    <w:rsid w:val="00737BEA"/>
    <w:rsid w:val="00737CE6"/>
    <w:rsid w:val="00742039"/>
    <w:rsid w:val="00744BA8"/>
    <w:rsid w:val="00750948"/>
    <w:rsid w:val="00750FF6"/>
    <w:rsid w:val="007530C6"/>
    <w:rsid w:val="007619DD"/>
    <w:rsid w:val="00764057"/>
    <w:rsid w:val="00764083"/>
    <w:rsid w:val="007647F3"/>
    <w:rsid w:val="00771D92"/>
    <w:rsid w:val="00772E75"/>
    <w:rsid w:val="007732F1"/>
    <w:rsid w:val="007743B4"/>
    <w:rsid w:val="007748E5"/>
    <w:rsid w:val="007759B5"/>
    <w:rsid w:val="00775E20"/>
    <w:rsid w:val="0077676C"/>
    <w:rsid w:val="00776C4C"/>
    <w:rsid w:val="00781420"/>
    <w:rsid w:val="00781C93"/>
    <w:rsid w:val="0078325D"/>
    <w:rsid w:val="0078350B"/>
    <w:rsid w:val="00783CE3"/>
    <w:rsid w:val="007873F2"/>
    <w:rsid w:val="00787F21"/>
    <w:rsid w:val="0079485B"/>
    <w:rsid w:val="0079780E"/>
    <w:rsid w:val="007A0790"/>
    <w:rsid w:val="007A0A12"/>
    <w:rsid w:val="007A5730"/>
    <w:rsid w:val="007B251D"/>
    <w:rsid w:val="007B4AE6"/>
    <w:rsid w:val="007B5909"/>
    <w:rsid w:val="007B6364"/>
    <w:rsid w:val="007B77D1"/>
    <w:rsid w:val="007B7D43"/>
    <w:rsid w:val="007C1C7A"/>
    <w:rsid w:val="007C226D"/>
    <w:rsid w:val="007C22B2"/>
    <w:rsid w:val="007C231D"/>
    <w:rsid w:val="007C361D"/>
    <w:rsid w:val="007C5249"/>
    <w:rsid w:val="007C640B"/>
    <w:rsid w:val="007C69B7"/>
    <w:rsid w:val="007D0B38"/>
    <w:rsid w:val="007D1765"/>
    <w:rsid w:val="007D35A5"/>
    <w:rsid w:val="007D62DD"/>
    <w:rsid w:val="007D7E2A"/>
    <w:rsid w:val="007E0A02"/>
    <w:rsid w:val="007E2474"/>
    <w:rsid w:val="007E60F5"/>
    <w:rsid w:val="007E6BEB"/>
    <w:rsid w:val="007F0613"/>
    <w:rsid w:val="007F0C9F"/>
    <w:rsid w:val="007F1017"/>
    <w:rsid w:val="007F149A"/>
    <w:rsid w:val="007F38B0"/>
    <w:rsid w:val="007F4A3F"/>
    <w:rsid w:val="007F57C9"/>
    <w:rsid w:val="007F5C18"/>
    <w:rsid w:val="007F69E5"/>
    <w:rsid w:val="007F6C15"/>
    <w:rsid w:val="007F7DCA"/>
    <w:rsid w:val="00802A4B"/>
    <w:rsid w:val="00804CF1"/>
    <w:rsid w:val="00805142"/>
    <w:rsid w:val="00807A8B"/>
    <w:rsid w:val="008111F3"/>
    <w:rsid w:val="00812149"/>
    <w:rsid w:val="008136EA"/>
    <w:rsid w:val="0081382D"/>
    <w:rsid w:val="008166EF"/>
    <w:rsid w:val="0082211D"/>
    <w:rsid w:val="00822510"/>
    <w:rsid w:val="00822A5F"/>
    <w:rsid w:val="008264A0"/>
    <w:rsid w:val="008264EB"/>
    <w:rsid w:val="0082798B"/>
    <w:rsid w:val="00827B03"/>
    <w:rsid w:val="00830000"/>
    <w:rsid w:val="00832183"/>
    <w:rsid w:val="00832DCA"/>
    <w:rsid w:val="00832E15"/>
    <w:rsid w:val="00833B05"/>
    <w:rsid w:val="00834B28"/>
    <w:rsid w:val="00835B2C"/>
    <w:rsid w:val="00836A71"/>
    <w:rsid w:val="0083712E"/>
    <w:rsid w:val="00840CA2"/>
    <w:rsid w:val="00841520"/>
    <w:rsid w:val="00842664"/>
    <w:rsid w:val="0085122E"/>
    <w:rsid w:val="0085194F"/>
    <w:rsid w:val="00854B4E"/>
    <w:rsid w:val="008563E9"/>
    <w:rsid w:val="00856E9A"/>
    <w:rsid w:val="00856FF9"/>
    <w:rsid w:val="008575D9"/>
    <w:rsid w:val="00862502"/>
    <w:rsid w:val="00862BB1"/>
    <w:rsid w:val="00864079"/>
    <w:rsid w:val="00865CE6"/>
    <w:rsid w:val="00867159"/>
    <w:rsid w:val="008705E6"/>
    <w:rsid w:val="00870E56"/>
    <w:rsid w:val="008714D9"/>
    <w:rsid w:val="00875E5F"/>
    <w:rsid w:val="00876317"/>
    <w:rsid w:val="00877159"/>
    <w:rsid w:val="00877C7E"/>
    <w:rsid w:val="00880C52"/>
    <w:rsid w:val="008810CB"/>
    <w:rsid w:val="008819F7"/>
    <w:rsid w:val="00882874"/>
    <w:rsid w:val="00883007"/>
    <w:rsid w:val="00883787"/>
    <w:rsid w:val="00883A15"/>
    <w:rsid w:val="00884B86"/>
    <w:rsid w:val="00887360"/>
    <w:rsid w:val="008877E1"/>
    <w:rsid w:val="00890F3C"/>
    <w:rsid w:val="00890FBB"/>
    <w:rsid w:val="008910FD"/>
    <w:rsid w:val="00894489"/>
    <w:rsid w:val="008963A5"/>
    <w:rsid w:val="00897ABB"/>
    <w:rsid w:val="008A109D"/>
    <w:rsid w:val="008A2B63"/>
    <w:rsid w:val="008A3C3E"/>
    <w:rsid w:val="008A45C8"/>
    <w:rsid w:val="008A4B64"/>
    <w:rsid w:val="008A59D4"/>
    <w:rsid w:val="008A79DE"/>
    <w:rsid w:val="008B0A3F"/>
    <w:rsid w:val="008B1197"/>
    <w:rsid w:val="008B6050"/>
    <w:rsid w:val="008B7514"/>
    <w:rsid w:val="008B7D7E"/>
    <w:rsid w:val="008B7EBE"/>
    <w:rsid w:val="008B7F96"/>
    <w:rsid w:val="008C0DAE"/>
    <w:rsid w:val="008C3BCD"/>
    <w:rsid w:val="008C458E"/>
    <w:rsid w:val="008C768A"/>
    <w:rsid w:val="008C7ECB"/>
    <w:rsid w:val="008D2655"/>
    <w:rsid w:val="008D2883"/>
    <w:rsid w:val="008D3E68"/>
    <w:rsid w:val="008D5912"/>
    <w:rsid w:val="008E1B9E"/>
    <w:rsid w:val="008E2FE2"/>
    <w:rsid w:val="008E3611"/>
    <w:rsid w:val="008E3AD9"/>
    <w:rsid w:val="008E69E7"/>
    <w:rsid w:val="008F1128"/>
    <w:rsid w:val="008F120A"/>
    <w:rsid w:val="008F1466"/>
    <w:rsid w:val="008F48EB"/>
    <w:rsid w:val="008F4F0B"/>
    <w:rsid w:val="008F5F77"/>
    <w:rsid w:val="008F7A63"/>
    <w:rsid w:val="009008BC"/>
    <w:rsid w:val="00902165"/>
    <w:rsid w:val="00903455"/>
    <w:rsid w:val="009062A5"/>
    <w:rsid w:val="00906898"/>
    <w:rsid w:val="00910C94"/>
    <w:rsid w:val="00911272"/>
    <w:rsid w:val="009142C8"/>
    <w:rsid w:val="00915A85"/>
    <w:rsid w:val="00916608"/>
    <w:rsid w:val="00916755"/>
    <w:rsid w:val="0092018A"/>
    <w:rsid w:val="00920FD6"/>
    <w:rsid w:val="00921C4D"/>
    <w:rsid w:val="00921FEE"/>
    <w:rsid w:val="00922F4F"/>
    <w:rsid w:val="0092321E"/>
    <w:rsid w:val="0092357B"/>
    <w:rsid w:val="0092546C"/>
    <w:rsid w:val="00926981"/>
    <w:rsid w:val="0093116D"/>
    <w:rsid w:val="009317D8"/>
    <w:rsid w:val="009318A9"/>
    <w:rsid w:val="009329E9"/>
    <w:rsid w:val="009344C7"/>
    <w:rsid w:val="009356DE"/>
    <w:rsid w:val="00935A53"/>
    <w:rsid w:val="00935C9F"/>
    <w:rsid w:val="00936A26"/>
    <w:rsid w:val="00936AA7"/>
    <w:rsid w:val="00937EC9"/>
    <w:rsid w:val="00941B6A"/>
    <w:rsid w:val="00944329"/>
    <w:rsid w:val="00945EE6"/>
    <w:rsid w:val="009521C4"/>
    <w:rsid w:val="009532AD"/>
    <w:rsid w:val="00954396"/>
    <w:rsid w:val="0095546A"/>
    <w:rsid w:val="0095600A"/>
    <w:rsid w:val="00962CB9"/>
    <w:rsid w:val="0096348A"/>
    <w:rsid w:val="00964312"/>
    <w:rsid w:val="009643F0"/>
    <w:rsid w:val="0096759F"/>
    <w:rsid w:val="009708DF"/>
    <w:rsid w:val="00975A9C"/>
    <w:rsid w:val="00980173"/>
    <w:rsid w:val="00981009"/>
    <w:rsid w:val="00981993"/>
    <w:rsid w:val="00981FD3"/>
    <w:rsid w:val="00983404"/>
    <w:rsid w:val="00983434"/>
    <w:rsid w:val="00983E57"/>
    <w:rsid w:val="00984504"/>
    <w:rsid w:val="00985AF2"/>
    <w:rsid w:val="00987AAE"/>
    <w:rsid w:val="00987C8C"/>
    <w:rsid w:val="009902CA"/>
    <w:rsid w:val="009914F2"/>
    <w:rsid w:val="00991FE8"/>
    <w:rsid w:val="00992D0F"/>
    <w:rsid w:val="00996334"/>
    <w:rsid w:val="00996B1A"/>
    <w:rsid w:val="00996E59"/>
    <w:rsid w:val="00997AAA"/>
    <w:rsid w:val="009A19BE"/>
    <w:rsid w:val="009A1D25"/>
    <w:rsid w:val="009A323B"/>
    <w:rsid w:val="009A32D2"/>
    <w:rsid w:val="009A53E3"/>
    <w:rsid w:val="009A5AC8"/>
    <w:rsid w:val="009A7DC3"/>
    <w:rsid w:val="009B19F1"/>
    <w:rsid w:val="009B2B0E"/>
    <w:rsid w:val="009B3E26"/>
    <w:rsid w:val="009B407B"/>
    <w:rsid w:val="009B47BE"/>
    <w:rsid w:val="009B4E07"/>
    <w:rsid w:val="009B4F16"/>
    <w:rsid w:val="009B6B54"/>
    <w:rsid w:val="009C13D3"/>
    <w:rsid w:val="009C1CBD"/>
    <w:rsid w:val="009C462A"/>
    <w:rsid w:val="009C572D"/>
    <w:rsid w:val="009C5783"/>
    <w:rsid w:val="009C6098"/>
    <w:rsid w:val="009C6D8D"/>
    <w:rsid w:val="009D01B6"/>
    <w:rsid w:val="009D0C66"/>
    <w:rsid w:val="009D322F"/>
    <w:rsid w:val="009D4181"/>
    <w:rsid w:val="009D4CCE"/>
    <w:rsid w:val="009D5B91"/>
    <w:rsid w:val="009D5E81"/>
    <w:rsid w:val="009D671B"/>
    <w:rsid w:val="009E0E53"/>
    <w:rsid w:val="009E4C07"/>
    <w:rsid w:val="009E50AC"/>
    <w:rsid w:val="009E50C2"/>
    <w:rsid w:val="009E5213"/>
    <w:rsid w:val="009E5A3C"/>
    <w:rsid w:val="009F0C56"/>
    <w:rsid w:val="009F5F95"/>
    <w:rsid w:val="00A00504"/>
    <w:rsid w:val="00A02916"/>
    <w:rsid w:val="00A03D43"/>
    <w:rsid w:val="00A04104"/>
    <w:rsid w:val="00A04380"/>
    <w:rsid w:val="00A06DF4"/>
    <w:rsid w:val="00A1041C"/>
    <w:rsid w:val="00A10FB2"/>
    <w:rsid w:val="00A111C2"/>
    <w:rsid w:val="00A114A3"/>
    <w:rsid w:val="00A123FA"/>
    <w:rsid w:val="00A13948"/>
    <w:rsid w:val="00A20D6B"/>
    <w:rsid w:val="00A242D2"/>
    <w:rsid w:val="00A253A4"/>
    <w:rsid w:val="00A2653B"/>
    <w:rsid w:val="00A27A83"/>
    <w:rsid w:val="00A27AEC"/>
    <w:rsid w:val="00A308B3"/>
    <w:rsid w:val="00A30E3D"/>
    <w:rsid w:val="00A32994"/>
    <w:rsid w:val="00A32A63"/>
    <w:rsid w:val="00A33946"/>
    <w:rsid w:val="00A33C3C"/>
    <w:rsid w:val="00A35D16"/>
    <w:rsid w:val="00A3603A"/>
    <w:rsid w:val="00A37F64"/>
    <w:rsid w:val="00A41913"/>
    <w:rsid w:val="00A41A95"/>
    <w:rsid w:val="00A426EC"/>
    <w:rsid w:val="00A43C59"/>
    <w:rsid w:val="00A4575A"/>
    <w:rsid w:val="00A45832"/>
    <w:rsid w:val="00A45EA5"/>
    <w:rsid w:val="00A4614B"/>
    <w:rsid w:val="00A50ECD"/>
    <w:rsid w:val="00A52729"/>
    <w:rsid w:val="00A53675"/>
    <w:rsid w:val="00A53B46"/>
    <w:rsid w:val="00A54F6C"/>
    <w:rsid w:val="00A5666E"/>
    <w:rsid w:val="00A56B6A"/>
    <w:rsid w:val="00A578DC"/>
    <w:rsid w:val="00A60590"/>
    <w:rsid w:val="00A627F3"/>
    <w:rsid w:val="00A632C4"/>
    <w:rsid w:val="00A655BF"/>
    <w:rsid w:val="00A6725B"/>
    <w:rsid w:val="00A70B70"/>
    <w:rsid w:val="00A70C63"/>
    <w:rsid w:val="00A70FA7"/>
    <w:rsid w:val="00A7154C"/>
    <w:rsid w:val="00A71591"/>
    <w:rsid w:val="00A71C96"/>
    <w:rsid w:val="00A71F49"/>
    <w:rsid w:val="00A74BB6"/>
    <w:rsid w:val="00A77396"/>
    <w:rsid w:val="00A77952"/>
    <w:rsid w:val="00A77C88"/>
    <w:rsid w:val="00A8021F"/>
    <w:rsid w:val="00A82017"/>
    <w:rsid w:val="00A82BE0"/>
    <w:rsid w:val="00A83CC9"/>
    <w:rsid w:val="00A850A0"/>
    <w:rsid w:val="00A8572E"/>
    <w:rsid w:val="00A85EE1"/>
    <w:rsid w:val="00A86E8B"/>
    <w:rsid w:val="00A872D8"/>
    <w:rsid w:val="00A87C02"/>
    <w:rsid w:val="00A90968"/>
    <w:rsid w:val="00A93072"/>
    <w:rsid w:val="00A94842"/>
    <w:rsid w:val="00A94F37"/>
    <w:rsid w:val="00A959D8"/>
    <w:rsid w:val="00A96D2E"/>
    <w:rsid w:val="00AA116B"/>
    <w:rsid w:val="00AA25FB"/>
    <w:rsid w:val="00AA2697"/>
    <w:rsid w:val="00AA5798"/>
    <w:rsid w:val="00AA68CB"/>
    <w:rsid w:val="00AB042A"/>
    <w:rsid w:val="00AB2262"/>
    <w:rsid w:val="00AB2D34"/>
    <w:rsid w:val="00AB3430"/>
    <w:rsid w:val="00AB3AAA"/>
    <w:rsid w:val="00AB5728"/>
    <w:rsid w:val="00AB7CFA"/>
    <w:rsid w:val="00AC30E0"/>
    <w:rsid w:val="00AC3648"/>
    <w:rsid w:val="00AC49F3"/>
    <w:rsid w:val="00AC5E53"/>
    <w:rsid w:val="00AC6B05"/>
    <w:rsid w:val="00AC71F3"/>
    <w:rsid w:val="00AC7B6E"/>
    <w:rsid w:val="00AD1795"/>
    <w:rsid w:val="00AD44B1"/>
    <w:rsid w:val="00AD6CD4"/>
    <w:rsid w:val="00AD7A86"/>
    <w:rsid w:val="00AE0EC8"/>
    <w:rsid w:val="00AE21EE"/>
    <w:rsid w:val="00AE2859"/>
    <w:rsid w:val="00AE2AB5"/>
    <w:rsid w:val="00AE46A4"/>
    <w:rsid w:val="00AE74E4"/>
    <w:rsid w:val="00AE7909"/>
    <w:rsid w:val="00AF0C91"/>
    <w:rsid w:val="00AF1B80"/>
    <w:rsid w:val="00AF2684"/>
    <w:rsid w:val="00AF59BB"/>
    <w:rsid w:val="00AF6F95"/>
    <w:rsid w:val="00B01D4B"/>
    <w:rsid w:val="00B03DB3"/>
    <w:rsid w:val="00B043C2"/>
    <w:rsid w:val="00B051F8"/>
    <w:rsid w:val="00B054C0"/>
    <w:rsid w:val="00B05DC1"/>
    <w:rsid w:val="00B10928"/>
    <w:rsid w:val="00B13C2C"/>
    <w:rsid w:val="00B13CEF"/>
    <w:rsid w:val="00B14033"/>
    <w:rsid w:val="00B14B7E"/>
    <w:rsid w:val="00B15791"/>
    <w:rsid w:val="00B16EF4"/>
    <w:rsid w:val="00B177A3"/>
    <w:rsid w:val="00B17B30"/>
    <w:rsid w:val="00B21B09"/>
    <w:rsid w:val="00B21F8B"/>
    <w:rsid w:val="00B23FDF"/>
    <w:rsid w:val="00B24BB0"/>
    <w:rsid w:val="00B26790"/>
    <w:rsid w:val="00B267A7"/>
    <w:rsid w:val="00B26BCE"/>
    <w:rsid w:val="00B311D5"/>
    <w:rsid w:val="00B31CB0"/>
    <w:rsid w:val="00B338EA"/>
    <w:rsid w:val="00B341DD"/>
    <w:rsid w:val="00B42851"/>
    <w:rsid w:val="00B42988"/>
    <w:rsid w:val="00B42E51"/>
    <w:rsid w:val="00B50CAB"/>
    <w:rsid w:val="00B50DB8"/>
    <w:rsid w:val="00B512CF"/>
    <w:rsid w:val="00B525F3"/>
    <w:rsid w:val="00B52C4E"/>
    <w:rsid w:val="00B53214"/>
    <w:rsid w:val="00B53905"/>
    <w:rsid w:val="00B54B5B"/>
    <w:rsid w:val="00B5562E"/>
    <w:rsid w:val="00B5662B"/>
    <w:rsid w:val="00B57000"/>
    <w:rsid w:val="00B608C5"/>
    <w:rsid w:val="00B60939"/>
    <w:rsid w:val="00B60AFD"/>
    <w:rsid w:val="00B62715"/>
    <w:rsid w:val="00B63F6D"/>
    <w:rsid w:val="00B649C8"/>
    <w:rsid w:val="00B64AB7"/>
    <w:rsid w:val="00B656DB"/>
    <w:rsid w:val="00B65B0B"/>
    <w:rsid w:val="00B66B70"/>
    <w:rsid w:val="00B66F7E"/>
    <w:rsid w:val="00B729C6"/>
    <w:rsid w:val="00B72ABA"/>
    <w:rsid w:val="00B72CD8"/>
    <w:rsid w:val="00B73A3C"/>
    <w:rsid w:val="00B74279"/>
    <w:rsid w:val="00B80E6F"/>
    <w:rsid w:val="00B818A4"/>
    <w:rsid w:val="00B823D7"/>
    <w:rsid w:val="00B82D41"/>
    <w:rsid w:val="00B8364A"/>
    <w:rsid w:val="00B83CB6"/>
    <w:rsid w:val="00B8649C"/>
    <w:rsid w:val="00B872A0"/>
    <w:rsid w:val="00B90753"/>
    <w:rsid w:val="00B91BFC"/>
    <w:rsid w:val="00B92D0B"/>
    <w:rsid w:val="00B93506"/>
    <w:rsid w:val="00B948A5"/>
    <w:rsid w:val="00B94945"/>
    <w:rsid w:val="00B95810"/>
    <w:rsid w:val="00B97B49"/>
    <w:rsid w:val="00BA0167"/>
    <w:rsid w:val="00BA06C6"/>
    <w:rsid w:val="00BA16D1"/>
    <w:rsid w:val="00BA41EB"/>
    <w:rsid w:val="00BA5F58"/>
    <w:rsid w:val="00BB0A3C"/>
    <w:rsid w:val="00BB1113"/>
    <w:rsid w:val="00BB39D1"/>
    <w:rsid w:val="00BB3BC5"/>
    <w:rsid w:val="00BB7405"/>
    <w:rsid w:val="00BC2278"/>
    <w:rsid w:val="00BC39AB"/>
    <w:rsid w:val="00BC4EDD"/>
    <w:rsid w:val="00BC549C"/>
    <w:rsid w:val="00BC7A33"/>
    <w:rsid w:val="00BD08CA"/>
    <w:rsid w:val="00BD2E5A"/>
    <w:rsid w:val="00BD3846"/>
    <w:rsid w:val="00BD4316"/>
    <w:rsid w:val="00BD6CF3"/>
    <w:rsid w:val="00BD73A9"/>
    <w:rsid w:val="00BD75B2"/>
    <w:rsid w:val="00BE2180"/>
    <w:rsid w:val="00BE2CE2"/>
    <w:rsid w:val="00BE3E83"/>
    <w:rsid w:val="00BE4275"/>
    <w:rsid w:val="00BE656B"/>
    <w:rsid w:val="00BE74A1"/>
    <w:rsid w:val="00BF1582"/>
    <w:rsid w:val="00BF209C"/>
    <w:rsid w:val="00BF2433"/>
    <w:rsid w:val="00BF47E8"/>
    <w:rsid w:val="00BF4BBE"/>
    <w:rsid w:val="00BF5106"/>
    <w:rsid w:val="00BF5E33"/>
    <w:rsid w:val="00BF6082"/>
    <w:rsid w:val="00BF61C9"/>
    <w:rsid w:val="00BF67A5"/>
    <w:rsid w:val="00BF6DF9"/>
    <w:rsid w:val="00C04894"/>
    <w:rsid w:val="00C050FC"/>
    <w:rsid w:val="00C0702A"/>
    <w:rsid w:val="00C11E71"/>
    <w:rsid w:val="00C143CA"/>
    <w:rsid w:val="00C17430"/>
    <w:rsid w:val="00C21457"/>
    <w:rsid w:val="00C24161"/>
    <w:rsid w:val="00C2417A"/>
    <w:rsid w:val="00C249E6"/>
    <w:rsid w:val="00C25418"/>
    <w:rsid w:val="00C25D9C"/>
    <w:rsid w:val="00C260FC"/>
    <w:rsid w:val="00C2616E"/>
    <w:rsid w:val="00C26712"/>
    <w:rsid w:val="00C26DAE"/>
    <w:rsid w:val="00C26F07"/>
    <w:rsid w:val="00C273C8"/>
    <w:rsid w:val="00C27CC9"/>
    <w:rsid w:val="00C30152"/>
    <w:rsid w:val="00C31649"/>
    <w:rsid w:val="00C3203E"/>
    <w:rsid w:val="00C32848"/>
    <w:rsid w:val="00C4031E"/>
    <w:rsid w:val="00C40385"/>
    <w:rsid w:val="00C41DA2"/>
    <w:rsid w:val="00C44E7B"/>
    <w:rsid w:val="00C50159"/>
    <w:rsid w:val="00C503A5"/>
    <w:rsid w:val="00C507C7"/>
    <w:rsid w:val="00C56D6A"/>
    <w:rsid w:val="00C61779"/>
    <w:rsid w:val="00C63953"/>
    <w:rsid w:val="00C65576"/>
    <w:rsid w:val="00C656A9"/>
    <w:rsid w:val="00C656C2"/>
    <w:rsid w:val="00C66165"/>
    <w:rsid w:val="00C6713A"/>
    <w:rsid w:val="00C71A55"/>
    <w:rsid w:val="00C74CC1"/>
    <w:rsid w:val="00C750C8"/>
    <w:rsid w:val="00C75DA4"/>
    <w:rsid w:val="00C776E6"/>
    <w:rsid w:val="00C81A01"/>
    <w:rsid w:val="00C8213F"/>
    <w:rsid w:val="00C840AF"/>
    <w:rsid w:val="00C851BA"/>
    <w:rsid w:val="00C851E5"/>
    <w:rsid w:val="00C8580D"/>
    <w:rsid w:val="00C85963"/>
    <w:rsid w:val="00C874AD"/>
    <w:rsid w:val="00C8797A"/>
    <w:rsid w:val="00C938CF"/>
    <w:rsid w:val="00C93C22"/>
    <w:rsid w:val="00C93C4F"/>
    <w:rsid w:val="00CA21AD"/>
    <w:rsid w:val="00CA24BF"/>
    <w:rsid w:val="00CA32A5"/>
    <w:rsid w:val="00CA4084"/>
    <w:rsid w:val="00CA4118"/>
    <w:rsid w:val="00CA4BBD"/>
    <w:rsid w:val="00CA5245"/>
    <w:rsid w:val="00CA62B5"/>
    <w:rsid w:val="00CA7B09"/>
    <w:rsid w:val="00CA7BBA"/>
    <w:rsid w:val="00CB0772"/>
    <w:rsid w:val="00CB0E83"/>
    <w:rsid w:val="00CB19BD"/>
    <w:rsid w:val="00CB34A4"/>
    <w:rsid w:val="00CB3543"/>
    <w:rsid w:val="00CB4267"/>
    <w:rsid w:val="00CB4BA9"/>
    <w:rsid w:val="00CB5B1A"/>
    <w:rsid w:val="00CB7561"/>
    <w:rsid w:val="00CB7794"/>
    <w:rsid w:val="00CB7CBB"/>
    <w:rsid w:val="00CC047A"/>
    <w:rsid w:val="00CC1110"/>
    <w:rsid w:val="00CC2DE6"/>
    <w:rsid w:val="00CC3179"/>
    <w:rsid w:val="00CD3397"/>
    <w:rsid w:val="00CD38C8"/>
    <w:rsid w:val="00CD401B"/>
    <w:rsid w:val="00CD5134"/>
    <w:rsid w:val="00CD5C51"/>
    <w:rsid w:val="00CD6ADC"/>
    <w:rsid w:val="00CE0DA0"/>
    <w:rsid w:val="00CE1848"/>
    <w:rsid w:val="00CE4A2A"/>
    <w:rsid w:val="00CE5F42"/>
    <w:rsid w:val="00CE6274"/>
    <w:rsid w:val="00CE6FD1"/>
    <w:rsid w:val="00CE7E07"/>
    <w:rsid w:val="00CF456B"/>
    <w:rsid w:val="00CF5869"/>
    <w:rsid w:val="00CF5A22"/>
    <w:rsid w:val="00D0058F"/>
    <w:rsid w:val="00D00792"/>
    <w:rsid w:val="00D0107D"/>
    <w:rsid w:val="00D01E82"/>
    <w:rsid w:val="00D0262E"/>
    <w:rsid w:val="00D0269E"/>
    <w:rsid w:val="00D040CC"/>
    <w:rsid w:val="00D04283"/>
    <w:rsid w:val="00D0796D"/>
    <w:rsid w:val="00D110BD"/>
    <w:rsid w:val="00D1114B"/>
    <w:rsid w:val="00D11301"/>
    <w:rsid w:val="00D11918"/>
    <w:rsid w:val="00D14F3E"/>
    <w:rsid w:val="00D15219"/>
    <w:rsid w:val="00D15F8B"/>
    <w:rsid w:val="00D166D4"/>
    <w:rsid w:val="00D17335"/>
    <w:rsid w:val="00D17D6C"/>
    <w:rsid w:val="00D20DAA"/>
    <w:rsid w:val="00D2125D"/>
    <w:rsid w:val="00D250C4"/>
    <w:rsid w:val="00D25F49"/>
    <w:rsid w:val="00D260C2"/>
    <w:rsid w:val="00D2628D"/>
    <w:rsid w:val="00D27496"/>
    <w:rsid w:val="00D2798A"/>
    <w:rsid w:val="00D30820"/>
    <w:rsid w:val="00D3350C"/>
    <w:rsid w:val="00D33631"/>
    <w:rsid w:val="00D34006"/>
    <w:rsid w:val="00D357FF"/>
    <w:rsid w:val="00D36847"/>
    <w:rsid w:val="00D36C51"/>
    <w:rsid w:val="00D415D9"/>
    <w:rsid w:val="00D42238"/>
    <w:rsid w:val="00D42334"/>
    <w:rsid w:val="00D43B49"/>
    <w:rsid w:val="00D45144"/>
    <w:rsid w:val="00D45771"/>
    <w:rsid w:val="00D47F8B"/>
    <w:rsid w:val="00D52EF4"/>
    <w:rsid w:val="00D547CE"/>
    <w:rsid w:val="00D548B5"/>
    <w:rsid w:val="00D6013B"/>
    <w:rsid w:val="00D618BE"/>
    <w:rsid w:val="00D6522C"/>
    <w:rsid w:val="00D70E1E"/>
    <w:rsid w:val="00D749CB"/>
    <w:rsid w:val="00D76A44"/>
    <w:rsid w:val="00D77E72"/>
    <w:rsid w:val="00D8052A"/>
    <w:rsid w:val="00D81B5C"/>
    <w:rsid w:val="00D82039"/>
    <w:rsid w:val="00D825A7"/>
    <w:rsid w:val="00D82AD3"/>
    <w:rsid w:val="00D82C24"/>
    <w:rsid w:val="00D847F8"/>
    <w:rsid w:val="00D85F17"/>
    <w:rsid w:val="00D86214"/>
    <w:rsid w:val="00D90D4D"/>
    <w:rsid w:val="00D91E90"/>
    <w:rsid w:val="00D92873"/>
    <w:rsid w:val="00D92D63"/>
    <w:rsid w:val="00D93713"/>
    <w:rsid w:val="00D93753"/>
    <w:rsid w:val="00D940F4"/>
    <w:rsid w:val="00D97332"/>
    <w:rsid w:val="00D977E5"/>
    <w:rsid w:val="00D97FA7"/>
    <w:rsid w:val="00DA10FC"/>
    <w:rsid w:val="00DA1DFF"/>
    <w:rsid w:val="00DA1E9B"/>
    <w:rsid w:val="00DA247E"/>
    <w:rsid w:val="00DA47E0"/>
    <w:rsid w:val="00DA77A5"/>
    <w:rsid w:val="00DA77CF"/>
    <w:rsid w:val="00DB235F"/>
    <w:rsid w:val="00DB2915"/>
    <w:rsid w:val="00DB5AFA"/>
    <w:rsid w:val="00DB5D9E"/>
    <w:rsid w:val="00DC50A0"/>
    <w:rsid w:val="00DC5501"/>
    <w:rsid w:val="00DC6818"/>
    <w:rsid w:val="00DC7209"/>
    <w:rsid w:val="00DC7FAA"/>
    <w:rsid w:val="00DD2603"/>
    <w:rsid w:val="00DD2D90"/>
    <w:rsid w:val="00DD2F6C"/>
    <w:rsid w:val="00DD3F28"/>
    <w:rsid w:val="00DD4492"/>
    <w:rsid w:val="00DD4537"/>
    <w:rsid w:val="00DD48C7"/>
    <w:rsid w:val="00DD4E15"/>
    <w:rsid w:val="00DE3245"/>
    <w:rsid w:val="00DE4C0E"/>
    <w:rsid w:val="00DE4FCB"/>
    <w:rsid w:val="00DE5044"/>
    <w:rsid w:val="00DE53B8"/>
    <w:rsid w:val="00DE5CB4"/>
    <w:rsid w:val="00DE7844"/>
    <w:rsid w:val="00DF4642"/>
    <w:rsid w:val="00DF4F5F"/>
    <w:rsid w:val="00DF5D2B"/>
    <w:rsid w:val="00DF624C"/>
    <w:rsid w:val="00DF6D80"/>
    <w:rsid w:val="00E0023A"/>
    <w:rsid w:val="00E0294B"/>
    <w:rsid w:val="00E10149"/>
    <w:rsid w:val="00E10B0F"/>
    <w:rsid w:val="00E12F00"/>
    <w:rsid w:val="00E13390"/>
    <w:rsid w:val="00E1394B"/>
    <w:rsid w:val="00E16233"/>
    <w:rsid w:val="00E16372"/>
    <w:rsid w:val="00E17845"/>
    <w:rsid w:val="00E20ED6"/>
    <w:rsid w:val="00E20F27"/>
    <w:rsid w:val="00E21358"/>
    <w:rsid w:val="00E2249B"/>
    <w:rsid w:val="00E22A0D"/>
    <w:rsid w:val="00E2771E"/>
    <w:rsid w:val="00E304E1"/>
    <w:rsid w:val="00E3216C"/>
    <w:rsid w:val="00E3395E"/>
    <w:rsid w:val="00E33AAC"/>
    <w:rsid w:val="00E3524D"/>
    <w:rsid w:val="00E36978"/>
    <w:rsid w:val="00E37557"/>
    <w:rsid w:val="00E37569"/>
    <w:rsid w:val="00E40496"/>
    <w:rsid w:val="00E40862"/>
    <w:rsid w:val="00E41E30"/>
    <w:rsid w:val="00E43D70"/>
    <w:rsid w:val="00E44798"/>
    <w:rsid w:val="00E44B3E"/>
    <w:rsid w:val="00E4710B"/>
    <w:rsid w:val="00E477FE"/>
    <w:rsid w:val="00E47B2C"/>
    <w:rsid w:val="00E47F42"/>
    <w:rsid w:val="00E5035D"/>
    <w:rsid w:val="00E51560"/>
    <w:rsid w:val="00E53939"/>
    <w:rsid w:val="00E54CBF"/>
    <w:rsid w:val="00E55424"/>
    <w:rsid w:val="00E55B88"/>
    <w:rsid w:val="00E55BB5"/>
    <w:rsid w:val="00E60087"/>
    <w:rsid w:val="00E6110A"/>
    <w:rsid w:val="00E620B5"/>
    <w:rsid w:val="00E62D2A"/>
    <w:rsid w:val="00E65C5A"/>
    <w:rsid w:val="00E65E79"/>
    <w:rsid w:val="00E66ABA"/>
    <w:rsid w:val="00E67416"/>
    <w:rsid w:val="00E718B6"/>
    <w:rsid w:val="00E723C1"/>
    <w:rsid w:val="00E73581"/>
    <w:rsid w:val="00E73641"/>
    <w:rsid w:val="00E74CF3"/>
    <w:rsid w:val="00E75ED9"/>
    <w:rsid w:val="00E76F49"/>
    <w:rsid w:val="00E81B7B"/>
    <w:rsid w:val="00E82C6F"/>
    <w:rsid w:val="00E833E9"/>
    <w:rsid w:val="00E83BDF"/>
    <w:rsid w:val="00E85781"/>
    <w:rsid w:val="00E85893"/>
    <w:rsid w:val="00E85F2C"/>
    <w:rsid w:val="00E85FC2"/>
    <w:rsid w:val="00E9389A"/>
    <w:rsid w:val="00E94B85"/>
    <w:rsid w:val="00E9682B"/>
    <w:rsid w:val="00EA0658"/>
    <w:rsid w:val="00EA080C"/>
    <w:rsid w:val="00EA1E57"/>
    <w:rsid w:val="00EA3484"/>
    <w:rsid w:val="00EA37E0"/>
    <w:rsid w:val="00EA3864"/>
    <w:rsid w:val="00EA4381"/>
    <w:rsid w:val="00EA4898"/>
    <w:rsid w:val="00EA4DE7"/>
    <w:rsid w:val="00EA5AD1"/>
    <w:rsid w:val="00EA5C27"/>
    <w:rsid w:val="00EA77FD"/>
    <w:rsid w:val="00EA7C68"/>
    <w:rsid w:val="00EB0469"/>
    <w:rsid w:val="00EB15B6"/>
    <w:rsid w:val="00EB2B34"/>
    <w:rsid w:val="00EB2D56"/>
    <w:rsid w:val="00EB4916"/>
    <w:rsid w:val="00EB5B0E"/>
    <w:rsid w:val="00EC00C9"/>
    <w:rsid w:val="00EC26FB"/>
    <w:rsid w:val="00EC37A8"/>
    <w:rsid w:val="00EC3A50"/>
    <w:rsid w:val="00EC4A02"/>
    <w:rsid w:val="00EC4DE1"/>
    <w:rsid w:val="00EC5862"/>
    <w:rsid w:val="00ED02FE"/>
    <w:rsid w:val="00ED1D4E"/>
    <w:rsid w:val="00ED2314"/>
    <w:rsid w:val="00ED592F"/>
    <w:rsid w:val="00ED5FF4"/>
    <w:rsid w:val="00ED7C04"/>
    <w:rsid w:val="00EE07D3"/>
    <w:rsid w:val="00EE1AB8"/>
    <w:rsid w:val="00EE2ED9"/>
    <w:rsid w:val="00EE7E4F"/>
    <w:rsid w:val="00EF06EE"/>
    <w:rsid w:val="00EF1243"/>
    <w:rsid w:val="00EF480D"/>
    <w:rsid w:val="00EF73F0"/>
    <w:rsid w:val="00F00028"/>
    <w:rsid w:val="00F03A2C"/>
    <w:rsid w:val="00F0432E"/>
    <w:rsid w:val="00F047D8"/>
    <w:rsid w:val="00F052B1"/>
    <w:rsid w:val="00F067A2"/>
    <w:rsid w:val="00F11F46"/>
    <w:rsid w:val="00F15CF3"/>
    <w:rsid w:val="00F16FF2"/>
    <w:rsid w:val="00F17B11"/>
    <w:rsid w:val="00F21EF2"/>
    <w:rsid w:val="00F228C1"/>
    <w:rsid w:val="00F24837"/>
    <w:rsid w:val="00F24B7A"/>
    <w:rsid w:val="00F2575F"/>
    <w:rsid w:val="00F2640E"/>
    <w:rsid w:val="00F32718"/>
    <w:rsid w:val="00F33944"/>
    <w:rsid w:val="00F33DE9"/>
    <w:rsid w:val="00F3619A"/>
    <w:rsid w:val="00F366FE"/>
    <w:rsid w:val="00F36C7A"/>
    <w:rsid w:val="00F37DC2"/>
    <w:rsid w:val="00F37F44"/>
    <w:rsid w:val="00F4054F"/>
    <w:rsid w:val="00F4248D"/>
    <w:rsid w:val="00F4439A"/>
    <w:rsid w:val="00F45744"/>
    <w:rsid w:val="00F45B10"/>
    <w:rsid w:val="00F46CB6"/>
    <w:rsid w:val="00F47FB0"/>
    <w:rsid w:val="00F505F0"/>
    <w:rsid w:val="00F50740"/>
    <w:rsid w:val="00F54469"/>
    <w:rsid w:val="00F55479"/>
    <w:rsid w:val="00F55E73"/>
    <w:rsid w:val="00F56467"/>
    <w:rsid w:val="00F567AC"/>
    <w:rsid w:val="00F5721B"/>
    <w:rsid w:val="00F60092"/>
    <w:rsid w:val="00F6080E"/>
    <w:rsid w:val="00F60B4E"/>
    <w:rsid w:val="00F629FD"/>
    <w:rsid w:val="00F63A06"/>
    <w:rsid w:val="00F67BEF"/>
    <w:rsid w:val="00F70E89"/>
    <w:rsid w:val="00F718EF"/>
    <w:rsid w:val="00F761BB"/>
    <w:rsid w:val="00F76F54"/>
    <w:rsid w:val="00F808CF"/>
    <w:rsid w:val="00F80E5D"/>
    <w:rsid w:val="00F815AD"/>
    <w:rsid w:val="00F823B2"/>
    <w:rsid w:val="00F8254A"/>
    <w:rsid w:val="00F82B64"/>
    <w:rsid w:val="00F83A61"/>
    <w:rsid w:val="00F84C38"/>
    <w:rsid w:val="00F851CE"/>
    <w:rsid w:val="00F85575"/>
    <w:rsid w:val="00F86C4E"/>
    <w:rsid w:val="00F87FEF"/>
    <w:rsid w:val="00F903B7"/>
    <w:rsid w:val="00F91B58"/>
    <w:rsid w:val="00F921E8"/>
    <w:rsid w:val="00F930B5"/>
    <w:rsid w:val="00F95BCB"/>
    <w:rsid w:val="00F97A78"/>
    <w:rsid w:val="00FA0B77"/>
    <w:rsid w:val="00FA1A8C"/>
    <w:rsid w:val="00FA2215"/>
    <w:rsid w:val="00FA24E7"/>
    <w:rsid w:val="00FA395C"/>
    <w:rsid w:val="00FB0F4E"/>
    <w:rsid w:val="00FB12B1"/>
    <w:rsid w:val="00FB2FCB"/>
    <w:rsid w:val="00FB40AC"/>
    <w:rsid w:val="00FB556E"/>
    <w:rsid w:val="00FB6D78"/>
    <w:rsid w:val="00FB6EBF"/>
    <w:rsid w:val="00FC04C2"/>
    <w:rsid w:val="00FC0BA7"/>
    <w:rsid w:val="00FC1074"/>
    <w:rsid w:val="00FC1884"/>
    <w:rsid w:val="00FC22D2"/>
    <w:rsid w:val="00FC2D1A"/>
    <w:rsid w:val="00FC3652"/>
    <w:rsid w:val="00FC4C11"/>
    <w:rsid w:val="00FC4FEC"/>
    <w:rsid w:val="00FC789E"/>
    <w:rsid w:val="00FD03B4"/>
    <w:rsid w:val="00FD0BF7"/>
    <w:rsid w:val="00FD2100"/>
    <w:rsid w:val="00FD446D"/>
    <w:rsid w:val="00FD4A3D"/>
    <w:rsid w:val="00FD63B3"/>
    <w:rsid w:val="00FD6920"/>
    <w:rsid w:val="00FD7A8B"/>
    <w:rsid w:val="00FE0599"/>
    <w:rsid w:val="00FE06DE"/>
    <w:rsid w:val="00FE71D2"/>
    <w:rsid w:val="00FE7835"/>
    <w:rsid w:val="00FF098D"/>
    <w:rsid w:val="00FF3DCF"/>
    <w:rsid w:val="00FF47F0"/>
    <w:rsid w:val="00FF51CA"/>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uiPriority="10"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B26790"/>
    <w:rPr>
      <w:rFonts w:ascii="Arial Narrow" w:hAnsi="Arial Narrow"/>
      <w:b/>
      <w:color w:val="000000" w:themeColor="text1"/>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3C29AE"/>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3C29AE"/>
    <w:pPr>
      <w:tabs>
        <w:tab w:val="left" w:pos="66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Table">
    <w:name w:val="Table"/>
    <w:basedOn w:val="Normal"/>
    <w:uiPriority w:val="99"/>
    <w:qFormat/>
    <w:rsid w:val="009C13D3"/>
    <w:pPr>
      <w:widowControl/>
      <w:spacing w:line="276" w:lineRule="auto"/>
      <w:jc w:val="left"/>
    </w:pPr>
    <w:rPr>
      <w:rFonts w:ascii="Candara" w:eastAsiaTheme="majorEastAsia" w:hAnsi="Candara" w:cstheme="majorBidi"/>
      <w:snapToGrid/>
      <w:sz w:val="20"/>
      <w:szCs w:val="22"/>
      <w:lang w:bidi="en-US"/>
    </w:rPr>
  </w:style>
  <w:style w:type="paragraph" w:customStyle="1" w:styleId="TableCentre">
    <w:name w:val="Table Centre"/>
    <w:basedOn w:val="Table"/>
    <w:uiPriority w:val="99"/>
    <w:qFormat/>
    <w:rsid w:val="009C13D3"/>
    <w:pPr>
      <w:spacing w:line="240" w:lineRule="auto"/>
      <w:jc w:val="center"/>
    </w:pPr>
  </w:style>
  <w:style w:type="character" w:customStyle="1" w:styleId="Font">
    <w:name w:val="Font"/>
    <w:basedOn w:val="DefaultParagraphFont"/>
    <w:uiPriority w:val="1"/>
    <w:qFormat/>
    <w:rsid w:val="0013721F"/>
    <w:rPr>
      <w:rFonts w:ascii="Candara" w:hAnsi="Candara"/>
      <w:sz w:val="24"/>
    </w:rPr>
  </w:style>
  <w:style w:type="character" w:customStyle="1" w:styleId="FontHighlight">
    <w:name w:val="Font Highlight"/>
    <w:basedOn w:val="Font"/>
    <w:uiPriority w:val="2"/>
    <w:qFormat/>
    <w:rsid w:val="0013721F"/>
    <w:rPr>
      <w:rFonts w:ascii="Candara" w:hAnsi="Candara"/>
      <w:sz w:val="24"/>
      <w:bdr w:val="none" w:sz="0" w:space="0" w:color="auto"/>
      <w:shd w:val="clear" w:color="auto" w:fill="FFFF00"/>
    </w:rPr>
  </w:style>
  <w:style w:type="character" w:customStyle="1" w:styleId="Small">
    <w:name w:val="Small"/>
    <w:basedOn w:val="Font"/>
    <w:uiPriority w:val="4"/>
    <w:qFormat/>
    <w:rsid w:val="00A45EA5"/>
    <w:rPr>
      <w:rFonts w:ascii="Candara" w:hAnsi="Candara"/>
      <w:sz w:val="20"/>
    </w:rPr>
  </w:style>
  <w:style w:type="character" w:customStyle="1" w:styleId="SmallBold">
    <w:name w:val="Small Bold"/>
    <w:basedOn w:val="Small"/>
    <w:uiPriority w:val="4"/>
    <w:qFormat/>
    <w:rsid w:val="00A45EA5"/>
    <w:rPr>
      <w:rFonts w:ascii="Candara" w:hAnsi="Candara"/>
      <w:b/>
      <w:sz w:val="20"/>
      <w:lang w:val="en-AU"/>
    </w:rPr>
  </w:style>
  <w:style w:type="paragraph" w:customStyle="1" w:styleId="NormalBulletList">
    <w:name w:val="Normal Bullet List"/>
    <w:basedOn w:val="Normal"/>
    <w:uiPriority w:val="3"/>
    <w:qFormat/>
    <w:rsid w:val="00C2616E"/>
    <w:pPr>
      <w:widowControl/>
      <w:numPr>
        <w:numId w:val="7"/>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styleId="FollowedHyperlink">
    <w:name w:val="FollowedHyperlink"/>
    <w:basedOn w:val="DefaultParagraphFont"/>
    <w:semiHidden/>
    <w:unhideWhenUsed/>
    <w:rsid w:val="006D5FC1"/>
    <w:rPr>
      <w:color w:val="800080" w:themeColor="followedHyperlink"/>
      <w:u w:val="single"/>
    </w:rPr>
  </w:style>
  <w:style w:type="paragraph" w:styleId="FootnoteText">
    <w:name w:val="footnote text"/>
    <w:basedOn w:val="Normal"/>
    <w:link w:val="FootnoteTextChar"/>
    <w:uiPriority w:val="99"/>
    <w:unhideWhenUsed/>
    <w:rsid w:val="001477E0"/>
    <w:rPr>
      <w:sz w:val="20"/>
    </w:rPr>
  </w:style>
  <w:style w:type="character" w:customStyle="1" w:styleId="FootnoteTextChar">
    <w:name w:val="Footnote Text Char"/>
    <w:basedOn w:val="DefaultParagraphFont"/>
    <w:link w:val="FootnoteText"/>
    <w:uiPriority w:val="99"/>
    <w:rsid w:val="001477E0"/>
    <w:rPr>
      <w:rFonts w:ascii="Arial" w:hAnsi="Arial" w:cs="Arial"/>
      <w:snapToGrid w:val="0"/>
      <w:lang w:eastAsia="en-US"/>
    </w:rPr>
  </w:style>
  <w:style w:type="character" w:styleId="FootnoteReference">
    <w:name w:val="footnote reference"/>
    <w:basedOn w:val="DefaultParagraphFont"/>
    <w:semiHidden/>
    <w:unhideWhenUsed/>
    <w:rsid w:val="001477E0"/>
    <w:rPr>
      <w:vertAlign w:val="superscript"/>
    </w:rPr>
  </w:style>
  <w:style w:type="character" w:customStyle="1" w:styleId="FontSuperscript">
    <w:name w:val="Font Superscript"/>
    <w:basedOn w:val="Font"/>
    <w:uiPriority w:val="1"/>
    <w:qFormat/>
    <w:rsid w:val="00433592"/>
    <w:rPr>
      <w:rFonts w:ascii="Calibri" w:hAnsi="Calibri"/>
      <w:sz w:val="24"/>
      <w:vertAlign w:val="superscript"/>
    </w:rPr>
  </w:style>
  <w:style w:type="table" w:customStyle="1" w:styleId="Submissionstandard">
    <w:name w:val="Submission standard"/>
    <w:uiPriority w:val="99"/>
    <w:qFormat/>
    <w:rsid w:val="00261A00"/>
    <w:rPr>
      <w:rFonts w:ascii="Arial Narrow" w:hAnsi="Arial Narrow"/>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Albertus Medium" w:hAnsi="Albertus Medium" w:cs="Times New Roman"/>
        <w:b/>
        <w:sz w:val="20"/>
      </w:rPr>
      <w:tblPr/>
      <w:tcPr>
        <w:shd w:val="clear" w:color="auto" w:fill="BFBFBF"/>
      </w:tcPr>
    </w:tblStylePr>
  </w:style>
  <w:style w:type="paragraph" w:customStyle="1" w:styleId="NumberedTextAlpha">
    <w:name w:val="Numbered Text Alpha"/>
    <w:basedOn w:val="Normal"/>
    <w:uiPriority w:val="99"/>
    <w:qFormat/>
    <w:rsid w:val="00921C4D"/>
    <w:rPr>
      <w:rFonts w:cs="Times New Roman"/>
      <w:b/>
      <w:sz w:val="20"/>
    </w:rPr>
  </w:style>
  <w:style w:type="paragraph" w:customStyle="1" w:styleId="TableLeft">
    <w:name w:val="Table Left"/>
    <w:basedOn w:val="Normal"/>
    <w:link w:val="TableLeftChar"/>
    <w:uiPriority w:val="5"/>
    <w:qFormat/>
    <w:rsid w:val="004B0ABB"/>
    <w:pPr>
      <w:widowControl/>
      <w:jc w:val="left"/>
    </w:pPr>
    <w:rPr>
      <w:rFonts w:ascii="Arial Narrow" w:eastAsiaTheme="majorEastAsia" w:hAnsi="Arial Narrow" w:cstheme="majorBidi"/>
      <w:snapToGrid/>
      <w:sz w:val="20"/>
      <w:szCs w:val="22"/>
      <w:lang w:bidi="en-US"/>
    </w:rPr>
  </w:style>
  <w:style w:type="character" w:customStyle="1" w:styleId="TableLeftChar">
    <w:name w:val="Table Left Char"/>
    <w:basedOn w:val="DefaultParagraphFont"/>
    <w:link w:val="TableLeft"/>
    <w:uiPriority w:val="5"/>
    <w:rsid w:val="004B0ABB"/>
    <w:rPr>
      <w:rFonts w:ascii="Arial Narrow" w:eastAsiaTheme="majorEastAsia" w:hAnsi="Arial Narrow" w:cstheme="majorBidi"/>
      <w:szCs w:val="22"/>
      <w:lang w:eastAsia="en-US" w:bidi="en-US"/>
    </w:rPr>
  </w:style>
  <w:style w:type="character" w:styleId="Emphasis">
    <w:name w:val="Emphasis"/>
    <w:basedOn w:val="DefaultParagraphFont"/>
    <w:uiPriority w:val="20"/>
    <w:qFormat/>
    <w:rsid w:val="00400A01"/>
    <w:rPr>
      <w:i/>
      <w:iCs/>
    </w:rPr>
  </w:style>
  <w:style w:type="character" w:customStyle="1" w:styleId="TableText1">
    <w:name w:val="Table Text"/>
    <w:basedOn w:val="DefaultParagraphFont"/>
    <w:uiPriority w:val="4"/>
    <w:qFormat/>
    <w:rsid w:val="003A5349"/>
    <w:rPr>
      <w:sz w:val="20"/>
    </w:rPr>
  </w:style>
  <w:style w:type="character" w:customStyle="1" w:styleId="Heading1Char">
    <w:name w:val="Heading 1 Char"/>
    <w:basedOn w:val="DefaultParagraphFont"/>
    <w:link w:val="Heading1"/>
    <w:rsid w:val="005320C3"/>
    <w:rPr>
      <w:rFonts w:ascii="Arial Bold" w:hAnsi="Arial Bold" w:cs="Arial"/>
      <w:b/>
      <w:caps/>
      <w:snapToGrid w:val="0"/>
      <w:sz w:val="22"/>
      <w:lang w:eastAsia="en-US"/>
    </w:rPr>
  </w:style>
  <w:style w:type="character" w:customStyle="1" w:styleId="Heading3Char">
    <w:name w:val="Heading 3 Char"/>
    <w:basedOn w:val="DefaultParagraphFont"/>
    <w:link w:val="Heading3"/>
    <w:rsid w:val="005320C3"/>
    <w:rPr>
      <w:rFonts w:ascii="Arial" w:hAnsi="Arial" w:cs="Arial"/>
      <w:snapToGrid w:val="0"/>
      <w:sz w:val="22"/>
      <w:u w:val="single"/>
      <w:lang w:eastAsia="en-US"/>
    </w:rPr>
  </w:style>
  <w:style w:type="character" w:customStyle="1" w:styleId="Heading4Char">
    <w:name w:val="Heading 4 Char"/>
    <w:basedOn w:val="DefaultParagraphFont"/>
    <w:link w:val="Heading4"/>
    <w:rsid w:val="005320C3"/>
    <w:rPr>
      <w:rFonts w:ascii="Arial" w:hAnsi="Arial" w:cs="Arial"/>
      <w:b/>
      <w:bCs/>
      <w:i/>
      <w:snapToGrid w:val="0"/>
      <w:sz w:val="26"/>
      <w:szCs w:val="28"/>
      <w:lang w:eastAsia="en-US"/>
    </w:rPr>
  </w:style>
  <w:style w:type="character" w:customStyle="1" w:styleId="Heading5Char">
    <w:name w:val="Heading 5 Char"/>
    <w:basedOn w:val="DefaultParagraphFont"/>
    <w:link w:val="Heading5"/>
    <w:rsid w:val="005320C3"/>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5320C3"/>
    <w:rPr>
      <w:rFonts w:ascii="Arial" w:hAnsi="Arial" w:cs="Arial"/>
      <w:b/>
      <w:bCs/>
      <w:i/>
      <w:snapToGrid w:val="0"/>
      <w:sz w:val="22"/>
      <w:szCs w:val="22"/>
      <w:lang w:eastAsia="en-US"/>
    </w:rPr>
  </w:style>
  <w:style w:type="character" w:customStyle="1" w:styleId="HeaderChar1">
    <w:name w:val="Header Char1"/>
    <w:aliases w:val="Page Header Char1,Header title Char1,he=header Char1,cntr/bld Char1"/>
    <w:basedOn w:val="DefaultParagraphFont"/>
    <w:uiPriority w:val="99"/>
    <w:semiHidden/>
    <w:rsid w:val="005320C3"/>
    <w:rPr>
      <w:rFonts w:ascii="Arial" w:hAnsi="Arial" w:cs="Arial"/>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B4E07"/>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B63F6D"/>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72"/>
    <w:rsid w:val="000D458D"/>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uiPriority="10"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B26790"/>
    <w:rPr>
      <w:rFonts w:ascii="Arial Narrow" w:hAnsi="Arial Narrow"/>
      <w:b/>
      <w:color w:val="000000" w:themeColor="text1"/>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3C29AE"/>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3C29AE"/>
    <w:pPr>
      <w:tabs>
        <w:tab w:val="left" w:pos="66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Table">
    <w:name w:val="Table"/>
    <w:basedOn w:val="Normal"/>
    <w:uiPriority w:val="99"/>
    <w:qFormat/>
    <w:rsid w:val="009C13D3"/>
    <w:pPr>
      <w:widowControl/>
      <w:spacing w:line="276" w:lineRule="auto"/>
      <w:jc w:val="left"/>
    </w:pPr>
    <w:rPr>
      <w:rFonts w:ascii="Candara" w:eastAsiaTheme="majorEastAsia" w:hAnsi="Candara" w:cstheme="majorBidi"/>
      <w:snapToGrid/>
      <w:sz w:val="20"/>
      <w:szCs w:val="22"/>
      <w:lang w:bidi="en-US"/>
    </w:rPr>
  </w:style>
  <w:style w:type="paragraph" w:customStyle="1" w:styleId="TableCentre">
    <w:name w:val="Table Centre"/>
    <w:basedOn w:val="Table"/>
    <w:uiPriority w:val="99"/>
    <w:qFormat/>
    <w:rsid w:val="009C13D3"/>
    <w:pPr>
      <w:spacing w:line="240" w:lineRule="auto"/>
      <w:jc w:val="center"/>
    </w:pPr>
  </w:style>
  <w:style w:type="character" w:customStyle="1" w:styleId="Font">
    <w:name w:val="Font"/>
    <w:basedOn w:val="DefaultParagraphFont"/>
    <w:uiPriority w:val="1"/>
    <w:qFormat/>
    <w:rsid w:val="0013721F"/>
    <w:rPr>
      <w:rFonts w:ascii="Candara" w:hAnsi="Candara"/>
      <w:sz w:val="24"/>
    </w:rPr>
  </w:style>
  <w:style w:type="character" w:customStyle="1" w:styleId="FontHighlight">
    <w:name w:val="Font Highlight"/>
    <w:basedOn w:val="Font"/>
    <w:uiPriority w:val="2"/>
    <w:qFormat/>
    <w:rsid w:val="0013721F"/>
    <w:rPr>
      <w:rFonts w:ascii="Candara" w:hAnsi="Candara"/>
      <w:sz w:val="24"/>
      <w:bdr w:val="none" w:sz="0" w:space="0" w:color="auto"/>
      <w:shd w:val="clear" w:color="auto" w:fill="FFFF00"/>
    </w:rPr>
  </w:style>
  <w:style w:type="character" w:customStyle="1" w:styleId="Small">
    <w:name w:val="Small"/>
    <w:basedOn w:val="Font"/>
    <w:uiPriority w:val="4"/>
    <w:qFormat/>
    <w:rsid w:val="00A45EA5"/>
    <w:rPr>
      <w:rFonts w:ascii="Candara" w:hAnsi="Candara"/>
      <w:sz w:val="20"/>
    </w:rPr>
  </w:style>
  <w:style w:type="character" w:customStyle="1" w:styleId="SmallBold">
    <w:name w:val="Small Bold"/>
    <w:basedOn w:val="Small"/>
    <w:uiPriority w:val="4"/>
    <w:qFormat/>
    <w:rsid w:val="00A45EA5"/>
    <w:rPr>
      <w:rFonts w:ascii="Candara" w:hAnsi="Candara"/>
      <w:b/>
      <w:sz w:val="20"/>
      <w:lang w:val="en-AU"/>
    </w:rPr>
  </w:style>
  <w:style w:type="paragraph" w:customStyle="1" w:styleId="NormalBulletList">
    <w:name w:val="Normal Bullet List"/>
    <w:basedOn w:val="Normal"/>
    <w:uiPriority w:val="3"/>
    <w:qFormat/>
    <w:rsid w:val="00C2616E"/>
    <w:pPr>
      <w:widowControl/>
      <w:numPr>
        <w:numId w:val="7"/>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styleId="FollowedHyperlink">
    <w:name w:val="FollowedHyperlink"/>
    <w:basedOn w:val="DefaultParagraphFont"/>
    <w:semiHidden/>
    <w:unhideWhenUsed/>
    <w:rsid w:val="006D5FC1"/>
    <w:rPr>
      <w:color w:val="800080" w:themeColor="followedHyperlink"/>
      <w:u w:val="single"/>
    </w:rPr>
  </w:style>
  <w:style w:type="paragraph" w:styleId="FootnoteText">
    <w:name w:val="footnote text"/>
    <w:basedOn w:val="Normal"/>
    <w:link w:val="FootnoteTextChar"/>
    <w:uiPriority w:val="99"/>
    <w:unhideWhenUsed/>
    <w:rsid w:val="001477E0"/>
    <w:rPr>
      <w:sz w:val="20"/>
    </w:rPr>
  </w:style>
  <w:style w:type="character" w:customStyle="1" w:styleId="FootnoteTextChar">
    <w:name w:val="Footnote Text Char"/>
    <w:basedOn w:val="DefaultParagraphFont"/>
    <w:link w:val="FootnoteText"/>
    <w:uiPriority w:val="99"/>
    <w:rsid w:val="001477E0"/>
    <w:rPr>
      <w:rFonts w:ascii="Arial" w:hAnsi="Arial" w:cs="Arial"/>
      <w:snapToGrid w:val="0"/>
      <w:lang w:eastAsia="en-US"/>
    </w:rPr>
  </w:style>
  <w:style w:type="character" w:styleId="FootnoteReference">
    <w:name w:val="footnote reference"/>
    <w:basedOn w:val="DefaultParagraphFont"/>
    <w:semiHidden/>
    <w:unhideWhenUsed/>
    <w:rsid w:val="001477E0"/>
    <w:rPr>
      <w:vertAlign w:val="superscript"/>
    </w:rPr>
  </w:style>
  <w:style w:type="character" w:customStyle="1" w:styleId="FontSuperscript">
    <w:name w:val="Font Superscript"/>
    <w:basedOn w:val="Font"/>
    <w:uiPriority w:val="1"/>
    <w:qFormat/>
    <w:rsid w:val="00433592"/>
    <w:rPr>
      <w:rFonts w:ascii="Calibri" w:hAnsi="Calibri"/>
      <w:sz w:val="24"/>
      <w:vertAlign w:val="superscript"/>
    </w:rPr>
  </w:style>
  <w:style w:type="table" w:customStyle="1" w:styleId="Submissionstandard">
    <w:name w:val="Submission standard"/>
    <w:uiPriority w:val="99"/>
    <w:qFormat/>
    <w:rsid w:val="00261A00"/>
    <w:rPr>
      <w:rFonts w:ascii="Arial Narrow" w:hAnsi="Arial Narrow"/>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Albertus Medium" w:hAnsi="Albertus Medium" w:cs="Times New Roman"/>
        <w:b/>
        <w:sz w:val="20"/>
      </w:rPr>
      <w:tblPr/>
      <w:tcPr>
        <w:shd w:val="clear" w:color="auto" w:fill="BFBFBF"/>
      </w:tcPr>
    </w:tblStylePr>
  </w:style>
  <w:style w:type="paragraph" w:customStyle="1" w:styleId="NumberedTextAlpha">
    <w:name w:val="Numbered Text Alpha"/>
    <w:basedOn w:val="Normal"/>
    <w:uiPriority w:val="99"/>
    <w:qFormat/>
    <w:rsid w:val="00921C4D"/>
    <w:rPr>
      <w:rFonts w:cs="Times New Roman"/>
      <w:b/>
      <w:sz w:val="20"/>
    </w:rPr>
  </w:style>
  <w:style w:type="paragraph" w:customStyle="1" w:styleId="TableLeft">
    <w:name w:val="Table Left"/>
    <w:basedOn w:val="Normal"/>
    <w:link w:val="TableLeftChar"/>
    <w:uiPriority w:val="5"/>
    <w:qFormat/>
    <w:rsid w:val="004B0ABB"/>
    <w:pPr>
      <w:widowControl/>
      <w:jc w:val="left"/>
    </w:pPr>
    <w:rPr>
      <w:rFonts w:ascii="Arial Narrow" w:eastAsiaTheme="majorEastAsia" w:hAnsi="Arial Narrow" w:cstheme="majorBidi"/>
      <w:snapToGrid/>
      <w:sz w:val="20"/>
      <w:szCs w:val="22"/>
      <w:lang w:bidi="en-US"/>
    </w:rPr>
  </w:style>
  <w:style w:type="character" w:customStyle="1" w:styleId="TableLeftChar">
    <w:name w:val="Table Left Char"/>
    <w:basedOn w:val="DefaultParagraphFont"/>
    <w:link w:val="TableLeft"/>
    <w:uiPriority w:val="5"/>
    <w:rsid w:val="004B0ABB"/>
    <w:rPr>
      <w:rFonts w:ascii="Arial Narrow" w:eastAsiaTheme="majorEastAsia" w:hAnsi="Arial Narrow" w:cstheme="majorBidi"/>
      <w:szCs w:val="22"/>
      <w:lang w:eastAsia="en-US" w:bidi="en-US"/>
    </w:rPr>
  </w:style>
  <w:style w:type="character" w:styleId="Emphasis">
    <w:name w:val="Emphasis"/>
    <w:basedOn w:val="DefaultParagraphFont"/>
    <w:uiPriority w:val="20"/>
    <w:qFormat/>
    <w:rsid w:val="00400A01"/>
    <w:rPr>
      <w:i/>
      <w:iCs/>
    </w:rPr>
  </w:style>
  <w:style w:type="character" w:customStyle="1" w:styleId="TableText1">
    <w:name w:val="Table Text"/>
    <w:basedOn w:val="DefaultParagraphFont"/>
    <w:uiPriority w:val="4"/>
    <w:qFormat/>
    <w:rsid w:val="003A5349"/>
    <w:rPr>
      <w:sz w:val="20"/>
    </w:rPr>
  </w:style>
  <w:style w:type="character" w:customStyle="1" w:styleId="Heading1Char">
    <w:name w:val="Heading 1 Char"/>
    <w:basedOn w:val="DefaultParagraphFont"/>
    <w:link w:val="Heading1"/>
    <w:rsid w:val="005320C3"/>
    <w:rPr>
      <w:rFonts w:ascii="Arial Bold" w:hAnsi="Arial Bold" w:cs="Arial"/>
      <w:b/>
      <w:caps/>
      <w:snapToGrid w:val="0"/>
      <w:sz w:val="22"/>
      <w:lang w:eastAsia="en-US"/>
    </w:rPr>
  </w:style>
  <w:style w:type="character" w:customStyle="1" w:styleId="Heading3Char">
    <w:name w:val="Heading 3 Char"/>
    <w:basedOn w:val="DefaultParagraphFont"/>
    <w:link w:val="Heading3"/>
    <w:rsid w:val="005320C3"/>
    <w:rPr>
      <w:rFonts w:ascii="Arial" w:hAnsi="Arial" w:cs="Arial"/>
      <w:snapToGrid w:val="0"/>
      <w:sz w:val="22"/>
      <w:u w:val="single"/>
      <w:lang w:eastAsia="en-US"/>
    </w:rPr>
  </w:style>
  <w:style w:type="character" w:customStyle="1" w:styleId="Heading4Char">
    <w:name w:val="Heading 4 Char"/>
    <w:basedOn w:val="DefaultParagraphFont"/>
    <w:link w:val="Heading4"/>
    <w:rsid w:val="005320C3"/>
    <w:rPr>
      <w:rFonts w:ascii="Arial" w:hAnsi="Arial" w:cs="Arial"/>
      <w:b/>
      <w:bCs/>
      <w:i/>
      <w:snapToGrid w:val="0"/>
      <w:sz w:val="26"/>
      <w:szCs w:val="28"/>
      <w:lang w:eastAsia="en-US"/>
    </w:rPr>
  </w:style>
  <w:style w:type="character" w:customStyle="1" w:styleId="Heading5Char">
    <w:name w:val="Heading 5 Char"/>
    <w:basedOn w:val="DefaultParagraphFont"/>
    <w:link w:val="Heading5"/>
    <w:rsid w:val="005320C3"/>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5320C3"/>
    <w:rPr>
      <w:rFonts w:ascii="Arial" w:hAnsi="Arial" w:cs="Arial"/>
      <w:b/>
      <w:bCs/>
      <w:i/>
      <w:snapToGrid w:val="0"/>
      <w:sz w:val="22"/>
      <w:szCs w:val="22"/>
      <w:lang w:eastAsia="en-US"/>
    </w:rPr>
  </w:style>
  <w:style w:type="character" w:customStyle="1" w:styleId="HeaderChar1">
    <w:name w:val="Header Char1"/>
    <w:aliases w:val="Page Header Char1,Header title Char1,he=header Char1,cntr/bld Char1"/>
    <w:basedOn w:val="DefaultParagraphFont"/>
    <w:uiPriority w:val="99"/>
    <w:semiHidden/>
    <w:rsid w:val="005320C3"/>
    <w:rPr>
      <w:rFonts w:ascii="Arial" w:hAnsi="Arial" w:cs="Arial"/>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B4E07"/>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B63F6D"/>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72"/>
    <w:rsid w:val="000D458D"/>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60563152">
      <w:bodyDiv w:val="1"/>
      <w:marLeft w:val="0"/>
      <w:marRight w:val="0"/>
      <w:marTop w:val="0"/>
      <w:marBottom w:val="0"/>
      <w:divBdr>
        <w:top w:val="none" w:sz="0" w:space="0" w:color="auto"/>
        <w:left w:val="none" w:sz="0" w:space="0" w:color="auto"/>
        <w:bottom w:val="none" w:sz="0" w:space="0" w:color="auto"/>
        <w:right w:val="none" w:sz="0" w:space="0" w:color="auto"/>
      </w:divBdr>
    </w:div>
    <w:div w:id="143475709">
      <w:bodyDiv w:val="1"/>
      <w:marLeft w:val="0"/>
      <w:marRight w:val="0"/>
      <w:marTop w:val="0"/>
      <w:marBottom w:val="0"/>
      <w:divBdr>
        <w:top w:val="none" w:sz="0" w:space="0" w:color="auto"/>
        <w:left w:val="none" w:sz="0" w:space="0" w:color="auto"/>
        <w:bottom w:val="none" w:sz="0" w:space="0" w:color="auto"/>
        <w:right w:val="none" w:sz="0" w:space="0" w:color="auto"/>
      </w:divBdr>
      <w:divsChild>
        <w:div w:id="1341277583">
          <w:marLeft w:val="547"/>
          <w:marRight w:val="0"/>
          <w:marTop w:val="96"/>
          <w:marBottom w:val="0"/>
          <w:divBdr>
            <w:top w:val="none" w:sz="0" w:space="0" w:color="auto"/>
            <w:left w:val="none" w:sz="0" w:space="0" w:color="auto"/>
            <w:bottom w:val="none" w:sz="0" w:space="0" w:color="auto"/>
            <w:right w:val="none" w:sz="0" w:space="0" w:color="auto"/>
          </w:divBdr>
        </w:div>
      </w:divsChild>
    </w:div>
    <w:div w:id="482703850">
      <w:bodyDiv w:val="1"/>
      <w:marLeft w:val="0"/>
      <w:marRight w:val="0"/>
      <w:marTop w:val="0"/>
      <w:marBottom w:val="0"/>
      <w:divBdr>
        <w:top w:val="none" w:sz="0" w:space="0" w:color="auto"/>
        <w:left w:val="none" w:sz="0" w:space="0" w:color="auto"/>
        <w:bottom w:val="none" w:sz="0" w:space="0" w:color="auto"/>
        <w:right w:val="none" w:sz="0" w:space="0" w:color="auto"/>
      </w:divBdr>
    </w:div>
    <w:div w:id="511143886">
      <w:bodyDiv w:val="1"/>
      <w:marLeft w:val="0"/>
      <w:marRight w:val="0"/>
      <w:marTop w:val="0"/>
      <w:marBottom w:val="0"/>
      <w:divBdr>
        <w:top w:val="none" w:sz="0" w:space="0" w:color="auto"/>
        <w:left w:val="none" w:sz="0" w:space="0" w:color="auto"/>
        <w:bottom w:val="none" w:sz="0" w:space="0" w:color="auto"/>
        <w:right w:val="none" w:sz="0" w:space="0" w:color="auto"/>
      </w:divBdr>
      <w:divsChild>
        <w:div w:id="127284121">
          <w:marLeft w:val="547"/>
          <w:marRight w:val="0"/>
          <w:marTop w:val="106"/>
          <w:marBottom w:val="0"/>
          <w:divBdr>
            <w:top w:val="none" w:sz="0" w:space="0" w:color="auto"/>
            <w:left w:val="none" w:sz="0" w:space="0" w:color="auto"/>
            <w:bottom w:val="none" w:sz="0" w:space="0" w:color="auto"/>
            <w:right w:val="none" w:sz="0" w:space="0" w:color="auto"/>
          </w:divBdr>
        </w:div>
      </w:divsChild>
    </w:div>
    <w:div w:id="739447814">
      <w:bodyDiv w:val="1"/>
      <w:marLeft w:val="0"/>
      <w:marRight w:val="0"/>
      <w:marTop w:val="0"/>
      <w:marBottom w:val="0"/>
      <w:divBdr>
        <w:top w:val="none" w:sz="0" w:space="0" w:color="auto"/>
        <w:left w:val="none" w:sz="0" w:space="0" w:color="auto"/>
        <w:bottom w:val="none" w:sz="0" w:space="0" w:color="auto"/>
        <w:right w:val="none" w:sz="0" w:space="0" w:color="auto"/>
      </w:divBdr>
    </w:div>
    <w:div w:id="938492194">
      <w:bodyDiv w:val="1"/>
      <w:marLeft w:val="0"/>
      <w:marRight w:val="0"/>
      <w:marTop w:val="0"/>
      <w:marBottom w:val="0"/>
      <w:divBdr>
        <w:top w:val="none" w:sz="0" w:space="0" w:color="auto"/>
        <w:left w:val="none" w:sz="0" w:space="0" w:color="auto"/>
        <w:bottom w:val="none" w:sz="0" w:space="0" w:color="auto"/>
        <w:right w:val="none" w:sz="0" w:space="0" w:color="auto"/>
      </w:divBdr>
    </w:div>
    <w:div w:id="1185368158">
      <w:bodyDiv w:val="1"/>
      <w:marLeft w:val="0"/>
      <w:marRight w:val="0"/>
      <w:marTop w:val="0"/>
      <w:marBottom w:val="0"/>
      <w:divBdr>
        <w:top w:val="none" w:sz="0" w:space="0" w:color="auto"/>
        <w:left w:val="none" w:sz="0" w:space="0" w:color="auto"/>
        <w:bottom w:val="none" w:sz="0" w:space="0" w:color="auto"/>
        <w:right w:val="none" w:sz="0" w:space="0" w:color="auto"/>
      </w:divBdr>
      <w:divsChild>
        <w:div w:id="65226202">
          <w:marLeft w:val="1166"/>
          <w:marRight w:val="0"/>
          <w:marTop w:val="86"/>
          <w:marBottom w:val="0"/>
          <w:divBdr>
            <w:top w:val="none" w:sz="0" w:space="0" w:color="auto"/>
            <w:left w:val="none" w:sz="0" w:space="0" w:color="auto"/>
            <w:bottom w:val="none" w:sz="0" w:space="0" w:color="auto"/>
            <w:right w:val="none" w:sz="0" w:space="0" w:color="auto"/>
          </w:divBdr>
        </w:div>
      </w:divsChild>
    </w:div>
    <w:div w:id="1370451339">
      <w:bodyDiv w:val="1"/>
      <w:marLeft w:val="0"/>
      <w:marRight w:val="0"/>
      <w:marTop w:val="0"/>
      <w:marBottom w:val="0"/>
      <w:divBdr>
        <w:top w:val="none" w:sz="0" w:space="0" w:color="auto"/>
        <w:left w:val="none" w:sz="0" w:space="0" w:color="auto"/>
        <w:bottom w:val="none" w:sz="0" w:space="0" w:color="auto"/>
        <w:right w:val="none" w:sz="0" w:space="0" w:color="auto"/>
      </w:divBdr>
      <w:divsChild>
        <w:div w:id="463737589">
          <w:marLeft w:val="1166"/>
          <w:marRight w:val="0"/>
          <w:marTop w:val="86"/>
          <w:marBottom w:val="0"/>
          <w:divBdr>
            <w:top w:val="none" w:sz="0" w:space="0" w:color="auto"/>
            <w:left w:val="none" w:sz="0" w:space="0" w:color="auto"/>
            <w:bottom w:val="none" w:sz="0" w:space="0" w:color="auto"/>
            <w:right w:val="none" w:sz="0" w:space="0" w:color="auto"/>
          </w:divBdr>
        </w:div>
      </w:divsChild>
    </w:div>
    <w:div w:id="1587154633">
      <w:bodyDiv w:val="1"/>
      <w:marLeft w:val="0"/>
      <w:marRight w:val="0"/>
      <w:marTop w:val="0"/>
      <w:marBottom w:val="0"/>
      <w:divBdr>
        <w:top w:val="none" w:sz="0" w:space="0" w:color="auto"/>
        <w:left w:val="none" w:sz="0" w:space="0" w:color="auto"/>
        <w:bottom w:val="none" w:sz="0" w:space="0" w:color="auto"/>
        <w:right w:val="none" w:sz="0" w:space="0" w:color="auto"/>
      </w:divBdr>
    </w:div>
    <w:div w:id="1862626797">
      <w:bodyDiv w:val="1"/>
      <w:marLeft w:val="0"/>
      <w:marRight w:val="0"/>
      <w:marTop w:val="0"/>
      <w:marBottom w:val="0"/>
      <w:divBdr>
        <w:top w:val="none" w:sz="0" w:space="0" w:color="auto"/>
        <w:left w:val="none" w:sz="0" w:space="0" w:color="auto"/>
        <w:bottom w:val="none" w:sz="0" w:space="0" w:color="auto"/>
        <w:right w:val="none" w:sz="0" w:space="0" w:color="auto"/>
      </w:divBdr>
    </w:div>
    <w:div w:id="2058435823">
      <w:bodyDiv w:val="1"/>
      <w:marLeft w:val="0"/>
      <w:marRight w:val="0"/>
      <w:marTop w:val="0"/>
      <w:marBottom w:val="0"/>
      <w:divBdr>
        <w:top w:val="none" w:sz="0" w:space="0" w:color="auto"/>
        <w:left w:val="none" w:sz="0" w:space="0" w:color="auto"/>
        <w:bottom w:val="none" w:sz="0" w:space="0" w:color="auto"/>
        <w:right w:val="none" w:sz="0" w:space="0" w:color="auto"/>
      </w:divBdr>
    </w:div>
    <w:div w:id="2121488815">
      <w:bodyDiv w:val="1"/>
      <w:marLeft w:val="0"/>
      <w:marRight w:val="0"/>
      <w:marTop w:val="0"/>
      <w:marBottom w:val="0"/>
      <w:divBdr>
        <w:top w:val="none" w:sz="0" w:space="0" w:color="auto"/>
        <w:left w:val="none" w:sz="0" w:space="0" w:color="auto"/>
        <w:bottom w:val="none" w:sz="0" w:space="0" w:color="auto"/>
        <w:right w:val="none" w:sz="0" w:space="0" w:color="auto"/>
      </w:divBdr>
      <w:divsChild>
        <w:div w:id="4391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Gol11</b:Tag>
    <b:SourceType>JournalArticle</b:SourceType>
    <b:Guid>{FF364393-7063-4D68-973C-9B849211621C}</b:Guid>
    <b:Author>
      <b:Author>
        <b:NameList>
          <b:Person>
            <b:Last>Goldbach-Mansky</b:Last>
            <b:First>R</b:First>
          </b:Person>
        </b:NameList>
      </b:Author>
    </b:Author>
    <b:Title>Current status of understanding the pathogenesis and management of patients with NOMID/CINCA</b:Title>
    <b:JournalName>Curr Rheumatol REp</b:JournalName>
    <b:Year>2011</b:Year>
    <b:Pages>13(2):123-131</b:Pages>
    <b:RefOrder>31</b:RefOrder>
  </b:Source>
  <b:Source>
    <b:Tag>Man09</b:Tag>
    <b:SourceType>JournalArticle</b:SourceType>
    <b:Guid>{3B2FD3C1-EC52-486D-B1CA-4B65B4223118}</b:Guid>
    <b:Author>
      <b:Author>
        <b:NameList>
          <b:Person>
            <b:Last>Manger</b:Last>
            <b:First>D</b:First>
          </b:Person>
          <b:Person>
            <b:Last>Lachman</b:Last>
            <b:First>H</b:First>
          </b:Person>
        </b:NameList>
      </b:Author>
    </b:Author>
    <b:Title>Recommendations on therapy using interleukin-1beta-blocking agents</b:Title>
    <b:JournalName>Z Rheumatol</b:JournalName>
    <b:Year>2009</b:Year>
    <b:Pages>68(9):766-771</b:Pages>
    <b:RefOrder>36</b:RefOrder>
  </b:Source>
  <b:Source>
    <b:Tag>Miy12</b:Tag>
    <b:SourceType>JournalArticle</b:SourceType>
    <b:Guid>{8894C860-7838-43E9-B190-DF805D00B8A1}</b:Guid>
    <b:Author>
      <b:Author>
        <b:NameList>
          <b:Person>
            <b:Last>Miyame</b:Last>
            <b:First>T</b:First>
          </b:Person>
        </b:NameList>
      </b:Author>
    </b:Author>
    <b:Title>Cryopyrin-associated periodic syndromes: diagnosis and management.</b:Title>
    <b:JournalName>Paediatr Drugs</b:JournalName>
    <b:Year>2012</b:Year>
    <b:Pages>14(2):109-17</b:Pages>
    <b:RefOrder>10</b:RefOrder>
  </b:Source>
  <b:Source>
    <b:Tag>YuJ11</b:Tag>
    <b:SourceType>JournalArticle</b:SourceType>
    <b:Guid>{39C6815E-1EAD-4270-B3F2-62DE168794AA}</b:Guid>
    <b:Author>
      <b:Author>
        <b:NameList>
          <b:Person>
            <b:Last>Yu</b:Last>
            <b:First>J</b:First>
          </b:Person>
          <b:Person>
            <b:Last>Leslie</b:Last>
            <b:First>K</b:First>
          </b:Person>
        </b:NameList>
      </b:Author>
    </b:Author>
    <b:Title>Cryopyrin-associated periodic syndrome: an update on diagnosis and treatment response.</b:Title>
    <b:JournalName>Curr Allergy Asthma Rep</b:JournalName>
    <b:Year>2011</b:Year>
    <b:Pages>11(1):12-20</b:Pages>
    <b:RefOrder>4</b:RefOrder>
  </b:Source>
  <b:Source>
    <b:Tag>Kub10</b:Tag>
    <b:SourceType>JournalArticle</b:SourceType>
    <b:Guid>{FB5E95F7-F138-4DDE-85C9-D4FE30411B55}</b:Guid>
    <b:Author>
      <b:Author>
        <b:NameList>
          <b:Person>
            <b:Last>Kubota</b:Last>
            <b:First>T</b:First>
          </b:Person>
          <b:Person>
            <b:Last>Koike</b:Last>
            <b:First>R</b:First>
          </b:Person>
        </b:NameList>
      </b:Author>
    </b:Author>
    <b:Title>Cryopyrin-associated periodic syndromes: background and therapeutics</b:Title>
    <b:JournalName>Mod Rheumatol</b:JournalName>
    <b:Year>2010</b:Year>
    <b:Pages>20(3):213-21</b:Pages>
    <b:RefOrder>8</b:RefOrder>
  </b:Source>
  <b:Source>
    <b:Tag>Teray</b:Tag>
    <b:SourceType>JournalArticle</b:SourceType>
    <b:Guid>{80DC030B-28A0-453D-8C96-52688E9FC98B}</b:Guid>
    <b:Author>
      <b:Author>
        <b:NameList>
          <b:Person>
            <b:Last>Ter Haar</b:Last>
            <b:First>N</b:First>
          </b:Person>
          <b:Person>
            <b:Last>Lachmann</b:Last>
            <b:First>H</b:First>
          </b:Person>
          <b:Person>
            <b:Last>Özen</b:Last>
            <b:First>S</b:First>
          </b:Person>
          <b:Person>
            <b:Last>Woo</b:Last>
            <b:First>P</b:First>
          </b:Person>
          <b:Person>
            <b:Last>Uziel</b:Last>
            <b:First>Y</b:First>
          </b:Person>
          <b:Person>
            <b:Last>Modesto</b:Last>
            <b:First>C</b:First>
          </b:Person>
          <b:Person>
            <b:Last>Koné-Paut</b:Last>
            <b:First>I</b:First>
          </b:Person>
          <b:Person>
            <b:Last>L</b:Last>
            <b:First>Cantarini</b:First>
          </b:Person>
          <b:Person>
            <b:Last>Insalaco</b:Last>
            <b:First>A</b:First>
          </b:Person>
        </b:NameList>
      </b:Author>
    </b:Author>
    <b:Title>Treatment of autoinflammatory diseases: results from the Eurofever Registry and a literature review</b:Title>
    <b:JournalName>Ann Rheum Dis</b:JournalName>
    <b:Year>2013</b:Year>
    <b:Pages>72(5):678-85</b:Pages>
    <b:RefOrder>37</b:RefOrder>
  </b:Source>
  <b:Source>
    <b:Tag>Ros08</b:Tag>
    <b:SourceType>JournalArticle</b:SourceType>
    <b:Guid>{29D1AFC1-A116-44DD-90B8-49E2E3AA974E}</b:Guid>
    <b:Author>
      <b:Author>
        <b:NameList>
          <b:Person>
            <b:Last>Ross</b:Last>
            <b:First>J</b:First>
          </b:Person>
          <b:Person>
            <b:Last>Finlayson</b:Last>
            <b:First>L</b:First>
          </b:Person>
          <b:Person>
            <b:Last>Klotz</b:Last>
            <b:First>P</b:First>
          </b:Person>
          <b:Person>
            <b:Last>Langley</b:Last>
            <b:First>R</b:First>
          </b:Person>
          <b:Person>
            <b:Last>Gaudet</b:Last>
            <b:First>R</b:First>
          </b:Person>
          <b:Person>
            <b:Last>Thompson</b:Last>
            <b:First>K</b:First>
          </b:Person>
          <b:Person>
            <b:Last>Churchman</b:Last>
            <b:First>S</b:First>
          </b:Person>
          <b:Person>
            <b:Last>McDermott</b:Last>
            <b:First>M</b:First>
          </b:Person>
          <b:Person>
            <b:Last>Hawkins</b:Last>
            <b:First>P</b:First>
          </b:Person>
        </b:NameList>
      </b:Author>
    </b:Author>
    <b:Title>Use of anakinra (Kineret) in the treatment of familial cold autoinflammatory syndrome with a 16-month follow-up.</b:Title>
    <b:JournalName>J Cutan Med Surg</b:JournalName>
    <b:Year>2008</b:Year>
    <b:Pages>12(1):8-16</b:Pages>
    <b:RefOrder>12</b:RefOrder>
  </b:Source>
  <b:Source>
    <b:Tag>Gol06</b:Tag>
    <b:SourceType>JournalArticle</b:SourceType>
    <b:Guid>{F030E538-8A59-410E-B2CE-50C5CA80B16E}</b:Guid>
    <b:Author>
      <b:Author>
        <b:NameList>
          <b:Person>
            <b:Last>Goldbach-Mansky</b:Last>
            <b:First>R</b:First>
          </b:Person>
          <b:Person>
            <b:Last>Dailey</b:Last>
            <b:First>N</b:First>
          </b:Person>
          <b:Person>
            <b:Last>Canna</b:Last>
            <b:First>S</b:First>
          </b:Person>
          <b:Person>
            <b:Last>Gelabert</b:Last>
            <b:First>A</b:First>
          </b:Person>
          <b:Person>
            <b:Last>Jones</b:Last>
            <b:First>J</b:First>
          </b:Person>
          <b:Person>
            <b:Last>Rubin</b:Last>
            <b:First>B</b:First>
          </b:Person>
          <b:Person>
            <b:Last>Kim</b:Last>
            <b:First>H</b:First>
          </b:Person>
          <b:Person>
            <b:Last>Brewer</b:Last>
            <b:First>C</b:First>
          </b:Person>
        </b:NameList>
      </b:Author>
    </b:Author>
    <b:Title>Neonatal-onset multisystem inflammatory disease responsive to interleukin-1beta inhibition</b:Title>
    <b:JournalName>N Engl J Med</b:JournalName>
    <b:Year>2006</b:Year>
    <b:Pages>355(6):581-92</b:Pages>
    <b:RefOrder>22</b:RefOrder>
  </b:Source>
  <b:Source>
    <b:Tag>Lep10</b:Tag>
    <b:SourceType>JournalArticle</b:SourceType>
    <b:Guid>{B82EEB43-131E-4160-9527-A003ED6B101D}</b:Guid>
    <b:Author>
      <b:Author>
        <b:NameList>
          <b:Person>
            <b:Last>Lepore</b:Last>
            <b:First>L</b:First>
          </b:Person>
          <b:Person>
            <b:Last>Paloni</b:Last>
            <b:First>G</b:First>
          </b:Person>
          <b:Person>
            <b:Last>Caorsi</b:Last>
            <b:First>R</b:First>
          </b:Person>
          <b:Person>
            <b:Last>Alessio</b:Last>
            <b:First>M</b:First>
          </b:Person>
          <b:Person>
            <b:Last>Rigante</b:Last>
            <b:First>D</b:First>
          </b:Person>
          <b:Person>
            <b:Last>Ruperto</b:Last>
            <b:First>N</b:First>
          </b:Person>
          <b:Person>
            <b:Last>Cattalini</b:Last>
            <b:First>M</b:First>
          </b:Person>
          <b:Person>
            <b:Last>Tommasini</b:Last>
            <b:First>A</b:First>
          </b:Person>
          <b:Person>
            <b:Last>Zulian</b:Last>
            <b:First>F</b:First>
          </b:Person>
          <b:Person>
            <b:Last>Ventura</b:Last>
            <b:First>A</b:First>
          </b:Person>
          <b:Person>
            <b:Last>Martini</b:Last>
            <b:First>A</b:First>
          </b:Person>
          <b:Person>
            <b:Last>Gattorno</b:Last>
            <b:First>M</b:First>
          </b:Person>
        </b:NameList>
      </b:Author>
    </b:Author>
    <b:Title>Follow-up and quality of life of patients with cryopyrin-associated periodic syndromes treated with Anakinra</b:Title>
    <b:JournalName>J Pediatr</b:JournalName>
    <b:Year>2010</b:Year>
    <b:Pages>157(2):310-315</b:Pages>
    <b:RefOrder>5</b:RefOrder>
  </b:Source>
  <b:Source>
    <b:Tag>Kue11</b:Tag>
    <b:SourceType>JournalArticle</b:SourceType>
    <b:Guid>{E713696A-A34D-47F1-AF32-79A5C84A8C6B}</b:Guid>
    <b:Author>
      <b:Author>
        <b:NameList>
          <b:Person>
            <b:Last>Kuemmerle-Deschner</b:Last>
            <b:First>J</b:First>
          </b:Person>
          <b:Person>
            <b:Last>Tyrrell</b:Last>
            <b:First>P</b:First>
          </b:Person>
          <b:Person>
            <b:Last>Koetter</b:Last>
            <b:First>I</b:First>
          </b:Person>
          <b:Person>
            <b:Last>Wittkowski</b:Last>
            <b:First>H</b:First>
          </b:Person>
          <b:Person>
            <b:Last>Bialkowski</b:Last>
            <b:First>A</b:First>
          </b:Person>
          <b:Person>
            <b:Last>Tzaribachev</b:Last>
            <b:First>N</b:First>
          </b:Person>
          <b:Person>
            <b:Last>Lohse</b:Last>
            <b:First>P</b:First>
          </b:Person>
          <b:Person>
            <b:Last>Koitchev</b:Last>
            <b:First>A</b:First>
          </b:Person>
          <b:Person>
            <b:Last>Deuter</b:Last>
            <b:First>C</b:First>
          </b:Person>
          <b:Person>
            <b:Last>Foell</b:Last>
            <b:First>D</b:First>
          </b:Person>
          <b:Person>
            <b:Last>Benseler</b:Last>
            <b:First>S</b:First>
          </b:Person>
        </b:NameList>
      </b:Author>
    </b:Author>
    <b:Title>Efficacy and safety of anakinra therapy in pediatric and adult patients with the autoinflammatory Muckle-Wells syndrome.</b:Title>
    <b:JournalName>Arthritis Rheum</b:JournalName>
    <b:Year>2011</b:Year>
    <b:Pages>63(3):840-9</b:Pages>
    <b:RefOrder>25</b:RefOrder>
  </b:Source>
  <b:Source>
    <b:Tag>Gat07</b:Tag>
    <b:SourceType>JournalArticle</b:SourceType>
    <b:Guid>{9BB90B84-ACD2-444B-B455-D65F111A72EF}</b:Guid>
    <b:Author>
      <b:Author>
        <b:NameList>
          <b:Person>
            <b:Last>Gattorno</b:Last>
            <b:First>M</b:First>
          </b:Person>
          <b:Person>
            <b:Last>Tassi</b:Last>
            <b:First>S</b:First>
          </b:Person>
          <b:Person>
            <b:Last>Carta</b:Last>
            <b:First>S</b:First>
          </b:Person>
          <b:Person>
            <b:Last>Delfino</b:Last>
            <b:First>L</b:First>
          </b:Person>
          <b:Person>
            <b:Last>Ferlito</b:Last>
            <b:First>F</b:First>
          </b:Person>
          <b:Person>
            <b:Last>Pelagatti</b:Last>
            <b:First>M</b:First>
          </b:Person>
          <b:Person>
            <b:Last>D'Osualdo</b:Last>
            <b:First>A</b:First>
          </b:Person>
          <b:Person>
            <b:Last>Buoncompagni</b:Last>
            <b:First>A</b:First>
          </b:Person>
          <b:Person>
            <b:Last>Alpigiani</b:Last>
            <b:First>M</b:First>
          </b:Person>
          <b:Person>
            <b:Last>Alessio</b:Last>
            <b:First>M</b:First>
          </b:Person>
          <b:Person>
            <b:Last>Martini</b:Last>
            <b:First>A</b:First>
          </b:Person>
          <b:Person>
            <b:Last>Rubartelli</b:Last>
            <b:First>A</b:First>
          </b:Person>
        </b:NameList>
      </b:Author>
    </b:Author>
    <b:Title>Pattern of interleukin-1beta secretion in response to lipopolysaccharide and ATP before and after interleukin-1 blockade in patients with CIAS1 mutations</b:Title>
    <b:JournalName>Arthritis Rheum</b:JournalName>
    <b:Year>2007</b:Year>
    <b:Pages>56(9):3138-48</b:Pages>
    <b:RefOrder>42</b:RefOrder>
  </b:Source>
  <b:Source>
    <b:Tag>Car07</b:Tag>
    <b:SourceType>JournalArticle</b:SourceType>
    <b:Guid>{A071B0DD-63D5-4A94-A0B5-D446A47EA65D}</b:Guid>
    <b:Author>
      <b:Author>
        <b:NameList>
          <b:Person>
            <b:Last>Caroli</b:Last>
            <b:First>F</b:First>
          </b:Person>
          <b:Person>
            <b:Last>Pontillo</b:Last>
            <b:First>A</b:First>
          </b:Person>
          <b:Person>
            <b:Last>D'Osualdo</b:Last>
            <b:First>A</b:First>
          </b:Person>
          <b:Person>
            <b:Last>Travan</b:Last>
            <b:First>L</b:First>
          </b:Person>
          <b:Person>
            <b:Last>Ceccherini</b:Last>
            <b:First>I</b:First>
          </b:Person>
          <b:Person>
            <b:Last>Crovella</b:Last>
            <b:First>S</b:First>
          </b:Person>
          <b:Person>
            <b:Last>Alessio</b:Last>
            <b:First>M</b:First>
          </b:Person>
          <b:Person>
            <b:Last>Stabile</b:Last>
            <b:First>A</b:First>
          </b:Person>
          <b:Person>
            <b:Last>Gattorno</b:Last>
            <b:First>M</b:First>
          </b:Person>
          <b:Person>
            <b:Last>Tommasini</b:Last>
            <b:First>A</b:First>
          </b:Person>
          <b:Person>
            <b:Last>Martini</b:Last>
            <b:First>A</b:First>
          </b:Person>
          <b:Person>
            <b:Last>Lepore</b:Last>
            <b:First>L</b:First>
          </b:Person>
        </b:NameList>
      </b:Author>
    </b:Author>
    <b:Title>Clinical and genetic characterization of Italian patients affected by CINCA syndrome.</b:Title>
    <b:JournalName>Rheumatology (Oxford) </b:JournalName>
    <b:Year>2007</b:Year>
    <b:Pages>46(3):473-8</b:Pages>
    <b:RefOrder>38</b:RefOrder>
  </b:Source>
  <b:Source>
    <b:Tag>Haw04</b:Tag>
    <b:SourceType>JournalArticle</b:SourceType>
    <b:Guid>{913D7C41-43D0-436D-8B41-B1DD47EA2C5C}</b:Guid>
    <b:Author>
      <b:Author>
        <b:NameList>
          <b:Person>
            <b:Last>Hawkins</b:Last>
            <b:First>P</b:First>
          </b:Person>
          <b:Person>
            <b:Last>Lachmann</b:Last>
            <b:First>H</b:First>
          </b:Person>
          <b:Person>
            <b:Last>Aganna</b:Last>
            <b:First>E</b:First>
          </b:Person>
          <b:Person>
            <b:Last>McDermott</b:Last>
            <b:First>M</b:First>
          </b:Person>
        </b:NameList>
      </b:Author>
    </b:Author>
    <b:Title>Spectrum of clinical features in Muckle-Wells syndrome and response to anakinra.</b:Title>
    <b:JournalName>Arthritis Rheum</b:JournalName>
    <b:Year>2004</b:Year>
    <b:Pages>50(2):607-12</b:Pages>
    <b:RefOrder>44</b:RefOrder>
  </b:Source>
  <b:Source>
    <b:Tag>Wri00</b:Tag>
    <b:SourceType>JournalArticle</b:SourceType>
    <b:Guid>{074D9B82-AB5C-45D9-ADD9-640485559509}</b:Guid>
    <b:Author>
      <b:Author>
        <b:NameList>
          <b:Person>
            <b:Last>Wright</b:Last>
            <b:First>S</b:First>
          </b:Person>
          <b:Person>
            <b:Last>Keeffe</b:Last>
            <b:First>J</b:First>
          </b:Person>
          <b:Person>
            <b:Last>Thies</b:Last>
            <b:First>L</b:First>
          </b:Person>
        </b:NameList>
      </b:Author>
    </b:Author>
    <b:Title>Direct costs of blindness in Australia</b:Title>
    <b:JournalName>Clin Experiment Ophthalmol</b:JournalName>
    <b:Year>2000</b:Year>
    <b:Pages>28(3):140</b:Pages>
    <b:RefOrder>88</b:RefOrder>
  </b:Source>
  <b:Source>
    <b:Tag>Ens13</b:Tag>
    <b:SourceType>JournalArticle</b:SourceType>
    <b:Guid>{EF429788-79AE-4B8B-8A30-376E8E741D14}</b:Guid>
    <b:Author>
      <b:Author>
        <b:NameList>
          <b:Person>
            <b:Last>Ens</b:Last>
            <b:First>A</b:First>
          </b:Person>
          <b:Person>
            <b:Last>Lang</b:Last>
            <b:First>B</b:First>
          </b:Person>
          <b:Person>
            <b:Last>Ramsey</b:Last>
            <b:First>S</b:First>
          </b:Person>
          <b:Person>
            <b:Last>Stringer</b:Last>
            <b:First>E</b:First>
          </b:Person>
          <b:Person>
            <b:Last>Huber</b:Last>
            <b:First>A</b:First>
          </b:Person>
        </b:NameList>
      </b:Author>
    </b:Author>
    <b:Title>The financial burden of juvenile idiopathic arthritis: a Nova Scotia experience</b:Title>
    <b:JournalName>Pediatr Rheumatol Online J</b:JournalName>
    <b:Year>2013</b:Year>
    <b:Pages>29;11(1):24</b:Pages>
    <b:RefOrder>89</b:RefOrder>
  </b:Source>
  <b:Source>
    <b:Tag>Min09</b:Tag>
    <b:SourceType>JournalArticle</b:SourceType>
    <b:Guid>{59CA9B7B-D2AE-4F26-B526-483DD97C890F}</b:Guid>
    <b:Author>
      <b:Author>
        <b:NameList>
          <b:Person>
            <b:Last>Minden</b:Last>
            <b:First>K</b:First>
          </b:Person>
          <b:Person>
            <b:Last>Niewerth</b:Last>
            <b:First>M</b:First>
          </b:Person>
          <b:Person>
            <b:Last>Listing</b:Last>
            <b:First>J</b:First>
          </b:Person>
          <b:Person>
            <b:Last>Möbius</b:Last>
            <b:First>D</b:First>
          </b:Person>
          <b:Person>
            <b:Last>Thon</b:Last>
            <b:First>A</b:First>
          </b:Person>
          <b:Person>
            <b:Last>Ganser</b:Last>
            <b:First>G</b:First>
          </b:Person>
          <b:Person>
            <b:Last>Ermisch-Omran</b:Last>
            <b:First>B</b:First>
          </b:Person>
          <b:Person>
            <b:Last>Zink</b:Last>
            <b:First>A</b:First>
          </b:Person>
        </b:NameList>
      </b:Author>
    </b:Author>
    <b:Title>The economic burden of juvenile idiopathic arthritis-results from the German paediatric rheumatologic database</b:Title>
    <b:JournalName>Clin Exp Rheumatol</b:JournalName>
    <b:Year>2009</b:Year>
    <b:Pages>27(5):863-9</b:Pages>
    <b:RefOrder>90</b:RefOrder>
  </b:Source>
  <b:Source>
    <b:Tag>Dor12</b:Tag>
    <b:SourceType>JournalArticle</b:SourceType>
    <b:Guid>{6552DD73-FED1-4A59-827F-D351A857194D}</b:Guid>
    <b:Author>
      <b:Author>
        <b:NameList>
          <b:Person>
            <b:Last>Doran</b:Last>
            <b:First>C</b:First>
          </b:Person>
          <b:Person>
            <b:Last>Einfeld</b:Last>
            <b:First>S</b:First>
          </b:Person>
          <b:Person>
            <b:Last>Madden</b:Last>
            <b:First>R</b:First>
          </b:Person>
          <b:Person>
            <b:Last>Otim</b:Last>
            <b:First>M</b:First>
          </b:Person>
          <b:Person>
            <b:Last>Horstead</b:Last>
            <b:First>S</b:First>
          </b:Person>
          <b:Person>
            <b:Last>Ellis</b:Last>
            <b:First>L</b:First>
          </b:Person>
          <b:Person>
            <b:Last>Emerson</b:Last>
            <b:First>E</b:First>
          </b:Person>
        </b:NameList>
      </b:Author>
    </b:Author>
    <b:Title>How much does intellectual disability really cost? First estimates for Australia</b:Title>
    <b:JournalName>J Intellect Dev Disabil</b:JournalName>
    <b:Year>2012</b:Year>
    <b:Pages>37(1):42-9</b:Pages>
    <b:RefOrder>91</b:RefOrder>
  </b:Source>
</b:Sources>
</file>

<file path=customXml/itemProps1.xml><?xml version="1.0" encoding="utf-8"?>
<ds:datastoreItem xmlns:ds="http://schemas.openxmlformats.org/officeDocument/2006/customXml" ds:itemID="{BFFDB918-617E-4DB2-B79F-16B0FD43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7397</Words>
  <Characters>42288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2015-02-23T05:47:00Z</dcterms:created>
  <dcterms:modified xsi:type="dcterms:W3CDTF">2015-03-03T03:29:00Z</dcterms:modified>
</cp:coreProperties>
</file>