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F8" w:rsidRPr="005874F8" w:rsidRDefault="00F536F7" w:rsidP="005874F8">
      <w:pPr>
        <w:pStyle w:val="BodyText"/>
        <w:ind w:left="709" w:hanging="709"/>
        <w:rPr>
          <w:b/>
          <w:sz w:val="28"/>
        </w:rPr>
      </w:pPr>
      <w:bookmarkStart w:id="0" w:name="_Toc392858187"/>
      <w:bookmarkStart w:id="1" w:name="_Toc398646039"/>
      <w:bookmarkStart w:id="2" w:name="_Toc341702043"/>
      <w:bookmarkStart w:id="3" w:name="_Toc380742621"/>
      <w:bookmarkStart w:id="4" w:name="_Toc380746188"/>
      <w:bookmarkStart w:id="5" w:name="_Toc380746314"/>
      <w:bookmarkStart w:id="6" w:name="_Toc380746595"/>
      <w:bookmarkStart w:id="7" w:name="_GoBack"/>
      <w:bookmarkEnd w:id="7"/>
      <w:r w:rsidRPr="005874F8">
        <w:rPr>
          <w:b/>
          <w:sz w:val="28"/>
        </w:rPr>
        <w:t>6.3</w:t>
      </w:r>
      <w:r w:rsidR="00A211F8" w:rsidRPr="005874F8">
        <w:rPr>
          <w:b/>
          <w:sz w:val="28"/>
        </w:rPr>
        <w:tab/>
      </w:r>
      <w:bookmarkEnd w:id="0"/>
      <w:bookmarkEnd w:id="1"/>
      <w:r w:rsidR="007667B8" w:rsidRPr="005874F8">
        <w:rPr>
          <w:b/>
          <w:sz w:val="28"/>
        </w:rPr>
        <w:t>CERTOLIZUMAB PEGOL</w:t>
      </w:r>
    </w:p>
    <w:p w:rsidR="005874F8" w:rsidRDefault="007667B8" w:rsidP="005874F8">
      <w:pPr>
        <w:pStyle w:val="BodyText"/>
        <w:ind w:left="709"/>
        <w:rPr>
          <w:b/>
          <w:sz w:val="28"/>
        </w:rPr>
      </w:pPr>
      <w:r w:rsidRPr="005874F8">
        <w:rPr>
          <w:b/>
          <w:sz w:val="28"/>
        </w:rPr>
        <w:t>200 mg/mL injection, 2 x 1 mL syringes</w:t>
      </w:r>
      <w:r w:rsidR="005874F8">
        <w:rPr>
          <w:b/>
          <w:sz w:val="28"/>
        </w:rPr>
        <w:t>;</w:t>
      </w:r>
    </w:p>
    <w:p w:rsidR="00A211F8" w:rsidRPr="005874F8" w:rsidRDefault="007667B8" w:rsidP="005874F8">
      <w:pPr>
        <w:pStyle w:val="BodyText"/>
        <w:ind w:left="709"/>
        <w:rPr>
          <w:b/>
          <w:sz w:val="28"/>
        </w:rPr>
      </w:pPr>
      <w:r w:rsidRPr="005874F8">
        <w:rPr>
          <w:b/>
          <w:sz w:val="28"/>
        </w:rPr>
        <w:t>Cimzia</w:t>
      </w:r>
      <w:r w:rsidRPr="005874F8">
        <w:rPr>
          <w:rFonts w:hint="eastAsia"/>
          <w:b/>
          <w:sz w:val="28"/>
          <w:vertAlign w:val="superscript"/>
        </w:rPr>
        <w:t>®</w:t>
      </w:r>
      <w:r w:rsidR="005874F8">
        <w:rPr>
          <w:b/>
          <w:sz w:val="28"/>
        </w:rPr>
        <w:t>;</w:t>
      </w:r>
      <w:r w:rsidRPr="005874F8">
        <w:rPr>
          <w:b/>
          <w:sz w:val="28"/>
        </w:rPr>
        <w:t xml:space="preserve"> UCB Australia Pty Ltd</w:t>
      </w:r>
      <w:r w:rsidR="005874F8">
        <w:rPr>
          <w:b/>
          <w:sz w:val="28"/>
        </w:rPr>
        <w:t>.</w:t>
      </w:r>
    </w:p>
    <w:p w:rsidR="007667B8" w:rsidRPr="00C73C47" w:rsidRDefault="007667B8" w:rsidP="007667B8">
      <w:pPr>
        <w:rPr>
          <w:b/>
          <w:sz w:val="24"/>
          <w:szCs w:val="22"/>
        </w:rPr>
      </w:pPr>
    </w:p>
    <w:p w:rsidR="00A211F8" w:rsidRPr="00C73C47" w:rsidRDefault="00A211F8" w:rsidP="00A211F8"/>
    <w:p w:rsidR="00A211F8" w:rsidRPr="00C73C47" w:rsidRDefault="00A211F8" w:rsidP="00A211F8">
      <w:pPr>
        <w:pStyle w:val="PBACHeading1"/>
      </w:pPr>
      <w:bookmarkStart w:id="8" w:name="_Toc392858189"/>
      <w:bookmarkStart w:id="9" w:name="_Toc398646041"/>
      <w:r w:rsidRPr="00C73C47">
        <w:t>Purpose of Application</w:t>
      </w:r>
      <w:bookmarkEnd w:id="8"/>
      <w:bookmarkEnd w:id="9"/>
    </w:p>
    <w:p w:rsidR="00A211F8" w:rsidRPr="00C73C47" w:rsidRDefault="00A211F8" w:rsidP="00A211F8">
      <w:pPr>
        <w:rPr>
          <w:szCs w:val="22"/>
        </w:rPr>
      </w:pPr>
    </w:p>
    <w:p w:rsidR="00A211F8" w:rsidRPr="00C73C47" w:rsidRDefault="00A211F8" w:rsidP="00467428">
      <w:pPr>
        <w:pStyle w:val="ListParagraph"/>
        <w:widowControl/>
        <w:numPr>
          <w:ilvl w:val="1"/>
          <w:numId w:val="5"/>
        </w:numPr>
      </w:pPr>
      <w:r w:rsidRPr="00C73C47">
        <w:t>Authority Required listing for certolizumab</w:t>
      </w:r>
      <w:r w:rsidR="0041159C">
        <w:t xml:space="preserve"> (CZ</w:t>
      </w:r>
      <w:r w:rsidR="003D568B">
        <w:t>P</w:t>
      </w:r>
      <w:r w:rsidR="0041159C">
        <w:t>)</w:t>
      </w:r>
      <w:r w:rsidRPr="00C73C47">
        <w:t xml:space="preserve"> for treatment of</w:t>
      </w:r>
      <w:r w:rsidR="00470DE5">
        <w:t xml:space="preserve"> psoriatic arthritis (PsA).</w:t>
      </w:r>
      <w:r w:rsidRPr="00C73C47">
        <w:t xml:space="preserve"> </w:t>
      </w:r>
    </w:p>
    <w:p w:rsidR="00A211F8" w:rsidRDefault="00A211F8" w:rsidP="00A211F8"/>
    <w:p w:rsidR="00705E8C" w:rsidRPr="00C73C47" w:rsidRDefault="00705E8C" w:rsidP="00A211F8"/>
    <w:p w:rsidR="00A211F8" w:rsidRPr="00C73C47" w:rsidRDefault="00A211F8" w:rsidP="00A211F8">
      <w:pPr>
        <w:pStyle w:val="PBACHeading1"/>
      </w:pPr>
      <w:bookmarkStart w:id="10" w:name="_Toc392858190"/>
      <w:bookmarkStart w:id="11" w:name="_Toc398646042"/>
      <w:r w:rsidRPr="00C73C47">
        <w:t>Requested listing</w:t>
      </w:r>
      <w:bookmarkEnd w:id="10"/>
      <w:bookmarkEnd w:id="11"/>
    </w:p>
    <w:p w:rsidR="00E1771E" w:rsidRPr="00C73C47" w:rsidRDefault="00E1771E" w:rsidP="00E1771E"/>
    <w:p w:rsidR="00A211F8" w:rsidRPr="00C73C47" w:rsidRDefault="00A211F8" w:rsidP="00E1771E">
      <w:pPr>
        <w:pStyle w:val="ListParagraph"/>
        <w:widowControl/>
        <w:numPr>
          <w:ilvl w:val="1"/>
          <w:numId w:val="5"/>
        </w:numPr>
        <w:rPr>
          <w:b/>
        </w:rPr>
      </w:pPr>
      <w:bookmarkStart w:id="12" w:name="_Toc397377205"/>
      <w:r w:rsidRPr="00C73C47">
        <w:t>The proposed restriction wording is identical to the currently PBS listing of adalimumab</w:t>
      </w:r>
      <w:r w:rsidR="0041159C">
        <w:t xml:space="preserve"> (ADA)</w:t>
      </w:r>
      <w:r w:rsidRPr="00C73C47">
        <w:t>, etanercept</w:t>
      </w:r>
      <w:r w:rsidR="0041159C">
        <w:t xml:space="preserve"> (ETC)</w:t>
      </w:r>
      <w:r w:rsidRPr="00C73C47">
        <w:t>, golimumab</w:t>
      </w:r>
      <w:r w:rsidR="0041159C">
        <w:t xml:space="preserve"> (GOL)</w:t>
      </w:r>
      <w:r w:rsidRPr="00C73C47">
        <w:t xml:space="preserve"> and infliximab</w:t>
      </w:r>
      <w:r w:rsidR="0041159C">
        <w:t xml:space="preserve"> (INX)</w:t>
      </w:r>
      <w:r w:rsidR="002F5033">
        <w:t xml:space="preserve"> for PsA. </w:t>
      </w:r>
      <w:r w:rsidRPr="00C73C47">
        <w:t xml:space="preserve">The full </w:t>
      </w:r>
      <w:r w:rsidR="005E5BFF">
        <w:t xml:space="preserve">requested </w:t>
      </w:r>
      <w:r w:rsidR="00216E46">
        <w:t>restriction</w:t>
      </w:r>
      <w:r w:rsidR="00216E46" w:rsidRPr="00C73C47">
        <w:t xml:space="preserve"> </w:t>
      </w:r>
      <w:r w:rsidRPr="00C73C47">
        <w:t xml:space="preserve">is </w:t>
      </w:r>
      <w:r w:rsidRPr="00005250">
        <w:t>presented in Attachment A.2</w:t>
      </w:r>
      <w:r w:rsidR="005E5BFF">
        <w:t xml:space="preserve"> </w:t>
      </w:r>
      <w:r w:rsidR="0007460E">
        <w:t xml:space="preserve">of the Commentary </w:t>
      </w:r>
      <w:r w:rsidR="005E5BFF">
        <w:t>(6.3 COM.42)</w:t>
      </w:r>
      <w:r w:rsidRPr="00005250">
        <w:t>.</w:t>
      </w:r>
      <w:bookmarkEnd w:id="12"/>
      <w:r w:rsidRPr="00C73C47">
        <w:t xml:space="preserve"> </w:t>
      </w:r>
    </w:p>
    <w:p w:rsidR="00A211F8" w:rsidRPr="00C73C47" w:rsidRDefault="00A211F8" w:rsidP="00A211F8"/>
    <w:tbl>
      <w:tblPr>
        <w:tblW w:w="4604" w:type="pct"/>
        <w:tblInd w:w="737" w:type="dxa"/>
        <w:tblLayout w:type="fixed"/>
        <w:tblCellMar>
          <w:left w:w="28" w:type="dxa"/>
          <w:right w:w="28" w:type="dxa"/>
        </w:tblCellMar>
        <w:tblLook w:val="0000" w:firstRow="0" w:lastRow="0" w:firstColumn="0" w:lastColumn="0" w:noHBand="0" w:noVBand="0"/>
      </w:tblPr>
      <w:tblGrid>
        <w:gridCol w:w="3261"/>
        <w:gridCol w:w="529"/>
        <w:gridCol w:w="743"/>
        <w:gridCol w:w="2129"/>
        <w:gridCol w:w="1701"/>
      </w:tblGrid>
      <w:tr w:rsidR="004F5B07" w:rsidRPr="00C73C47" w:rsidTr="004F5B07">
        <w:trPr>
          <w:cantSplit/>
          <w:trHeight w:val="471"/>
        </w:trPr>
        <w:tc>
          <w:tcPr>
            <w:tcW w:w="1950" w:type="pct"/>
            <w:tcBorders>
              <w:top w:val="single" w:sz="4" w:space="0" w:color="auto"/>
              <w:left w:val="single" w:sz="4" w:space="0" w:color="auto"/>
              <w:bottom w:val="single" w:sz="4" w:space="0" w:color="auto"/>
            </w:tcBorders>
          </w:tcPr>
          <w:p w:rsidR="004F5B07" w:rsidRPr="00C73C47" w:rsidRDefault="004F5B07" w:rsidP="00625AC3">
            <w:pPr>
              <w:keepNext/>
              <w:rPr>
                <w:rFonts w:ascii="Arial Narrow" w:hAnsi="Arial Narrow"/>
                <w:sz w:val="20"/>
              </w:rPr>
            </w:pPr>
            <w:r w:rsidRPr="00C73C47">
              <w:rPr>
                <w:rFonts w:ascii="Arial Narrow" w:hAnsi="Arial Narrow"/>
                <w:sz w:val="20"/>
              </w:rPr>
              <w:t>Name, Restriction,</w:t>
            </w:r>
          </w:p>
          <w:p w:rsidR="004F5B07" w:rsidRPr="00C73C47" w:rsidRDefault="004F5B07" w:rsidP="00625AC3">
            <w:pPr>
              <w:keepNext/>
              <w:rPr>
                <w:rFonts w:ascii="Arial Narrow" w:hAnsi="Arial Narrow"/>
                <w:sz w:val="20"/>
              </w:rPr>
            </w:pPr>
            <w:r w:rsidRPr="00C73C47">
              <w:rPr>
                <w:rFonts w:ascii="Arial Narrow" w:hAnsi="Arial Narrow"/>
                <w:sz w:val="20"/>
              </w:rPr>
              <w:t>Manner of administration and form</w:t>
            </w:r>
          </w:p>
        </w:tc>
        <w:tc>
          <w:tcPr>
            <w:tcW w:w="316" w:type="pct"/>
            <w:tcBorders>
              <w:top w:val="single" w:sz="4" w:space="0" w:color="auto"/>
              <w:bottom w:val="single" w:sz="4" w:space="0" w:color="auto"/>
            </w:tcBorders>
          </w:tcPr>
          <w:p w:rsidR="004F5B07" w:rsidRPr="00C73C47" w:rsidRDefault="004F5B07" w:rsidP="00625AC3">
            <w:pPr>
              <w:keepNext/>
              <w:jc w:val="center"/>
              <w:rPr>
                <w:rFonts w:ascii="Arial Narrow" w:hAnsi="Arial Narrow"/>
                <w:sz w:val="20"/>
              </w:rPr>
            </w:pPr>
            <w:r w:rsidRPr="00C73C47">
              <w:rPr>
                <w:rFonts w:ascii="Arial Narrow" w:hAnsi="Arial Narrow"/>
                <w:sz w:val="20"/>
              </w:rPr>
              <w:t>Max.</w:t>
            </w:r>
          </w:p>
          <w:p w:rsidR="004F5B07" w:rsidRPr="00C73C47" w:rsidRDefault="004F5B07" w:rsidP="00625AC3">
            <w:pPr>
              <w:keepNext/>
              <w:jc w:val="center"/>
              <w:rPr>
                <w:rFonts w:ascii="Arial Narrow" w:hAnsi="Arial Narrow"/>
                <w:sz w:val="20"/>
              </w:rPr>
            </w:pPr>
            <w:r w:rsidRPr="00C73C47">
              <w:rPr>
                <w:rFonts w:ascii="Arial Narrow" w:hAnsi="Arial Narrow"/>
                <w:sz w:val="20"/>
              </w:rPr>
              <w:t>Qty</w:t>
            </w:r>
          </w:p>
        </w:tc>
        <w:tc>
          <w:tcPr>
            <w:tcW w:w="444" w:type="pct"/>
            <w:tcBorders>
              <w:top w:val="single" w:sz="4" w:space="0" w:color="auto"/>
              <w:bottom w:val="single" w:sz="4" w:space="0" w:color="auto"/>
            </w:tcBorders>
          </w:tcPr>
          <w:p w:rsidR="004F5B07" w:rsidRPr="00C73C47" w:rsidRDefault="004F5B07" w:rsidP="00625AC3">
            <w:pPr>
              <w:keepNext/>
              <w:jc w:val="center"/>
              <w:rPr>
                <w:rFonts w:ascii="Arial Narrow" w:hAnsi="Arial Narrow"/>
                <w:sz w:val="20"/>
              </w:rPr>
            </w:pPr>
            <w:r w:rsidRPr="00C73C47">
              <w:rPr>
                <w:rFonts w:ascii="Arial Narrow" w:hAnsi="Arial Narrow"/>
                <w:sz w:val="20"/>
              </w:rPr>
              <w:t>№.of</w:t>
            </w:r>
          </w:p>
          <w:p w:rsidR="004F5B07" w:rsidRPr="00C73C47" w:rsidRDefault="004F5B07" w:rsidP="00625AC3">
            <w:pPr>
              <w:keepNext/>
              <w:jc w:val="center"/>
              <w:rPr>
                <w:rFonts w:ascii="Arial Narrow" w:hAnsi="Arial Narrow"/>
                <w:sz w:val="20"/>
              </w:rPr>
            </w:pPr>
            <w:r w:rsidRPr="00C73C47">
              <w:rPr>
                <w:rFonts w:ascii="Arial Narrow" w:hAnsi="Arial Narrow"/>
                <w:sz w:val="20"/>
              </w:rPr>
              <w:t>Rpts</w:t>
            </w:r>
          </w:p>
        </w:tc>
        <w:tc>
          <w:tcPr>
            <w:tcW w:w="2290" w:type="pct"/>
            <w:gridSpan w:val="2"/>
            <w:tcBorders>
              <w:top w:val="single" w:sz="4" w:space="0" w:color="auto"/>
              <w:bottom w:val="single" w:sz="4" w:space="0" w:color="auto"/>
              <w:right w:val="single" w:sz="4" w:space="0" w:color="auto"/>
            </w:tcBorders>
          </w:tcPr>
          <w:p w:rsidR="004F5B07" w:rsidRPr="00C73C47" w:rsidRDefault="004F5B07" w:rsidP="00625AC3">
            <w:pPr>
              <w:keepNext/>
              <w:jc w:val="center"/>
              <w:rPr>
                <w:rFonts w:ascii="Arial Narrow" w:hAnsi="Arial Narrow"/>
                <w:sz w:val="20"/>
              </w:rPr>
            </w:pPr>
            <w:r w:rsidRPr="00C73C47">
              <w:rPr>
                <w:rFonts w:ascii="Arial Narrow" w:hAnsi="Arial Narrow"/>
                <w:sz w:val="20"/>
              </w:rPr>
              <w:t>Proprietary Name and Manufacturer</w:t>
            </w:r>
          </w:p>
        </w:tc>
      </w:tr>
      <w:tr w:rsidR="004F5B07" w:rsidRPr="00C73C47" w:rsidTr="004F5B07">
        <w:trPr>
          <w:cantSplit/>
          <w:trHeight w:val="577"/>
        </w:trPr>
        <w:tc>
          <w:tcPr>
            <w:tcW w:w="1950" w:type="pct"/>
            <w:tcBorders>
              <w:left w:val="single" w:sz="4" w:space="0" w:color="auto"/>
              <w:bottom w:val="single" w:sz="4" w:space="0" w:color="auto"/>
            </w:tcBorders>
          </w:tcPr>
          <w:p w:rsidR="005874F8" w:rsidRDefault="005874F8" w:rsidP="00625AC3">
            <w:pPr>
              <w:keepNext/>
              <w:rPr>
                <w:rFonts w:ascii="Arial Narrow" w:hAnsi="Arial Narrow" w:cs="Arial Bold"/>
                <w:b/>
                <w:sz w:val="20"/>
              </w:rPr>
            </w:pPr>
          </w:p>
          <w:p w:rsidR="004F5B07" w:rsidRPr="00C73C47" w:rsidRDefault="004F5B07" w:rsidP="00625AC3">
            <w:pPr>
              <w:keepNext/>
              <w:rPr>
                <w:rFonts w:ascii="Arial Narrow" w:hAnsi="Arial Narrow" w:cs="Arial Bold"/>
                <w:b/>
                <w:sz w:val="20"/>
              </w:rPr>
            </w:pPr>
            <w:r w:rsidRPr="00C73C47">
              <w:rPr>
                <w:rFonts w:ascii="Arial Narrow" w:hAnsi="Arial Narrow" w:cs="Arial Bold"/>
                <w:b/>
                <w:sz w:val="20"/>
              </w:rPr>
              <w:t>Initial and continuing treatment</w:t>
            </w:r>
          </w:p>
          <w:p w:rsidR="004F5B07" w:rsidRPr="00C73C47" w:rsidRDefault="004F5B07" w:rsidP="00625AC3">
            <w:pPr>
              <w:keepNext/>
              <w:rPr>
                <w:rFonts w:ascii="Arial Narrow" w:hAnsi="Arial Narrow"/>
                <w:smallCaps/>
                <w:sz w:val="20"/>
              </w:rPr>
            </w:pPr>
            <w:r w:rsidRPr="00C73C47">
              <w:rPr>
                <w:rFonts w:ascii="Arial Narrow" w:hAnsi="Arial Narrow"/>
                <w:smallCaps/>
                <w:sz w:val="20"/>
              </w:rPr>
              <w:t>Certolizumab Pegol</w:t>
            </w:r>
          </w:p>
          <w:p w:rsidR="004F5B07" w:rsidRPr="00C73C47" w:rsidRDefault="004F5B07" w:rsidP="00625AC3">
            <w:pPr>
              <w:keepNext/>
              <w:rPr>
                <w:rFonts w:ascii="Arial Narrow" w:hAnsi="Arial Narrow"/>
                <w:sz w:val="20"/>
              </w:rPr>
            </w:pPr>
            <w:r w:rsidRPr="00C73C47">
              <w:rPr>
                <w:rFonts w:ascii="Arial Narrow" w:hAnsi="Arial Narrow"/>
                <w:sz w:val="20"/>
              </w:rPr>
              <w:t>Injection, 200mg/ml, 2x1ml syringes</w:t>
            </w:r>
          </w:p>
        </w:tc>
        <w:tc>
          <w:tcPr>
            <w:tcW w:w="316" w:type="pct"/>
            <w:tcBorders>
              <w:bottom w:val="single" w:sz="4" w:space="0" w:color="auto"/>
            </w:tcBorders>
          </w:tcPr>
          <w:p w:rsidR="004F5B07" w:rsidRPr="00C73C47" w:rsidRDefault="004F5B07" w:rsidP="00625AC3">
            <w:pPr>
              <w:keepNext/>
              <w:jc w:val="center"/>
              <w:rPr>
                <w:rFonts w:ascii="Arial Narrow" w:hAnsi="Arial Narrow"/>
                <w:sz w:val="20"/>
              </w:rPr>
            </w:pPr>
          </w:p>
          <w:p w:rsidR="005874F8" w:rsidRDefault="005874F8" w:rsidP="00625AC3">
            <w:pPr>
              <w:keepNext/>
              <w:jc w:val="center"/>
              <w:rPr>
                <w:rFonts w:ascii="Arial Narrow" w:hAnsi="Arial Narrow"/>
                <w:sz w:val="20"/>
              </w:rPr>
            </w:pPr>
          </w:p>
          <w:p w:rsidR="004F5B07" w:rsidRPr="00C73C47" w:rsidRDefault="004F5B07" w:rsidP="00625AC3">
            <w:pPr>
              <w:keepNext/>
              <w:jc w:val="center"/>
              <w:rPr>
                <w:rFonts w:ascii="Arial Narrow" w:hAnsi="Arial Narrow"/>
                <w:sz w:val="20"/>
              </w:rPr>
            </w:pPr>
            <w:r w:rsidRPr="00C73C47">
              <w:rPr>
                <w:rFonts w:ascii="Arial Narrow" w:hAnsi="Arial Narrow"/>
                <w:sz w:val="20"/>
              </w:rPr>
              <w:t>1</w:t>
            </w:r>
          </w:p>
        </w:tc>
        <w:tc>
          <w:tcPr>
            <w:tcW w:w="444" w:type="pct"/>
            <w:tcBorders>
              <w:bottom w:val="single" w:sz="4" w:space="0" w:color="auto"/>
            </w:tcBorders>
          </w:tcPr>
          <w:p w:rsidR="004F5B07" w:rsidRDefault="004F5B07" w:rsidP="00625AC3">
            <w:pPr>
              <w:keepNext/>
              <w:jc w:val="center"/>
              <w:rPr>
                <w:rFonts w:ascii="Arial Narrow" w:hAnsi="Arial Narrow"/>
                <w:sz w:val="20"/>
              </w:rPr>
            </w:pPr>
          </w:p>
          <w:p w:rsidR="005874F8" w:rsidRPr="00C73C47" w:rsidRDefault="005874F8" w:rsidP="00625AC3">
            <w:pPr>
              <w:keepNext/>
              <w:jc w:val="center"/>
              <w:rPr>
                <w:rFonts w:ascii="Arial Narrow" w:hAnsi="Arial Narrow"/>
                <w:sz w:val="20"/>
              </w:rPr>
            </w:pPr>
          </w:p>
          <w:p w:rsidR="004F5B07" w:rsidRPr="00C73C47" w:rsidRDefault="004F5B07" w:rsidP="00625AC3">
            <w:pPr>
              <w:keepNext/>
              <w:jc w:val="center"/>
              <w:rPr>
                <w:rFonts w:ascii="Arial Narrow" w:hAnsi="Arial Narrow"/>
                <w:sz w:val="20"/>
              </w:rPr>
            </w:pPr>
            <w:r w:rsidRPr="00C73C47">
              <w:rPr>
                <w:rFonts w:ascii="Arial Narrow" w:hAnsi="Arial Narrow"/>
                <w:sz w:val="20"/>
              </w:rPr>
              <w:t>5</w:t>
            </w:r>
          </w:p>
        </w:tc>
        <w:tc>
          <w:tcPr>
            <w:tcW w:w="1273" w:type="pct"/>
            <w:tcBorders>
              <w:bottom w:val="single" w:sz="4" w:space="0" w:color="auto"/>
            </w:tcBorders>
          </w:tcPr>
          <w:p w:rsidR="004F5B07" w:rsidRDefault="004F5B07" w:rsidP="00625AC3">
            <w:pPr>
              <w:keepNext/>
              <w:jc w:val="center"/>
              <w:rPr>
                <w:rFonts w:ascii="Arial Narrow" w:hAnsi="Arial Narrow"/>
                <w:sz w:val="20"/>
              </w:rPr>
            </w:pPr>
          </w:p>
          <w:p w:rsidR="005874F8" w:rsidRPr="00C73C47" w:rsidRDefault="005874F8" w:rsidP="00625AC3">
            <w:pPr>
              <w:keepNext/>
              <w:jc w:val="center"/>
              <w:rPr>
                <w:rFonts w:ascii="Arial Narrow" w:hAnsi="Arial Narrow"/>
                <w:sz w:val="20"/>
              </w:rPr>
            </w:pPr>
          </w:p>
          <w:p w:rsidR="004F5B07" w:rsidRPr="00C73C47" w:rsidRDefault="004F5B07" w:rsidP="00625AC3">
            <w:pPr>
              <w:keepNext/>
              <w:jc w:val="center"/>
              <w:rPr>
                <w:rFonts w:ascii="Arial Narrow" w:hAnsi="Arial Narrow"/>
                <w:sz w:val="20"/>
              </w:rPr>
            </w:pPr>
            <w:r w:rsidRPr="00C73C47">
              <w:rPr>
                <w:rFonts w:ascii="Arial Narrow" w:hAnsi="Arial Narrow"/>
                <w:sz w:val="20"/>
              </w:rPr>
              <w:t>Cimzia</w:t>
            </w:r>
          </w:p>
        </w:tc>
        <w:tc>
          <w:tcPr>
            <w:tcW w:w="1017" w:type="pct"/>
            <w:tcBorders>
              <w:bottom w:val="single" w:sz="4" w:space="0" w:color="auto"/>
              <w:right w:val="single" w:sz="4" w:space="0" w:color="auto"/>
            </w:tcBorders>
          </w:tcPr>
          <w:p w:rsidR="004F5B07" w:rsidRDefault="004F5B07" w:rsidP="00625AC3">
            <w:pPr>
              <w:keepNext/>
              <w:jc w:val="center"/>
              <w:rPr>
                <w:rFonts w:ascii="Arial Narrow" w:hAnsi="Arial Narrow"/>
                <w:sz w:val="20"/>
              </w:rPr>
            </w:pPr>
          </w:p>
          <w:p w:rsidR="005874F8" w:rsidRPr="00C73C47" w:rsidRDefault="005874F8" w:rsidP="00625AC3">
            <w:pPr>
              <w:keepNext/>
              <w:jc w:val="center"/>
              <w:rPr>
                <w:rFonts w:ascii="Arial Narrow" w:hAnsi="Arial Narrow"/>
                <w:sz w:val="20"/>
              </w:rPr>
            </w:pPr>
          </w:p>
          <w:p w:rsidR="004F5B07" w:rsidRPr="00C73C47" w:rsidRDefault="004F5B07" w:rsidP="00625AC3">
            <w:pPr>
              <w:keepNext/>
              <w:jc w:val="center"/>
              <w:rPr>
                <w:rFonts w:ascii="Arial Narrow" w:hAnsi="Arial Narrow"/>
                <w:sz w:val="20"/>
              </w:rPr>
            </w:pPr>
            <w:r w:rsidRPr="00C73C47">
              <w:rPr>
                <w:rFonts w:ascii="Arial Narrow" w:hAnsi="Arial Narrow"/>
                <w:sz w:val="20"/>
              </w:rPr>
              <w:t>UCB</w:t>
            </w:r>
          </w:p>
        </w:tc>
      </w:tr>
      <w:tr w:rsidR="00A211F8" w:rsidRPr="00C73C47" w:rsidTr="004F5B07">
        <w:trPr>
          <w:cantSplit/>
          <w:trHeight w:val="577"/>
        </w:trPr>
        <w:tc>
          <w:tcPr>
            <w:tcW w:w="5000" w:type="pct"/>
            <w:gridSpan w:val="5"/>
            <w:tcBorders>
              <w:top w:val="single" w:sz="4" w:space="0" w:color="auto"/>
              <w:left w:val="single" w:sz="4" w:space="0" w:color="auto"/>
              <w:bottom w:val="single" w:sz="4" w:space="0" w:color="auto"/>
              <w:right w:val="single" w:sz="4" w:space="0" w:color="auto"/>
            </w:tcBorders>
          </w:tcPr>
          <w:p w:rsidR="005874F8" w:rsidRDefault="005874F8" w:rsidP="00625AC3">
            <w:pPr>
              <w:keepNext/>
              <w:rPr>
                <w:rFonts w:ascii="Arial Narrow" w:hAnsi="Arial Narrow"/>
                <w:b/>
                <w:bCs/>
                <w:sz w:val="20"/>
                <w:u w:val="single"/>
              </w:rPr>
            </w:pPr>
          </w:p>
          <w:p w:rsidR="00A211F8" w:rsidRPr="00C73C47" w:rsidRDefault="00A211F8" w:rsidP="00625AC3">
            <w:pPr>
              <w:keepNext/>
              <w:rPr>
                <w:rFonts w:ascii="Arial Narrow" w:hAnsi="Arial Narrow"/>
                <w:b/>
                <w:bCs/>
                <w:sz w:val="20"/>
                <w:u w:val="single"/>
              </w:rPr>
            </w:pPr>
            <w:r w:rsidRPr="00C73C47">
              <w:rPr>
                <w:rFonts w:ascii="Arial Narrow" w:hAnsi="Arial Narrow"/>
                <w:b/>
                <w:bCs/>
                <w:sz w:val="20"/>
                <w:u w:val="single"/>
              </w:rPr>
              <w:t>Authority required</w:t>
            </w:r>
          </w:p>
          <w:p w:rsidR="00A211F8" w:rsidRPr="00C73C47" w:rsidRDefault="00A211F8" w:rsidP="00467428">
            <w:pPr>
              <w:pStyle w:val="ListParagraph"/>
              <w:keepNext/>
              <w:numPr>
                <w:ilvl w:val="0"/>
                <w:numId w:val="22"/>
              </w:numPr>
              <w:ind w:left="256" w:hanging="256"/>
              <w:jc w:val="left"/>
              <w:rPr>
                <w:rFonts w:ascii="Arial Narrow" w:hAnsi="Arial Narrow"/>
                <w:sz w:val="20"/>
              </w:rPr>
            </w:pPr>
            <w:r w:rsidRPr="00C73C47">
              <w:rPr>
                <w:rFonts w:ascii="Arial Narrow" w:hAnsi="Arial Narrow"/>
                <w:sz w:val="20"/>
              </w:rPr>
              <w:t>Initial 1 (new patients)</w:t>
            </w:r>
          </w:p>
          <w:p w:rsidR="00A211F8" w:rsidRPr="00C73C47" w:rsidRDefault="00A211F8" w:rsidP="00467428">
            <w:pPr>
              <w:pStyle w:val="ListParagraph"/>
              <w:keepNext/>
              <w:numPr>
                <w:ilvl w:val="0"/>
                <w:numId w:val="22"/>
              </w:numPr>
              <w:ind w:left="256" w:hanging="256"/>
              <w:jc w:val="left"/>
              <w:rPr>
                <w:rFonts w:ascii="Arial Narrow" w:hAnsi="Arial Narrow"/>
                <w:sz w:val="20"/>
              </w:rPr>
            </w:pPr>
            <w:r w:rsidRPr="00C73C47">
              <w:rPr>
                <w:rFonts w:ascii="Arial Narrow" w:hAnsi="Arial Narrow"/>
                <w:sz w:val="20"/>
              </w:rPr>
              <w:t>Initial 2 (</w:t>
            </w:r>
            <w:r w:rsidR="005E5BFF">
              <w:rPr>
                <w:rFonts w:ascii="Arial Narrow" w:hAnsi="Arial Narrow"/>
                <w:sz w:val="20"/>
              </w:rPr>
              <w:t xml:space="preserve">swapping therapy or </w:t>
            </w:r>
            <w:r w:rsidRPr="00C73C47">
              <w:rPr>
                <w:rFonts w:ascii="Arial Narrow" w:hAnsi="Arial Narrow"/>
                <w:sz w:val="20"/>
              </w:rPr>
              <w:t xml:space="preserve"> re-commencement </w:t>
            </w:r>
            <w:r w:rsidR="005E5BFF">
              <w:rPr>
                <w:rFonts w:ascii="Arial Narrow" w:hAnsi="Arial Narrow"/>
                <w:sz w:val="20"/>
              </w:rPr>
              <w:t>after a treatment break</w:t>
            </w:r>
            <w:r w:rsidR="001A4776">
              <w:rPr>
                <w:rFonts w:ascii="Arial Narrow" w:hAnsi="Arial Narrow"/>
                <w:sz w:val="20"/>
              </w:rPr>
              <w:t>)</w:t>
            </w:r>
            <w:r w:rsidR="005E5BFF">
              <w:rPr>
                <w:rFonts w:ascii="Arial Narrow" w:hAnsi="Arial Narrow"/>
                <w:sz w:val="20"/>
              </w:rPr>
              <w:t xml:space="preserve"> </w:t>
            </w:r>
          </w:p>
          <w:p w:rsidR="00A211F8" w:rsidRPr="00C73C47" w:rsidRDefault="00A211F8" w:rsidP="00467428">
            <w:pPr>
              <w:pStyle w:val="ListParagraph"/>
              <w:keepNext/>
              <w:numPr>
                <w:ilvl w:val="0"/>
                <w:numId w:val="22"/>
              </w:numPr>
              <w:ind w:left="256" w:hanging="256"/>
              <w:jc w:val="left"/>
              <w:rPr>
                <w:rFonts w:ascii="Arial Narrow" w:hAnsi="Arial Narrow"/>
                <w:sz w:val="20"/>
              </w:rPr>
            </w:pPr>
            <w:r w:rsidRPr="00C73C47">
              <w:rPr>
                <w:rFonts w:ascii="Arial Narrow" w:hAnsi="Arial Narrow"/>
                <w:sz w:val="20"/>
              </w:rPr>
              <w:t>Continuing treatment for all patients</w:t>
            </w:r>
          </w:p>
        </w:tc>
      </w:tr>
    </w:tbl>
    <w:p w:rsidR="005874F8" w:rsidRDefault="005874F8" w:rsidP="005874F8">
      <w:pPr>
        <w:pStyle w:val="PBACHeading1"/>
        <w:numPr>
          <w:ilvl w:val="0"/>
          <w:numId w:val="0"/>
        </w:numPr>
        <w:ind w:left="720" w:hanging="720"/>
      </w:pPr>
    </w:p>
    <w:p w:rsidR="005874F8" w:rsidRPr="00C73C47" w:rsidRDefault="005874F8" w:rsidP="005874F8">
      <w:pPr>
        <w:pStyle w:val="PBACHeading1"/>
        <w:numPr>
          <w:ilvl w:val="0"/>
          <w:numId w:val="0"/>
        </w:numPr>
        <w:ind w:left="720" w:hanging="720"/>
      </w:pPr>
    </w:p>
    <w:p w:rsidR="00A211F8" w:rsidRPr="00B77C4A" w:rsidRDefault="00585FA0" w:rsidP="00585FA0">
      <w:pPr>
        <w:pStyle w:val="ListParagraph"/>
        <w:widowControl/>
        <w:numPr>
          <w:ilvl w:val="1"/>
          <w:numId w:val="5"/>
        </w:numPr>
        <w:rPr>
          <w:szCs w:val="22"/>
          <w:highlight w:val="black"/>
        </w:rPr>
      </w:pPr>
      <w:r>
        <w:rPr>
          <w:szCs w:val="22"/>
        </w:rPr>
        <w:t xml:space="preserve">  </w:t>
      </w:r>
      <w:r w:rsidR="00B77C4A">
        <w:rPr>
          <w:noProof/>
          <w:color w:val="000000"/>
          <w:szCs w:val="22"/>
          <w:highlight w:val="black"/>
        </w:rPr>
        <w:t>''''''''' '''''''''''''''''' ''''''''''''''''''''''' '''' '''''''''' '''''''''''''''' '''' ''''''' '''''''''''''''''''''''' '''''''''''''''' ''''' '''''''''''' '''''''''' '''''''''''''''''''' '''''''''''''' ''''' ''''''''''' ''''''''' '''''''''''''''''''' '''''''''''''''''''''''''''' '''''''''''''''''''''''' ''''''''' '''''''' ''''''''''''''''''' '''''''''''''''''''''''''''''</w:t>
      </w:r>
    </w:p>
    <w:p w:rsidR="00A211F8" w:rsidRPr="00C73C47" w:rsidRDefault="00A211F8" w:rsidP="00A211F8"/>
    <w:p w:rsidR="00A211F8" w:rsidRPr="00C73C47" w:rsidRDefault="00A211F8" w:rsidP="00467428">
      <w:pPr>
        <w:pStyle w:val="ListParagraph"/>
        <w:widowControl/>
        <w:numPr>
          <w:ilvl w:val="1"/>
          <w:numId w:val="5"/>
        </w:numPr>
        <w:rPr>
          <w:szCs w:val="22"/>
        </w:rPr>
      </w:pPr>
      <w:r w:rsidRPr="00C73C47">
        <w:rPr>
          <w:szCs w:val="22"/>
        </w:rPr>
        <w:t xml:space="preserve">The requested listing of </w:t>
      </w:r>
      <w:r w:rsidR="0041159C">
        <w:rPr>
          <w:szCs w:val="22"/>
        </w:rPr>
        <w:t>CZ</w:t>
      </w:r>
      <w:r w:rsidR="00890AD3">
        <w:rPr>
          <w:szCs w:val="22"/>
        </w:rPr>
        <w:t>P</w:t>
      </w:r>
      <w:r w:rsidR="0041159C" w:rsidRPr="00C73C47">
        <w:rPr>
          <w:szCs w:val="22"/>
        </w:rPr>
        <w:t xml:space="preserve"> </w:t>
      </w:r>
      <w:r w:rsidR="00216E46">
        <w:rPr>
          <w:szCs w:val="22"/>
        </w:rPr>
        <w:t>wa</w:t>
      </w:r>
      <w:r w:rsidR="00216E46" w:rsidRPr="00C73C47">
        <w:rPr>
          <w:szCs w:val="22"/>
        </w:rPr>
        <w:t xml:space="preserve">s </w:t>
      </w:r>
      <w:r w:rsidRPr="00C73C47">
        <w:rPr>
          <w:szCs w:val="22"/>
        </w:rPr>
        <w:t xml:space="preserve">made on a cost minimisation basis versus </w:t>
      </w:r>
      <w:r w:rsidR="0041159C">
        <w:rPr>
          <w:szCs w:val="22"/>
        </w:rPr>
        <w:t>ADA</w:t>
      </w:r>
      <w:r w:rsidR="0041159C" w:rsidRPr="00C73C47">
        <w:rPr>
          <w:szCs w:val="22"/>
        </w:rPr>
        <w:t xml:space="preserve"> </w:t>
      </w:r>
      <w:r w:rsidRPr="00C73C47">
        <w:rPr>
          <w:szCs w:val="22"/>
        </w:rPr>
        <w:t>(main comparator).</w:t>
      </w:r>
    </w:p>
    <w:p w:rsidR="00A211F8" w:rsidRDefault="00A211F8" w:rsidP="00A211F8">
      <w:pPr>
        <w:pStyle w:val="ListParagraph"/>
        <w:widowControl/>
        <w:rPr>
          <w:szCs w:val="22"/>
        </w:rPr>
      </w:pPr>
    </w:p>
    <w:p w:rsidR="00705E8C" w:rsidRPr="00C73C47" w:rsidRDefault="00705E8C" w:rsidP="00A211F8">
      <w:pPr>
        <w:pStyle w:val="ListParagraph"/>
        <w:widowControl/>
        <w:rPr>
          <w:szCs w:val="22"/>
        </w:rPr>
      </w:pPr>
    </w:p>
    <w:p w:rsidR="00A211F8" w:rsidRPr="00C73C47" w:rsidRDefault="00A211F8" w:rsidP="00A211F8">
      <w:pPr>
        <w:pStyle w:val="PBACHeading1"/>
      </w:pPr>
      <w:bookmarkStart w:id="13" w:name="_Toc392858191"/>
      <w:bookmarkStart w:id="14" w:name="_Toc398646043"/>
      <w:r w:rsidRPr="00C73C47">
        <w:t>Background</w:t>
      </w:r>
      <w:bookmarkEnd w:id="13"/>
      <w:bookmarkEnd w:id="14"/>
    </w:p>
    <w:p w:rsidR="00A211F8" w:rsidRPr="00C73C47" w:rsidRDefault="00A211F8" w:rsidP="00A211F8">
      <w:pPr>
        <w:rPr>
          <w:szCs w:val="22"/>
        </w:rPr>
      </w:pPr>
    </w:p>
    <w:p w:rsidR="00A211F8" w:rsidRPr="00A83773" w:rsidRDefault="0041159C" w:rsidP="00005250">
      <w:pPr>
        <w:pStyle w:val="ListParagraph"/>
        <w:widowControl/>
        <w:numPr>
          <w:ilvl w:val="1"/>
          <w:numId w:val="5"/>
        </w:numPr>
        <w:rPr>
          <w:szCs w:val="22"/>
        </w:rPr>
      </w:pPr>
      <w:r>
        <w:rPr>
          <w:szCs w:val="22"/>
        </w:rPr>
        <w:t>CZ</w:t>
      </w:r>
      <w:r w:rsidR="00890AD3">
        <w:rPr>
          <w:szCs w:val="22"/>
        </w:rPr>
        <w:t>P</w:t>
      </w:r>
      <w:r w:rsidR="003547A6" w:rsidRPr="00005250">
        <w:rPr>
          <w:szCs w:val="22"/>
        </w:rPr>
        <w:t xml:space="preserve"> </w:t>
      </w:r>
      <w:r w:rsidR="00A211F8" w:rsidRPr="00005250">
        <w:rPr>
          <w:szCs w:val="22"/>
        </w:rPr>
        <w:t xml:space="preserve">was TGA </w:t>
      </w:r>
      <w:r w:rsidR="009C2749">
        <w:rPr>
          <w:szCs w:val="22"/>
        </w:rPr>
        <w:t>approved on 1 May 2014</w:t>
      </w:r>
      <w:r w:rsidR="00A211F8" w:rsidRPr="00005250">
        <w:rPr>
          <w:szCs w:val="22"/>
        </w:rPr>
        <w:t xml:space="preserve"> for the treatment of adult patients with active PsA where response to previous disease modifying anti-rheumatic drugs (DMARDs) is inadequate. </w:t>
      </w:r>
      <w:r w:rsidR="00A211F8" w:rsidRPr="00A83773">
        <w:t xml:space="preserve"> </w:t>
      </w:r>
    </w:p>
    <w:p w:rsidR="00A211F8" w:rsidRPr="00C73C47" w:rsidRDefault="00A211F8" w:rsidP="00A211F8">
      <w:pPr>
        <w:pStyle w:val="ListParagraph"/>
        <w:widowControl/>
        <w:rPr>
          <w:szCs w:val="22"/>
        </w:rPr>
      </w:pPr>
      <w:r w:rsidRPr="00C73C47">
        <w:t xml:space="preserve"> </w:t>
      </w:r>
    </w:p>
    <w:p w:rsidR="00A211F8" w:rsidRPr="002F2AB5" w:rsidRDefault="00A211F8" w:rsidP="00467428">
      <w:pPr>
        <w:pStyle w:val="ListParagraph"/>
        <w:widowControl/>
        <w:numPr>
          <w:ilvl w:val="1"/>
          <w:numId w:val="5"/>
        </w:numPr>
        <w:rPr>
          <w:szCs w:val="22"/>
        </w:rPr>
      </w:pPr>
      <w:r w:rsidRPr="00C73C47">
        <w:t xml:space="preserve">This </w:t>
      </w:r>
      <w:r w:rsidR="00877BA7">
        <w:t>was</w:t>
      </w:r>
      <w:r w:rsidRPr="00C73C47">
        <w:t xml:space="preserve"> the first consideration of </w:t>
      </w:r>
      <w:r w:rsidR="00890AD3">
        <w:t>CZP</w:t>
      </w:r>
      <w:r w:rsidR="00890AD3" w:rsidRPr="00C73C47">
        <w:t xml:space="preserve"> </w:t>
      </w:r>
      <w:r w:rsidRPr="00C73C47">
        <w:t xml:space="preserve">by the PBAC for PsA.  </w:t>
      </w:r>
      <w:r w:rsidR="0041159C" w:rsidRPr="002F2AB5">
        <w:t>CZ</w:t>
      </w:r>
      <w:r w:rsidR="00890AD3" w:rsidRPr="002F2AB5">
        <w:t>P</w:t>
      </w:r>
      <w:r w:rsidR="0041159C" w:rsidRPr="002F2AB5">
        <w:t xml:space="preserve"> </w:t>
      </w:r>
      <w:r w:rsidRPr="002F2AB5">
        <w:t>is currently listed on the PBS for treatment of severe active rheumatoid ar</w:t>
      </w:r>
      <w:r w:rsidR="00E72362" w:rsidRPr="002F2AB5">
        <w:t>thritis</w:t>
      </w:r>
      <w:r w:rsidR="00407E34" w:rsidRPr="002F2AB5">
        <w:t xml:space="preserve"> (RA)</w:t>
      </w:r>
      <w:r w:rsidR="00E72362" w:rsidRPr="002F2AB5">
        <w:t xml:space="preserve"> (recommended March </w:t>
      </w:r>
      <w:r w:rsidRPr="002F2AB5">
        <w:t>2010) and for treatment of active ankylosing spondylitis</w:t>
      </w:r>
      <w:r w:rsidR="00407E34" w:rsidRPr="002F2AB5">
        <w:t xml:space="preserve"> (AS)</w:t>
      </w:r>
      <w:r w:rsidRPr="002F2AB5">
        <w:t xml:space="preserve"> in patients who meet certain crit</w:t>
      </w:r>
      <w:r w:rsidR="00E72362" w:rsidRPr="002F2AB5">
        <w:t>eria (recommended March 201</w:t>
      </w:r>
      <w:r w:rsidR="00CB3009">
        <w:t>4</w:t>
      </w:r>
      <w:r w:rsidR="00E72362" w:rsidRPr="002F2AB5">
        <w:t xml:space="preserve">). </w:t>
      </w:r>
      <w:r w:rsidRPr="002F2AB5">
        <w:t xml:space="preserve">Both listings were on a cost minimisation basis versus </w:t>
      </w:r>
      <w:r w:rsidR="00A71978" w:rsidRPr="002F2AB5">
        <w:t>ADA</w:t>
      </w:r>
      <w:r w:rsidRPr="002F2AB5">
        <w:t>.</w:t>
      </w:r>
    </w:p>
    <w:p w:rsidR="00A211F8" w:rsidRDefault="00A211F8" w:rsidP="00A211F8"/>
    <w:p w:rsidR="00705E8C" w:rsidRPr="002F2AB5" w:rsidRDefault="00705E8C" w:rsidP="005874F8"/>
    <w:p w:rsidR="00A211F8" w:rsidRDefault="00A211F8" w:rsidP="005874F8">
      <w:pPr>
        <w:pStyle w:val="PBACHeading1"/>
      </w:pPr>
      <w:bookmarkStart w:id="15" w:name="_Toc392858192"/>
      <w:bookmarkStart w:id="16" w:name="_Toc398646044"/>
      <w:r w:rsidRPr="00C73C47">
        <w:t>Clinical place for the proposed therapy</w:t>
      </w:r>
      <w:bookmarkEnd w:id="15"/>
      <w:bookmarkEnd w:id="16"/>
    </w:p>
    <w:p w:rsidR="005874F8" w:rsidRPr="005874F8" w:rsidRDefault="005874F8" w:rsidP="005874F8">
      <w:pPr>
        <w:pStyle w:val="PBACHeading1"/>
        <w:numPr>
          <w:ilvl w:val="0"/>
          <w:numId w:val="0"/>
        </w:numPr>
      </w:pPr>
    </w:p>
    <w:p w:rsidR="00A211F8" w:rsidRPr="00C73C47" w:rsidRDefault="00A211F8" w:rsidP="00467428">
      <w:pPr>
        <w:pStyle w:val="ListParagraph"/>
        <w:widowControl/>
        <w:numPr>
          <w:ilvl w:val="1"/>
          <w:numId w:val="5"/>
        </w:numPr>
        <w:rPr>
          <w:szCs w:val="22"/>
        </w:rPr>
      </w:pPr>
      <w:r w:rsidRPr="00C73C47">
        <w:rPr>
          <w:szCs w:val="22"/>
        </w:rPr>
        <w:t xml:space="preserve">The submission’s proposed place in therapy for </w:t>
      </w:r>
      <w:r w:rsidR="00A71978">
        <w:rPr>
          <w:szCs w:val="22"/>
        </w:rPr>
        <w:t>CZP</w:t>
      </w:r>
      <w:r w:rsidR="00A71978" w:rsidRPr="00C73C47">
        <w:rPr>
          <w:szCs w:val="22"/>
        </w:rPr>
        <w:t xml:space="preserve"> </w:t>
      </w:r>
      <w:r w:rsidR="00A71978">
        <w:rPr>
          <w:szCs w:val="22"/>
        </w:rPr>
        <w:t>wa</w:t>
      </w:r>
      <w:r w:rsidR="00A71978" w:rsidRPr="00C73C47">
        <w:rPr>
          <w:szCs w:val="22"/>
        </w:rPr>
        <w:t xml:space="preserve">s </w:t>
      </w:r>
      <w:r w:rsidRPr="00C73C47">
        <w:rPr>
          <w:szCs w:val="22"/>
        </w:rPr>
        <w:t>as an alternative bDMARD for PsA patients who have failed therapy with standard DMARDs.</w:t>
      </w:r>
    </w:p>
    <w:p w:rsidR="00A211F8" w:rsidRDefault="00A211F8" w:rsidP="00A211F8">
      <w:pPr>
        <w:pStyle w:val="Header"/>
        <w:rPr>
          <w:szCs w:val="22"/>
        </w:rPr>
      </w:pPr>
    </w:p>
    <w:p w:rsidR="00705E8C" w:rsidRPr="00C73C47" w:rsidRDefault="00705E8C" w:rsidP="00A211F8">
      <w:pPr>
        <w:pStyle w:val="Header"/>
        <w:rPr>
          <w:szCs w:val="22"/>
        </w:rPr>
      </w:pPr>
    </w:p>
    <w:p w:rsidR="00A211F8" w:rsidRPr="00C73C47" w:rsidRDefault="00A211F8" w:rsidP="00467428">
      <w:pPr>
        <w:pStyle w:val="Header"/>
        <w:widowControl/>
        <w:numPr>
          <w:ilvl w:val="0"/>
          <w:numId w:val="5"/>
        </w:numPr>
        <w:tabs>
          <w:tab w:val="clear" w:pos="4513"/>
          <w:tab w:val="clear" w:pos="9026"/>
        </w:tabs>
        <w:rPr>
          <w:b/>
          <w:szCs w:val="22"/>
        </w:rPr>
      </w:pPr>
      <w:r w:rsidRPr="00C73C47">
        <w:rPr>
          <w:b/>
          <w:szCs w:val="22"/>
        </w:rPr>
        <w:t>Comparator</w:t>
      </w:r>
    </w:p>
    <w:p w:rsidR="00A211F8" w:rsidRPr="00C73C47" w:rsidRDefault="00A211F8" w:rsidP="00A211F8"/>
    <w:p w:rsidR="00A211F8" w:rsidRPr="002F2AB5" w:rsidRDefault="00A71978">
      <w:pPr>
        <w:pStyle w:val="ListParagraph"/>
        <w:widowControl/>
        <w:numPr>
          <w:ilvl w:val="1"/>
          <w:numId w:val="5"/>
        </w:numPr>
        <w:rPr>
          <w:i/>
          <w:szCs w:val="22"/>
        </w:rPr>
      </w:pPr>
      <w:r>
        <w:t>ADA</w:t>
      </w:r>
      <w:r w:rsidRPr="00C73C47">
        <w:t xml:space="preserve"> </w:t>
      </w:r>
      <w:r w:rsidR="003547A6">
        <w:t>wa</w:t>
      </w:r>
      <w:r w:rsidR="003547A6" w:rsidRPr="00C73C47">
        <w:t xml:space="preserve">s </w:t>
      </w:r>
      <w:r w:rsidR="003547A6">
        <w:t xml:space="preserve">nominated as </w:t>
      </w:r>
      <w:r w:rsidR="00A211F8" w:rsidRPr="00C73C47">
        <w:t xml:space="preserve">the primary comparator </w:t>
      </w:r>
      <w:r w:rsidR="00E72362">
        <w:t>for cost minimisation analysis.</w:t>
      </w:r>
      <w:r w:rsidR="00A211F8" w:rsidRPr="00C73C47">
        <w:t xml:space="preserve"> </w:t>
      </w:r>
      <w:r>
        <w:t>ETC</w:t>
      </w:r>
      <w:r w:rsidR="00A211F8" w:rsidRPr="00C73C47">
        <w:t xml:space="preserve">, </w:t>
      </w:r>
      <w:r>
        <w:t>GOL</w:t>
      </w:r>
      <w:r w:rsidRPr="00C73C47">
        <w:t xml:space="preserve"> </w:t>
      </w:r>
      <w:r w:rsidR="00A211F8" w:rsidRPr="00C73C47">
        <w:t xml:space="preserve">and </w:t>
      </w:r>
      <w:r>
        <w:t>INX</w:t>
      </w:r>
      <w:r w:rsidRPr="00C73C47">
        <w:t xml:space="preserve"> </w:t>
      </w:r>
      <w:r w:rsidR="003547A6">
        <w:t>we</w:t>
      </w:r>
      <w:r w:rsidR="003547A6" w:rsidRPr="00C73C47">
        <w:t xml:space="preserve">re </w:t>
      </w:r>
      <w:r w:rsidR="00A211F8" w:rsidRPr="00C73C47">
        <w:t>nominated as i</w:t>
      </w:r>
      <w:r w:rsidR="00E72362">
        <w:t>mportant secondary comparators.</w:t>
      </w:r>
      <w:r w:rsidR="00A211F8" w:rsidRPr="00C73C47">
        <w:t xml:space="preserve"> </w:t>
      </w:r>
      <w:r w:rsidR="00A211F8" w:rsidRPr="002F2AB5">
        <w:t>The</w:t>
      </w:r>
      <w:r w:rsidR="000A4F6E" w:rsidRPr="002F2AB5">
        <w:t xml:space="preserve"> nominated</w:t>
      </w:r>
      <w:r w:rsidR="00A211F8" w:rsidRPr="002F2AB5">
        <w:t xml:space="preserve"> </w:t>
      </w:r>
      <w:r w:rsidR="003547A6" w:rsidRPr="002F2AB5">
        <w:t xml:space="preserve">comparators were considered </w:t>
      </w:r>
      <w:r w:rsidR="00A211F8" w:rsidRPr="002F2AB5">
        <w:t xml:space="preserve">appropriate.  </w:t>
      </w:r>
    </w:p>
    <w:p w:rsidR="002F2AB5" w:rsidRDefault="002F2AB5" w:rsidP="004260AF">
      <w:pPr>
        <w:pStyle w:val="ListParagraph"/>
        <w:widowControl/>
        <w:rPr>
          <w:i/>
          <w:szCs w:val="22"/>
        </w:rPr>
      </w:pPr>
    </w:p>
    <w:p w:rsidR="00730A26" w:rsidRDefault="009A1890" w:rsidP="004260AF">
      <w:pPr>
        <w:pStyle w:val="ListParagraph"/>
        <w:widowControl/>
        <w:rPr>
          <w:i/>
          <w:szCs w:val="22"/>
        </w:rPr>
      </w:pPr>
      <w:r w:rsidRPr="009A1890">
        <w:rPr>
          <w:i/>
          <w:szCs w:val="22"/>
        </w:rPr>
        <w:t>For more detail on PBAC’s view, see section 7 “PBAC outcome”</w:t>
      </w:r>
    </w:p>
    <w:p w:rsidR="009A1890" w:rsidRPr="004260AF" w:rsidRDefault="009A1890" w:rsidP="004260AF">
      <w:pPr>
        <w:pStyle w:val="ListParagraph"/>
        <w:widowControl/>
        <w:rPr>
          <w:i/>
          <w:szCs w:val="22"/>
        </w:rPr>
      </w:pPr>
    </w:p>
    <w:p w:rsidR="00730A26" w:rsidRPr="00BE684A" w:rsidRDefault="00730A26">
      <w:pPr>
        <w:pStyle w:val="ListParagraph"/>
        <w:widowControl/>
        <w:numPr>
          <w:ilvl w:val="1"/>
          <w:numId w:val="5"/>
        </w:numPr>
        <w:rPr>
          <w:szCs w:val="22"/>
        </w:rPr>
      </w:pPr>
      <w:r w:rsidRPr="00BE684A">
        <w:t xml:space="preserve">The </w:t>
      </w:r>
      <w:r w:rsidR="00F15B54" w:rsidRPr="00BE684A">
        <w:t xml:space="preserve">ESC noted </w:t>
      </w:r>
      <w:r w:rsidR="00C43E87" w:rsidRPr="00BE684A">
        <w:t xml:space="preserve">that </w:t>
      </w:r>
      <w:r w:rsidR="00F21188" w:rsidRPr="00BE684A">
        <w:t xml:space="preserve">ustekinumab (UST) </w:t>
      </w:r>
      <w:r w:rsidRPr="00BE684A">
        <w:t xml:space="preserve">was </w:t>
      </w:r>
      <w:r w:rsidR="00C43E87" w:rsidRPr="00BE684A">
        <w:t xml:space="preserve">not </w:t>
      </w:r>
      <w:r w:rsidR="00BA1F72" w:rsidRPr="00BE684A">
        <w:t>nominated</w:t>
      </w:r>
      <w:r w:rsidR="00C43E87" w:rsidRPr="00BE684A">
        <w:t xml:space="preserve"> as a</w:t>
      </w:r>
      <w:r w:rsidR="00BA1F72" w:rsidRPr="00BE684A">
        <w:t xml:space="preserve"> </w:t>
      </w:r>
      <w:r w:rsidRPr="00BE684A">
        <w:t>comparator</w:t>
      </w:r>
      <w:r w:rsidR="00C43E87" w:rsidRPr="00BE684A">
        <w:t xml:space="preserve"> in the submission</w:t>
      </w:r>
      <w:r w:rsidR="009A7482" w:rsidRPr="00BE684A">
        <w:t xml:space="preserve"> but that</w:t>
      </w:r>
      <w:r w:rsidR="00A263A0" w:rsidRPr="00BE684A">
        <w:t xml:space="preserve"> the</w:t>
      </w:r>
      <w:r w:rsidR="009A7482" w:rsidRPr="00BE684A">
        <w:t xml:space="preserve"> </w:t>
      </w:r>
      <w:r w:rsidR="00C43E87" w:rsidRPr="00BE684A">
        <w:t xml:space="preserve">UST trial results were used in </w:t>
      </w:r>
      <w:r w:rsidR="00292286" w:rsidRPr="00BE684A">
        <w:t>Bayesian MTC analysis. The ES</w:t>
      </w:r>
      <w:r w:rsidR="009A7482" w:rsidRPr="00BE684A">
        <w:t>C</w:t>
      </w:r>
      <w:r w:rsidR="00292286" w:rsidRPr="00BE684A">
        <w:t xml:space="preserve"> considered this </w:t>
      </w:r>
      <w:r w:rsidR="009530AB">
        <w:t>was</w:t>
      </w:r>
      <w:r w:rsidR="00292286" w:rsidRPr="00BE684A">
        <w:t xml:space="preserve"> not appropriate as UST</w:t>
      </w:r>
      <w:r w:rsidRPr="00BE684A">
        <w:t xml:space="preserve"> is not currently PBS listed </w:t>
      </w:r>
      <w:r w:rsidR="009A7482" w:rsidRPr="00BE684A">
        <w:t xml:space="preserve">for this indication </w:t>
      </w:r>
      <w:r w:rsidRPr="00BE684A">
        <w:t>and has a different mechanism of action.</w:t>
      </w:r>
      <w:r w:rsidR="005B2B31">
        <w:t xml:space="preserve">  </w:t>
      </w:r>
    </w:p>
    <w:p w:rsidR="005B2B31" w:rsidRDefault="005B2B31" w:rsidP="004260AF">
      <w:pPr>
        <w:pStyle w:val="ListParagraph"/>
        <w:widowControl/>
        <w:rPr>
          <w:i/>
          <w:szCs w:val="22"/>
        </w:rPr>
      </w:pPr>
    </w:p>
    <w:p w:rsidR="00EF7127" w:rsidRPr="00C9190D" w:rsidRDefault="005B2B31" w:rsidP="004260AF">
      <w:pPr>
        <w:pStyle w:val="ListParagraph"/>
        <w:widowControl/>
        <w:rPr>
          <w:szCs w:val="22"/>
        </w:rPr>
      </w:pPr>
      <w:r w:rsidRPr="00C9190D">
        <w:rPr>
          <w:szCs w:val="22"/>
        </w:rPr>
        <w:t>The PBAC noted that the MTC results for the outcome of most interest, the ACR50 at 12-16 weeks, do not include UST.</w:t>
      </w:r>
    </w:p>
    <w:p w:rsidR="005B2B31" w:rsidRDefault="005B2B31" w:rsidP="004260AF">
      <w:pPr>
        <w:pStyle w:val="ListParagraph"/>
        <w:widowControl/>
        <w:rPr>
          <w:i/>
          <w:szCs w:val="22"/>
        </w:rPr>
      </w:pPr>
    </w:p>
    <w:p w:rsidR="00705E8C" w:rsidRPr="0041159C" w:rsidRDefault="00705E8C" w:rsidP="004260AF">
      <w:pPr>
        <w:pStyle w:val="ListParagraph"/>
        <w:widowControl/>
        <w:rPr>
          <w:i/>
          <w:szCs w:val="22"/>
        </w:rPr>
      </w:pPr>
    </w:p>
    <w:p w:rsidR="00A211F8" w:rsidRPr="00C73C47" w:rsidRDefault="00F73764" w:rsidP="00A211F8">
      <w:pPr>
        <w:pStyle w:val="PBACHeading1"/>
      </w:pPr>
      <w:bookmarkStart w:id="17" w:name="_Toc392858193"/>
      <w:bookmarkStart w:id="18" w:name="_Toc398646045"/>
      <w:r>
        <w:t>C</w:t>
      </w:r>
      <w:r w:rsidR="00A211F8" w:rsidRPr="00C73C47">
        <w:t>onsideration of the evidence</w:t>
      </w:r>
      <w:bookmarkEnd w:id="17"/>
      <w:bookmarkEnd w:id="18"/>
    </w:p>
    <w:p w:rsidR="00C75C22" w:rsidRDefault="00C75C22" w:rsidP="00C75C22">
      <w:pPr>
        <w:rPr>
          <w:b/>
          <w:i/>
          <w:szCs w:val="22"/>
        </w:rPr>
      </w:pPr>
    </w:p>
    <w:p w:rsidR="00F06E41" w:rsidRDefault="00F06E41" w:rsidP="005874F8">
      <w:pPr>
        <w:pStyle w:val="BodyText"/>
        <w:rPr>
          <w:b/>
        </w:rPr>
      </w:pPr>
      <w:r w:rsidRPr="005874F8">
        <w:rPr>
          <w:b/>
        </w:rPr>
        <w:t>Sponsor hearing</w:t>
      </w:r>
    </w:p>
    <w:p w:rsidR="005874F8" w:rsidRPr="005874F8" w:rsidRDefault="005874F8" w:rsidP="005874F8">
      <w:pPr>
        <w:pStyle w:val="BodyText"/>
        <w:rPr>
          <w:b/>
        </w:rPr>
      </w:pPr>
    </w:p>
    <w:p w:rsidR="00F06E41" w:rsidRPr="00F06E41" w:rsidRDefault="00F06E41" w:rsidP="00F06E41">
      <w:pPr>
        <w:numPr>
          <w:ilvl w:val="1"/>
          <w:numId w:val="5"/>
        </w:numPr>
        <w:contextualSpacing/>
        <w:rPr>
          <w:bCs/>
          <w:szCs w:val="22"/>
        </w:rPr>
      </w:pPr>
      <w:r w:rsidRPr="00F06E41">
        <w:rPr>
          <w:bCs/>
          <w:szCs w:val="22"/>
        </w:rPr>
        <w:t>There was no hearing for this item.</w:t>
      </w:r>
    </w:p>
    <w:p w:rsidR="00F06E41" w:rsidRPr="003A49F2" w:rsidRDefault="00F06E41" w:rsidP="00F06E41">
      <w:pPr>
        <w:rPr>
          <w:bCs/>
          <w:szCs w:val="22"/>
          <w:highlight w:val="yellow"/>
        </w:rPr>
      </w:pPr>
    </w:p>
    <w:p w:rsidR="00F06E41" w:rsidRDefault="00F06E41" w:rsidP="005874F8">
      <w:pPr>
        <w:pStyle w:val="BodyText"/>
        <w:rPr>
          <w:b/>
        </w:rPr>
      </w:pPr>
      <w:r w:rsidRPr="005874F8">
        <w:rPr>
          <w:b/>
        </w:rPr>
        <w:t>Consumer comments</w:t>
      </w:r>
    </w:p>
    <w:p w:rsidR="005874F8" w:rsidRPr="005874F8" w:rsidRDefault="005874F8" w:rsidP="005874F8">
      <w:pPr>
        <w:pStyle w:val="BodyText"/>
        <w:rPr>
          <w:b/>
        </w:rPr>
      </w:pPr>
    </w:p>
    <w:p w:rsidR="00A211F8" w:rsidRDefault="00F06E41" w:rsidP="009530AB">
      <w:pPr>
        <w:pStyle w:val="ListParagraph"/>
        <w:widowControl/>
        <w:numPr>
          <w:ilvl w:val="1"/>
          <w:numId w:val="5"/>
        </w:numPr>
        <w:rPr>
          <w:bCs/>
          <w:szCs w:val="22"/>
        </w:rPr>
      </w:pPr>
      <w:r w:rsidRPr="009530AB">
        <w:rPr>
          <w:bCs/>
          <w:szCs w:val="22"/>
        </w:rPr>
        <w:t>The PBAC noted that no consumer comments were received for this item</w:t>
      </w:r>
      <w:r w:rsidR="00C9190D">
        <w:rPr>
          <w:bCs/>
          <w:szCs w:val="22"/>
        </w:rPr>
        <w:t xml:space="preserve"> through the online portal</w:t>
      </w:r>
      <w:r w:rsidRPr="009530AB">
        <w:rPr>
          <w:bCs/>
          <w:szCs w:val="22"/>
        </w:rPr>
        <w:t>.</w:t>
      </w:r>
      <w:r w:rsidR="00D17406">
        <w:rPr>
          <w:bCs/>
          <w:szCs w:val="22"/>
        </w:rPr>
        <w:t xml:space="preserve"> There were</w:t>
      </w:r>
      <w:r w:rsidR="00D56AD4">
        <w:rPr>
          <w:bCs/>
          <w:szCs w:val="22"/>
        </w:rPr>
        <w:t xml:space="preserve"> 3 </w:t>
      </w:r>
      <w:r w:rsidR="00D17406">
        <w:rPr>
          <w:bCs/>
          <w:szCs w:val="22"/>
        </w:rPr>
        <w:t xml:space="preserve">supporting letters received from </w:t>
      </w:r>
      <w:r w:rsidR="00D56AD4">
        <w:rPr>
          <w:bCs/>
          <w:szCs w:val="22"/>
        </w:rPr>
        <w:t>rheumatologists.</w:t>
      </w:r>
    </w:p>
    <w:p w:rsidR="009530AB" w:rsidRPr="00C73C47" w:rsidRDefault="009530AB" w:rsidP="00F06E41"/>
    <w:p w:rsidR="00A211F8" w:rsidRPr="005874F8" w:rsidRDefault="00A211F8" w:rsidP="005874F8">
      <w:pPr>
        <w:pStyle w:val="BodyText"/>
        <w:rPr>
          <w:b/>
        </w:rPr>
      </w:pPr>
      <w:bookmarkStart w:id="19" w:name="_Toc392858194"/>
      <w:bookmarkStart w:id="20" w:name="_Toc398646046"/>
      <w:r w:rsidRPr="005874F8">
        <w:rPr>
          <w:b/>
        </w:rPr>
        <w:t>Clinical trials</w:t>
      </w:r>
      <w:bookmarkEnd w:id="19"/>
      <w:bookmarkEnd w:id="20"/>
    </w:p>
    <w:p w:rsidR="00A211F8" w:rsidRPr="00C73C47" w:rsidRDefault="00A211F8" w:rsidP="00A211F8">
      <w:pPr>
        <w:rPr>
          <w:szCs w:val="22"/>
        </w:rPr>
      </w:pPr>
    </w:p>
    <w:p w:rsidR="00A211F8" w:rsidRPr="00C73C47" w:rsidRDefault="00A211F8" w:rsidP="00A63122">
      <w:pPr>
        <w:pStyle w:val="ListParagraph"/>
        <w:widowControl/>
        <w:numPr>
          <w:ilvl w:val="1"/>
          <w:numId w:val="5"/>
        </w:numPr>
        <w:rPr>
          <w:szCs w:val="22"/>
        </w:rPr>
      </w:pPr>
      <w:r w:rsidRPr="00C73C47">
        <w:t xml:space="preserve">The submission </w:t>
      </w:r>
      <w:r w:rsidR="00D36ACB">
        <w:t>wa</w:t>
      </w:r>
      <w:r w:rsidR="00D36ACB" w:rsidRPr="00C73C47">
        <w:t xml:space="preserve">s </w:t>
      </w:r>
      <w:r w:rsidRPr="00C73C47">
        <w:t xml:space="preserve">based on </w:t>
      </w:r>
      <w:r w:rsidR="00B22B2A" w:rsidRPr="00C73C47">
        <w:t>placebo controlled trials</w:t>
      </w:r>
      <w:r w:rsidRPr="00C73C47">
        <w:t xml:space="preserve"> </w:t>
      </w:r>
      <w:r w:rsidR="00B22B2A" w:rsidRPr="00C73C47">
        <w:t xml:space="preserve">of </w:t>
      </w:r>
      <w:r w:rsidR="00A71978">
        <w:t>CZ</w:t>
      </w:r>
      <w:r w:rsidR="00890AD3">
        <w:t>P</w:t>
      </w:r>
      <w:r w:rsidR="00A71978" w:rsidRPr="00C73C47">
        <w:t xml:space="preserve"> </w:t>
      </w:r>
      <w:r w:rsidRPr="00C73C47">
        <w:t>(n=1)</w:t>
      </w:r>
      <w:r w:rsidR="00B22B2A" w:rsidRPr="00C73C47">
        <w:t>,</w:t>
      </w:r>
      <w:r w:rsidRPr="00C73C47">
        <w:t xml:space="preserve"> </w:t>
      </w:r>
      <w:r w:rsidR="00A71978">
        <w:t>ADA</w:t>
      </w:r>
      <w:r w:rsidR="00A71978" w:rsidRPr="00C73C47">
        <w:t xml:space="preserve"> </w:t>
      </w:r>
      <w:r w:rsidRPr="00C73C47">
        <w:t xml:space="preserve">(n=2), </w:t>
      </w:r>
      <w:r w:rsidR="00A71978">
        <w:t>ETC</w:t>
      </w:r>
      <w:r w:rsidR="00A71978" w:rsidRPr="00C73C47">
        <w:t xml:space="preserve"> </w:t>
      </w:r>
      <w:r w:rsidRPr="00C73C47">
        <w:t xml:space="preserve">(n=2), </w:t>
      </w:r>
      <w:r w:rsidR="00A71978">
        <w:t>GOL</w:t>
      </w:r>
      <w:r w:rsidR="00A71978" w:rsidRPr="00C73C47">
        <w:t xml:space="preserve"> </w:t>
      </w:r>
      <w:r w:rsidRPr="00C73C47">
        <w:t xml:space="preserve">(n=1), </w:t>
      </w:r>
      <w:r w:rsidR="00A71978">
        <w:t>INX</w:t>
      </w:r>
      <w:r w:rsidR="00A71978" w:rsidRPr="00C73C47">
        <w:t xml:space="preserve"> </w:t>
      </w:r>
      <w:r w:rsidR="00A63122" w:rsidRPr="00C73C47">
        <w:t xml:space="preserve">(n=2) </w:t>
      </w:r>
      <w:r w:rsidRPr="00C73C47">
        <w:t xml:space="preserve">and </w:t>
      </w:r>
      <w:r w:rsidR="00A71978">
        <w:t>UST</w:t>
      </w:r>
      <w:r w:rsidRPr="00C73C47">
        <w:t xml:space="preserve"> (n=2).</w:t>
      </w:r>
    </w:p>
    <w:p w:rsidR="00A211F8" w:rsidRPr="00C73C47" w:rsidRDefault="00A211F8" w:rsidP="00A211F8">
      <w:pPr>
        <w:widowControl/>
        <w:rPr>
          <w:szCs w:val="22"/>
        </w:rPr>
      </w:pPr>
    </w:p>
    <w:p w:rsidR="00A211F8" w:rsidRPr="00C73C47" w:rsidRDefault="00A211F8" w:rsidP="00467428">
      <w:pPr>
        <w:pStyle w:val="ListParagraph"/>
        <w:widowControl/>
        <w:numPr>
          <w:ilvl w:val="1"/>
          <w:numId w:val="5"/>
        </w:numPr>
        <w:rPr>
          <w:szCs w:val="22"/>
        </w:rPr>
      </w:pPr>
      <w:r w:rsidRPr="00C73C47">
        <w:rPr>
          <w:szCs w:val="22"/>
        </w:rPr>
        <w:t>Details of the trials presented in the submission ar</w:t>
      </w:r>
      <w:r w:rsidR="00A95447" w:rsidRPr="00C73C47">
        <w:rPr>
          <w:szCs w:val="22"/>
        </w:rPr>
        <w:t xml:space="preserve">e provided in </w:t>
      </w:r>
      <w:r w:rsidR="00E74838">
        <w:rPr>
          <w:szCs w:val="22"/>
        </w:rPr>
        <w:t>the table below</w:t>
      </w:r>
      <w:r w:rsidR="00A95447" w:rsidRPr="00C73C47">
        <w:rPr>
          <w:szCs w:val="22"/>
        </w:rPr>
        <w:t>.</w:t>
      </w:r>
    </w:p>
    <w:p w:rsidR="00B22B2A" w:rsidRPr="00C73C47" w:rsidRDefault="00B22B2A" w:rsidP="00B22B2A">
      <w:pPr>
        <w:pStyle w:val="ListParagraph"/>
        <w:rPr>
          <w:szCs w:val="22"/>
        </w:rPr>
      </w:pPr>
    </w:p>
    <w:p w:rsidR="00A211F8" w:rsidRPr="00C73C47" w:rsidRDefault="00A211F8" w:rsidP="00A211F8">
      <w:pPr>
        <w:ind w:left="510" w:firstLine="170"/>
        <w:rPr>
          <w:rFonts w:ascii="Arial Narrow" w:hAnsi="Arial Narrow"/>
          <w:b/>
          <w:sz w:val="20"/>
        </w:rPr>
      </w:pPr>
      <w:r w:rsidRPr="00C73C47">
        <w:rPr>
          <w:rStyle w:val="CommentReference"/>
        </w:rPr>
        <w:t>Trials and associated reports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1"/>
        <w:gridCol w:w="4984"/>
        <w:gridCol w:w="2020"/>
      </w:tblGrid>
      <w:tr w:rsidR="00A211F8" w:rsidRPr="00C73C47" w:rsidTr="00625AC3">
        <w:trPr>
          <w:tblHeader/>
        </w:trPr>
        <w:tc>
          <w:tcPr>
            <w:tcW w:w="1341" w:type="dxa"/>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Trial IDs</w:t>
            </w:r>
          </w:p>
        </w:tc>
        <w:tc>
          <w:tcPr>
            <w:tcW w:w="4984" w:type="dxa"/>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Protocol title/Publication title</w:t>
            </w:r>
          </w:p>
        </w:tc>
        <w:tc>
          <w:tcPr>
            <w:tcW w:w="2020" w:type="dxa"/>
          </w:tcPr>
          <w:p w:rsidR="00A211F8" w:rsidRPr="00C73C47" w:rsidRDefault="00A211F8" w:rsidP="00625AC3">
            <w:pPr>
              <w:jc w:val="left"/>
              <w:rPr>
                <w:rFonts w:ascii="Arial Narrow" w:hAnsi="Arial Narrow"/>
                <w:b/>
                <w:sz w:val="20"/>
              </w:rPr>
            </w:pPr>
            <w:r w:rsidRPr="00C73C47">
              <w:rPr>
                <w:rFonts w:ascii="Arial Narrow" w:hAnsi="Arial Narrow"/>
                <w:b/>
                <w:sz w:val="20"/>
              </w:rPr>
              <w:t>Publication citation</w:t>
            </w:r>
          </w:p>
        </w:tc>
      </w:tr>
      <w:tr w:rsidR="00A211F8" w:rsidRPr="00C73C47" w:rsidTr="00625AC3">
        <w:trPr>
          <w:tblHeader/>
        </w:trPr>
        <w:tc>
          <w:tcPr>
            <w:tcW w:w="8345" w:type="dxa"/>
            <w:gridSpan w:val="3"/>
            <w:shd w:val="clear" w:color="auto" w:fill="D9D9D9"/>
          </w:tcPr>
          <w:p w:rsidR="00A211F8" w:rsidRPr="00C73C47" w:rsidRDefault="00A211F8" w:rsidP="00625AC3">
            <w:pPr>
              <w:jc w:val="left"/>
              <w:rPr>
                <w:rFonts w:ascii="Arial Narrow" w:hAnsi="Arial Narrow"/>
                <w:b/>
                <w:sz w:val="20"/>
              </w:rPr>
            </w:pPr>
            <w:r w:rsidRPr="00C73C47">
              <w:rPr>
                <w:rFonts w:ascii="Arial Narrow" w:hAnsi="Arial Narrow"/>
                <w:b/>
                <w:sz w:val="20"/>
              </w:rPr>
              <w:t xml:space="preserve">Current PBS comparators </w:t>
            </w:r>
          </w:p>
        </w:tc>
      </w:tr>
      <w:tr w:rsidR="00A211F8" w:rsidRPr="00C73C47" w:rsidTr="00625AC3">
        <w:tc>
          <w:tcPr>
            <w:tcW w:w="8345" w:type="dxa"/>
            <w:gridSpan w:val="3"/>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Certolizumab vs placebo</w:t>
            </w:r>
          </w:p>
        </w:tc>
      </w:tr>
      <w:tr w:rsidR="00A211F8" w:rsidRPr="00C73C47" w:rsidTr="00BE684A">
        <w:tc>
          <w:tcPr>
            <w:tcW w:w="1341" w:type="dxa"/>
            <w:tcBorders>
              <w:bottom w:val="nil"/>
            </w:tcBorders>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RAPID-PsA</w:t>
            </w:r>
          </w:p>
          <w:p w:rsidR="00A211F8" w:rsidRPr="00C73C47" w:rsidRDefault="00A211F8" w:rsidP="00625AC3">
            <w:pPr>
              <w:jc w:val="left"/>
              <w:rPr>
                <w:rFonts w:ascii="Arial Narrow" w:hAnsi="Arial Narrow"/>
                <w:sz w:val="20"/>
              </w:rPr>
            </w:pPr>
            <w:r w:rsidRPr="00C73C47">
              <w:rPr>
                <w:rFonts w:ascii="Arial Narrow" w:hAnsi="Arial Narrow"/>
                <w:sz w:val="20"/>
              </w:rPr>
              <w:t>PSA001</w:t>
            </w:r>
          </w:p>
          <w:p w:rsidR="00A211F8" w:rsidRPr="00C73C47" w:rsidRDefault="00A211F8" w:rsidP="00625AC3">
            <w:pPr>
              <w:jc w:val="left"/>
              <w:rPr>
                <w:rFonts w:ascii="Arial Narrow" w:hAnsi="Arial Narrow"/>
                <w:sz w:val="20"/>
              </w:rPr>
            </w:pPr>
            <w:r w:rsidRPr="00C73C47">
              <w:rPr>
                <w:rFonts w:ascii="Arial Narrow" w:hAnsi="Arial Narrow"/>
                <w:sz w:val="20"/>
              </w:rPr>
              <w:t>NCT01087788</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Additional new indication in Psoriatic Arthritis based on Phase III clinical Trial (PsA001).  Cimzia® Certolizumab Pegol Module 5, interim clinical study reports PSA001. (UCB Biosciences GmbH).</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October 2012</w:t>
            </w:r>
          </w:p>
        </w:tc>
      </w:tr>
      <w:tr w:rsidR="00A211F8" w:rsidRPr="00C73C47" w:rsidTr="00BE684A">
        <w:tc>
          <w:tcPr>
            <w:tcW w:w="1341" w:type="dxa"/>
            <w:tcBorders>
              <w:top w:val="nil"/>
              <w:bottom w:val="nil"/>
            </w:tcBorders>
            <w:shd w:val="clear" w:color="auto" w:fill="auto"/>
          </w:tcPr>
          <w:p w:rsidR="00A211F8" w:rsidRPr="00C73C47" w:rsidRDefault="00A211F8" w:rsidP="00625AC3">
            <w:pPr>
              <w:jc w:val="left"/>
              <w:rPr>
                <w:rFonts w:ascii="Arial Narrow" w:hAnsi="Arial Narrow"/>
                <w:sz w:val="20"/>
              </w:rPr>
            </w:pP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Mease. P, Fleischmann, R, et al. 2014, Effect of certolizumab pegol on signs and symptoms in patients with psoriatic arthritis: 24-week </w:t>
            </w:r>
            <w:r w:rsidRPr="00C73C47">
              <w:rPr>
                <w:rFonts w:ascii="Arial Narrow" w:hAnsi="Arial Narrow"/>
                <w:sz w:val="20"/>
              </w:rPr>
              <w:lastRenderedPageBreak/>
              <w:t>results of a Phase 3 double-blind randomised placebo-controlled study (RAPID-PsA).</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lastRenderedPageBreak/>
              <w:t>Ann Rheum Dis, 2014, 73:48-55.</w:t>
            </w:r>
          </w:p>
        </w:tc>
      </w:tr>
      <w:tr w:rsidR="00A211F8" w:rsidRPr="00C73C47" w:rsidTr="00BE684A">
        <w:tc>
          <w:tcPr>
            <w:tcW w:w="1341" w:type="dxa"/>
            <w:tcBorders>
              <w:top w:val="nil"/>
            </w:tcBorders>
            <w:shd w:val="clear" w:color="auto" w:fill="auto"/>
          </w:tcPr>
          <w:p w:rsidR="00A211F8" w:rsidRPr="00C73C47" w:rsidRDefault="00A211F8" w:rsidP="00625AC3">
            <w:pPr>
              <w:jc w:val="left"/>
              <w:rPr>
                <w:rFonts w:ascii="Arial Narrow" w:hAnsi="Arial Narrow"/>
                <w:sz w:val="20"/>
              </w:rPr>
            </w:pP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lang w:val="de-DE"/>
              </w:rPr>
              <w:t xml:space="preserve">Van der Heijde, Fleischmann, et al. </w:t>
            </w:r>
            <w:r w:rsidRPr="00C73C47">
              <w:rPr>
                <w:rFonts w:ascii="Arial Narrow" w:hAnsi="Arial Narrow"/>
                <w:sz w:val="20"/>
              </w:rPr>
              <w:t>Effect of different imputation approaches on the evaluation of radiographic progression in patients with psoriatic arthritis: results of the RAPID-PsA 24-week phase III double-blind randomised placebo-controlled study of certolizumab</w:t>
            </w:r>
            <w:r w:rsidRPr="003023A6">
              <w:rPr>
                <w:rFonts w:ascii="Arial Narrow" w:hAnsi="Arial Narrow"/>
                <w:sz w:val="20"/>
              </w:rPr>
              <w:t xml:space="preserve"> pegol</w:t>
            </w:r>
            <w:r w:rsidRPr="00C73C47">
              <w:rPr>
                <w:rFonts w:ascii="Arial Narrow" w:hAnsi="Arial Narrow"/>
                <w:sz w:val="20"/>
              </w:rPr>
              <w:t>.</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Ann Rheum Dis, 2013, published online</w:t>
            </w:r>
          </w:p>
        </w:tc>
      </w:tr>
      <w:tr w:rsidR="00A211F8" w:rsidRPr="00C73C47" w:rsidTr="00625AC3">
        <w:tc>
          <w:tcPr>
            <w:tcW w:w="8345" w:type="dxa"/>
            <w:gridSpan w:val="3"/>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Adalimumab vs placebo</w:t>
            </w:r>
          </w:p>
        </w:tc>
      </w:tr>
      <w:tr w:rsidR="00A211F8" w:rsidRPr="00C73C47" w:rsidTr="00625AC3">
        <w:tc>
          <w:tcPr>
            <w:tcW w:w="1341" w:type="dxa"/>
            <w:vMerge w:val="restart"/>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ADA1</w:t>
            </w:r>
          </w:p>
          <w:p w:rsidR="00A211F8" w:rsidRPr="00C73C47" w:rsidRDefault="00A211F8" w:rsidP="00625AC3">
            <w:pPr>
              <w:jc w:val="left"/>
              <w:rPr>
                <w:rFonts w:ascii="Arial Narrow" w:hAnsi="Arial Narrow"/>
                <w:sz w:val="20"/>
              </w:rPr>
            </w:pPr>
            <w:r w:rsidRPr="00C73C47">
              <w:rPr>
                <w:rFonts w:ascii="Arial Narrow" w:hAnsi="Arial Narrow"/>
                <w:sz w:val="20"/>
              </w:rPr>
              <w:t>ADEPT</w:t>
            </w:r>
          </w:p>
          <w:p w:rsidR="00A211F8" w:rsidRPr="00C73C47" w:rsidRDefault="00A211F8" w:rsidP="00625AC3">
            <w:pPr>
              <w:jc w:val="left"/>
              <w:rPr>
                <w:rFonts w:ascii="Arial Narrow" w:hAnsi="Arial Narrow"/>
                <w:sz w:val="20"/>
              </w:rPr>
            </w:pPr>
            <w:r w:rsidRPr="00C73C47">
              <w:rPr>
                <w:rFonts w:ascii="Arial Narrow" w:hAnsi="Arial Narrow"/>
                <w:sz w:val="20"/>
              </w:rPr>
              <w:t>M02-518</w:t>
            </w:r>
          </w:p>
          <w:p w:rsidR="00A211F8" w:rsidRPr="00C73C47" w:rsidRDefault="00A211F8" w:rsidP="00625AC3">
            <w:pPr>
              <w:jc w:val="left"/>
              <w:rPr>
                <w:rFonts w:ascii="Arial Narrow" w:hAnsi="Arial Narrow"/>
                <w:sz w:val="20"/>
              </w:rPr>
            </w:pPr>
            <w:r w:rsidRPr="00C73C47">
              <w:rPr>
                <w:rFonts w:ascii="Arial Narrow" w:hAnsi="Arial Narrow"/>
                <w:sz w:val="20"/>
              </w:rPr>
              <w:t>NCT00646386</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Mease P, Gladman D D and Ritchlin C et al, Adalimumab for the treatment of patients with moderately to severely active psoriatic arthritis: results of a double-blind, randomised, placebo controlled trial.</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Arthritis &amp; Rheumatism 2005; 52(10):3279-3289</w:t>
            </w:r>
          </w:p>
        </w:tc>
      </w:tr>
      <w:tr w:rsidR="00A211F8" w:rsidRPr="00C73C47" w:rsidTr="00625AC3">
        <w:tc>
          <w:tcPr>
            <w:tcW w:w="1341" w:type="dxa"/>
            <w:vMerge/>
            <w:shd w:val="clear" w:color="auto" w:fill="auto"/>
          </w:tcPr>
          <w:p w:rsidR="00A211F8" w:rsidRPr="00C73C47" w:rsidRDefault="00A211F8" w:rsidP="00625AC3">
            <w:pPr>
              <w:jc w:val="left"/>
              <w:rPr>
                <w:rFonts w:ascii="Arial Narrow" w:hAnsi="Arial Narrow"/>
                <w:sz w:val="20"/>
              </w:rPr>
            </w:pP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Gladman et al. Adalimumab improves joint-related and skin-related functional impairment in patients with psoriatic arthritis: patient-reported outcomes of the Adalimumab Effectiveness in Psoriatic Arthritis Trial.</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Annals of the Rheumatic Diseases, 2007; 66(2):163-168</w:t>
            </w:r>
          </w:p>
        </w:tc>
      </w:tr>
      <w:tr w:rsidR="00A211F8" w:rsidRPr="00C73C47" w:rsidTr="00625AC3">
        <w:tc>
          <w:tcPr>
            <w:tcW w:w="1341" w:type="dxa"/>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ADA2</w:t>
            </w:r>
          </w:p>
          <w:p w:rsidR="00A211F8" w:rsidRPr="00C73C47" w:rsidRDefault="00A211F8" w:rsidP="00625AC3">
            <w:pPr>
              <w:jc w:val="left"/>
              <w:rPr>
                <w:rFonts w:ascii="Arial Narrow" w:hAnsi="Arial Narrow"/>
                <w:sz w:val="20"/>
              </w:rPr>
            </w:pPr>
            <w:r w:rsidRPr="00C73C47">
              <w:rPr>
                <w:rFonts w:ascii="Arial Narrow" w:hAnsi="Arial Narrow"/>
                <w:sz w:val="20"/>
              </w:rPr>
              <w:t>M02-570</w:t>
            </w:r>
          </w:p>
          <w:p w:rsidR="00A211F8" w:rsidRPr="00C73C47" w:rsidRDefault="00A211F8" w:rsidP="00625AC3">
            <w:pPr>
              <w:jc w:val="left"/>
              <w:rPr>
                <w:rFonts w:ascii="Arial Narrow" w:hAnsi="Arial Narrow"/>
                <w:sz w:val="20"/>
              </w:rPr>
            </w:pPr>
            <w:r w:rsidRPr="00C73C47">
              <w:rPr>
                <w:rFonts w:ascii="Arial Narrow" w:hAnsi="Arial Narrow"/>
                <w:sz w:val="20"/>
              </w:rPr>
              <w:t>NCT00646178</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Genovese, M, Mease, P, Thomson, G et al, Safety and efficacy of adalimumab in treatment of patients with psoriatic arthritis who had failed disease modifying antirheumatic drug therapy.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Journal of Rheumatology 2007 34(5):1040-1050. [Erratum appears in J Rheumatol. 2007 34(6):1439]</w:t>
            </w:r>
          </w:p>
        </w:tc>
      </w:tr>
      <w:tr w:rsidR="00A211F8" w:rsidRPr="00C73C47" w:rsidTr="00625AC3">
        <w:tc>
          <w:tcPr>
            <w:tcW w:w="8345" w:type="dxa"/>
            <w:gridSpan w:val="3"/>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Etanercept vs placebo</w:t>
            </w:r>
          </w:p>
        </w:tc>
      </w:tr>
      <w:tr w:rsidR="00A211F8" w:rsidRPr="00C73C47" w:rsidTr="00625AC3">
        <w:tc>
          <w:tcPr>
            <w:tcW w:w="1341" w:type="dxa"/>
            <w:vMerge w:val="restart"/>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ETC1</w:t>
            </w:r>
          </w:p>
          <w:p w:rsidR="00A211F8" w:rsidRPr="00C73C47" w:rsidRDefault="00A211F8" w:rsidP="00625AC3">
            <w:pPr>
              <w:jc w:val="left"/>
              <w:rPr>
                <w:rFonts w:ascii="Arial Narrow" w:hAnsi="Arial Narrow"/>
                <w:sz w:val="20"/>
              </w:rPr>
            </w:pPr>
            <w:r w:rsidRPr="00C73C47">
              <w:rPr>
                <w:rFonts w:ascii="Arial Narrow" w:hAnsi="Arial Narrow"/>
                <w:sz w:val="20"/>
              </w:rPr>
              <w:t>20021630</w:t>
            </w:r>
          </w:p>
          <w:p w:rsidR="00A211F8" w:rsidRPr="00C73C47" w:rsidRDefault="00A211F8" w:rsidP="00625AC3">
            <w:pPr>
              <w:jc w:val="left"/>
              <w:rPr>
                <w:rFonts w:ascii="Arial Narrow" w:hAnsi="Arial Narrow"/>
                <w:sz w:val="20"/>
              </w:rPr>
            </w:pPr>
            <w:r w:rsidRPr="00C73C47">
              <w:rPr>
                <w:rFonts w:ascii="Arial Narrow" w:hAnsi="Arial Narrow"/>
                <w:sz w:val="20"/>
              </w:rPr>
              <w:t>Mease (2004)</w:t>
            </w:r>
          </w:p>
          <w:p w:rsidR="00A211F8" w:rsidRPr="00C73C47" w:rsidRDefault="00A211F8" w:rsidP="00625AC3">
            <w:pPr>
              <w:jc w:val="left"/>
              <w:rPr>
                <w:rFonts w:ascii="Arial Narrow" w:hAnsi="Arial Narrow"/>
                <w:sz w:val="20"/>
              </w:rPr>
            </w:pPr>
            <w:r w:rsidRPr="00C73C47">
              <w:rPr>
                <w:rFonts w:ascii="Arial Narrow" w:hAnsi="Arial Narrow"/>
                <w:sz w:val="20"/>
              </w:rPr>
              <w:t>NCT00317499</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Mease, Kivitz, et al, Etanercept treatment of psoriatic arthritis; safety, efficacy, and effect on disease progression.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Arthritis and Rheumatism 2004; 50(7):2264–2272</w:t>
            </w:r>
          </w:p>
        </w:tc>
      </w:tr>
      <w:tr w:rsidR="00A211F8" w:rsidRPr="00C73C47" w:rsidTr="00625AC3">
        <w:tc>
          <w:tcPr>
            <w:tcW w:w="1341" w:type="dxa"/>
            <w:vMerge/>
            <w:shd w:val="clear" w:color="auto" w:fill="auto"/>
          </w:tcPr>
          <w:p w:rsidR="00A211F8" w:rsidRPr="00C73C47" w:rsidRDefault="00A211F8" w:rsidP="00625AC3">
            <w:pPr>
              <w:jc w:val="left"/>
              <w:rPr>
                <w:rFonts w:ascii="Arial Narrow" w:hAnsi="Arial Narrow"/>
                <w:sz w:val="20"/>
              </w:rPr>
            </w:pP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Mease, Woolley and Bitman, et al. Minimally important difference of Health Assessment Questionnaire in psoriatic arthritis: relating thresholds of improvement in functional ability to patient-rated importance and satisfaction.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J Rheumatol, 2011; 38(11):2461-5.</w:t>
            </w:r>
          </w:p>
        </w:tc>
      </w:tr>
      <w:tr w:rsidR="00A211F8" w:rsidRPr="00C73C47" w:rsidTr="00625AC3">
        <w:tc>
          <w:tcPr>
            <w:tcW w:w="1341" w:type="dxa"/>
            <w:vMerge/>
            <w:shd w:val="clear" w:color="auto" w:fill="auto"/>
          </w:tcPr>
          <w:p w:rsidR="00A211F8" w:rsidRPr="00C73C47" w:rsidRDefault="00A211F8" w:rsidP="00625AC3">
            <w:pPr>
              <w:jc w:val="left"/>
              <w:rPr>
                <w:rFonts w:ascii="Arial Narrow" w:hAnsi="Arial Narrow"/>
                <w:sz w:val="20"/>
              </w:rPr>
            </w:pP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Mease, Woolley and Singh, et al, Patient-reported outcomes in a randomised trial of etanercept in psoriatic arthritis.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Journal of Rheumatology, 2010; 37(6):1221-7.</w:t>
            </w:r>
          </w:p>
        </w:tc>
      </w:tr>
      <w:tr w:rsidR="00A211F8" w:rsidRPr="00C73C47" w:rsidTr="00625AC3">
        <w:tc>
          <w:tcPr>
            <w:tcW w:w="1341" w:type="dxa"/>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ETC2</w:t>
            </w:r>
          </w:p>
          <w:p w:rsidR="00A211F8" w:rsidRPr="00C73C47" w:rsidRDefault="00A211F8" w:rsidP="00625AC3">
            <w:pPr>
              <w:jc w:val="left"/>
              <w:rPr>
                <w:rFonts w:ascii="Arial Narrow" w:hAnsi="Arial Narrow"/>
                <w:sz w:val="20"/>
              </w:rPr>
            </w:pPr>
            <w:r w:rsidRPr="00C73C47">
              <w:rPr>
                <w:rFonts w:ascii="Arial Narrow" w:hAnsi="Arial Narrow"/>
                <w:sz w:val="20"/>
              </w:rPr>
              <w:t>Univ. of Washington</w:t>
            </w:r>
          </w:p>
          <w:p w:rsidR="00A211F8" w:rsidRPr="00C73C47" w:rsidRDefault="00A211F8" w:rsidP="00625AC3">
            <w:pPr>
              <w:jc w:val="left"/>
              <w:rPr>
                <w:rFonts w:ascii="Arial Narrow" w:hAnsi="Arial Narrow"/>
                <w:sz w:val="20"/>
              </w:rPr>
            </w:pPr>
            <w:r w:rsidRPr="00C73C47">
              <w:rPr>
                <w:rFonts w:ascii="Arial Narrow" w:hAnsi="Arial Narrow"/>
                <w:sz w:val="20"/>
              </w:rPr>
              <w:t>Mease (2000)</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Mease, Goffe, et al, Etanercept in the treatment of psoriatic arthritis and psoriasis: a randomised trial.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Lancet 2000; 356:385–390</w:t>
            </w:r>
          </w:p>
        </w:tc>
      </w:tr>
      <w:tr w:rsidR="00A211F8" w:rsidRPr="00C73C47" w:rsidTr="00625AC3">
        <w:tc>
          <w:tcPr>
            <w:tcW w:w="8345" w:type="dxa"/>
            <w:gridSpan w:val="3"/>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Golimumab vs placebo</w:t>
            </w:r>
          </w:p>
        </w:tc>
      </w:tr>
      <w:tr w:rsidR="00A211F8" w:rsidRPr="00C73C47" w:rsidTr="00625AC3">
        <w:tc>
          <w:tcPr>
            <w:tcW w:w="1341" w:type="dxa"/>
            <w:vMerge w:val="restart"/>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GOL1</w:t>
            </w:r>
          </w:p>
          <w:p w:rsidR="00A211F8" w:rsidRPr="00C73C47" w:rsidRDefault="00A211F8" w:rsidP="00625AC3">
            <w:pPr>
              <w:jc w:val="left"/>
              <w:rPr>
                <w:rFonts w:ascii="Arial Narrow" w:hAnsi="Arial Narrow"/>
                <w:sz w:val="20"/>
              </w:rPr>
            </w:pPr>
            <w:r w:rsidRPr="00C73C47">
              <w:rPr>
                <w:rFonts w:ascii="Arial Narrow" w:hAnsi="Arial Narrow"/>
                <w:sz w:val="20"/>
              </w:rPr>
              <w:t>GO-REVEAL</w:t>
            </w:r>
          </w:p>
          <w:p w:rsidR="00A211F8" w:rsidRPr="00C73C47" w:rsidRDefault="00A211F8" w:rsidP="00625AC3">
            <w:pPr>
              <w:jc w:val="left"/>
              <w:rPr>
                <w:rFonts w:ascii="Arial Narrow" w:hAnsi="Arial Narrow"/>
                <w:sz w:val="20"/>
              </w:rPr>
            </w:pPr>
            <w:r w:rsidRPr="00C73C47">
              <w:rPr>
                <w:rFonts w:ascii="Arial Narrow" w:hAnsi="Arial Narrow"/>
                <w:sz w:val="20"/>
              </w:rPr>
              <w:t>NCT00265096</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Kavanaugh, McInnes, et al, Golimumab, a new human tumor necrosis factor alpha antibody, administered every four weeks as a subcutaneous injection in psoriatic arthritis.</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Arthritis &amp; Rheumatism 2009; 60(4):976−986.</w:t>
            </w:r>
          </w:p>
        </w:tc>
      </w:tr>
      <w:tr w:rsidR="00A211F8" w:rsidRPr="00C73C47" w:rsidTr="00625AC3">
        <w:tc>
          <w:tcPr>
            <w:tcW w:w="1341" w:type="dxa"/>
            <w:vMerge/>
            <w:shd w:val="clear" w:color="auto" w:fill="auto"/>
          </w:tcPr>
          <w:p w:rsidR="00A211F8" w:rsidRPr="00C73C47" w:rsidRDefault="00A211F8" w:rsidP="00625AC3">
            <w:pPr>
              <w:jc w:val="left"/>
              <w:rPr>
                <w:rFonts w:ascii="Arial Narrow" w:hAnsi="Arial Narrow"/>
                <w:sz w:val="20"/>
              </w:rPr>
            </w:pP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Kavanaugh, van der Heijde, et al. 2012) Golimumab in psoriatic arthritis: one-year clinical efficacy, radiographic, and safety results from a phase III, randomised, placebo-controlled trial.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Arthritis Rheum, 2012; 64(8):2504-17.</w:t>
            </w:r>
          </w:p>
        </w:tc>
      </w:tr>
      <w:tr w:rsidR="00A211F8" w:rsidRPr="00C73C47" w:rsidTr="00625AC3">
        <w:tc>
          <w:tcPr>
            <w:tcW w:w="8345" w:type="dxa"/>
            <w:gridSpan w:val="3"/>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Infliximab vs placebo</w:t>
            </w:r>
          </w:p>
        </w:tc>
      </w:tr>
      <w:tr w:rsidR="00A211F8" w:rsidRPr="00C73C47" w:rsidTr="00625AC3">
        <w:tc>
          <w:tcPr>
            <w:tcW w:w="1341" w:type="dxa"/>
            <w:vMerge w:val="restart"/>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INX1</w:t>
            </w:r>
          </w:p>
          <w:p w:rsidR="00A211F8" w:rsidRPr="00C73C47" w:rsidRDefault="00A211F8" w:rsidP="00625AC3">
            <w:pPr>
              <w:jc w:val="left"/>
              <w:rPr>
                <w:rFonts w:ascii="Arial Narrow" w:hAnsi="Arial Narrow"/>
                <w:sz w:val="20"/>
              </w:rPr>
            </w:pPr>
            <w:r w:rsidRPr="00C73C47">
              <w:rPr>
                <w:rFonts w:ascii="Arial Narrow" w:hAnsi="Arial Narrow"/>
                <w:sz w:val="20"/>
              </w:rPr>
              <w:t>IMPACT</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Antoni, et al, Sustained Benefits of Infliximab Therapy for Dermatologic and Articular Manifestations of Psoriatic Arthritis: Results From the Infliximab Multinational Psoriatic Arthritis Controlled Trial (IMPACT).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Arthritis and Rheumatism, 2005; 52(4):1227–1236</w:t>
            </w:r>
          </w:p>
          <w:p w:rsidR="00A211F8" w:rsidRPr="00C73C47" w:rsidRDefault="00A211F8" w:rsidP="00625AC3">
            <w:pPr>
              <w:jc w:val="left"/>
              <w:rPr>
                <w:rFonts w:ascii="Arial Narrow" w:hAnsi="Arial Narrow"/>
                <w:sz w:val="20"/>
              </w:rPr>
            </w:pPr>
          </w:p>
        </w:tc>
      </w:tr>
      <w:tr w:rsidR="00A211F8" w:rsidRPr="00C73C47" w:rsidTr="00625AC3">
        <w:tc>
          <w:tcPr>
            <w:tcW w:w="1341" w:type="dxa"/>
            <w:vMerge/>
            <w:shd w:val="clear" w:color="auto" w:fill="auto"/>
          </w:tcPr>
          <w:p w:rsidR="00A211F8" w:rsidRPr="00C73C47" w:rsidRDefault="00A211F8" w:rsidP="00625AC3">
            <w:pPr>
              <w:jc w:val="left"/>
              <w:rPr>
                <w:rFonts w:ascii="Arial Narrow" w:hAnsi="Arial Narrow"/>
                <w:sz w:val="20"/>
              </w:rPr>
            </w:pP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Kavanaugh, A, Antoni C.E., et al, The Infliximab Multinational Psoriatic Arthritis Controlled Trial (IMPACT): results of radiographic analyses after 1 year.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Annals of the Rheumatic Diseases</w:t>
            </w:r>
            <w:r w:rsidR="00122565" w:rsidRPr="00C73C47">
              <w:rPr>
                <w:rFonts w:ascii="Arial Narrow" w:hAnsi="Arial Narrow"/>
                <w:sz w:val="20"/>
              </w:rPr>
              <w:t xml:space="preserve">; </w:t>
            </w:r>
            <w:r w:rsidRPr="00C73C47">
              <w:rPr>
                <w:rFonts w:ascii="Arial Narrow" w:hAnsi="Arial Narrow"/>
                <w:sz w:val="20"/>
              </w:rPr>
              <w:t>2006; 65(8):1038-43.</w:t>
            </w:r>
          </w:p>
        </w:tc>
      </w:tr>
      <w:tr w:rsidR="00A211F8" w:rsidRPr="00C73C47" w:rsidTr="00625AC3">
        <w:tc>
          <w:tcPr>
            <w:tcW w:w="1341" w:type="dxa"/>
            <w:vMerge w:val="restart"/>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INX2</w:t>
            </w:r>
          </w:p>
          <w:p w:rsidR="00A211F8" w:rsidRPr="00C73C47" w:rsidRDefault="00A211F8" w:rsidP="00625AC3">
            <w:pPr>
              <w:jc w:val="left"/>
              <w:rPr>
                <w:rFonts w:ascii="Arial Narrow" w:hAnsi="Arial Narrow"/>
                <w:sz w:val="20"/>
              </w:rPr>
            </w:pPr>
            <w:r w:rsidRPr="00C73C47">
              <w:rPr>
                <w:rFonts w:ascii="Arial Narrow" w:hAnsi="Arial Narrow"/>
                <w:sz w:val="20"/>
              </w:rPr>
              <w:t>IMPACT2</w:t>
            </w:r>
          </w:p>
          <w:p w:rsidR="00A211F8" w:rsidRPr="00C73C47" w:rsidRDefault="00A211F8" w:rsidP="00625AC3">
            <w:pPr>
              <w:jc w:val="left"/>
              <w:rPr>
                <w:rFonts w:ascii="Arial Narrow" w:hAnsi="Arial Narrow"/>
                <w:sz w:val="20"/>
              </w:rPr>
            </w:pPr>
            <w:r w:rsidRPr="00C73C47">
              <w:rPr>
                <w:rFonts w:ascii="Arial Narrow" w:hAnsi="Arial Narrow"/>
                <w:sz w:val="20"/>
              </w:rPr>
              <w:t>NCT00051623</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Antoni, et al, Infliximab improves signs and symptoms of psoriatic arthritis: results of the IMPACT 2 trial. Ann Rheum Dis 2005;64:1150–1157</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Ann Rheum Dis, 2005;64:1150–1157</w:t>
            </w:r>
          </w:p>
        </w:tc>
      </w:tr>
      <w:tr w:rsidR="00A211F8" w:rsidRPr="00C73C47" w:rsidTr="00625AC3">
        <w:tc>
          <w:tcPr>
            <w:tcW w:w="1341" w:type="dxa"/>
            <w:vMerge/>
            <w:shd w:val="clear" w:color="auto" w:fill="auto"/>
          </w:tcPr>
          <w:p w:rsidR="00A211F8" w:rsidRPr="00C73C47" w:rsidRDefault="00A211F8" w:rsidP="00625AC3">
            <w:pPr>
              <w:jc w:val="left"/>
              <w:rPr>
                <w:rFonts w:ascii="Arial Narrow" w:hAnsi="Arial Narrow"/>
                <w:sz w:val="20"/>
              </w:rPr>
            </w:pP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Van der Heijde, Kavanaugh, et al, Infliximab inhibits progression of </w:t>
            </w:r>
            <w:r w:rsidRPr="00C73C47">
              <w:rPr>
                <w:rFonts w:ascii="Arial Narrow" w:hAnsi="Arial Narrow"/>
                <w:sz w:val="20"/>
              </w:rPr>
              <w:lastRenderedPageBreak/>
              <w:t xml:space="preserve">radiographic damage in patients with active psoriatic arthritis through one year of treatment: Results from the induction and maintenance psoriatic arthritis clinical trial 2.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lastRenderedPageBreak/>
              <w:t xml:space="preserve">Arthritis &amp; Rheumatism, </w:t>
            </w:r>
            <w:r w:rsidRPr="00C73C47">
              <w:rPr>
                <w:rFonts w:ascii="Arial Narrow" w:hAnsi="Arial Narrow"/>
                <w:sz w:val="20"/>
              </w:rPr>
              <w:lastRenderedPageBreak/>
              <w:t>2007; 56(8):2698-707.</w:t>
            </w:r>
          </w:p>
        </w:tc>
      </w:tr>
      <w:tr w:rsidR="00A211F8" w:rsidRPr="00C73C47" w:rsidTr="00625AC3">
        <w:tc>
          <w:tcPr>
            <w:tcW w:w="1341" w:type="dxa"/>
            <w:vMerge/>
            <w:shd w:val="clear" w:color="auto" w:fill="auto"/>
          </w:tcPr>
          <w:p w:rsidR="00A211F8" w:rsidRPr="00C73C47" w:rsidRDefault="00A211F8" w:rsidP="00625AC3">
            <w:pPr>
              <w:jc w:val="left"/>
              <w:rPr>
                <w:rFonts w:ascii="Arial Narrow" w:hAnsi="Arial Narrow"/>
                <w:sz w:val="20"/>
              </w:rPr>
            </w:pP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 xml:space="preserve">Kavanaugh A., Antoni C, and Krueger G.G, et al, Infliximab improves health related quality of life and physical function in patients with psoriatic arthritis. </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 xml:space="preserve">Annals of the Rheumatic Diseases, 2006; 65(4):471-7. </w:t>
            </w:r>
          </w:p>
        </w:tc>
      </w:tr>
      <w:tr w:rsidR="00A211F8" w:rsidRPr="00C73C47" w:rsidTr="00625AC3">
        <w:tc>
          <w:tcPr>
            <w:tcW w:w="8345" w:type="dxa"/>
            <w:gridSpan w:val="3"/>
            <w:shd w:val="clear" w:color="auto" w:fill="D9D9D9"/>
          </w:tcPr>
          <w:p w:rsidR="00A211F8" w:rsidRPr="00C73C47" w:rsidRDefault="00A211F8" w:rsidP="00625AC3">
            <w:pPr>
              <w:jc w:val="left"/>
              <w:rPr>
                <w:rFonts w:ascii="Arial Narrow" w:hAnsi="Arial Narrow"/>
                <w:b/>
                <w:sz w:val="20"/>
              </w:rPr>
            </w:pPr>
            <w:r w:rsidRPr="00C73C47">
              <w:rPr>
                <w:rFonts w:ascii="Arial Narrow" w:hAnsi="Arial Narrow"/>
                <w:b/>
                <w:sz w:val="20"/>
              </w:rPr>
              <w:t>Potential future PBS comparator</w:t>
            </w:r>
          </w:p>
        </w:tc>
      </w:tr>
      <w:tr w:rsidR="00A211F8" w:rsidRPr="00C73C47" w:rsidTr="00625AC3">
        <w:tc>
          <w:tcPr>
            <w:tcW w:w="8345" w:type="dxa"/>
            <w:gridSpan w:val="3"/>
            <w:shd w:val="clear" w:color="auto" w:fill="auto"/>
          </w:tcPr>
          <w:p w:rsidR="00A211F8" w:rsidRPr="00C73C47" w:rsidRDefault="00A211F8" w:rsidP="00625AC3">
            <w:pPr>
              <w:jc w:val="left"/>
              <w:rPr>
                <w:rFonts w:ascii="Arial Narrow" w:hAnsi="Arial Narrow"/>
                <w:b/>
                <w:sz w:val="20"/>
              </w:rPr>
            </w:pPr>
            <w:r w:rsidRPr="00C73C47">
              <w:rPr>
                <w:rFonts w:ascii="Arial Narrow" w:hAnsi="Arial Narrow"/>
                <w:b/>
                <w:sz w:val="20"/>
              </w:rPr>
              <w:t>Ustekinumab versus placebo</w:t>
            </w:r>
          </w:p>
        </w:tc>
      </w:tr>
      <w:tr w:rsidR="00A211F8" w:rsidRPr="00C73C47" w:rsidTr="00625AC3">
        <w:trPr>
          <w:trHeight w:val="688"/>
        </w:trPr>
        <w:tc>
          <w:tcPr>
            <w:tcW w:w="1341"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UST1 (PSUMMIT-1)</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lang w:val="fr-FR"/>
              </w:rPr>
              <w:t xml:space="preserve">McInnes I.B., et al 2013. </w:t>
            </w:r>
            <w:r w:rsidRPr="00C73C47">
              <w:rPr>
                <w:rFonts w:ascii="Arial Narrow" w:hAnsi="Arial Narrow"/>
                <w:sz w:val="20"/>
              </w:rPr>
              <w:t>Efficacy and safety of ustekinumab in patients with active psoriatic arthritis: 1 year results of the phase 3, multicentre, double-blind, placebo-controlled PSUMMIT-1 trial.</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Lancet, 382; 780-789</w:t>
            </w:r>
          </w:p>
        </w:tc>
      </w:tr>
      <w:tr w:rsidR="00A211F8" w:rsidRPr="00C73C47" w:rsidTr="00625AC3">
        <w:trPr>
          <w:trHeight w:val="1397"/>
        </w:trPr>
        <w:tc>
          <w:tcPr>
            <w:tcW w:w="1341" w:type="dxa"/>
            <w:shd w:val="clear" w:color="auto" w:fill="auto"/>
          </w:tcPr>
          <w:p w:rsidR="00A95447" w:rsidRPr="00C73C47" w:rsidRDefault="00A211F8" w:rsidP="00625AC3">
            <w:pPr>
              <w:jc w:val="left"/>
              <w:rPr>
                <w:rFonts w:ascii="Arial Narrow" w:hAnsi="Arial Narrow"/>
                <w:sz w:val="20"/>
              </w:rPr>
            </w:pPr>
            <w:r w:rsidRPr="00C73C47">
              <w:rPr>
                <w:rFonts w:ascii="Arial Narrow" w:hAnsi="Arial Narrow"/>
                <w:sz w:val="20"/>
              </w:rPr>
              <w:t>UST2</w:t>
            </w:r>
          </w:p>
          <w:p w:rsidR="00A211F8" w:rsidRPr="00C73C47" w:rsidRDefault="00A211F8" w:rsidP="00625AC3">
            <w:pPr>
              <w:jc w:val="left"/>
              <w:rPr>
                <w:rFonts w:ascii="Arial Narrow" w:hAnsi="Arial Narrow"/>
                <w:sz w:val="20"/>
              </w:rPr>
            </w:pPr>
            <w:r w:rsidRPr="00C73C47">
              <w:rPr>
                <w:rFonts w:ascii="Arial Narrow" w:hAnsi="Arial Narrow"/>
                <w:sz w:val="20"/>
              </w:rPr>
              <w:t>(PSUMMIT-2)</w:t>
            </w:r>
          </w:p>
        </w:tc>
        <w:tc>
          <w:tcPr>
            <w:tcW w:w="4984" w:type="dxa"/>
            <w:shd w:val="clear" w:color="auto" w:fill="auto"/>
          </w:tcPr>
          <w:p w:rsidR="00A211F8" w:rsidRPr="00C73C47" w:rsidRDefault="00A211F8" w:rsidP="00625AC3">
            <w:pPr>
              <w:jc w:val="left"/>
              <w:rPr>
                <w:rFonts w:ascii="Arial Narrow" w:hAnsi="Arial Narrow"/>
                <w:sz w:val="20"/>
              </w:rPr>
            </w:pPr>
            <w:r w:rsidRPr="00C73C47">
              <w:rPr>
                <w:rFonts w:ascii="Arial Narrow" w:hAnsi="Arial Narrow"/>
                <w:sz w:val="20"/>
              </w:rPr>
              <w:t>Ritchlin C., et al 2014. Efficacy and safety of the anti-IL-12/23 p40 monoclonal antibody, ustekinumab, in patients with active psoriatic arthritis despite conventional non-biological and biological tumour necrosis factor therapy: 6-month and 1-year results of the phase 3, multicentre, double-blind, placebo-controlled, randomised PSUMMIT-2 trial.</w:t>
            </w:r>
          </w:p>
        </w:tc>
        <w:tc>
          <w:tcPr>
            <w:tcW w:w="2020" w:type="dxa"/>
          </w:tcPr>
          <w:p w:rsidR="00A211F8" w:rsidRPr="00C73C47" w:rsidRDefault="00A211F8" w:rsidP="00625AC3">
            <w:pPr>
              <w:jc w:val="left"/>
              <w:rPr>
                <w:rFonts w:ascii="Arial Narrow" w:hAnsi="Arial Narrow"/>
                <w:sz w:val="20"/>
              </w:rPr>
            </w:pPr>
            <w:r w:rsidRPr="00C73C47">
              <w:rPr>
                <w:rFonts w:ascii="Arial Narrow" w:hAnsi="Arial Narrow"/>
                <w:sz w:val="20"/>
              </w:rPr>
              <w:t>Annals of Rheumatic Disease, 73 (6); 990-999. Includes supplementary data.</w:t>
            </w:r>
          </w:p>
        </w:tc>
      </w:tr>
    </w:tbl>
    <w:p w:rsidR="00A211F8" w:rsidRPr="00C73C47" w:rsidRDefault="00A211F8" w:rsidP="00A211F8">
      <w:pPr>
        <w:widowControl/>
        <w:ind w:left="709"/>
        <w:rPr>
          <w:rFonts w:ascii="Arial Narrow" w:hAnsi="Arial Narrow"/>
          <w:szCs w:val="22"/>
        </w:rPr>
      </w:pPr>
      <w:r w:rsidRPr="00C73C47">
        <w:rPr>
          <w:rFonts w:ascii="Arial Narrow" w:hAnsi="Arial Narrow"/>
          <w:szCs w:val="22"/>
        </w:rPr>
        <w:t xml:space="preserve">Source: Table B-7, pp47-48 of the submission.  </w:t>
      </w:r>
    </w:p>
    <w:p w:rsidR="00A211F8" w:rsidRPr="00C73C47" w:rsidRDefault="00A211F8" w:rsidP="00A211F8">
      <w:pPr>
        <w:widowControl/>
        <w:ind w:left="709"/>
        <w:rPr>
          <w:szCs w:val="22"/>
        </w:rPr>
      </w:pPr>
    </w:p>
    <w:p w:rsidR="00A211F8" w:rsidRPr="00C73C47" w:rsidRDefault="00A211F8" w:rsidP="00467428">
      <w:pPr>
        <w:pStyle w:val="ListParagraph"/>
        <w:widowControl/>
        <w:numPr>
          <w:ilvl w:val="1"/>
          <w:numId w:val="5"/>
        </w:numPr>
        <w:rPr>
          <w:szCs w:val="22"/>
        </w:rPr>
      </w:pPr>
      <w:r w:rsidRPr="00C73C47">
        <w:rPr>
          <w:szCs w:val="22"/>
        </w:rPr>
        <w:t xml:space="preserve">The key features of the indirect randomised trials are summarised in </w:t>
      </w:r>
      <w:r w:rsidR="00E74838">
        <w:rPr>
          <w:szCs w:val="22"/>
        </w:rPr>
        <w:t>the table below</w:t>
      </w:r>
      <w:r w:rsidRPr="00C73C47">
        <w:rPr>
          <w:szCs w:val="22"/>
        </w:rPr>
        <w:t xml:space="preserve">.  </w:t>
      </w:r>
    </w:p>
    <w:p w:rsidR="00B22B2A" w:rsidRPr="00C73C47" w:rsidRDefault="00B22B2A" w:rsidP="00B22B2A">
      <w:pPr>
        <w:pStyle w:val="ListParagraph"/>
        <w:widowControl/>
        <w:rPr>
          <w:szCs w:val="22"/>
        </w:rPr>
      </w:pPr>
    </w:p>
    <w:p w:rsidR="00A211F8" w:rsidRPr="00C73C47" w:rsidRDefault="00A211F8" w:rsidP="00A95447">
      <w:pPr>
        <w:ind w:left="709"/>
        <w:rPr>
          <w:rStyle w:val="CommentReference"/>
        </w:rPr>
      </w:pPr>
      <w:r w:rsidRPr="00C73C47">
        <w:rPr>
          <w:rStyle w:val="CommentReference"/>
        </w:rPr>
        <w:t>Key features of the included evidence – indirect comparison</w:t>
      </w:r>
    </w:p>
    <w:tbl>
      <w:tblPr>
        <w:tblW w:w="460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0"/>
        <w:gridCol w:w="569"/>
        <w:gridCol w:w="2267"/>
        <w:gridCol w:w="855"/>
        <w:gridCol w:w="994"/>
        <w:gridCol w:w="1986"/>
        <w:gridCol w:w="704"/>
      </w:tblGrid>
      <w:tr w:rsidR="00C72F37" w:rsidRPr="00C73C47" w:rsidTr="00194FBC">
        <w:tc>
          <w:tcPr>
            <w:tcW w:w="592" w:type="pct"/>
            <w:shd w:val="clear" w:color="auto" w:fill="auto"/>
            <w:vAlign w:val="center"/>
          </w:tcPr>
          <w:p w:rsidR="00A95447" w:rsidRPr="00C73C47" w:rsidRDefault="00A95447" w:rsidP="00625AC3">
            <w:pPr>
              <w:jc w:val="left"/>
              <w:rPr>
                <w:rFonts w:ascii="Arial Narrow" w:hAnsi="Arial Narrow"/>
                <w:b/>
                <w:sz w:val="20"/>
              </w:rPr>
            </w:pPr>
            <w:r w:rsidRPr="00C73C47">
              <w:rPr>
                <w:rFonts w:ascii="Arial Narrow" w:hAnsi="Arial Narrow"/>
                <w:b/>
                <w:sz w:val="20"/>
              </w:rPr>
              <w:t>Trial</w:t>
            </w:r>
          </w:p>
          <w:p w:rsidR="00A95447" w:rsidRPr="00C73C47" w:rsidRDefault="00A95447" w:rsidP="00625AC3">
            <w:pPr>
              <w:jc w:val="left"/>
              <w:rPr>
                <w:rFonts w:ascii="Arial Narrow" w:hAnsi="Arial Narrow"/>
                <w:b/>
                <w:sz w:val="20"/>
              </w:rPr>
            </w:pPr>
            <w:r w:rsidRPr="00C73C47">
              <w:rPr>
                <w:rFonts w:ascii="Arial Narrow" w:hAnsi="Arial Narrow"/>
                <w:b/>
                <w:sz w:val="20"/>
              </w:rPr>
              <w:t>(arms)</w:t>
            </w:r>
          </w:p>
        </w:tc>
        <w:tc>
          <w:tcPr>
            <w:tcW w:w="340" w:type="pct"/>
            <w:shd w:val="clear" w:color="auto" w:fill="auto"/>
            <w:vAlign w:val="center"/>
          </w:tcPr>
          <w:p w:rsidR="00A95447" w:rsidRPr="00C73C47" w:rsidRDefault="00A95447" w:rsidP="00625AC3">
            <w:pPr>
              <w:jc w:val="center"/>
              <w:rPr>
                <w:rFonts w:ascii="Arial Narrow" w:hAnsi="Arial Narrow"/>
                <w:b/>
                <w:sz w:val="20"/>
              </w:rPr>
            </w:pPr>
            <w:r w:rsidRPr="00C73C47">
              <w:rPr>
                <w:rFonts w:ascii="Arial Narrow" w:hAnsi="Arial Narrow"/>
                <w:b/>
                <w:sz w:val="20"/>
              </w:rPr>
              <w:t>N*</w:t>
            </w:r>
          </w:p>
        </w:tc>
        <w:tc>
          <w:tcPr>
            <w:tcW w:w="1355" w:type="pct"/>
            <w:shd w:val="clear" w:color="auto" w:fill="auto"/>
            <w:vAlign w:val="center"/>
          </w:tcPr>
          <w:p w:rsidR="00A95447" w:rsidRPr="00C73C47" w:rsidRDefault="00A95447" w:rsidP="00625AC3">
            <w:pPr>
              <w:jc w:val="center"/>
              <w:rPr>
                <w:rFonts w:ascii="Arial Narrow" w:hAnsi="Arial Narrow"/>
                <w:b/>
                <w:sz w:val="20"/>
              </w:rPr>
            </w:pPr>
            <w:r w:rsidRPr="00C73C47">
              <w:rPr>
                <w:rFonts w:ascii="Arial Narrow" w:hAnsi="Arial Narrow"/>
                <w:b/>
                <w:sz w:val="20"/>
              </w:rPr>
              <w:t>Design/ duration</w:t>
            </w:r>
          </w:p>
        </w:tc>
        <w:tc>
          <w:tcPr>
            <w:tcW w:w="511" w:type="pct"/>
            <w:shd w:val="clear" w:color="auto" w:fill="auto"/>
            <w:vAlign w:val="center"/>
          </w:tcPr>
          <w:p w:rsidR="00A95447" w:rsidRPr="00C73C47" w:rsidRDefault="00A95447" w:rsidP="00625AC3">
            <w:pPr>
              <w:jc w:val="center"/>
              <w:rPr>
                <w:rFonts w:ascii="Arial Narrow" w:hAnsi="Arial Narrow"/>
                <w:b/>
                <w:sz w:val="20"/>
              </w:rPr>
            </w:pPr>
            <w:r w:rsidRPr="00C73C47">
              <w:rPr>
                <w:rFonts w:ascii="Arial Narrow" w:hAnsi="Arial Narrow"/>
                <w:b/>
                <w:sz w:val="20"/>
              </w:rPr>
              <w:t>Risk of bias</w:t>
            </w:r>
          </w:p>
        </w:tc>
        <w:tc>
          <w:tcPr>
            <w:tcW w:w="594" w:type="pct"/>
            <w:shd w:val="clear" w:color="auto" w:fill="auto"/>
            <w:vAlign w:val="center"/>
          </w:tcPr>
          <w:p w:rsidR="00A95447" w:rsidRPr="00C73C47" w:rsidRDefault="00A95447" w:rsidP="00625AC3">
            <w:pPr>
              <w:jc w:val="center"/>
              <w:rPr>
                <w:rFonts w:ascii="Arial Narrow" w:hAnsi="Arial Narrow"/>
                <w:b/>
                <w:sz w:val="20"/>
              </w:rPr>
            </w:pPr>
            <w:r w:rsidRPr="00C73C47">
              <w:rPr>
                <w:rFonts w:ascii="Arial Narrow" w:hAnsi="Arial Narrow"/>
                <w:b/>
                <w:sz w:val="20"/>
              </w:rPr>
              <w:t>Patient population</w:t>
            </w:r>
          </w:p>
        </w:tc>
        <w:tc>
          <w:tcPr>
            <w:tcW w:w="1187" w:type="pct"/>
            <w:shd w:val="clear" w:color="auto" w:fill="auto"/>
            <w:vAlign w:val="center"/>
          </w:tcPr>
          <w:p w:rsidR="00A95447" w:rsidRPr="00C73C47" w:rsidRDefault="00E80101" w:rsidP="00625AC3">
            <w:pPr>
              <w:jc w:val="center"/>
              <w:rPr>
                <w:rFonts w:ascii="Arial Narrow" w:hAnsi="Arial Narrow"/>
                <w:b/>
                <w:sz w:val="20"/>
              </w:rPr>
            </w:pPr>
            <w:r w:rsidRPr="00C73C47">
              <w:rPr>
                <w:rFonts w:ascii="Arial Narrow" w:hAnsi="Arial Narrow"/>
                <w:b/>
                <w:sz w:val="20"/>
              </w:rPr>
              <w:t>Outcomes</w:t>
            </w:r>
          </w:p>
        </w:tc>
        <w:tc>
          <w:tcPr>
            <w:tcW w:w="422" w:type="pct"/>
            <w:vAlign w:val="center"/>
          </w:tcPr>
          <w:p w:rsidR="00A95447" w:rsidRPr="00C73C47" w:rsidRDefault="00A95447" w:rsidP="00A95447">
            <w:pPr>
              <w:jc w:val="center"/>
              <w:rPr>
                <w:rFonts w:ascii="Arial Narrow" w:hAnsi="Arial Narrow"/>
                <w:b/>
                <w:sz w:val="20"/>
              </w:rPr>
            </w:pPr>
            <w:r w:rsidRPr="008E793F">
              <w:rPr>
                <w:rFonts w:ascii="Arial Narrow" w:hAnsi="Arial Narrow"/>
                <w:b/>
                <w:sz w:val="20"/>
              </w:rPr>
              <w:t>PBAC seen before?</w:t>
            </w:r>
          </w:p>
        </w:tc>
      </w:tr>
      <w:tr w:rsidR="00A95447" w:rsidRPr="00C73C47" w:rsidTr="00194FBC">
        <w:tc>
          <w:tcPr>
            <w:tcW w:w="5000" w:type="pct"/>
            <w:gridSpan w:val="7"/>
            <w:shd w:val="clear" w:color="auto" w:fill="auto"/>
            <w:vAlign w:val="center"/>
          </w:tcPr>
          <w:p w:rsidR="00A95447" w:rsidRPr="00C73C47" w:rsidRDefault="00A95447" w:rsidP="00A95447">
            <w:pPr>
              <w:jc w:val="left"/>
              <w:rPr>
                <w:rFonts w:ascii="Arial Narrow" w:hAnsi="Arial Narrow"/>
                <w:b/>
                <w:sz w:val="20"/>
              </w:rPr>
            </w:pPr>
            <w:r w:rsidRPr="00C73C47">
              <w:rPr>
                <w:rFonts w:ascii="Arial Narrow" w:hAnsi="Arial Narrow"/>
                <w:b/>
                <w:sz w:val="20"/>
              </w:rPr>
              <w:t>Certolizumab 200mg q2w and 400mg q2w versus placebo</w:t>
            </w:r>
          </w:p>
        </w:tc>
      </w:tr>
      <w:tr w:rsidR="00C72F37" w:rsidRPr="00C73C47" w:rsidTr="00194FBC">
        <w:tc>
          <w:tcPr>
            <w:tcW w:w="592" w:type="pct"/>
            <w:shd w:val="clear" w:color="auto" w:fill="auto"/>
            <w:vAlign w:val="center"/>
          </w:tcPr>
          <w:p w:rsidR="00A95447" w:rsidRPr="00C73C47" w:rsidRDefault="00A95447" w:rsidP="00625AC3">
            <w:pPr>
              <w:jc w:val="left"/>
              <w:rPr>
                <w:rFonts w:ascii="Arial Narrow" w:hAnsi="Arial Narrow"/>
                <w:sz w:val="20"/>
              </w:rPr>
            </w:pPr>
            <w:r w:rsidRPr="00C73C47">
              <w:rPr>
                <w:rFonts w:ascii="Arial Narrow" w:hAnsi="Arial Narrow"/>
                <w:sz w:val="20"/>
              </w:rPr>
              <w:t xml:space="preserve">CZP1 </w:t>
            </w:r>
          </w:p>
          <w:p w:rsidR="00A95447" w:rsidRPr="00C73C47" w:rsidRDefault="00A95447" w:rsidP="00625AC3">
            <w:pPr>
              <w:jc w:val="left"/>
              <w:rPr>
                <w:rFonts w:ascii="Arial Narrow" w:hAnsi="Arial Narrow"/>
                <w:sz w:val="20"/>
              </w:rPr>
            </w:pPr>
            <w:r w:rsidRPr="00C73C47">
              <w:rPr>
                <w:rFonts w:ascii="Arial Narrow" w:hAnsi="Arial Narrow"/>
                <w:sz w:val="20"/>
              </w:rPr>
              <w:t>Rapid PsA (Mease 2014)</w:t>
            </w:r>
          </w:p>
        </w:tc>
        <w:tc>
          <w:tcPr>
            <w:tcW w:w="340"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409</w:t>
            </w:r>
          </w:p>
        </w:tc>
        <w:tc>
          <w:tcPr>
            <w:tcW w:w="1355" w:type="pct"/>
            <w:shd w:val="clear" w:color="auto" w:fill="auto"/>
            <w:vAlign w:val="center"/>
          </w:tcPr>
          <w:p w:rsidR="00A95447" w:rsidRPr="00C73C47" w:rsidRDefault="005E5BFF" w:rsidP="00625AC3">
            <w:pPr>
              <w:jc w:val="center"/>
              <w:rPr>
                <w:rFonts w:ascii="Arial Narrow" w:hAnsi="Arial Narrow"/>
                <w:sz w:val="20"/>
              </w:rPr>
            </w:pPr>
            <w:r>
              <w:rPr>
                <w:rFonts w:ascii="Arial Narrow" w:hAnsi="Arial Narrow"/>
                <w:sz w:val="20"/>
              </w:rPr>
              <w:t>R</w:t>
            </w:r>
            <w:r w:rsidR="000A4F6E">
              <w:rPr>
                <w:rFonts w:ascii="Arial Narrow" w:hAnsi="Arial Narrow"/>
                <w:sz w:val="20"/>
              </w:rPr>
              <w:t xml:space="preserve">, </w:t>
            </w:r>
            <w:r w:rsidR="00A95447" w:rsidRPr="00C73C47">
              <w:rPr>
                <w:rFonts w:ascii="Arial Narrow" w:hAnsi="Arial Narrow"/>
                <w:sz w:val="20"/>
              </w:rPr>
              <w:t>DB wks0-24, EE</w:t>
            </w:r>
            <w:r w:rsidR="00A95447" w:rsidRPr="00C73C47">
              <w:rPr>
                <w:rFonts w:ascii="Arial Narrow" w:hAnsi="Arial Narrow"/>
                <w:sz w:val="20"/>
                <w:vertAlign w:val="superscript"/>
              </w:rPr>
              <w:t>a</w:t>
            </w:r>
            <w:r w:rsidR="00A95447" w:rsidRPr="00C73C47">
              <w:rPr>
                <w:rFonts w:ascii="Arial Narrow" w:hAnsi="Arial Narrow"/>
                <w:sz w:val="20"/>
              </w:rPr>
              <w:t xml:space="preserve"> for PBO at 16wks, crossover for PBO at 24wks.  Dose blind Wk24-48 following re-randomisation of PBO to CZP, OL Wk48-216.</w:t>
            </w:r>
          </w:p>
        </w:tc>
        <w:tc>
          <w:tcPr>
            <w:tcW w:w="511"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Uncertain^</w:t>
            </w:r>
          </w:p>
        </w:tc>
        <w:tc>
          <w:tcPr>
            <w:tcW w:w="594"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TNFα naïve or experienced</w:t>
            </w:r>
          </w:p>
        </w:tc>
        <w:tc>
          <w:tcPr>
            <w:tcW w:w="1187" w:type="pct"/>
            <w:shd w:val="clear" w:color="auto" w:fill="auto"/>
            <w:vAlign w:val="center"/>
          </w:tcPr>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ACR20/50/70, PsARC</w:t>
            </w:r>
          </w:p>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PASI50/75/90, SF36, HAQ-DI</w:t>
            </w:r>
          </w:p>
          <w:p w:rsidR="00A95447" w:rsidRPr="00C73C47" w:rsidRDefault="00A95447" w:rsidP="00625AC3">
            <w:pPr>
              <w:jc w:val="center"/>
              <w:rPr>
                <w:rFonts w:ascii="Arial Narrow" w:hAnsi="Arial Narrow"/>
                <w:sz w:val="20"/>
              </w:rPr>
            </w:pPr>
            <w:r w:rsidRPr="00C73C47">
              <w:rPr>
                <w:rFonts w:ascii="Arial Narrow" w:hAnsi="Arial Narrow"/>
                <w:sz w:val="20"/>
              </w:rPr>
              <w:t>(wk12 &amp;24)</w:t>
            </w:r>
          </w:p>
        </w:tc>
        <w:tc>
          <w:tcPr>
            <w:tcW w:w="422" w:type="pct"/>
            <w:vAlign w:val="center"/>
          </w:tcPr>
          <w:p w:rsidR="00A95447" w:rsidRPr="00C73C47" w:rsidRDefault="00A95447" w:rsidP="00A95447">
            <w:pPr>
              <w:jc w:val="center"/>
              <w:rPr>
                <w:rFonts w:ascii="Arial Narrow" w:hAnsi="Arial Narrow"/>
                <w:sz w:val="20"/>
              </w:rPr>
            </w:pPr>
            <w:r w:rsidRPr="008E793F">
              <w:rPr>
                <w:rFonts w:ascii="Arial Narrow" w:hAnsi="Arial Narrow"/>
                <w:sz w:val="20"/>
              </w:rPr>
              <w:t>No</w:t>
            </w:r>
          </w:p>
        </w:tc>
      </w:tr>
      <w:tr w:rsidR="00A95447" w:rsidRPr="00C73C47" w:rsidTr="00194FBC">
        <w:tc>
          <w:tcPr>
            <w:tcW w:w="5000" w:type="pct"/>
            <w:gridSpan w:val="7"/>
            <w:shd w:val="clear" w:color="auto" w:fill="D9D9D9"/>
            <w:vAlign w:val="center"/>
          </w:tcPr>
          <w:p w:rsidR="00A95447" w:rsidRPr="00C73C47" w:rsidRDefault="00A95447" w:rsidP="00A95447">
            <w:pPr>
              <w:jc w:val="left"/>
              <w:rPr>
                <w:rFonts w:ascii="Arial Narrow" w:hAnsi="Arial Narrow"/>
                <w:b/>
                <w:sz w:val="20"/>
              </w:rPr>
            </w:pPr>
            <w:r w:rsidRPr="00C73C47">
              <w:rPr>
                <w:rFonts w:ascii="Arial Narrow" w:hAnsi="Arial Narrow"/>
                <w:b/>
                <w:sz w:val="20"/>
              </w:rPr>
              <w:t>Current PBS comparators</w:t>
            </w:r>
          </w:p>
        </w:tc>
      </w:tr>
      <w:tr w:rsidR="00A95447" w:rsidRPr="00C73C47" w:rsidTr="00194FBC">
        <w:tc>
          <w:tcPr>
            <w:tcW w:w="5000" w:type="pct"/>
            <w:gridSpan w:val="7"/>
            <w:shd w:val="clear" w:color="auto" w:fill="auto"/>
            <w:vAlign w:val="center"/>
          </w:tcPr>
          <w:p w:rsidR="00A95447" w:rsidRPr="00C73C47" w:rsidRDefault="00A95447" w:rsidP="00A95447">
            <w:pPr>
              <w:jc w:val="left"/>
              <w:rPr>
                <w:rFonts w:ascii="Arial Narrow" w:hAnsi="Arial Narrow"/>
                <w:b/>
                <w:sz w:val="20"/>
              </w:rPr>
            </w:pPr>
            <w:r w:rsidRPr="00C73C47">
              <w:rPr>
                <w:rFonts w:ascii="Arial Narrow" w:hAnsi="Arial Narrow"/>
                <w:b/>
                <w:sz w:val="20"/>
              </w:rPr>
              <w:t>ADA 40mg SC q2w versus placebo</w:t>
            </w:r>
          </w:p>
        </w:tc>
      </w:tr>
      <w:tr w:rsidR="00C72F37" w:rsidRPr="00C73C47" w:rsidTr="00194FBC">
        <w:tc>
          <w:tcPr>
            <w:tcW w:w="592" w:type="pct"/>
            <w:shd w:val="clear" w:color="auto" w:fill="auto"/>
            <w:vAlign w:val="center"/>
          </w:tcPr>
          <w:p w:rsidR="00A95447" w:rsidRPr="00C73C47" w:rsidRDefault="00A95447" w:rsidP="00625AC3">
            <w:pPr>
              <w:pStyle w:val="TableText0"/>
              <w:spacing w:before="0" w:after="0"/>
              <w:rPr>
                <w:rFonts w:cs="Arial"/>
              </w:rPr>
            </w:pPr>
            <w:r w:rsidRPr="00C73C47">
              <w:rPr>
                <w:rFonts w:cs="Arial"/>
              </w:rPr>
              <w:t>ADA1 (ADEPT)</w:t>
            </w:r>
          </w:p>
        </w:tc>
        <w:tc>
          <w:tcPr>
            <w:tcW w:w="340"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313</w:t>
            </w:r>
          </w:p>
        </w:tc>
        <w:tc>
          <w:tcPr>
            <w:tcW w:w="1355" w:type="pct"/>
            <w:shd w:val="clear" w:color="auto" w:fill="auto"/>
            <w:vAlign w:val="center"/>
          </w:tcPr>
          <w:p w:rsidR="00A95447" w:rsidRPr="00C73C47" w:rsidRDefault="00A95447" w:rsidP="00122565">
            <w:pPr>
              <w:jc w:val="center"/>
              <w:rPr>
                <w:rFonts w:ascii="Arial Narrow" w:hAnsi="Arial Narrow"/>
                <w:sz w:val="20"/>
                <w:vertAlign w:val="superscript"/>
              </w:rPr>
            </w:pPr>
            <w:r w:rsidRPr="00C73C47">
              <w:rPr>
                <w:rFonts w:ascii="Arial Narrow" w:hAnsi="Arial Narrow"/>
                <w:sz w:val="20"/>
              </w:rPr>
              <w:t>R, DB for 24 weeks. Crossover for PBO wk24-48, rescue meds after Wk12 with criterio</w:t>
            </w:r>
            <w:r w:rsidR="00122565" w:rsidRPr="00C73C47">
              <w:rPr>
                <w:rFonts w:ascii="Arial Narrow" w:hAnsi="Arial Narrow"/>
                <w:sz w:val="20"/>
              </w:rPr>
              <w:t>n</w:t>
            </w:r>
            <w:r w:rsidRPr="00C73C47">
              <w:rPr>
                <w:rFonts w:ascii="Arial Narrow" w:hAnsi="Arial Narrow"/>
                <w:sz w:val="20"/>
                <w:vertAlign w:val="superscript"/>
              </w:rPr>
              <w:t>b</w:t>
            </w:r>
          </w:p>
        </w:tc>
        <w:tc>
          <w:tcPr>
            <w:tcW w:w="511"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Low</w:t>
            </w:r>
          </w:p>
        </w:tc>
        <w:tc>
          <w:tcPr>
            <w:tcW w:w="594"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TNF-α naive</w:t>
            </w:r>
          </w:p>
        </w:tc>
        <w:tc>
          <w:tcPr>
            <w:tcW w:w="1187" w:type="pct"/>
            <w:shd w:val="clear" w:color="auto" w:fill="auto"/>
            <w:vAlign w:val="center"/>
          </w:tcPr>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ACR20/50/70, PsARC</w:t>
            </w:r>
          </w:p>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PASI50/75/90, SF36, HAQ-DI</w:t>
            </w:r>
          </w:p>
          <w:p w:rsidR="00A95447" w:rsidRPr="00C73C47" w:rsidRDefault="00A95447" w:rsidP="00625AC3">
            <w:pPr>
              <w:jc w:val="center"/>
              <w:rPr>
                <w:rFonts w:ascii="Arial Narrow" w:hAnsi="Arial Narrow"/>
                <w:sz w:val="20"/>
              </w:rPr>
            </w:pPr>
            <w:r w:rsidRPr="00C73C47">
              <w:rPr>
                <w:rFonts w:ascii="Arial Narrow" w:hAnsi="Arial Narrow"/>
                <w:sz w:val="20"/>
              </w:rPr>
              <w:t>(wk12 &amp;24)</w:t>
            </w:r>
          </w:p>
        </w:tc>
        <w:tc>
          <w:tcPr>
            <w:tcW w:w="422" w:type="pct"/>
            <w:vAlign w:val="center"/>
          </w:tcPr>
          <w:p w:rsidR="00A95447" w:rsidRPr="00C73C47" w:rsidRDefault="00A95447" w:rsidP="00A95447">
            <w:pPr>
              <w:jc w:val="center"/>
              <w:rPr>
                <w:rFonts w:ascii="Arial Narrow" w:hAnsi="Arial Narrow"/>
                <w:sz w:val="20"/>
              </w:rPr>
            </w:pPr>
            <w:r w:rsidRPr="008E793F">
              <w:rPr>
                <w:rFonts w:ascii="Arial Narrow" w:hAnsi="Arial Narrow"/>
                <w:sz w:val="20"/>
              </w:rPr>
              <w:t>Yes</w:t>
            </w:r>
          </w:p>
        </w:tc>
      </w:tr>
      <w:tr w:rsidR="00C72F37" w:rsidRPr="00C73C47" w:rsidTr="00194FBC">
        <w:tc>
          <w:tcPr>
            <w:tcW w:w="592" w:type="pct"/>
            <w:shd w:val="clear" w:color="auto" w:fill="auto"/>
            <w:vAlign w:val="center"/>
          </w:tcPr>
          <w:p w:rsidR="00A95447" w:rsidRPr="00C73C47" w:rsidRDefault="00A95447" w:rsidP="00625AC3">
            <w:pPr>
              <w:pStyle w:val="TableText0"/>
              <w:spacing w:before="0" w:after="0"/>
              <w:rPr>
                <w:rFonts w:cs="Arial"/>
              </w:rPr>
            </w:pPr>
            <w:r w:rsidRPr="00C73C47">
              <w:rPr>
                <w:rFonts w:cs="Arial"/>
              </w:rPr>
              <w:t>ADA2</w:t>
            </w:r>
          </w:p>
          <w:p w:rsidR="00A95447" w:rsidRPr="00C73C47" w:rsidRDefault="00A95447" w:rsidP="00625AC3">
            <w:pPr>
              <w:pStyle w:val="TableText0"/>
              <w:spacing w:before="0" w:after="0"/>
              <w:rPr>
                <w:rFonts w:cs="Arial"/>
              </w:rPr>
            </w:pPr>
            <w:r w:rsidRPr="00C73C47">
              <w:rPr>
                <w:rFonts w:cs="Arial"/>
              </w:rPr>
              <w:t>(M02-570)</w:t>
            </w:r>
          </w:p>
        </w:tc>
        <w:tc>
          <w:tcPr>
            <w:tcW w:w="340"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49</w:t>
            </w:r>
          </w:p>
          <w:p w:rsidR="00A95447" w:rsidRPr="00C73C47" w:rsidRDefault="00A95447" w:rsidP="00625AC3">
            <w:pPr>
              <w:jc w:val="center"/>
              <w:rPr>
                <w:rFonts w:ascii="Arial Narrow" w:hAnsi="Arial Narrow"/>
                <w:sz w:val="20"/>
              </w:rPr>
            </w:pPr>
            <w:r w:rsidRPr="00C73C47">
              <w:rPr>
                <w:rFonts w:ascii="Arial Narrow" w:hAnsi="Arial Narrow"/>
                <w:sz w:val="20"/>
              </w:rPr>
              <w:t>51</w:t>
            </w:r>
          </w:p>
        </w:tc>
        <w:tc>
          <w:tcPr>
            <w:tcW w:w="1355"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R, DB for 12 weeks, crossover for PBO wk12-24</w:t>
            </w:r>
          </w:p>
        </w:tc>
        <w:tc>
          <w:tcPr>
            <w:tcW w:w="511"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Low</w:t>
            </w:r>
          </w:p>
        </w:tc>
        <w:tc>
          <w:tcPr>
            <w:tcW w:w="594"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TNF-α naive</w:t>
            </w:r>
          </w:p>
        </w:tc>
        <w:tc>
          <w:tcPr>
            <w:tcW w:w="1187"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 xml:space="preserve">ACR20/50/70, PsARC, SF36, HAQ-DI </w:t>
            </w:r>
          </w:p>
          <w:p w:rsidR="00A95447" w:rsidRPr="00C73C47" w:rsidRDefault="00A95447" w:rsidP="00625AC3">
            <w:pPr>
              <w:jc w:val="center"/>
              <w:rPr>
                <w:rFonts w:ascii="Arial Narrow" w:hAnsi="Arial Narrow"/>
                <w:sz w:val="20"/>
              </w:rPr>
            </w:pPr>
            <w:r w:rsidRPr="00C73C47">
              <w:rPr>
                <w:rFonts w:ascii="Arial Narrow" w:hAnsi="Arial Narrow"/>
                <w:sz w:val="20"/>
              </w:rPr>
              <w:t>(wk12)</w:t>
            </w:r>
          </w:p>
        </w:tc>
        <w:tc>
          <w:tcPr>
            <w:tcW w:w="422" w:type="pct"/>
            <w:vAlign w:val="center"/>
          </w:tcPr>
          <w:p w:rsidR="00A95447" w:rsidRPr="00C73C47" w:rsidRDefault="00A95447" w:rsidP="00A95447">
            <w:pPr>
              <w:jc w:val="center"/>
              <w:rPr>
                <w:rFonts w:ascii="Arial Narrow" w:hAnsi="Arial Narrow"/>
                <w:sz w:val="20"/>
              </w:rPr>
            </w:pPr>
            <w:r w:rsidRPr="008E793F">
              <w:rPr>
                <w:rFonts w:ascii="Arial Narrow" w:hAnsi="Arial Narrow"/>
                <w:sz w:val="20"/>
              </w:rPr>
              <w:t>Yes</w:t>
            </w:r>
          </w:p>
        </w:tc>
      </w:tr>
      <w:tr w:rsidR="00A95447" w:rsidRPr="00C73C47" w:rsidTr="00194FBC">
        <w:tc>
          <w:tcPr>
            <w:tcW w:w="4578" w:type="pct"/>
            <w:gridSpan w:val="6"/>
            <w:shd w:val="clear" w:color="auto" w:fill="auto"/>
          </w:tcPr>
          <w:p w:rsidR="00A95447" w:rsidRPr="00C73C47" w:rsidRDefault="00A95447" w:rsidP="00625AC3">
            <w:pPr>
              <w:jc w:val="left"/>
              <w:rPr>
                <w:rFonts w:ascii="Arial Narrow" w:hAnsi="Arial Narrow"/>
                <w:sz w:val="20"/>
              </w:rPr>
            </w:pPr>
            <w:r w:rsidRPr="00C73C47">
              <w:rPr>
                <w:rFonts w:ascii="Arial Narrow" w:hAnsi="Arial Narrow"/>
                <w:b/>
                <w:sz w:val="20"/>
              </w:rPr>
              <w:t>ETC 25mg SC twice weekly versus placebo</w:t>
            </w:r>
          </w:p>
        </w:tc>
        <w:tc>
          <w:tcPr>
            <w:tcW w:w="422" w:type="pct"/>
            <w:vAlign w:val="center"/>
          </w:tcPr>
          <w:p w:rsidR="00A95447" w:rsidRPr="00C73C47" w:rsidRDefault="00A95447" w:rsidP="00A95447">
            <w:pPr>
              <w:jc w:val="center"/>
              <w:rPr>
                <w:rFonts w:ascii="Arial Narrow" w:hAnsi="Arial Narrow"/>
                <w:b/>
                <w:sz w:val="20"/>
              </w:rPr>
            </w:pPr>
          </w:p>
        </w:tc>
      </w:tr>
      <w:tr w:rsidR="00C72F37" w:rsidRPr="00C73C47" w:rsidTr="00194FBC">
        <w:tc>
          <w:tcPr>
            <w:tcW w:w="592" w:type="pct"/>
            <w:shd w:val="clear" w:color="auto" w:fill="auto"/>
            <w:vAlign w:val="center"/>
          </w:tcPr>
          <w:p w:rsidR="00A95447" w:rsidRPr="00C73C47" w:rsidRDefault="00A95447" w:rsidP="00625AC3">
            <w:pPr>
              <w:pStyle w:val="TableText0"/>
              <w:spacing w:before="0" w:after="0"/>
              <w:rPr>
                <w:rFonts w:cs="Arial"/>
              </w:rPr>
            </w:pPr>
            <w:r w:rsidRPr="00C73C47">
              <w:rPr>
                <w:rFonts w:cs="Arial"/>
              </w:rPr>
              <w:t>ETC1 (Mease 2004)</w:t>
            </w:r>
          </w:p>
        </w:tc>
        <w:tc>
          <w:tcPr>
            <w:tcW w:w="340"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205</w:t>
            </w:r>
          </w:p>
        </w:tc>
        <w:tc>
          <w:tcPr>
            <w:tcW w:w="1355"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R, DB for 24wks, OL and crossover for PBO wk24-72.</w:t>
            </w:r>
          </w:p>
        </w:tc>
        <w:tc>
          <w:tcPr>
            <w:tcW w:w="511"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Low</w:t>
            </w:r>
          </w:p>
        </w:tc>
        <w:tc>
          <w:tcPr>
            <w:tcW w:w="594"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TNF-α naive</w:t>
            </w:r>
          </w:p>
        </w:tc>
        <w:tc>
          <w:tcPr>
            <w:tcW w:w="1187" w:type="pct"/>
            <w:shd w:val="clear" w:color="auto" w:fill="auto"/>
            <w:vAlign w:val="center"/>
          </w:tcPr>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 xml:space="preserve">ACR20/50/70, PsARC, </w:t>
            </w:r>
          </w:p>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HAQ-DI (wk12 &amp;24)</w:t>
            </w:r>
          </w:p>
          <w:p w:rsidR="00A95447" w:rsidRPr="00C73C47" w:rsidRDefault="00A95447" w:rsidP="00625AC3">
            <w:pPr>
              <w:jc w:val="center"/>
              <w:rPr>
                <w:rFonts w:ascii="Arial Narrow" w:hAnsi="Arial Narrow"/>
                <w:sz w:val="20"/>
              </w:rPr>
            </w:pPr>
            <w:r w:rsidRPr="00C73C47">
              <w:rPr>
                <w:rFonts w:ascii="Arial Narrow" w:hAnsi="Arial Narrow"/>
                <w:sz w:val="20"/>
              </w:rPr>
              <w:t>PASI50/75/90, SF36</w:t>
            </w:r>
          </w:p>
          <w:p w:rsidR="00A95447" w:rsidRPr="00C73C47" w:rsidRDefault="00A95447" w:rsidP="00625AC3">
            <w:pPr>
              <w:jc w:val="center"/>
              <w:rPr>
                <w:rFonts w:ascii="Arial Narrow" w:hAnsi="Arial Narrow"/>
                <w:sz w:val="20"/>
              </w:rPr>
            </w:pPr>
            <w:r w:rsidRPr="00C73C47">
              <w:rPr>
                <w:rFonts w:ascii="Arial Narrow" w:hAnsi="Arial Narrow"/>
                <w:sz w:val="20"/>
              </w:rPr>
              <w:t>(wk 24)</w:t>
            </w:r>
          </w:p>
        </w:tc>
        <w:tc>
          <w:tcPr>
            <w:tcW w:w="422" w:type="pct"/>
            <w:vAlign w:val="center"/>
          </w:tcPr>
          <w:p w:rsidR="00A95447" w:rsidRPr="008E793F" w:rsidRDefault="00A95447" w:rsidP="00A95447">
            <w:pPr>
              <w:jc w:val="center"/>
              <w:rPr>
                <w:rFonts w:ascii="Arial Narrow" w:hAnsi="Arial Narrow"/>
                <w:sz w:val="20"/>
              </w:rPr>
            </w:pPr>
            <w:r w:rsidRPr="008E793F">
              <w:rPr>
                <w:rFonts w:ascii="Arial Narrow" w:hAnsi="Arial Narrow"/>
                <w:sz w:val="20"/>
              </w:rPr>
              <w:t>Yes</w:t>
            </w:r>
          </w:p>
        </w:tc>
      </w:tr>
      <w:tr w:rsidR="00C72F37" w:rsidRPr="00C73C47" w:rsidTr="00194FBC">
        <w:tc>
          <w:tcPr>
            <w:tcW w:w="592" w:type="pct"/>
            <w:shd w:val="clear" w:color="auto" w:fill="auto"/>
          </w:tcPr>
          <w:p w:rsidR="00A95447" w:rsidRPr="00C73C47" w:rsidRDefault="00A95447" w:rsidP="00625AC3">
            <w:pPr>
              <w:pStyle w:val="TableText0"/>
              <w:spacing w:before="0" w:after="0"/>
              <w:rPr>
                <w:rFonts w:cs="Arial"/>
              </w:rPr>
            </w:pPr>
            <w:r w:rsidRPr="00C73C47">
              <w:rPr>
                <w:rFonts w:cs="Arial"/>
              </w:rPr>
              <w:t>ETC2 (Mease 2000)</w:t>
            </w:r>
          </w:p>
        </w:tc>
        <w:tc>
          <w:tcPr>
            <w:tcW w:w="340" w:type="pct"/>
            <w:shd w:val="clear" w:color="auto" w:fill="auto"/>
          </w:tcPr>
          <w:p w:rsidR="00A95447" w:rsidRPr="00C73C47" w:rsidRDefault="00A95447" w:rsidP="00625AC3">
            <w:pPr>
              <w:jc w:val="center"/>
              <w:rPr>
                <w:rFonts w:ascii="Arial Narrow" w:hAnsi="Arial Narrow"/>
                <w:sz w:val="20"/>
              </w:rPr>
            </w:pPr>
            <w:r w:rsidRPr="00C73C47">
              <w:rPr>
                <w:rFonts w:ascii="Arial Narrow" w:hAnsi="Arial Narrow"/>
                <w:sz w:val="20"/>
              </w:rPr>
              <w:t>60</w:t>
            </w:r>
          </w:p>
        </w:tc>
        <w:tc>
          <w:tcPr>
            <w:tcW w:w="1355"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R, DB for 12 weeks</w:t>
            </w:r>
          </w:p>
        </w:tc>
        <w:tc>
          <w:tcPr>
            <w:tcW w:w="511"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Low</w:t>
            </w:r>
          </w:p>
        </w:tc>
        <w:tc>
          <w:tcPr>
            <w:tcW w:w="594"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TNF-α naive</w:t>
            </w:r>
          </w:p>
        </w:tc>
        <w:tc>
          <w:tcPr>
            <w:tcW w:w="1187" w:type="pct"/>
            <w:shd w:val="clear" w:color="auto" w:fill="auto"/>
            <w:vAlign w:val="center"/>
          </w:tcPr>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ACR20/50/70, PsARC</w:t>
            </w:r>
          </w:p>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PASI50/75, HAQ-DI (wk12)</w:t>
            </w:r>
          </w:p>
        </w:tc>
        <w:tc>
          <w:tcPr>
            <w:tcW w:w="422" w:type="pct"/>
            <w:vAlign w:val="center"/>
          </w:tcPr>
          <w:p w:rsidR="00A95447" w:rsidRPr="008E793F" w:rsidRDefault="00A95447" w:rsidP="00A95447">
            <w:pPr>
              <w:jc w:val="center"/>
              <w:rPr>
                <w:rFonts w:ascii="Arial Narrow" w:hAnsi="Arial Narrow"/>
                <w:sz w:val="20"/>
              </w:rPr>
            </w:pPr>
            <w:r w:rsidRPr="008E793F">
              <w:rPr>
                <w:rFonts w:ascii="Arial Narrow" w:hAnsi="Arial Narrow"/>
                <w:sz w:val="20"/>
              </w:rPr>
              <w:t>Yes</w:t>
            </w:r>
          </w:p>
        </w:tc>
      </w:tr>
      <w:tr w:rsidR="00A95447" w:rsidRPr="00C73C47" w:rsidTr="00194FBC">
        <w:tc>
          <w:tcPr>
            <w:tcW w:w="5000" w:type="pct"/>
            <w:gridSpan w:val="7"/>
            <w:shd w:val="clear" w:color="auto" w:fill="auto"/>
            <w:vAlign w:val="center"/>
          </w:tcPr>
          <w:p w:rsidR="00A95447" w:rsidRPr="00C73C47" w:rsidRDefault="00A95447" w:rsidP="00A95447">
            <w:pPr>
              <w:jc w:val="left"/>
              <w:rPr>
                <w:rFonts w:ascii="Arial Narrow" w:hAnsi="Arial Narrow"/>
                <w:b/>
                <w:sz w:val="20"/>
              </w:rPr>
            </w:pPr>
            <w:r w:rsidRPr="00C73C47">
              <w:rPr>
                <w:rFonts w:ascii="Arial Narrow" w:hAnsi="Arial Narrow"/>
                <w:b/>
                <w:sz w:val="20"/>
              </w:rPr>
              <w:t>GOL 50mg SC q4w and 100mg q4w versus placebo (only 50mg q4w is TGA approved for PsA)</w:t>
            </w:r>
          </w:p>
        </w:tc>
      </w:tr>
      <w:tr w:rsidR="00C72F37" w:rsidRPr="00C73C47" w:rsidTr="00194FBC">
        <w:tc>
          <w:tcPr>
            <w:tcW w:w="592" w:type="pct"/>
            <w:shd w:val="clear" w:color="auto" w:fill="auto"/>
          </w:tcPr>
          <w:p w:rsidR="00A95447" w:rsidRPr="00C73C47" w:rsidRDefault="00A95447" w:rsidP="00A95447">
            <w:pPr>
              <w:pStyle w:val="TableText0"/>
              <w:spacing w:before="0" w:after="0"/>
              <w:rPr>
                <w:rFonts w:cs="Arial"/>
              </w:rPr>
            </w:pPr>
            <w:r w:rsidRPr="00C73C47">
              <w:rPr>
                <w:rFonts w:cs="Arial"/>
              </w:rPr>
              <w:lastRenderedPageBreak/>
              <w:t>GOL1</w:t>
            </w:r>
          </w:p>
          <w:p w:rsidR="00A95447" w:rsidRPr="00C73C47" w:rsidRDefault="00A95447" w:rsidP="00A95447">
            <w:pPr>
              <w:pStyle w:val="TableText0"/>
              <w:spacing w:before="0" w:after="0"/>
              <w:rPr>
                <w:rFonts w:cs="Arial"/>
              </w:rPr>
            </w:pPr>
            <w:r w:rsidRPr="00C73C47">
              <w:rPr>
                <w:rFonts w:cs="Arial"/>
              </w:rPr>
              <w:t>(Go-Reveal)</w:t>
            </w:r>
          </w:p>
        </w:tc>
        <w:tc>
          <w:tcPr>
            <w:tcW w:w="340" w:type="pct"/>
            <w:shd w:val="clear" w:color="auto" w:fill="auto"/>
          </w:tcPr>
          <w:p w:rsidR="00A95447" w:rsidRPr="00C73C47" w:rsidRDefault="00A95447" w:rsidP="00625AC3">
            <w:pPr>
              <w:jc w:val="center"/>
              <w:rPr>
                <w:rFonts w:ascii="Arial Narrow" w:hAnsi="Arial Narrow"/>
                <w:sz w:val="20"/>
              </w:rPr>
            </w:pPr>
          </w:p>
          <w:p w:rsidR="00A95447" w:rsidRPr="00C73C47" w:rsidRDefault="00A95447" w:rsidP="00625AC3">
            <w:pPr>
              <w:jc w:val="center"/>
              <w:rPr>
                <w:rFonts w:ascii="Arial Narrow" w:hAnsi="Arial Narrow"/>
                <w:sz w:val="20"/>
              </w:rPr>
            </w:pPr>
            <w:r w:rsidRPr="00C73C47">
              <w:rPr>
                <w:rFonts w:ascii="Arial Narrow" w:hAnsi="Arial Narrow"/>
                <w:sz w:val="20"/>
              </w:rPr>
              <w:t>405</w:t>
            </w:r>
          </w:p>
        </w:tc>
        <w:tc>
          <w:tcPr>
            <w:tcW w:w="1355"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R, DB for 24 wks, EE at wk16</w:t>
            </w:r>
            <w:r w:rsidRPr="00C73C47">
              <w:rPr>
                <w:rFonts w:ascii="Arial Narrow" w:hAnsi="Arial Narrow"/>
                <w:sz w:val="20"/>
                <w:vertAlign w:val="superscript"/>
              </w:rPr>
              <w:t>a</w:t>
            </w:r>
            <w:r w:rsidRPr="00C73C47">
              <w:rPr>
                <w:rFonts w:ascii="Arial Narrow" w:hAnsi="Arial Narrow"/>
                <w:sz w:val="20"/>
              </w:rPr>
              <w:t>, crossover for PBO at Wk24</w:t>
            </w:r>
          </w:p>
        </w:tc>
        <w:tc>
          <w:tcPr>
            <w:tcW w:w="511"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Low</w:t>
            </w:r>
          </w:p>
        </w:tc>
        <w:tc>
          <w:tcPr>
            <w:tcW w:w="594" w:type="pct"/>
            <w:shd w:val="clear" w:color="auto" w:fill="auto"/>
            <w:vAlign w:val="center"/>
          </w:tcPr>
          <w:p w:rsidR="00A95447" w:rsidRPr="00C73C47" w:rsidRDefault="00A95447" w:rsidP="00625AC3">
            <w:pPr>
              <w:jc w:val="center"/>
              <w:rPr>
                <w:rFonts w:ascii="Arial Narrow" w:hAnsi="Arial Narrow"/>
                <w:sz w:val="20"/>
              </w:rPr>
            </w:pPr>
            <w:r w:rsidRPr="00C73C47">
              <w:rPr>
                <w:rFonts w:ascii="Arial Narrow" w:hAnsi="Arial Narrow"/>
                <w:sz w:val="20"/>
              </w:rPr>
              <w:t>TNF-α naive</w:t>
            </w:r>
          </w:p>
        </w:tc>
        <w:tc>
          <w:tcPr>
            <w:tcW w:w="1187" w:type="pct"/>
            <w:shd w:val="clear" w:color="auto" w:fill="auto"/>
            <w:vAlign w:val="center"/>
          </w:tcPr>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ACR20/50/70, PsARC</w:t>
            </w:r>
          </w:p>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PASI50/75/90, SF36, HAQ-DI</w:t>
            </w:r>
          </w:p>
          <w:p w:rsidR="00A95447" w:rsidRPr="00C73C47" w:rsidRDefault="00A95447" w:rsidP="00625AC3">
            <w:pPr>
              <w:jc w:val="center"/>
              <w:rPr>
                <w:rFonts w:ascii="Arial Narrow" w:hAnsi="Arial Narrow"/>
                <w:sz w:val="20"/>
              </w:rPr>
            </w:pPr>
            <w:r w:rsidRPr="00C73C47">
              <w:rPr>
                <w:rFonts w:ascii="Arial Narrow" w:hAnsi="Arial Narrow"/>
                <w:sz w:val="20"/>
              </w:rPr>
              <w:t>(wk14 &amp;24)</w:t>
            </w:r>
          </w:p>
        </w:tc>
        <w:tc>
          <w:tcPr>
            <w:tcW w:w="422" w:type="pct"/>
            <w:vAlign w:val="center"/>
          </w:tcPr>
          <w:p w:rsidR="00A95447" w:rsidRPr="00C73C47" w:rsidRDefault="00E30CCF" w:rsidP="00A95447">
            <w:pPr>
              <w:jc w:val="center"/>
              <w:rPr>
                <w:rFonts w:ascii="Arial Narrow" w:hAnsi="Arial Narrow"/>
                <w:sz w:val="20"/>
              </w:rPr>
            </w:pPr>
            <w:r w:rsidRPr="008E793F">
              <w:rPr>
                <w:rFonts w:ascii="Arial Narrow" w:hAnsi="Arial Narrow"/>
                <w:sz w:val="20"/>
              </w:rPr>
              <w:t>Y</w:t>
            </w:r>
            <w:r w:rsidR="00A95447" w:rsidRPr="008E793F">
              <w:rPr>
                <w:rFonts w:ascii="Arial Narrow" w:hAnsi="Arial Narrow"/>
                <w:sz w:val="20"/>
              </w:rPr>
              <w:t>es</w:t>
            </w:r>
          </w:p>
        </w:tc>
      </w:tr>
      <w:tr w:rsidR="00A95447" w:rsidRPr="00C73C47" w:rsidTr="00194FBC">
        <w:tc>
          <w:tcPr>
            <w:tcW w:w="5000" w:type="pct"/>
            <w:gridSpan w:val="7"/>
            <w:shd w:val="clear" w:color="auto" w:fill="auto"/>
            <w:vAlign w:val="center"/>
          </w:tcPr>
          <w:p w:rsidR="00A95447" w:rsidRPr="00C73C47" w:rsidRDefault="00A95447" w:rsidP="00A95447">
            <w:pPr>
              <w:jc w:val="left"/>
              <w:rPr>
                <w:rFonts w:ascii="Arial Narrow" w:hAnsi="Arial Narrow"/>
                <w:b/>
                <w:sz w:val="20"/>
              </w:rPr>
            </w:pPr>
            <w:r w:rsidRPr="00C73C47">
              <w:rPr>
                <w:rFonts w:ascii="Arial Narrow" w:hAnsi="Arial Narrow"/>
                <w:b/>
                <w:sz w:val="20"/>
              </w:rPr>
              <w:t>INX 5mg/kg IV at Weeks 0, 2, 5 and Q8w thereafter versus placebo</w:t>
            </w:r>
          </w:p>
        </w:tc>
      </w:tr>
      <w:tr w:rsidR="00C72F37" w:rsidRPr="00C73C47" w:rsidTr="00194FBC">
        <w:tc>
          <w:tcPr>
            <w:tcW w:w="592" w:type="pct"/>
            <w:shd w:val="clear" w:color="auto" w:fill="auto"/>
            <w:vAlign w:val="center"/>
          </w:tcPr>
          <w:p w:rsidR="00A95447" w:rsidRPr="00C73C47" w:rsidRDefault="00A95447" w:rsidP="00850010">
            <w:pPr>
              <w:pStyle w:val="TableText0"/>
              <w:keepNext w:val="0"/>
              <w:widowControl w:val="0"/>
              <w:spacing w:before="0" w:after="0"/>
              <w:rPr>
                <w:rFonts w:cs="Arial"/>
              </w:rPr>
            </w:pPr>
            <w:r w:rsidRPr="00C73C47">
              <w:rPr>
                <w:rFonts w:cs="Arial"/>
              </w:rPr>
              <w:t>INX1</w:t>
            </w:r>
          </w:p>
          <w:p w:rsidR="00A95447" w:rsidRPr="00C73C47" w:rsidRDefault="00A95447" w:rsidP="00850010">
            <w:pPr>
              <w:pStyle w:val="TableText0"/>
              <w:keepNext w:val="0"/>
              <w:widowControl w:val="0"/>
              <w:spacing w:before="0" w:after="0"/>
              <w:rPr>
                <w:rFonts w:cs="Arial"/>
              </w:rPr>
            </w:pPr>
            <w:r w:rsidRPr="00C73C47">
              <w:rPr>
                <w:rFonts w:cs="Arial"/>
              </w:rPr>
              <w:t>(IMPACT)</w:t>
            </w:r>
          </w:p>
        </w:tc>
        <w:tc>
          <w:tcPr>
            <w:tcW w:w="340" w:type="pct"/>
            <w:shd w:val="clear" w:color="auto" w:fill="auto"/>
            <w:vAlign w:val="center"/>
          </w:tcPr>
          <w:p w:rsidR="00A95447" w:rsidRPr="00C73C47" w:rsidRDefault="00A95447" w:rsidP="00850010">
            <w:pPr>
              <w:jc w:val="center"/>
              <w:rPr>
                <w:rFonts w:ascii="Arial Narrow" w:hAnsi="Arial Narrow"/>
                <w:sz w:val="20"/>
              </w:rPr>
            </w:pPr>
          </w:p>
          <w:p w:rsidR="00A95447" w:rsidRPr="00C73C47" w:rsidRDefault="00A95447" w:rsidP="00850010">
            <w:pPr>
              <w:jc w:val="center"/>
              <w:rPr>
                <w:rFonts w:ascii="Arial Narrow" w:hAnsi="Arial Narrow"/>
                <w:sz w:val="20"/>
              </w:rPr>
            </w:pPr>
            <w:r w:rsidRPr="00C73C47">
              <w:rPr>
                <w:rFonts w:ascii="Arial Narrow" w:hAnsi="Arial Narrow"/>
                <w:sz w:val="20"/>
              </w:rPr>
              <w:t>104</w:t>
            </w:r>
          </w:p>
        </w:tc>
        <w:tc>
          <w:tcPr>
            <w:tcW w:w="1355" w:type="pct"/>
            <w:shd w:val="clear" w:color="auto" w:fill="auto"/>
            <w:vAlign w:val="center"/>
          </w:tcPr>
          <w:p w:rsidR="00A95447" w:rsidRPr="00C73C47" w:rsidRDefault="00A95447" w:rsidP="00850010">
            <w:pPr>
              <w:jc w:val="center"/>
              <w:rPr>
                <w:rFonts w:ascii="Arial Narrow" w:hAnsi="Arial Narrow"/>
                <w:sz w:val="20"/>
              </w:rPr>
            </w:pPr>
            <w:r w:rsidRPr="00C73C47">
              <w:rPr>
                <w:rFonts w:ascii="Arial Narrow" w:hAnsi="Arial Narrow"/>
                <w:sz w:val="20"/>
              </w:rPr>
              <w:t>R, DB for 16wks, crossover for PBO at wk16 to Wk50.</w:t>
            </w:r>
          </w:p>
        </w:tc>
        <w:tc>
          <w:tcPr>
            <w:tcW w:w="511" w:type="pct"/>
            <w:shd w:val="clear" w:color="auto" w:fill="auto"/>
            <w:vAlign w:val="center"/>
          </w:tcPr>
          <w:p w:rsidR="00A95447" w:rsidRPr="00C73C47" w:rsidRDefault="00A95447" w:rsidP="00850010">
            <w:pPr>
              <w:jc w:val="center"/>
              <w:rPr>
                <w:rFonts w:ascii="Arial Narrow" w:hAnsi="Arial Narrow"/>
                <w:sz w:val="20"/>
              </w:rPr>
            </w:pPr>
            <w:r w:rsidRPr="00C73C47">
              <w:rPr>
                <w:rFonts w:ascii="Arial Narrow" w:hAnsi="Arial Narrow"/>
                <w:sz w:val="20"/>
              </w:rPr>
              <w:t>Low</w:t>
            </w:r>
          </w:p>
        </w:tc>
        <w:tc>
          <w:tcPr>
            <w:tcW w:w="594" w:type="pct"/>
            <w:shd w:val="clear" w:color="auto" w:fill="auto"/>
            <w:vAlign w:val="center"/>
          </w:tcPr>
          <w:p w:rsidR="00A95447" w:rsidRPr="00C73C47" w:rsidRDefault="00A95447" w:rsidP="00850010">
            <w:pPr>
              <w:jc w:val="center"/>
              <w:rPr>
                <w:rFonts w:ascii="Arial Narrow" w:hAnsi="Arial Narrow"/>
                <w:sz w:val="20"/>
              </w:rPr>
            </w:pPr>
            <w:r w:rsidRPr="00C73C47">
              <w:rPr>
                <w:rFonts w:ascii="Arial Narrow" w:hAnsi="Arial Narrow"/>
                <w:sz w:val="20"/>
              </w:rPr>
              <w:t>TNF-α naive</w:t>
            </w:r>
          </w:p>
        </w:tc>
        <w:tc>
          <w:tcPr>
            <w:tcW w:w="1187" w:type="pct"/>
            <w:shd w:val="clear" w:color="auto" w:fill="auto"/>
            <w:vAlign w:val="center"/>
          </w:tcPr>
          <w:p w:rsidR="00A95447" w:rsidRPr="00C73C47" w:rsidRDefault="00A95447" w:rsidP="00850010">
            <w:pPr>
              <w:jc w:val="center"/>
              <w:rPr>
                <w:rFonts w:ascii="Arial Narrow" w:hAnsi="Arial Narrow"/>
                <w:sz w:val="20"/>
                <w:lang w:val="it-IT"/>
              </w:rPr>
            </w:pPr>
            <w:r w:rsidRPr="00C73C47">
              <w:rPr>
                <w:rFonts w:ascii="Arial Narrow" w:hAnsi="Arial Narrow"/>
                <w:sz w:val="20"/>
                <w:lang w:val="it-IT"/>
              </w:rPr>
              <w:t>ACR20/50/70, PsARC</w:t>
            </w:r>
          </w:p>
          <w:p w:rsidR="00A95447" w:rsidRPr="00C73C47" w:rsidRDefault="00A95447" w:rsidP="00850010">
            <w:pPr>
              <w:jc w:val="center"/>
              <w:rPr>
                <w:rFonts w:ascii="Arial Narrow" w:hAnsi="Arial Narrow"/>
                <w:sz w:val="20"/>
                <w:lang w:val="it-IT"/>
              </w:rPr>
            </w:pPr>
            <w:r w:rsidRPr="00C73C47">
              <w:rPr>
                <w:rFonts w:ascii="Arial Narrow" w:hAnsi="Arial Narrow"/>
                <w:sz w:val="20"/>
                <w:lang w:val="it-IT"/>
              </w:rPr>
              <w:t xml:space="preserve">PASI50/75/90*, HAQ-DI </w:t>
            </w:r>
          </w:p>
          <w:p w:rsidR="00A95447" w:rsidRPr="00C73C47" w:rsidRDefault="00A95447" w:rsidP="00850010">
            <w:pPr>
              <w:jc w:val="center"/>
              <w:rPr>
                <w:rFonts w:ascii="Arial Narrow" w:hAnsi="Arial Narrow"/>
                <w:sz w:val="20"/>
                <w:lang w:val="it-IT"/>
              </w:rPr>
            </w:pPr>
            <w:r w:rsidRPr="00C73C47">
              <w:rPr>
                <w:rFonts w:ascii="Arial Narrow" w:hAnsi="Arial Narrow"/>
                <w:sz w:val="20"/>
                <w:lang w:val="it-IT"/>
              </w:rPr>
              <w:t>(wk16)</w:t>
            </w:r>
          </w:p>
        </w:tc>
        <w:tc>
          <w:tcPr>
            <w:tcW w:w="422" w:type="pct"/>
            <w:vAlign w:val="center"/>
          </w:tcPr>
          <w:p w:rsidR="00A95447" w:rsidRPr="00C73C47" w:rsidRDefault="00A95447" w:rsidP="00850010">
            <w:pPr>
              <w:jc w:val="center"/>
              <w:rPr>
                <w:rFonts w:ascii="Arial Narrow" w:hAnsi="Arial Narrow"/>
                <w:sz w:val="20"/>
              </w:rPr>
            </w:pPr>
            <w:r w:rsidRPr="008E793F">
              <w:rPr>
                <w:rFonts w:ascii="Arial Narrow" w:hAnsi="Arial Narrow"/>
                <w:sz w:val="20"/>
              </w:rPr>
              <w:t>Yes</w:t>
            </w:r>
          </w:p>
        </w:tc>
      </w:tr>
      <w:tr w:rsidR="00C72F37" w:rsidRPr="00C73C47" w:rsidTr="00194FBC">
        <w:tc>
          <w:tcPr>
            <w:tcW w:w="592" w:type="pct"/>
            <w:shd w:val="clear" w:color="auto" w:fill="auto"/>
            <w:vAlign w:val="center"/>
          </w:tcPr>
          <w:p w:rsidR="00A95447" w:rsidRPr="00C73C47" w:rsidRDefault="00A95447" w:rsidP="00850010">
            <w:pPr>
              <w:pStyle w:val="TableText0"/>
              <w:keepNext w:val="0"/>
              <w:widowControl w:val="0"/>
              <w:spacing w:before="0" w:after="0"/>
              <w:rPr>
                <w:rFonts w:cs="Arial"/>
              </w:rPr>
            </w:pPr>
            <w:r w:rsidRPr="00C73C47">
              <w:rPr>
                <w:rFonts w:cs="Arial"/>
              </w:rPr>
              <w:t>INX2</w:t>
            </w:r>
          </w:p>
          <w:p w:rsidR="00A95447" w:rsidRPr="00C73C47" w:rsidRDefault="00A95447" w:rsidP="00850010">
            <w:pPr>
              <w:pStyle w:val="TableText0"/>
              <w:keepNext w:val="0"/>
              <w:widowControl w:val="0"/>
              <w:spacing w:before="0" w:after="0"/>
              <w:rPr>
                <w:rFonts w:cs="Arial"/>
              </w:rPr>
            </w:pPr>
            <w:r w:rsidRPr="00C73C47">
              <w:rPr>
                <w:rFonts w:cs="Arial"/>
              </w:rPr>
              <w:t>(IMPACT2)</w:t>
            </w:r>
          </w:p>
        </w:tc>
        <w:tc>
          <w:tcPr>
            <w:tcW w:w="340" w:type="pct"/>
            <w:shd w:val="clear" w:color="auto" w:fill="auto"/>
            <w:vAlign w:val="center"/>
          </w:tcPr>
          <w:p w:rsidR="00A95447" w:rsidRPr="00C73C47" w:rsidRDefault="00A95447" w:rsidP="00850010">
            <w:pPr>
              <w:jc w:val="center"/>
              <w:rPr>
                <w:rFonts w:ascii="Arial Narrow" w:hAnsi="Arial Narrow"/>
                <w:sz w:val="20"/>
              </w:rPr>
            </w:pPr>
          </w:p>
          <w:p w:rsidR="00A95447" w:rsidRPr="00C73C47" w:rsidRDefault="00A95447" w:rsidP="00850010">
            <w:pPr>
              <w:jc w:val="center"/>
              <w:rPr>
                <w:rFonts w:ascii="Arial Narrow" w:hAnsi="Arial Narrow"/>
                <w:sz w:val="20"/>
              </w:rPr>
            </w:pPr>
            <w:r w:rsidRPr="00C73C47">
              <w:rPr>
                <w:rFonts w:ascii="Arial Narrow" w:hAnsi="Arial Narrow"/>
                <w:sz w:val="20"/>
              </w:rPr>
              <w:t>200</w:t>
            </w:r>
          </w:p>
        </w:tc>
        <w:tc>
          <w:tcPr>
            <w:tcW w:w="1355" w:type="pct"/>
            <w:shd w:val="clear" w:color="auto" w:fill="auto"/>
            <w:vAlign w:val="center"/>
          </w:tcPr>
          <w:p w:rsidR="00A95447" w:rsidRPr="00C73C47" w:rsidRDefault="00A95447" w:rsidP="00850010">
            <w:pPr>
              <w:jc w:val="center"/>
              <w:rPr>
                <w:rFonts w:ascii="Arial Narrow" w:hAnsi="Arial Narrow"/>
                <w:sz w:val="20"/>
              </w:rPr>
            </w:pPr>
            <w:r w:rsidRPr="00C73C47">
              <w:rPr>
                <w:rFonts w:ascii="Arial Narrow" w:hAnsi="Arial Narrow"/>
                <w:sz w:val="20"/>
              </w:rPr>
              <w:t>R, DB for 24 wks, EE for PBO patients at Wk16</w:t>
            </w:r>
            <w:r w:rsidRPr="00C73C47">
              <w:rPr>
                <w:rFonts w:ascii="Arial Narrow" w:hAnsi="Arial Narrow"/>
                <w:sz w:val="20"/>
                <w:vertAlign w:val="superscript"/>
              </w:rPr>
              <w:t>a</w:t>
            </w:r>
            <w:r w:rsidRPr="00C73C47">
              <w:rPr>
                <w:rFonts w:ascii="Arial Narrow" w:hAnsi="Arial Narrow"/>
                <w:sz w:val="20"/>
              </w:rPr>
              <w:t xml:space="preserve"> </w:t>
            </w:r>
          </w:p>
        </w:tc>
        <w:tc>
          <w:tcPr>
            <w:tcW w:w="511" w:type="pct"/>
            <w:shd w:val="clear" w:color="auto" w:fill="auto"/>
            <w:vAlign w:val="center"/>
          </w:tcPr>
          <w:p w:rsidR="00A95447" w:rsidRPr="00C73C47" w:rsidRDefault="00A95447" w:rsidP="00850010">
            <w:pPr>
              <w:jc w:val="center"/>
              <w:rPr>
                <w:rFonts w:ascii="Arial Narrow" w:hAnsi="Arial Narrow"/>
                <w:sz w:val="20"/>
              </w:rPr>
            </w:pPr>
            <w:r w:rsidRPr="00C73C47">
              <w:rPr>
                <w:rFonts w:ascii="Arial Narrow" w:hAnsi="Arial Narrow"/>
                <w:sz w:val="20"/>
              </w:rPr>
              <w:t>Low</w:t>
            </w:r>
          </w:p>
        </w:tc>
        <w:tc>
          <w:tcPr>
            <w:tcW w:w="594" w:type="pct"/>
            <w:shd w:val="clear" w:color="auto" w:fill="auto"/>
            <w:vAlign w:val="center"/>
          </w:tcPr>
          <w:p w:rsidR="00A95447" w:rsidRPr="00C73C47" w:rsidRDefault="00A95447" w:rsidP="00850010">
            <w:pPr>
              <w:jc w:val="center"/>
              <w:rPr>
                <w:rFonts w:ascii="Arial Narrow" w:hAnsi="Arial Narrow"/>
                <w:sz w:val="20"/>
              </w:rPr>
            </w:pPr>
            <w:r w:rsidRPr="00C73C47">
              <w:rPr>
                <w:rFonts w:ascii="Arial Narrow" w:hAnsi="Arial Narrow"/>
                <w:sz w:val="20"/>
              </w:rPr>
              <w:t>TNF-α naive</w:t>
            </w:r>
          </w:p>
        </w:tc>
        <w:tc>
          <w:tcPr>
            <w:tcW w:w="1187" w:type="pct"/>
            <w:shd w:val="clear" w:color="auto" w:fill="auto"/>
            <w:vAlign w:val="center"/>
          </w:tcPr>
          <w:p w:rsidR="00A95447" w:rsidRPr="00C73C47" w:rsidRDefault="00A95447" w:rsidP="00850010">
            <w:pPr>
              <w:jc w:val="center"/>
              <w:rPr>
                <w:rFonts w:ascii="Arial Narrow" w:hAnsi="Arial Narrow"/>
                <w:sz w:val="20"/>
                <w:lang w:val="it-IT"/>
              </w:rPr>
            </w:pPr>
            <w:r w:rsidRPr="00C73C47">
              <w:rPr>
                <w:rFonts w:ascii="Arial Narrow" w:hAnsi="Arial Narrow"/>
                <w:sz w:val="20"/>
                <w:lang w:val="it-IT"/>
              </w:rPr>
              <w:t>ACR20/50/70, PsARC</w:t>
            </w:r>
          </w:p>
          <w:p w:rsidR="00A95447" w:rsidRPr="00C73C47" w:rsidRDefault="00A95447" w:rsidP="00850010">
            <w:pPr>
              <w:jc w:val="center"/>
              <w:rPr>
                <w:rFonts w:ascii="Arial Narrow" w:hAnsi="Arial Narrow"/>
                <w:sz w:val="20"/>
                <w:lang w:val="it-IT"/>
              </w:rPr>
            </w:pPr>
            <w:r w:rsidRPr="00C73C47">
              <w:rPr>
                <w:rFonts w:ascii="Arial Narrow" w:hAnsi="Arial Narrow"/>
                <w:sz w:val="20"/>
                <w:lang w:val="it-IT"/>
              </w:rPr>
              <w:t>PASI50/75/90, SF36, HAQ-DI</w:t>
            </w:r>
          </w:p>
          <w:p w:rsidR="00A95447" w:rsidRPr="00C73C47" w:rsidRDefault="00A95447" w:rsidP="00850010">
            <w:pPr>
              <w:jc w:val="center"/>
              <w:rPr>
                <w:rFonts w:ascii="Arial Narrow" w:hAnsi="Arial Narrow"/>
                <w:sz w:val="20"/>
              </w:rPr>
            </w:pPr>
            <w:r w:rsidRPr="00C73C47">
              <w:rPr>
                <w:rFonts w:ascii="Arial Narrow" w:hAnsi="Arial Narrow"/>
                <w:sz w:val="20"/>
              </w:rPr>
              <w:t>(wk14 &amp;24)</w:t>
            </w:r>
          </w:p>
        </w:tc>
        <w:tc>
          <w:tcPr>
            <w:tcW w:w="422" w:type="pct"/>
            <w:vAlign w:val="center"/>
          </w:tcPr>
          <w:p w:rsidR="00A95447" w:rsidRPr="00C73C47" w:rsidRDefault="00A95447" w:rsidP="00850010">
            <w:pPr>
              <w:jc w:val="center"/>
              <w:rPr>
                <w:rFonts w:ascii="Arial Narrow" w:hAnsi="Arial Narrow"/>
                <w:sz w:val="20"/>
              </w:rPr>
            </w:pPr>
            <w:r w:rsidRPr="008E793F">
              <w:rPr>
                <w:rFonts w:ascii="Arial Narrow" w:hAnsi="Arial Narrow"/>
                <w:sz w:val="20"/>
              </w:rPr>
              <w:t>Yes</w:t>
            </w:r>
          </w:p>
        </w:tc>
      </w:tr>
      <w:tr w:rsidR="00A95447" w:rsidRPr="00C73C47" w:rsidTr="00194FBC">
        <w:tc>
          <w:tcPr>
            <w:tcW w:w="5000" w:type="pct"/>
            <w:gridSpan w:val="7"/>
            <w:shd w:val="clear" w:color="auto" w:fill="D9D9D9"/>
            <w:vAlign w:val="center"/>
          </w:tcPr>
          <w:p w:rsidR="00A95447" w:rsidRPr="00850010" w:rsidRDefault="00A95447" w:rsidP="00850010">
            <w:pPr>
              <w:keepNext/>
              <w:jc w:val="left"/>
              <w:rPr>
                <w:rFonts w:ascii="Arial Narrow" w:hAnsi="Arial Narrow"/>
                <w:b/>
                <w:sz w:val="20"/>
              </w:rPr>
            </w:pPr>
            <w:r w:rsidRPr="00850010">
              <w:rPr>
                <w:rFonts w:ascii="Arial Narrow" w:hAnsi="Arial Narrow"/>
                <w:b/>
                <w:sz w:val="20"/>
              </w:rPr>
              <w:t>Potential future PBS comparator (ustekinumab)</w:t>
            </w:r>
          </w:p>
        </w:tc>
      </w:tr>
      <w:tr w:rsidR="00A95447" w:rsidRPr="00C73C47" w:rsidTr="00194FBC">
        <w:tc>
          <w:tcPr>
            <w:tcW w:w="5000" w:type="pct"/>
            <w:gridSpan w:val="7"/>
            <w:shd w:val="clear" w:color="auto" w:fill="FFFFFF"/>
            <w:vAlign w:val="center"/>
          </w:tcPr>
          <w:p w:rsidR="00A95447" w:rsidRPr="00C73C47" w:rsidRDefault="00A95447" w:rsidP="00850010">
            <w:pPr>
              <w:keepNext/>
              <w:jc w:val="left"/>
              <w:rPr>
                <w:rFonts w:ascii="Arial Narrow" w:hAnsi="Arial Narrow"/>
                <w:b/>
                <w:sz w:val="20"/>
              </w:rPr>
            </w:pPr>
            <w:r w:rsidRPr="00C73C47">
              <w:rPr>
                <w:rFonts w:ascii="Arial Narrow" w:hAnsi="Arial Narrow"/>
                <w:b/>
                <w:sz w:val="20"/>
              </w:rPr>
              <w:t>UST 45mg and 90mg SC at 0, 4, and Q12W thereafter versus placebo</w:t>
            </w:r>
          </w:p>
        </w:tc>
      </w:tr>
      <w:tr w:rsidR="00C72F37" w:rsidRPr="00C73C47" w:rsidTr="00194FBC">
        <w:tc>
          <w:tcPr>
            <w:tcW w:w="592" w:type="pct"/>
            <w:shd w:val="clear" w:color="auto" w:fill="FFFFFF"/>
            <w:vAlign w:val="center"/>
          </w:tcPr>
          <w:p w:rsidR="00A95447" w:rsidRPr="00C73C47" w:rsidRDefault="00A95447" w:rsidP="00625AC3">
            <w:pPr>
              <w:pStyle w:val="TableText0"/>
              <w:spacing w:before="0" w:after="0"/>
              <w:rPr>
                <w:rFonts w:cs="Arial"/>
              </w:rPr>
            </w:pPr>
            <w:r w:rsidRPr="00C73C47">
              <w:rPr>
                <w:rFonts w:cs="Arial"/>
              </w:rPr>
              <w:t>UST1</w:t>
            </w:r>
          </w:p>
          <w:p w:rsidR="00A95447" w:rsidRPr="00C73C47" w:rsidRDefault="00A95447" w:rsidP="00625AC3">
            <w:pPr>
              <w:pStyle w:val="TableText0"/>
              <w:spacing w:before="0" w:after="0"/>
              <w:rPr>
                <w:rFonts w:cs="Arial"/>
              </w:rPr>
            </w:pPr>
            <w:r w:rsidRPr="00C73C47">
              <w:rPr>
                <w:rFonts w:cs="Arial"/>
              </w:rPr>
              <w:t>(PSUMMIT-1)</w:t>
            </w:r>
          </w:p>
        </w:tc>
        <w:tc>
          <w:tcPr>
            <w:tcW w:w="340" w:type="pct"/>
            <w:shd w:val="clear" w:color="auto" w:fill="FFFFFF"/>
            <w:vAlign w:val="center"/>
          </w:tcPr>
          <w:p w:rsidR="00A95447" w:rsidRPr="00C73C47" w:rsidRDefault="00A95447" w:rsidP="00625AC3">
            <w:pPr>
              <w:jc w:val="center"/>
              <w:rPr>
                <w:rFonts w:ascii="Arial Narrow" w:hAnsi="Arial Narrow"/>
                <w:sz w:val="20"/>
              </w:rPr>
            </w:pPr>
            <w:r w:rsidRPr="00C73C47">
              <w:rPr>
                <w:rFonts w:ascii="Arial Narrow" w:hAnsi="Arial Narrow"/>
                <w:sz w:val="20"/>
              </w:rPr>
              <w:t>615</w:t>
            </w:r>
          </w:p>
        </w:tc>
        <w:tc>
          <w:tcPr>
            <w:tcW w:w="1355" w:type="pct"/>
            <w:shd w:val="clear" w:color="auto" w:fill="FFFFFF"/>
            <w:vAlign w:val="center"/>
          </w:tcPr>
          <w:p w:rsidR="00A95447" w:rsidRPr="00C73C47" w:rsidRDefault="00A95447" w:rsidP="00625AC3">
            <w:pPr>
              <w:jc w:val="center"/>
              <w:rPr>
                <w:rFonts w:ascii="Arial Narrow" w:hAnsi="Arial Narrow"/>
                <w:sz w:val="20"/>
              </w:rPr>
            </w:pPr>
            <w:r w:rsidRPr="00C73C47">
              <w:rPr>
                <w:rFonts w:ascii="Arial Narrow" w:hAnsi="Arial Narrow"/>
                <w:sz w:val="20"/>
              </w:rPr>
              <w:t>R, DB for 24wks, EE at wk16</w:t>
            </w:r>
            <w:r w:rsidRPr="00C73C47">
              <w:rPr>
                <w:rFonts w:ascii="Arial Narrow" w:hAnsi="Arial Narrow"/>
                <w:sz w:val="20"/>
                <w:vertAlign w:val="superscript"/>
              </w:rPr>
              <w:t>c</w:t>
            </w:r>
            <w:r w:rsidRPr="00C73C47">
              <w:rPr>
                <w:rFonts w:ascii="Arial Narrow" w:hAnsi="Arial Narrow"/>
                <w:sz w:val="20"/>
              </w:rPr>
              <w:t>, cross over for PBO to UST45mg Wks 24-108.</w:t>
            </w:r>
          </w:p>
        </w:tc>
        <w:tc>
          <w:tcPr>
            <w:tcW w:w="511" w:type="pct"/>
            <w:shd w:val="clear" w:color="auto" w:fill="FFFFFF"/>
            <w:vAlign w:val="center"/>
          </w:tcPr>
          <w:p w:rsidR="00A95447" w:rsidRPr="00C73C47" w:rsidRDefault="00A95447" w:rsidP="00625AC3">
            <w:pPr>
              <w:jc w:val="center"/>
              <w:rPr>
                <w:rFonts w:ascii="Arial Narrow" w:hAnsi="Arial Narrow"/>
                <w:sz w:val="20"/>
              </w:rPr>
            </w:pPr>
            <w:r w:rsidRPr="00C73C47">
              <w:rPr>
                <w:rFonts w:ascii="Arial Narrow" w:hAnsi="Arial Narrow"/>
                <w:sz w:val="20"/>
              </w:rPr>
              <w:t>Low</w:t>
            </w:r>
          </w:p>
        </w:tc>
        <w:tc>
          <w:tcPr>
            <w:tcW w:w="594" w:type="pct"/>
            <w:shd w:val="clear" w:color="auto" w:fill="FFFFFF"/>
            <w:vAlign w:val="center"/>
          </w:tcPr>
          <w:p w:rsidR="00A95447" w:rsidRPr="00C73C47" w:rsidRDefault="00A95447" w:rsidP="00625AC3">
            <w:pPr>
              <w:jc w:val="center"/>
              <w:rPr>
                <w:rFonts w:ascii="Arial Narrow" w:hAnsi="Arial Narrow"/>
                <w:sz w:val="20"/>
              </w:rPr>
            </w:pPr>
            <w:r w:rsidRPr="00C73C47">
              <w:rPr>
                <w:rFonts w:ascii="Arial Narrow" w:hAnsi="Arial Narrow"/>
                <w:sz w:val="20"/>
              </w:rPr>
              <w:t>TNF-α naive</w:t>
            </w:r>
          </w:p>
        </w:tc>
        <w:tc>
          <w:tcPr>
            <w:tcW w:w="1187" w:type="pct"/>
            <w:shd w:val="clear" w:color="auto" w:fill="FFFFFF"/>
            <w:vAlign w:val="center"/>
          </w:tcPr>
          <w:p w:rsidR="00A95447" w:rsidRPr="00C73C47" w:rsidRDefault="00A95447" w:rsidP="00625AC3">
            <w:pPr>
              <w:jc w:val="center"/>
              <w:rPr>
                <w:rFonts w:ascii="Arial Narrow" w:hAnsi="Arial Narrow"/>
                <w:sz w:val="20"/>
              </w:rPr>
            </w:pPr>
            <w:r w:rsidRPr="00C73C47">
              <w:rPr>
                <w:rFonts w:ascii="Arial Narrow" w:hAnsi="Arial Narrow"/>
                <w:sz w:val="20"/>
              </w:rPr>
              <w:t>ACR20/50/70, PsARC</w:t>
            </w:r>
          </w:p>
          <w:p w:rsidR="00A95447" w:rsidRPr="00C73C47" w:rsidRDefault="00A95447" w:rsidP="00625AC3">
            <w:pPr>
              <w:jc w:val="center"/>
              <w:rPr>
                <w:rFonts w:ascii="Arial Narrow" w:hAnsi="Arial Narrow"/>
                <w:sz w:val="20"/>
              </w:rPr>
            </w:pPr>
            <w:r w:rsidRPr="00C73C47">
              <w:rPr>
                <w:rFonts w:ascii="Arial Narrow" w:hAnsi="Arial Narrow"/>
                <w:sz w:val="20"/>
              </w:rPr>
              <w:t>PASI75, HAQ-DI</w:t>
            </w:r>
          </w:p>
          <w:p w:rsidR="00A95447" w:rsidRPr="00C73C47" w:rsidRDefault="00A95447" w:rsidP="00625AC3">
            <w:pPr>
              <w:jc w:val="center"/>
              <w:rPr>
                <w:rFonts w:ascii="Arial Narrow" w:hAnsi="Arial Narrow"/>
                <w:sz w:val="20"/>
              </w:rPr>
            </w:pPr>
            <w:r w:rsidRPr="00C73C47">
              <w:rPr>
                <w:rFonts w:ascii="Arial Narrow" w:hAnsi="Arial Narrow"/>
                <w:sz w:val="20"/>
              </w:rPr>
              <w:t>(wk24 &amp;52) some results available at week 12.</w:t>
            </w:r>
          </w:p>
        </w:tc>
        <w:tc>
          <w:tcPr>
            <w:tcW w:w="422" w:type="pct"/>
            <w:shd w:val="clear" w:color="auto" w:fill="FFFFFF"/>
            <w:vAlign w:val="center"/>
          </w:tcPr>
          <w:p w:rsidR="00A95447" w:rsidRPr="00C73C47" w:rsidRDefault="00A95447" w:rsidP="00A95447">
            <w:pPr>
              <w:jc w:val="center"/>
              <w:rPr>
                <w:rFonts w:ascii="Arial Narrow" w:hAnsi="Arial Narrow"/>
                <w:sz w:val="20"/>
              </w:rPr>
            </w:pPr>
            <w:r w:rsidRPr="008E793F">
              <w:rPr>
                <w:rFonts w:ascii="Arial Narrow" w:hAnsi="Arial Narrow"/>
                <w:sz w:val="20"/>
              </w:rPr>
              <w:t>No</w:t>
            </w:r>
          </w:p>
        </w:tc>
      </w:tr>
      <w:tr w:rsidR="00C72F37" w:rsidRPr="00C73C47" w:rsidTr="00194FBC">
        <w:tc>
          <w:tcPr>
            <w:tcW w:w="592" w:type="pct"/>
            <w:shd w:val="clear" w:color="auto" w:fill="FFFFFF"/>
            <w:vAlign w:val="center"/>
          </w:tcPr>
          <w:p w:rsidR="00A95447" w:rsidRPr="00C73C47" w:rsidRDefault="00A95447" w:rsidP="00625AC3">
            <w:pPr>
              <w:pStyle w:val="TableText0"/>
              <w:spacing w:before="0" w:after="0"/>
              <w:rPr>
                <w:rFonts w:cs="Arial"/>
              </w:rPr>
            </w:pPr>
            <w:r w:rsidRPr="00C73C47">
              <w:rPr>
                <w:rFonts w:cs="Arial"/>
              </w:rPr>
              <w:t>UST2</w:t>
            </w:r>
          </w:p>
          <w:p w:rsidR="00A95447" w:rsidRPr="00C73C47" w:rsidRDefault="00A95447" w:rsidP="00625AC3">
            <w:pPr>
              <w:pStyle w:val="TableText0"/>
              <w:spacing w:before="0" w:after="0"/>
              <w:rPr>
                <w:rFonts w:cs="Arial"/>
              </w:rPr>
            </w:pPr>
            <w:r w:rsidRPr="00C73C47">
              <w:rPr>
                <w:rFonts w:cs="Arial"/>
              </w:rPr>
              <w:t>(PSUMMIT-2)</w:t>
            </w:r>
          </w:p>
        </w:tc>
        <w:tc>
          <w:tcPr>
            <w:tcW w:w="340" w:type="pct"/>
            <w:shd w:val="clear" w:color="auto" w:fill="FFFFFF"/>
            <w:vAlign w:val="center"/>
          </w:tcPr>
          <w:p w:rsidR="00A95447" w:rsidRPr="00C73C47" w:rsidRDefault="00A95447" w:rsidP="00625AC3">
            <w:pPr>
              <w:jc w:val="center"/>
              <w:rPr>
                <w:rFonts w:ascii="Arial Narrow" w:hAnsi="Arial Narrow"/>
                <w:sz w:val="20"/>
              </w:rPr>
            </w:pPr>
            <w:r w:rsidRPr="00C73C47">
              <w:rPr>
                <w:rFonts w:ascii="Arial Narrow" w:hAnsi="Arial Narrow"/>
                <w:sz w:val="20"/>
              </w:rPr>
              <w:t>312</w:t>
            </w:r>
          </w:p>
        </w:tc>
        <w:tc>
          <w:tcPr>
            <w:tcW w:w="1355" w:type="pct"/>
            <w:shd w:val="clear" w:color="auto" w:fill="FFFFFF"/>
            <w:vAlign w:val="center"/>
          </w:tcPr>
          <w:p w:rsidR="00A95447" w:rsidRPr="00C73C47" w:rsidRDefault="00A95447" w:rsidP="00625AC3">
            <w:pPr>
              <w:jc w:val="center"/>
              <w:rPr>
                <w:rFonts w:ascii="Arial Narrow" w:hAnsi="Arial Narrow"/>
                <w:sz w:val="20"/>
              </w:rPr>
            </w:pPr>
            <w:r w:rsidRPr="00C73C47">
              <w:rPr>
                <w:rFonts w:ascii="Arial Narrow" w:hAnsi="Arial Narrow"/>
                <w:sz w:val="20"/>
              </w:rPr>
              <w:t>R, DB for 24 wks, EE at wk16</w:t>
            </w:r>
            <w:r w:rsidRPr="00C73C47">
              <w:rPr>
                <w:rFonts w:ascii="Arial Narrow" w:hAnsi="Arial Narrow"/>
                <w:sz w:val="20"/>
                <w:vertAlign w:val="superscript"/>
              </w:rPr>
              <w:t>c</w:t>
            </w:r>
            <w:r w:rsidRPr="00C73C47">
              <w:rPr>
                <w:rFonts w:ascii="Arial Narrow" w:hAnsi="Arial Narrow"/>
                <w:sz w:val="20"/>
              </w:rPr>
              <w:t>, cross over for PBO to UST 45mg Wks 24-60.</w:t>
            </w:r>
          </w:p>
        </w:tc>
        <w:tc>
          <w:tcPr>
            <w:tcW w:w="511" w:type="pct"/>
            <w:shd w:val="clear" w:color="auto" w:fill="FFFFFF"/>
            <w:vAlign w:val="center"/>
          </w:tcPr>
          <w:p w:rsidR="00A95447" w:rsidRPr="00C73C47" w:rsidRDefault="00A95447" w:rsidP="00625AC3">
            <w:pPr>
              <w:jc w:val="center"/>
              <w:rPr>
                <w:rFonts w:ascii="Arial Narrow" w:hAnsi="Arial Narrow"/>
                <w:sz w:val="20"/>
              </w:rPr>
            </w:pPr>
            <w:r w:rsidRPr="00C73C47">
              <w:rPr>
                <w:rFonts w:ascii="Arial Narrow" w:hAnsi="Arial Narrow"/>
                <w:sz w:val="20"/>
              </w:rPr>
              <w:t>Low</w:t>
            </w:r>
          </w:p>
        </w:tc>
        <w:tc>
          <w:tcPr>
            <w:tcW w:w="594" w:type="pct"/>
            <w:shd w:val="clear" w:color="auto" w:fill="FFFFFF"/>
            <w:vAlign w:val="center"/>
          </w:tcPr>
          <w:p w:rsidR="00A95447" w:rsidRPr="00C73C47" w:rsidRDefault="00A95447" w:rsidP="00625AC3">
            <w:pPr>
              <w:jc w:val="center"/>
              <w:rPr>
                <w:rFonts w:ascii="Arial Narrow" w:hAnsi="Arial Narrow"/>
                <w:sz w:val="20"/>
              </w:rPr>
            </w:pPr>
            <w:r w:rsidRPr="00C73C47">
              <w:rPr>
                <w:rFonts w:ascii="Arial Narrow" w:hAnsi="Arial Narrow"/>
                <w:sz w:val="20"/>
              </w:rPr>
              <w:t>TNF-α naïve or experienced</w:t>
            </w:r>
          </w:p>
        </w:tc>
        <w:tc>
          <w:tcPr>
            <w:tcW w:w="1187" w:type="pct"/>
            <w:shd w:val="clear" w:color="auto" w:fill="FFFFFF"/>
            <w:vAlign w:val="center"/>
          </w:tcPr>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ACR20/50/70, PsARC</w:t>
            </w:r>
          </w:p>
          <w:p w:rsidR="00A95447" w:rsidRPr="00C73C47" w:rsidRDefault="00A95447" w:rsidP="00625AC3">
            <w:pPr>
              <w:jc w:val="center"/>
              <w:rPr>
                <w:rFonts w:ascii="Arial Narrow" w:hAnsi="Arial Narrow"/>
                <w:sz w:val="20"/>
                <w:lang w:val="it-IT"/>
              </w:rPr>
            </w:pPr>
            <w:r w:rsidRPr="00C73C47">
              <w:rPr>
                <w:rFonts w:ascii="Arial Narrow" w:hAnsi="Arial Narrow"/>
                <w:sz w:val="20"/>
                <w:lang w:val="it-IT"/>
              </w:rPr>
              <w:t>PASI50/75/90, SF36, HAQ-DI</w:t>
            </w:r>
          </w:p>
          <w:p w:rsidR="00A95447" w:rsidRPr="00C73C47" w:rsidRDefault="00A95447" w:rsidP="00625AC3">
            <w:pPr>
              <w:jc w:val="center"/>
              <w:rPr>
                <w:rFonts w:ascii="Arial Narrow" w:hAnsi="Arial Narrow"/>
                <w:sz w:val="20"/>
              </w:rPr>
            </w:pPr>
            <w:r w:rsidRPr="00C73C47">
              <w:rPr>
                <w:rFonts w:ascii="Arial Narrow" w:hAnsi="Arial Narrow"/>
                <w:sz w:val="20"/>
              </w:rPr>
              <w:t>(wk24 &amp;52)</w:t>
            </w:r>
          </w:p>
        </w:tc>
        <w:tc>
          <w:tcPr>
            <w:tcW w:w="422" w:type="pct"/>
            <w:shd w:val="clear" w:color="auto" w:fill="FFFFFF"/>
            <w:vAlign w:val="center"/>
          </w:tcPr>
          <w:p w:rsidR="00A95447" w:rsidRPr="00C73C47" w:rsidRDefault="00A95447" w:rsidP="00A95447">
            <w:pPr>
              <w:jc w:val="center"/>
              <w:rPr>
                <w:rFonts w:ascii="Arial Narrow" w:hAnsi="Arial Narrow"/>
                <w:sz w:val="20"/>
              </w:rPr>
            </w:pPr>
            <w:r w:rsidRPr="008E793F">
              <w:rPr>
                <w:rFonts w:ascii="Arial Narrow" w:hAnsi="Arial Narrow"/>
                <w:sz w:val="20"/>
              </w:rPr>
              <w:t>No</w:t>
            </w:r>
          </w:p>
        </w:tc>
      </w:tr>
    </w:tbl>
    <w:p w:rsidR="00A211F8" w:rsidRPr="00C73C47" w:rsidRDefault="00A211F8" w:rsidP="00A211F8">
      <w:pPr>
        <w:pStyle w:val="TableFooter"/>
        <w:ind w:left="709"/>
        <w:rPr>
          <w:szCs w:val="18"/>
        </w:rPr>
      </w:pPr>
      <w:r w:rsidRPr="00C73C47">
        <w:rPr>
          <w:szCs w:val="18"/>
        </w:rPr>
        <w:t>Abbreviations: DB=double blind; MC=multi-centre; OL=open label; R=randomised, EE=early escape, Q2W=every 2</w:t>
      </w:r>
      <w:r w:rsidR="00407E34">
        <w:rPr>
          <w:szCs w:val="18"/>
        </w:rPr>
        <w:t xml:space="preserve"> </w:t>
      </w:r>
      <w:r w:rsidRPr="00C73C47">
        <w:rPr>
          <w:szCs w:val="18"/>
        </w:rPr>
        <w:t>weeks; Q4W=every 4 weeks, TJC=tender joint count, SJC=swollen joint count, LOCF=last observation carried forward, PASI=</w:t>
      </w:r>
    </w:p>
    <w:p w:rsidR="00A211F8" w:rsidRPr="00C73C47" w:rsidRDefault="00A211F8" w:rsidP="00A211F8">
      <w:pPr>
        <w:pStyle w:val="TableFooter"/>
        <w:ind w:left="709"/>
        <w:rPr>
          <w:szCs w:val="18"/>
        </w:rPr>
      </w:pPr>
      <w:r w:rsidRPr="00C73C47">
        <w:rPr>
          <w:szCs w:val="18"/>
        </w:rPr>
        <w:t>*</w:t>
      </w:r>
      <w:r w:rsidRPr="00C73C47">
        <w:rPr>
          <w:szCs w:val="18"/>
        </w:rPr>
        <w:tab/>
        <w:t>number of patients analysed.</w:t>
      </w:r>
    </w:p>
    <w:p w:rsidR="00A211F8" w:rsidRPr="00C73C47" w:rsidRDefault="00A211F8" w:rsidP="003023A6">
      <w:pPr>
        <w:pStyle w:val="TableFooter"/>
        <w:ind w:left="709"/>
        <w:rPr>
          <w:szCs w:val="18"/>
        </w:rPr>
      </w:pPr>
      <w:r w:rsidRPr="00C73C47">
        <w:rPr>
          <w:szCs w:val="18"/>
        </w:rPr>
        <w:t>^</w:t>
      </w:r>
      <w:r w:rsidRPr="00C73C47">
        <w:rPr>
          <w:szCs w:val="18"/>
        </w:rPr>
        <w:tab/>
        <w:t xml:space="preserve">In Rapid-PsA, there </w:t>
      </w:r>
      <w:r w:rsidR="00354ECC">
        <w:rPr>
          <w:szCs w:val="18"/>
        </w:rPr>
        <w:t>wa</w:t>
      </w:r>
      <w:r w:rsidR="00354ECC" w:rsidRPr="00C73C47">
        <w:rPr>
          <w:szCs w:val="18"/>
        </w:rPr>
        <w:t xml:space="preserve">s </w:t>
      </w:r>
      <w:r w:rsidRPr="00C73C47">
        <w:rPr>
          <w:szCs w:val="18"/>
        </w:rPr>
        <w:t xml:space="preserve">potential for trial personnel to become </w:t>
      </w:r>
      <w:r w:rsidR="000A4F6E" w:rsidRPr="00C73C47">
        <w:rPr>
          <w:szCs w:val="18"/>
        </w:rPr>
        <w:t>unbl</w:t>
      </w:r>
      <w:r w:rsidR="000A4F6E">
        <w:rPr>
          <w:szCs w:val="18"/>
        </w:rPr>
        <w:t>i</w:t>
      </w:r>
      <w:r w:rsidR="000A4F6E" w:rsidRPr="00C73C47">
        <w:rPr>
          <w:szCs w:val="18"/>
        </w:rPr>
        <w:t xml:space="preserve">nded </w:t>
      </w:r>
      <w:r w:rsidRPr="00C73C47">
        <w:rPr>
          <w:szCs w:val="18"/>
        </w:rPr>
        <w:t xml:space="preserve">to patient treatment assignments.  This is because the prefilled syringes containing either CZP or placebo (saline) have slightly different viscosities and colours (CZP slightly yellow, saline is clear).  However the trial report </w:t>
      </w:r>
      <w:r w:rsidR="00354ECC" w:rsidRPr="00C73C47">
        <w:rPr>
          <w:szCs w:val="18"/>
        </w:rPr>
        <w:t>state</w:t>
      </w:r>
      <w:r w:rsidR="00354ECC">
        <w:rPr>
          <w:szCs w:val="18"/>
        </w:rPr>
        <w:t>d</w:t>
      </w:r>
      <w:r w:rsidR="00354ECC" w:rsidRPr="00C73C47">
        <w:rPr>
          <w:szCs w:val="18"/>
        </w:rPr>
        <w:t xml:space="preserve"> </w:t>
      </w:r>
      <w:r w:rsidRPr="00C73C47">
        <w:rPr>
          <w:szCs w:val="18"/>
        </w:rPr>
        <w:t>that to maintain blinding pharmacokinetic data and antibody data were provided only after the study was unblinded for the first interim analysis.</w:t>
      </w:r>
    </w:p>
    <w:p w:rsidR="00A211F8" w:rsidRPr="00C73C47" w:rsidRDefault="00A211F8" w:rsidP="003023A6">
      <w:pPr>
        <w:pStyle w:val="TableFooter"/>
        <w:ind w:left="709"/>
        <w:rPr>
          <w:szCs w:val="18"/>
        </w:rPr>
      </w:pPr>
      <w:r w:rsidRPr="00C73C47">
        <w:rPr>
          <w:szCs w:val="18"/>
        </w:rPr>
        <w:t>*</w:t>
      </w:r>
      <w:r w:rsidRPr="00C73C47">
        <w:rPr>
          <w:szCs w:val="18"/>
        </w:rPr>
        <w:tab/>
        <w:t>PASI results of INX1 (IMPACT trial) were not included in the indirect comparisons as it had a different definition.</w:t>
      </w:r>
    </w:p>
    <w:p w:rsidR="00A211F8" w:rsidRPr="00C73C47" w:rsidRDefault="00A211F8" w:rsidP="003023A6">
      <w:pPr>
        <w:pStyle w:val="TableFooter"/>
        <w:ind w:left="709"/>
        <w:rPr>
          <w:szCs w:val="18"/>
        </w:rPr>
      </w:pPr>
      <w:r w:rsidRPr="00C73C47">
        <w:rPr>
          <w:szCs w:val="18"/>
          <w:vertAlign w:val="superscript"/>
        </w:rPr>
        <w:t>a</w:t>
      </w:r>
      <w:r w:rsidRPr="00C73C47">
        <w:rPr>
          <w:szCs w:val="18"/>
          <w:vertAlign w:val="superscript"/>
        </w:rPr>
        <w:tab/>
      </w:r>
      <w:r w:rsidRPr="00C73C47">
        <w:rPr>
          <w:szCs w:val="18"/>
        </w:rPr>
        <w:t>patients who did not achieve 10% decrease in TJC and SJC switched to either active treatment (if on PBO) or higher dose randomised treatment (if already receiving active treatment eg. GOL50mg moved to GOL100mg).  For efficacy analysis patients who met early escape either had their results (at time of EE) carried forward (GOL1) or were counted as non</w:t>
      </w:r>
      <w:r w:rsidR="00C72F37" w:rsidRPr="00C73C47">
        <w:rPr>
          <w:szCs w:val="18"/>
        </w:rPr>
        <w:t>-</w:t>
      </w:r>
      <w:r w:rsidRPr="00C73C47">
        <w:rPr>
          <w:szCs w:val="18"/>
        </w:rPr>
        <w:t xml:space="preserve">responders </w:t>
      </w:r>
    </w:p>
    <w:p w:rsidR="00A211F8" w:rsidRPr="00C73C47" w:rsidRDefault="00A211F8" w:rsidP="003023A6">
      <w:pPr>
        <w:pStyle w:val="TableFooter"/>
        <w:ind w:left="709"/>
        <w:rPr>
          <w:szCs w:val="18"/>
        </w:rPr>
      </w:pPr>
      <w:r w:rsidRPr="00C73C47">
        <w:rPr>
          <w:szCs w:val="18"/>
          <w:vertAlign w:val="superscript"/>
        </w:rPr>
        <w:t>b</w:t>
      </w:r>
      <w:r w:rsidRPr="00C73C47">
        <w:rPr>
          <w:szCs w:val="18"/>
          <w:vertAlign w:val="superscript"/>
        </w:rPr>
        <w:tab/>
      </w:r>
      <w:r w:rsidRPr="00C73C47">
        <w:rPr>
          <w:szCs w:val="18"/>
        </w:rPr>
        <w:t>rescue meds (corticosteroids or DMARDs) were initiated in patients who failed to have achieved at least a 20% decrease in both SJC and TJC on two consecutive visits, these patients were considered non-responders.</w:t>
      </w:r>
    </w:p>
    <w:p w:rsidR="00A211F8" w:rsidRPr="00C73C47" w:rsidRDefault="00A211F8" w:rsidP="003023A6">
      <w:pPr>
        <w:pStyle w:val="TableFooter"/>
        <w:ind w:left="709"/>
        <w:rPr>
          <w:szCs w:val="18"/>
        </w:rPr>
      </w:pPr>
      <w:r w:rsidRPr="00C73C47">
        <w:rPr>
          <w:szCs w:val="18"/>
          <w:vertAlign w:val="superscript"/>
        </w:rPr>
        <w:t>c</w:t>
      </w:r>
      <w:r w:rsidRPr="00C73C47">
        <w:rPr>
          <w:szCs w:val="18"/>
          <w:vertAlign w:val="superscript"/>
        </w:rPr>
        <w:tab/>
        <w:t xml:space="preserve"> </w:t>
      </w:r>
      <w:r w:rsidRPr="00C73C47">
        <w:rPr>
          <w:szCs w:val="18"/>
        </w:rPr>
        <w:t>At Week 16 patients treated with PBO or UST 45 mg with &lt; 5% improvement in TJC and SJC enter early escape with UST 45 mg and UST 90 mg respectively. LOCF was used for efficacy analyses.</w:t>
      </w:r>
    </w:p>
    <w:p w:rsidR="00A211F8" w:rsidRPr="00C73C47" w:rsidRDefault="00A211F8" w:rsidP="003023A6">
      <w:pPr>
        <w:pStyle w:val="TableFooter"/>
        <w:ind w:left="709"/>
        <w:rPr>
          <w:szCs w:val="16"/>
        </w:rPr>
      </w:pPr>
      <w:r w:rsidRPr="00C73C47">
        <w:rPr>
          <w:szCs w:val="16"/>
        </w:rPr>
        <w:t>Source: compiled during the evaluation, pp49-56 of the submission.</w:t>
      </w:r>
    </w:p>
    <w:p w:rsidR="00A211F8" w:rsidRPr="00C73C47" w:rsidRDefault="00A211F8" w:rsidP="00A211F8">
      <w:pPr>
        <w:rPr>
          <w:szCs w:val="22"/>
        </w:rPr>
      </w:pPr>
    </w:p>
    <w:p w:rsidR="00A211F8" w:rsidRPr="005874F8" w:rsidRDefault="00A211F8" w:rsidP="005874F8">
      <w:pPr>
        <w:pStyle w:val="BodyText"/>
        <w:rPr>
          <w:b/>
        </w:rPr>
      </w:pPr>
      <w:bookmarkStart w:id="21" w:name="_Toc392858195"/>
      <w:bookmarkStart w:id="22" w:name="_Toc398646047"/>
      <w:r w:rsidRPr="005874F8">
        <w:rPr>
          <w:b/>
        </w:rPr>
        <w:t>Comparative effectiveness</w:t>
      </w:r>
      <w:bookmarkEnd w:id="21"/>
      <w:bookmarkEnd w:id="22"/>
    </w:p>
    <w:p w:rsidR="00A211F8" w:rsidRPr="00C73C47" w:rsidRDefault="00A211F8" w:rsidP="00A211F8">
      <w:pPr>
        <w:rPr>
          <w:szCs w:val="22"/>
        </w:rPr>
      </w:pPr>
    </w:p>
    <w:p w:rsidR="00CB4A8C" w:rsidRDefault="00C72F37" w:rsidP="00467428">
      <w:pPr>
        <w:pStyle w:val="ListParagraph"/>
        <w:numPr>
          <w:ilvl w:val="1"/>
          <w:numId w:val="5"/>
        </w:numPr>
      </w:pPr>
      <w:r w:rsidRPr="00C73C47">
        <w:rPr>
          <w:szCs w:val="22"/>
        </w:rPr>
        <w:t xml:space="preserve">Response to </w:t>
      </w:r>
      <w:r w:rsidR="000A4F6E">
        <w:rPr>
          <w:szCs w:val="22"/>
        </w:rPr>
        <w:t xml:space="preserve">the currently </w:t>
      </w:r>
      <w:r w:rsidRPr="00C73C47">
        <w:rPr>
          <w:szCs w:val="22"/>
        </w:rPr>
        <w:t>PBS</w:t>
      </w:r>
      <w:r w:rsidR="000A4F6E">
        <w:rPr>
          <w:szCs w:val="22"/>
        </w:rPr>
        <w:t xml:space="preserve">-listed </w:t>
      </w:r>
      <w:r w:rsidRPr="00C73C47">
        <w:rPr>
          <w:szCs w:val="22"/>
        </w:rPr>
        <w:t>bDMARDs for PsA is determined by the American College of Rheumatology 20% and 50% improvement criteria (ACR20 and ACR50)</w:t>
      </w:r>
      <w:r w:rsidR="00F21188">
        <w:rPr>
          <w:szCs w:val="22"/>
        </w:rPr>
        <w:t>.</w:t>
      </w:r>
      <w:r w:rsidRPr="00C73C47">
        <w:rPr>
          <w:szCs w:val="22"/>
        </w:rPr>
        <w:t xml:space="preserve"> </w:t>
      </w:r>
      <w:r w:rsidRPr="00C73C47">
        <w:t>In the trials, ACR response was assessed at Weeks 12-16</w:t>
      </w:r>
      <w:r w:rsidR="00F21188">
        <w:t xml:space="preserve"> and Week 24 (in some trials). </w:t>
      </w:r>
      <w:r w:rsidR="00CB4A8C">
        <w:t xml:space="preserve"> </w:t>
      </w:r>
    </w:p>
    <w:p w:rsidR="00CB4A8C" w:rsidRDefault="00CB4A8C" w:rsidP="004260AF">
      <w:pPr>
        <w:pStyle w:val="ListParagraph"/>
      </w:pPr>
    </w:p>
    <w:p w:rsidR="00713219" w:rsidRDefault="00A71978" w:rsidP="00B47847">
      <w:pPr>
        <w:pStyle w:val="ListParagraph"/>
        <w:numPr>
          <w:ilvl w:val="1"/>
          <w:numId w:val="5"/>
        </w:numPr>
      </w:pPr>
      <w:r w:rsidRPr="00325A48">
        <w:t>The</w:t>
      </w:r>
      <w:r w:rsidR="00CB4A8C" w:rsidRPr="00325A48">
        <w:t xml:space="preserve"> submission </w:t>
      </w:r>
      <w:r w:rsidR="00713219">
        <w:t>nominated</w:t>
      </w:r>
      <w:r w:rsidR="00713219" w:rsidRPr="00325A48">
        <w:t xml:space="preserve"> </w:t>
      </w:r>
      <w:r w:rsidR="00CB4A8C" w:rsidRPr="00325A48">
        <w:t>ACR20</w:t>
      </w:r>
      <w:r w:rsidR="00D341C8" w:rsidRPr="00325A48">
        <w:t xml:space="preserve"> at 12 weeks</w:t>
      </w:r>
      <w:r w:rsidR="00CB4A8C" w:rsidRPr="00325A48">
        <w:t xml:space="preserve"> as the primary outcome </w:t>
      </w:r>
      <w:r w:rsidR="00D341C8" w:rsidRPr="00325A48">
        <w:t>and ACR20 and ACR50 at 12-1</w:t>
      </w:r>
      <w:r w:rsidR="00163614">
        <w:t>6</w:t>
      </w:r>
      <w:r w:rsidR="00D341C8" w:rsidRPr="00325A48">
        <w:t xml:space="preserve"> week</w:t>
      </w:r>
      <w:r w:rsidR="00CF2C23" w:rsidRPr="00325A48">
        <w:t>s and 24 weeks and PASI75 at 24 </w:t>
      </w:r>
      <w:r w:rsidR="00D341C8" w:rsidRPr="00325A48">
        <w:t xml:space="preserve">weeks as the secondary outcomes. </w:t>
      </w:r>
    </w:p>
    <w:p w:rsidR="00713219" w:rsidRDefault="00713219" w:rsidP="00C9190D">
      <w:pPr>
        <w:pStyle w:val="ListParagraph"/>
      </w:pPr>
    </w:p>
    <w:p w:rsidR="00B47847" w:rsidRPr="00325A48" w:rsidRDefault="00713219" w:rsidP="00B47847">
      <w:pPr>
        <w:pStyle w:val="ListParagraph"/>
        <w:numPr>
          <w:ilvl w:val="1"/>
          <w:numId w:val="5"/>
        </w:numPr>
      </w:pPr>
      <w:r w:rsidRPr="00713219">
        <w:t xml:space="preserve">Since the outcome </w:t>
      </w:r>
      <w:r w:rsidR="00E32C5D">
        <w:t>used</w:t>
      </w:r>
      <w:r>
        <w:t xml:space="preserve"> </w:t>
      </w:r>
      <w:r w:rsidRPr="00713219">
        <w:t xml:space="preserve">to determine eligibility for continuing treatment, as noted in the proposed restriction, is a combination of ACR50 and ACR20, the ESC considered that ACR50 should be considered as </w:t>
      </w:r>
      <w:r w:rsidR="00E32C5D">
        <w:t>the</w:t>
      </w:r>
      <w:r w:rsidR="00E32C5D" w:rsidRPr="00713219">
        <w:t xml:space="preserve"> </w:t>
      </w:r>
      <w:r w:rsidRPr="00713219">
        <w:t xml:space="preserve">primary outcome of interest. ACR50 is more stringent than ACR20 and reflects to a greater degree the criteria for eligibility for </w:t>
      </w:r>
      <w:r w:rsidRPr="00713219">
        <w:lastRenderedPageBreak/>
        <w:t>continuing treatment with a biological disease modifying anti-rheumatic drug (bDMARD)</w:t>
      </w:r>
      <w:r>
        <w:t>.</w:t>
      </w:r>
    </w:p>
    <w:p w:rsidR="00B47847" w:rsidRPr="004260AF" w:rsidRDefault="00B47847" w:rsidP="004260AF">
      <w:pPr>
        <w:pStyle w:val="ListParagraph"/>
        <w:rPr>
          <w:i/>
        </w:rPr>
      </w:pPr>
    </w:p>
    <w:p w:rsidR="007E47C3" w:rsidRPr="00C9190D" w:rsidRDefault="00B47847" w:rsidP="00976337">
      <w:pPr>
        <w:pStyle w:val="ListParagraph"/>
        <w:widowControl/>
        <w:numPr>
          <w:ilvl w:val="1"/>
          <w:numId w:val="5"/>
        </w:numPr>
      </w:pPr>
      <w:r w:rsidRPr="00325A48">
        <w:t>To investigate the effect of covariates on the indirect comparisons, the submission commissioned a set of analys</w:t>
      </w:r>
      <w:r w:rsidR="00921FAB" w:rsidRPr="00325A48">
        <w:t>e</w:t>
      </w:r>
      <w:r w:rsidR="00866EAE" w:rsidRPr="00325A48">
        <w:t xml:space="preserve">s using two-stage regressions. </w:t>
      </w:r>
      <w:r w:rsidRPr="00325A48">
        <w:t xml:space="preserve">First a meta-regression for a given covariate (e.g., placebo rate) was conducted using data from all TNF-α inhibitors (i.e. excluding </w:t>
      </w:r>
      <w:r w:rsidR="00A71978" w:rsidRPr="00325A48">
        <w:t>UST</w:t>
      </w:r>
      <w:r w:rsidR="00866EAE" w:rsidRPr="00325A48">
        <w:t xml:space="preserve"> from Step 1). </w:t>
      </w:r>
      <w:r w:rsidRPr="00325A48">
        <w:t>This meta-regression assumed that all treatments within the class share</w:t>
      </w:r>
      <w:r w:rsidR="00866EAE" w:rsidRPr="00325A48">
        <w:t xml:space="preserve"> a common effect. </w:t>
      </w:r>
      <w:r w:rsidRPr="00325A48">
        <w:t>Second, the estimate of the mean (beta (b) and its dispersion (80% credible interval (CrI))</w:t>
      </w:r>
      <w:r w:rsidR="00AE243D">
        <w:t>)</w:t>
      </w:r>
      <w:r w:rsidRPr="00325A48">
        <w:t xml:space="preserve"> was used to generate a prior for the covariate in a new MTC, one which did not ass</w:t>
      </w:r>
      <w:r w:rsidR="00866EAE" w:rsidRPr="00325A48">
        <w:t>ume that all treatments in anti</w:t>
      </w:r>
      <w:r w:rsidR="00866EAE" w:rsidRPr="00325A48">
        <w:noBreakHyphen/>
      </w:r>
      <w:r w:rsidRPr="00325A48">
        <w:t xml:space="preserve">TNF share a common effect and </w:t>
      </w:r>
      <w:r w:rsidR="00A71978" w:rsidRPr="00325A48">
        <w:t>UST</w:t>
      </w:r>
      <w:r w:rsidRPr="00325A48">
        <w:t xml:space="preserve"> </w:t>
      </w:r>
      <w:r w:rsidR="000A4F6E" w:rsidRPr="00325A48">
        <w:t xml:space="preserve">was </w:t>
      </w:r>
      <w:r w:rsidRPr="00325A48">
        <w:t>added back in Step 2.</w:t>
      </w:r>
      <w:r w:rsidR="00CB4A8C" w:rsidRPr="00325A48">
        <w:t xml:space="preserve"> </w:t>
      </w:r>
    </w:p>
    <w:p w:rsidR="00843E78" w:rsidRPr="004260AF" w:rsidRDefault="00843E78" w:rsidP="004260AF">
      <w:pPr>
        <w:pStyle w:val="ListParagraph"/>
        <w:rPr>
          <w:i/>
        </w:rPr>
      </w:pPr>
    </w:p>
    <w:p w:rsidR="00E80101" w:rsidRPr="0064291A" w:rsidRDefault="00E80101" w:rsidP="0064291A">
      <w:pPr>
        <w:pStyle w:val="ListParagraph"/>
        <w:widowControl/>
        <w:numPr>
          <w:ilvl w:val="1"/>
          <w:numId w:val="5"/>
        </w:numPr>
      </w:pPr>
      <w:r w:rsidRPr="00325A48">
        <w:t xml:space="preserve">The submission </w:t>
      </w:r>
      <w:r w:rsidR="003438B6" w:rsidRPr="00325A48">
        <w:t xml:space="preserve">justified using a Bayesian MTC to investigate and adjust for the heterogeneity between </w:t>
      </w:r>
      <w:r w:rsidR="00FB57CE" w:rsidRPr="00325A48">
        <w:t xml:space="preserve">the </w:t>
      </w:r>
      <w:r w:rsidR="003438B6" w:rsidRPr="00325A48">
        <w:t xml:space="preserve">trials. The submission </w:t>
      </w:r>
      <w:r w:rsidR="00B22B4B">
        <w:t>argued</w:t>
      </w:r>
      <w:r w:rsidR="00B22B4B" w:rsidRPr="00325A48">
        <w:t xml:space="preserve"> </w:t>
      </w:r>
      <w:r w:rsidR="003438B6" w:rsidRPr="00325A48">
        <w:t>that</w:t>
      </w:r>
      <w:r w:rsidR="00354ECC" w:rsidRPr="00325A48">
        <w:t xml:space="preserve"> </w:t>
      </w:r>
      <w:r w:rsidRPr="00325A48">
        <w:t>due to improvements in standard of care, the absolute efficacy of placebo treatments increases with time, but the absolute efficacy of biologics remained within a steady range</w:t>
      </w:r>
      <w:r w:rsidR="00007318">
        <w:t>. T</w:t>
      </w:r>
      <w:r w:rsidRPr="00325A48">
        <w:t xml:space="preserve">his </w:t>
      </w:r>
      <w:r w:rsidR="00007318">
        <w:t xml:space="preserve">change </w:t>
      </w:r>
      <w:r w:rsidRPr="00325A48">
        <w:t xml:space="preserve">would bias against CZP as the RAPID-PsA trial </w:t>
      </w:r>
      <w:r w:rsidR="00853AF4" w:rsidRPr="00325A48">
        <w:t xml:space="preserve">was </w:t>
      </w:r>
      <w:r w:rsidRPr="00325A48">
        <w:t>one of the most recent trials conducted</w:t>
      </w:r>
      <w:r w:rsidR="00A57172" w:rsidRPr="00325A48">
        <w:t>.</w:t>
      </w:r>
      <w:r w:rsidR="00866EAE" w:rsidRPr="00325A48">
        <w:t xml:space="preserve"> </w:t>
      </w:r>
      <w:r w:rsidR="00D86CC0" w:rsidRPr="00325A48">
        <w:t xml:space="preserve">The ESC considered that the </w:t>
      </w:r>
      <w:r w:rsidR="001D7773" w:rsidRPr="00325A48">
        <w:t>Bayesian MTC is an appropriate methodology for adjusting for both between-trial heterogeneity and uncertainty in between-trial heterogeneity across the mu</w:t>
      </w:r>
      <w:r w:rsidR="00A57172" w:rsidRPr="00325A48">
        <w:t xml:space="preserve">ltiple trials being compared, </w:t>
      </w:r>
      <w:r w:rsidR="009C1D54" w:rsidRPr="00325A48">
        <w:t>relative</w:t>
      </w:r>
      <w:r w:rsidR="001D7773" w:rsidRPr="00325A48">
        <w:t xml:space="preserve"> to </w:t>
      </w:r>
      <w:r w:rsidR="00714C02" w:rsidRPr="00325A48">
        <w:t>either</w:t>
      </w:r>
      <w:r w:rsidR="001D7773" w:rsidRPr="00325A48">
        <w:t xml:space="preserve"> frequentis</w:t>
      </w:r>
      <w:r w:rsidR="00E00156" w:rsidRPr="00325A48">
        <w:t>t random-effects</w:t>
      </w:r>
      <w:r w:rsidR="001D7773" w:rsidRPr="00325A48">
        <w:t xml:space="preserve"> or fixed effects (frequentist or Bayesian) model alternatives</w:t>
      </w:r>
      <w:r w:rsidR="00A57172" w:rsidRPr="00325A48">
        <w:t>. However</w:t>
      </w:r>
      <w:r w:rsidR="00866EAE" w:rsidRPr="00325A48">
        <w:t>,</w:t>
      </w:r>
      <w:r w:rsidR="00A57172" w:rsidRPr="00325A48">
        <w:t xml:space="preserve"> ESC </w:t>
      </w:r>
      <w:r w:rsidR="00D86CC0" w:rsidRPr="00325A48">
        <w:t xml:space="preserve">was </w:t>
      </w:r>
      <w:r w:rsidR="00A57172" w:rsidRPr="00325A48">
        <w:t xml:space="preserve">concerned that using a Bayesian MTC </w:t>
      </w:r>
      <w:r w:rsidR="00E00156" w:rsidRPr="00325A48">
        <w:t>it becomes difficult to separate genuine non-inferiority from the wide, non-significant intervals associated with large levels of heterogeneity</w:t>
      </w:r>
      <w:r w:rsidR="0066561F">
        <w:t xml:space="preserve"> between multiple trials</w:t>
      </w:r>
      <w:r w:rsidR="00E00156" w:rsidRPr="00325A48">
        <w:t>. Replicating these results using a smaller number of more comparable studies wo</w:t>
      </w:r>
      <w:r w:rsidR="00714C02" w:rsidRPr="00325A48">
        <w:t>uld be more convincing and cons</w:t>
      </w:r>
      <w:r w:rsidR="00E00156" w:rsidRPr="00325A48">
        <w:t>titute a useful and advisable sensitivity analysis.</w:t>
      </w:r>
    </w:p>
    <w:p w:rsidR="00A73DB5" w:rsidRPr="008D2A6C" w:rsidRDefault="00A73DB5" w:rsidP="0064291A">
      <w:pPr>
        <w:pStyle w:val="ListParagraph"/>
        <w:rPr>
          <w:szCs w:val="22"/>
        </w:rPr>
      </w:pPr>
    </w:p>
    <w:p w:rsidR="00B06C23" w:rsidRDefault="00F87372" w:rsidP="00E30CCF">
      <w:pPr>
        <w:pStyle w:val="ListParagraph"/>
        <w:numPr>
          <w:ilvl w:val="1"/>
          <w:numId w:val="5"/>
        </w:numPr>
        <w:rPr>
          <w:szCs w:val="22"/>
        </w:rPr>
      </w:pPr>
      <w:r w:rsidRPr="00C73C47">
        <w:rPr>
          <w:szCs w:val="22"/>
        </w:rPr>
        <w:t xml:space="preserve">Results of </w:t>
      </w:r>
      <w:r w:rsidR="00CE2160" w:rsidRPr="00C73C47">
        <w:rPr>
          <w:szCs w:val="22"/>
        </w:rPr>
        <w:t xml:space="preserve">the </w:t>
      </w:r>
      <w:r w:rsidRPr="00C73C47">
        <w:rPr>
          <w:szCs w:val="22"/>
        </w:rPr>
        <w:t xml:space="preserve">adjusted indirect comparisons of </w:t>
      </w:r>
      <w:r w:rsidR="00474D2B">
        <w:rPr>
          <w:szCs w:val="22"/>
        </w:rPr>
        <w:t>CZP</w:t>
      </w:r>
      <w:r w:rsidR="00474D2B" w:rsidRPr="00C73C47">
        <w:rPr>
          <w:szCs w:val="22"/>
        </w:rPr>
        <w:t xml:space="preserve"> </w:t>
      </w:r>
      <w:r w:rsidRPr="00C73C47">
        <w:rPr>
          <w:szCs w:val="22"/>
        </w:rPr>
        <w:t>and its comparators using Bayesian meta-regression</w:t>
      </w:r>
      <w:r w:rsidR="00CE2160" w:rsidRPr="00C73C47">
        <w:rPr>
          <w:szCs w:val="22"/>
        </w:rPr>
        <w:t>s</w:t>
      </w:r>
      <w:r w:rsidRPr="00C73C47">
        <w:rPr>
          <w:szCs w:val="22"/>
        </w:rPr>
        <w:t xml:space="preserve"> for </w:t>
      </w:r>
      <w:r w:rsidR="00CE2160" w:rsidRPr="00C73C47">
        <w:rPr>
          <w:szCs w:val="22"/>
        </w:rPr>
        <w:t>the outcomes of interest (</w:t>
      </w:r>
      <w:r w:rsidR="00B31ADF" w:rsidRPr="00C73C47">
        <w:rPr>
          <w:szCs w:val="22"/>
        </w:rPr>
        <w:t xml:space="preserve">ACR20 and ACR50 </w:t>
      </w:r>
      <w:r w:rsidR="00CE2160" w:rsidRPr="00C73C47">
        <w:rPr>
          <w:szCs w:val="22"/>
        </w:rPr>
        <w:t xml:space="preserve">response </w:t>
      </w:r>
      <w:r w:rsidR="00B31ADF" w:rsidRPr="00C73C47">
        <w:rPr>
          <w:szCs w:val="22"/>
        </w:rPr>
        <w:t>at Weeks 12-16 and Wee</w:t>
      </w:r>
      <w:r w:rsidR="008A42FF" w:rsidRPr="00C73C47">
        <w:rPr>
          <w:szCs w:val="22"/>
        </w:rPr>
        <w:t>k 24</w:t>
      </w:r>
      <w:r w:rsidR="00CE2160" w:rsidRPr="00C73C47">
        <w:rPr>
          <w:szCs w:val="22"/>
        </w:rPr>
        <w:t>)</w:t>
      </w:r>
      <w:r w:rsidR="008A42FF" w:rsidRPr="00C73C47">
        <w:rPr>
          <w:szCs w:val="22"/>
        </w:rPr>
        <w:t xml:space="preserve"> </w:t>
      </w:r>
      <w:r w:rsidRPr="00C73C47">
        <w:rPr>
          <w:szCs w:val="22"/>
        </w:rPr>
        <w:t xml:space="preserve">are summarised in </w:t>
      </w:r>
      <w:r w:rsidR="00AE243D">
        <w:rPr>
          <w:szCs w:val="22"/>
        </w:rPr>
        <w:t>the t</w:t>
      </w:r>
      <w:r w:rsidRPr="00C73C47">
        <w:rPr>
          <w:szCs w:val="22"/>
        </w:rPr>
        <w:t xml:space="preserve">able </w:t>
      </w:r>
      <w:r w:rsidR="00C166EA">
        <w:rPr>
          <w:szCs w:val="22"/>
        </w:rPr>
        <w:t>below</w:t>
      </w:r>
      <w:r w:rsidRPr="00C73C47">
        <w:rPr>
          <w:szCs w:val="22"/>
        </w:rPr>
        <w:t>.  Due to population heterogeneity, the indirect comparisons were conducted for the TNF-</w:t>
      </w:r>
      <w:r w:rsidR="00E30CCF" w:rsidRPr="00C73C47">
        <w:rPr>
          <w:szCs w:val="22"/>
        </w:rPr>
        <w:sym w:font="Symbol" w:char="F061"/>
      </w:r>
      <w:r w:rsidR="00E30CCF" w:rsidRPr="00C73C47">
        <w:rPr>
          <w:szCs w:val="22"/>
        </w:rPr>
        <w:t xml:space="preserve"> inhibitor </w:t>
      </w:r>
      <w:r w:rsidR="009C5F4D">
        <w:rPr>
          <w:szCs w:val="22"/>
        </w:rPr>
        <w:t>naïve population.</w:t>
      </w:r>
      <w:r w:rsidRPr="00C73C47">
        <w:rPr>
          <w:szCs w:val="22"/>
        </w:rPr>
        <w:t xml:space="preserve"> </w:t>
      </w:r>
      <w:r w:rsidR="00B31ADF" w:rsidRPr="00C73C47">
        <w:rPr>
          <w:szCs w:val="22"/>
        </w:rPr>
        <w:t xml:space="preserve">As a comparison, results of the unadjusted indirect comparison </w:t>
      </w:r>
      <w:r w:rsidR="00CE2160" w:rsidRPr="00C73C47">
        <w:rPr>
          <w:szCs w:val="22"/>
        </w:rPr>
        <w:t xml:space="preserve">using methods </w:t>
      </w:r>
      <w:r w:rsidR="00B31ADF" w:rsidRPr="00C73C47">
        <w:rPr>
          <w:szCs w:val="22"/>
        </w:rPr>
        <w:t xml:space="preserve">reported by Bucher et al (1997) are also presented. </w:t>
      </w:r>
      <w:r w:rsidR="00CE2160" w:rsidRPr="00C73C47">
        <w:rPr>
          <w:szCs w:val="22"/>
        </w:rPr>
        <w:t xml:space="preserve"> </w:t>
      </w:r>
      <w:r w:rsidR="004F2C96">
        <w:rPr>
          <w:szCs w:val="22"/>
        </w:rPr>
        <w:br/>
      </w:r>
      <w:r w:rsidR="004F2C96">
        <w:rPr>
          <w:szCs w:val="22"/>
        </w:rPr>
        <w:br/>
      </w:r>
      <w:r w:rsidR="00CE2160" w:rsidRPr="00C73C47">
        <w:rPr>
          <w:szCs w:val="22"/>
        </w:rPr>
        <w:t xml:space="preserve">Crude event rates are summarised in </w:t>
      </w:r>
      <w:r w:rsidR="00474D2B">
        <w:rPr>
          <w:szCs w:val="22"/>
        </w:rPr>
        <w:t xml:space="preserve">the following </w:t>
      </w:r>
      <w:r w:rsidR="00CE2160" w:rsidRPr="000964D7">
        <w:rPr>
          <w:szCs w:val="22"/>
        </w:rPr>
        <w:t>Figures</w:t>
      </w:r>
      <w:r w:rsidR="00474D2B">
        <w:rPr>
          <w:szCs w:val="22"/>
        </w:rPr>
        <w:t>:</w:t>
      </w:r>
      <w:r w:rsidR="00CE2160" w:rsidRPr="00C73C47">
        <w:rPr>
          <w:szCs w:val="22"/>
        </w:rPr>
        <w:t xml:space="preserve">  </w:t>
      </w:r>
    </w:p>
    <w:p w:rsidR="00F873C7" w:rsidRPr="00F873C7" w:rsidRDefault="00F873C7" w:rsidP="00F873C7">
      <w:pPr>
        <w:pStyle w:val="ListParagraph"/>
        <w:rPr>
          <w:szCs w:val="22"/>
        </w:rPr>
      </w:pPr>
    </w:p>
    <w:p w:rsidR="00F873C7" w:rsidRPr="00F873C7" w:rsidRDefault="00F873C7" w:rsidP="00F873C7">
      <w:pPr>
        <w:pStyle w:val="PBACHeading1"/>
        <w:keepNext/>
        <w:numPr>
          <w:ilvl w:val="0"/>
          <w:numId w:val="0"/>
        </w:numPr>
        <w:ind w:left="720"/>
        <w:rPr>
          <w:rFonts w:ascii="Arial Narrow" w:hAnsi="Arial Narrow"/>
          <w:i/>
          <w:sz w:val="20"/>
          <w:szCs w:val="16"/>
        </w:rPr>
      </w:pPr>
      <w:r w:rsidRPr="00F873C7">
        <w:rPr>
          <w:rStyle w:val="CommentReference"/>
          <w:b/>
          <w:i/>
        </w:rPr>
        <w:t>ACR20 response at Weeks 12-16</w:t>
      </w:r>
    </w:p>
    <w:p w:rsidR="00B06C23" w:rsidRDefault="00B06C23" w:rsidP="004260AF">
      <w:pPr>
        <w:pStyle w:val="ListParagraph"/>
        <w:rPr>
          <w:szCs w:val="22"/>
        </w:rPr>
      </w:pPr>
    </w:p>
    <w:p w:rsidR="00B06C23" w:rsidRPr="009C2749" w:rsidRDefault="009C2749" w:rsidP="004260AF">
      <w:pPr>
        <w:pStyle w:val="ListParagraph"/>
        <w:rPr>
          <w:b/>
          <w:i/>
          <w:szCs w:val="22"/>
        </w:rPr>
      </w:pPr>
      <w:r w:rsidRPr="009C2749">
        <w:rPr>
          <w:b/>
          <w:i/>
          <w:szCs w:val="22"/>
        </w:rPr>
        <w:t>[FIGURE REDACTED]</w:t>
      </w:r>
    </w:p>
    <w:p w:rsidR="005874F8" w:rsidRDefault="005874F8" w:rsidP="005874F8">
      <w:pPr>
        <w:pStyle w:val="ListParagraph"/>
        <w:rPr>
          <w:szCs w:val="22"/>
        </w:rPr>
      </w:pPr>
    </w:p>
    <w:p w:rsidR="005874F8" w:rsidRPr="008D2A6C" w:rsidRDefault="005874F8" w:rsidP="005874F8">
      <w:pPr>
        <w:pStyle w:val="ListParagraph"/>
        <w:rPr>
          <w:szCs w:val="22"/>
        </w:rPr>
      </w:pPr>
    </w:p>
    <w:p w:rsidR="00F873C7" w:rsidRPr="00F873C7" w:rsidRDefault="00F873C7" w:rsidP="00F873C7">
      <w:pPr>
        <w:pStyle w:val="PBACHeading1"/>
        <w:keepNext/>
        <w:numPr>
          <w:ilvl w:val="0"/>
          <w:numId w:val="0"/>
        </w:numPr>
        <w:ind w:left="720"/>
        <w:rPr>
          <w:rFonts w:ascii="Arial Narrow" w:hAnsi="Arial Narrow"/>
          <w:sz w:val="20"/>
          <w:szCs w:val="16"/>
        </w:rPr>
      </w:pPr>
      <w:r>
        <w:rPr>
          <w:rStyle w:val="CommentReference"/>
          <w:b/>
        </w:rPr>
        <w:t>ACR50 response at Weeks 12-16^</w:t>
      </w:r>
    </w:p>
    <w:p w:rsidR="00B06C23" w:rsidRDefault="00B06C23" w:rsidP="004260AF">
      <w:pPr>
        <w:pStyle w:val="ListParagraph"/>
        <w:rPr>
          <w:szCs w:val="22"/>
        </w:rPr>
      </w:pPr>
    </w:p>
    <w:p w:rsidR="009C2749" w:rsidRPr="009C2749" w:rsidRDefault="009C2749" w:rsidP="009C2749">
      <w:pPr>
        <w:pStyle w:val="ListParagraph"/>
        <w:rPr>
          <w:b/>
          <w:i/>
          <w:szCs w:val="22"/>
        </w:rPr>
      </w:pPr>
      <w:r w:rsidRPr="009C2749">
        <w:rPr>
          <w:b/>
          <w:i/>
          <w:szCs w:val="22"/>
        </w:rPr>
        <w:t>[FIGURE REDACTED]</w:t>
      </w:r>
    </w:p>
    <w:p w:rsidR="00B06C23" w:rsidRDefault="00B06C23" w:rsidP="004260AF">
      <w:pPr>
        <w:pStyle w:val="ListParagraph"/>
        <w:rPr>
          <w:szCs w:val="22"/>
        </w:rPr>
      </w:pPr>
    </w:p>
    <w:p w:rsidR="00B06C23" w:rsidRPr="00413E6B" w:rsidRDefault="003362C5">
      <w:pPr>
        <w:pStyle w:val="ListParagraph"/>
        <w:numPr>
          <w:ilvl w:val="1"/>
          <w:numId w:val="5"/>
        </w:numPr>
        <w:rPr>
          <w:szCs w:val="22"/>
        </w:rPr>
      </w:pPr>
      <w:r w:rsidRPr="00325A48">
        <w:rPr>
          <w:szCs w:val="22"/>
        </w:rPr>
        <w:t>Results of ACR20 and ACR50 at Weeks12-16 illustrate that whilst all biologics were more effective than placebo at</w:t>
      </w:r>
      <w:r w:rsidR="00EA27F4" w:rsidRPr="00325A48">
        <w:rPr>
          <w:szCs w:val="22"/>
        </w:rPr>
        <w:t xml:space="preserve"> producing</w:t>
      </w:r>
      <w:r w:rsidRPr="00325A48">
        <w:rPr>
          <w:szCs w:val="22"/>
        </w:rPr>
        <w:t xml:space="preserve"> a response, the m</w:t>
      </w:r>
      <w:r w:rsidR="009C5F4D" w:rsidRPr="00325A48">
        <w:rPr>
          <w:szCs w:val="22"/>
        </w:rPr>
        <w:t>agnitude of the benefit varied.</w:t>
      </w:r>
      <w:r w:rsidRPr="00325A48">
        <w:rPr>
          <w:szCs w:val="22"/>
        </w:rPr>
        <w:t xml:space="preserve"> There were no significant differences between the two CZP regimens with respect to efficacy, so their results were pooled in the indirect com</w:t>
      </w:r>
      <w:r w:rsidR="009C5F4D" w:rsidRPr="00325A48">
        <w:rPr>
          <w:szCs w:val="22"/>
        </w:rPr>
        <w:t>parison versus the comparators.</w:t>
      </w:r>
      <w:r w:rsidRPr="00325A48">
        <w:rPr>
          <w:szCs w:val="22"/>
        </w:rPr>
        <w:t xml:space="preserve"> Using standard indirect comparison methodology, in the anti-TNF-α naïve population, the results for ACR50 were generally consistent with those of </w:t>
      </w:r>
      <w:r w:rsidRPr="00325A48">
        <w:rPr>
          <w:szCs w:val="22"/>
        </w:rPr>
        <w:lastRenderedPageBreak/>
        <w:t>ACR20 and indicated inferiority of CZP versu</w:t>
      </w:r>
      <w:r w:rsidR="00612EEB" w:rsidRPr="00325A48">
        <w:rPr>
          <w:szCs w:val="22"/>
        </w:rPr>
        <w:t xml:space="preserve">s existing PBS listed bDMARDs. </w:t>
      </w:r>
      <w:r w:rsidRPr="00325A48">
        <w:rPr>
          <w:szCs w:val="22"/>
        </w:rPr>
        <w:t>Similarly, the indirect RD results indicated a similar direction of effect to the RR estimates, but some comparisons were no longer statistically signifi</w:t>
      </w:r>
      <w:r w:rsidR="00413E6B" w:rsidRPr="00325A48">
        <w:rPr>
          <w:szCs w:val="22"/>
        </w:rPr>
        <w:t>cant (i.e.</w:t>
      </w:r>
      <w:r w:rsidRPr="00325A48">
        <w:rPr>
          <w:szCs w:val="22"/>
        </w:rPr>
        <w:t xml:space="preserve"> versus ADA and GOL).</w:t>
      </w:r>
    </w:p>
    <w:p w:rsidR="00B06C23" w:rsidRDefault="00B06C23" w:rsidP="004260AF">
      <w:pPr>
        <w:pStyle w:val="ListParagraph"/>
        <w:rPr>
          <w:szCs w:val="22"/>
        </w:rPr>
      </w:pPr>
    </w:p>
    <w:p w:rsidR="00B31ADF" w:rsidRPr="00C73C47" w:rsidRDefault="00CE2160" w:rsidP="00E30CCF">
      <w:pPr>
        <w:pStyle w:val="ListParagraph"/>
        <w:numPr>
          <w:ilvl w:val="1"/>
          <w:numId w:val="5"/>
        </w:numPr>
        <w:rPr>
          <w:szCs w:val="22"/>
        </w:rPr>
      </w:pPr>
      <w:r w:rsidRPr="00C73C47">
        <w:rPr>
          <w:szCs w:val="22"/>
        </w:rPr>
        <w:t>The results from the two CZP dosing regimens did not significantly differ from each other thus their results were pooled in the meta-analysis.</w:t>
      </w:r>
    </w:p>
    <w:p w:rsidR="00B31ADF" w:rsidRPr="00C73C47" w:rsidRDefault="00B31ADF" w:rsidP="00B31ADF">
      <w:pPr>
        <w:pStyle w:val="ListParagraph"/>
        <w:widowControl/>
        <w:rPr>
          <w:rFonts w:ascii="Arial Narrow" w:hAnsi="Arial Narrow"/>
          <w:b/>
          <w:sz w:val="20"/>
          <w:szCs w:val="16"/>
        </w:rPr>
      </w:pPr>
    </w:p>
    <w:p w:rsidR="00A211F8" w:rsidRPr="00C73C47" w:rsidRDefault="00A211F8" w:rsidP="008A42FF">
      <w:pPr>
        <w:pStyle w:val="ListParagraph"/>
        <w:widowControl/>
        <w:spacing w:before="240"/>
        <w:rPr>
          <w:rStyle w:val="CommentReference"/>
        </w:rPr>
      </w:pPr>
      <w:r w:rsidRPr="00C73C47">
        <w:rPr>
          <w:rStyle w:val="CommentReference"/>
        </w:rPr>
        <w:t xml:space="preserve">Results of ACR20 and ACR 50 response at Week 12-16 </w:t>
      </w:r>
      <w:r w:rsidR="004F2C96">
        <w:rPr>
          <w:rStyle w:val="CommentReference"/>
        </w:rPr>
        <w:t xml:space="preserve">and Week 24 </w:t>
      </w:r>
      <w:r w:rsidR="008A42FF" w:rsidRPr="00C73C47">
        <w:rPr>
          <w:rStyle w:val="CommentReference"/>
        </w:rPr>
        <w:t xml:space="preserve">across treatments </w:t>
      </w:r>
      <w:r w:rsidRPr="00C73C47">
        <w:rPr>
          <w:rStyle w:val="CommentReference"/>
        </w:rPr>
        <w:t>(Anti-TNF naïve po</w:t>
      </w:r>
      <w:r w:rsidR="008A42FF" w:rsidRPr="00C73C47">
        <w:rPr>
          <w:rStyle w:val="CommentReference"/>
        </w:rPr>
        <w:t>pulation) (random effects model for adjusted MTC and unadjusted relative risks estimated using frequentist statistics and indirect comparisons following methods reported by Bucher et al (1997).</w:t>
      </w:r>
    </w:p>
    <w:tbl>
      <w:tblPr>
        <w:tblStyle w:val="TableGrid1"/>
        <w:tblW w:w="8367" w:type="dxa"/>
        <w:tblInd w:w="737" w:type="dxa"/>
        <w:tblLayout w:type="fixed"/>
        <w:tblCellMar>
          <w:left w:w="28" w:type="dxa"/>
          <w:right w:w="28" w:type="dxa"/>
        </w:tblCellMar>
        <w:tblLook w:val="01E0" w:firstRow="1" w:lastRow="1" w:firstColumn="1" w:lastColumn="1" w:noHBand="0" w:noVBand="0"/>
      </w:tblPr>
      <w:tblGrid>
        <w:gridCol w:w="992"/>
        <w:gridCol w:w="921"/>
        <w:gridCol w:w="922"/>
        <w:gridCol w:w="922"/>
        <w:gridCol w:w="922"/>
        <w:gridCol w:w="922"/>
        <w:gridCol w:w="922"/>
        <w:gridCol w:w="922"/>
        <w:gridCol w:w="922"/>
      </w:tblGrid>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b/>
                <w:sz w:val="18"/>
                <w:szCs w:val="18"/>
                <w:lang w:val="en-AU"/>
              </w:rPr>
            </w:pPr>
          </w:p>
        </w:tc>
        <w:tc>
          <w:tcPr>
            <w:tcW w:w="3687" w:type="dxa"/>
            <w:gridSpan w:val="4"/>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ACR20</w:t>
            </w:r>
          </w:p>
        </w:tc>
        <w:tc>
          <w:tcPr>
            <w:tcW w:w="3688" w:type="dxa"/>
            <w:gridSpan w:val="4"/>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ACR50</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b/>
                <w:sz w:val="18"/>
                <w:szCs w:val="18"/>
                <w:highlight w:val="yellow"/>
                <w:lang w:val="en-AU"/>
              </w:rPr>
            </w:pPr>
            <w:r w:rsidRPr="00C73C47">
              <w:rPr>
                <w:rFonts w:ascii="Arial Narrow" w:hAnsi="Arial Narrow"/>
                <w:b/>
                <w:sz w:val="18"/>
                <w:szCs w:val="18"/>
                <w:lang w:val="en-AU"/>
              </w:rPr>
              <w:t>Intervention</w:t>
            </w:r>
          </w:p>
        </w:tc>
        <w:tc>
          <w:tcPr>
            <w:tcW w:w="1843" w:type="dxa"/>
            <w:gridSpan w:val="2"/>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12–16 weeks</w:t>
            </w:r>
          </w:p>
        </w:tc>
        <w:tc>
          <w:tcPr>
            <w:tcW w:w="1844" w:type="dxa"/>
            <w:gridSpan w:val="2"/>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24 weeks</w:t>
            </w:r>
          </w:p>
        </w:tc>
        <w:tc>
          <w:tcPr>
            <w:tcW w:w="1844" w:type="dxa"/>
            <w:gridSpan w:val="2"/>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12-16 weeks</w:t>
            </w:r>
          </w:p>
        </w:tc>
        <w:tc>
          <w:tcPr>
            <w:tcW w:w="1844" w:type="dxa"/>
            <w:gridSpan w:val="2"/>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24 weeks</w:t>
            </w:r>
          </w:p>
        </w:tc>
      </w:tr>
      <w:tr w:rsidR="00675D5E" w:rsidRPr="00C73C47" w:rsidTr="00675D5E">
        <w:trPr>
          <w:tblHeader w:val="0"/>
        </w:trPr>
        <w:tc>
          <w:tcPr>
            <w:tcW w:w="8367" w:type="dxa"/>
            <w:gridSpan w:val="9"/>
            <w:shd w:val="clear" w:color="auto" w:fill="auto"/>
            <w:vAlign w:val="center"/>
          </w:tcPr>
          <w:p w:rsidR="00675D5E" w:rsidRPr="00C73C47" w:rsidRDefault="00675D5E" w:rsidP="00D70360">
            <w:pPr>
              <w:jc w:val="left"/>
              <w:rPr>
                <w:rFonts w:ascii="Arial Narrow" w:hAnsi="Arial Narrow"/>
                <w:b/>
                <w:sz w:val="18"/>
                <w:szCs w:val="18"/>
                <w:lang w:val="fr-FR"/>
              </w:rPr>
            </w:pPr>
            <w:r w:rsidRPr="00C73C47">
              <w:rPr>
                <w:rFonts w:ascii="Arial Narrow" w:hAnsi="Arial Narrow"/>
                <w:b/>
                <w:sz w:val="18"/>
                <w:szCs w:val="18"/>
                <w:lang w:val="fr-FR"/>
              </w:rPr>
              <w:t xml:space="preserve">RR [95% CI], bDMARDs vs. </w:t>
            </w:r>
            <w:r w:rsidR="00D86CC0" w:rsidRPr="00C73C47">
              <w:rPr>
                <w:rFonts w:ascii="Arial Narrow" w:hAnsi="Arial Narrow"/>
                <w:b/>
                <w:sz w:val="18"/>
                <w:szCs w:val="18"/>
                <w:lang w:val="fr-FR"/>
              </w:rPr>
              <w:t>P</w:t>
            </w:r>
            <w:r w:rsidRPr="00C73C47">
              <w:rPr>
                <w:rFonts w:ascii="Arial Narrow" w:hAnsi="Arial Narrow"/>
                <w:b/>
                <w:sz w:val="18"/>
                <w:szCs w:val="18"/>
                <w:lang w:val="fr-FR"/>
              </w:rPr>
              <w:t>lacebo</w:t>
            </w:r>
          </w:p>
        </w:tc>
      </w:tr>
      <w:tr w:rsidR="00675D5E" w:rsidRPr="00C73C47" w:rsidTr="00A63122">
        <w:trPr>
          <w:trHeight w:val="327"/>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highlight w:val="yellow"/>
                <w:lang w:val="fr-FR"/>
              </w:rPr>
            </w:pPr>
          </w:p>
        </w:tc>
        <w:tc>
          <w:tcPr>
            <w:tcW w:w="921" w:type="dxa"/>
            <w:vAlign w:val="center"/>
          </w:tcPr>
          <w:p w:rsidR="00675D5E" w:rsidRPr="00C73C47" w:rsidRDefault="00675D5E" w:rsidP="00E30CCF">
            <w:pPr>
              <w:jc w:val="center"/>
              <w:rPr>
                <w:rFonts w:ascii="Arial Narrow" w:hAnsi="Arial Narrow"/>
                <w:iCs/>
                <w:sz w:val="18"/>
                <w:szCs w:val="18"/>
                <w:lang w:val="en-AU"/>
              </w:rPr>
            </w:pPr>
            <w:r w:rsidRPr="00C73C47">
              <w:rPr>
                <w:rFonts w:ascii="Arial Narrow" w:hAnsi="Arial Narrow"/>
                <w:iCs/>
                <w:sz w:val="18"/>
                <w:szCs w:val="18"/>
                <w:lang w:val="en-AU"/>
              </w:rPr>
              <w:t>Unadjusted frequentist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Adjusted MTC</w:t>
            </w:r>
          </w:p>
        </w:tc>
        <w:tc>
          <w:tcPr>
            <w:tcW w:w="922" w:type="dxa"/>
            <w:shd w:val="clear" w:color="auto" w:fill="auto"/>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Unadjusted frequentist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Adjusted MTC</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Unadjusted frequentist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Adjusted MTC</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Unadjusted frequentist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Adjusted MTC</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b (mean)</w:t>
            </w:r>
          </w:p>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CrI</w:t>
            </w:r>
          </w:p>
        </w:tc>
        <w:tc>
          <w:tcPr>
            <w:tcW w:w="921"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-1.19</w:t>
            </w:r>
          </w:p>
          <w:p w:rsidR="00675D5E" w:rsidRPr="00C73C47" w:rsidRDefault="00675D5E" w:rsidP="00D70360">
            <w:pPr>
              <w:jc w:val="center"/>
              <w:rPr>
                <w:rFonts w:ascii="Arial Narrow" w:hAnsi="Arial Narrow"/>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-0.75</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b/>
                <w:bCs/>
                <w:color w:val="000000"/>
                <w:sz w:val="18"/>
                <w:szCs w:val="18"/>
                <w:lang w:val="en-AU"/>
              </w:rPr>
            </w:pPr>
            <w:r w:rsidRPr="00C73C47">
              <w:rPr>
                <w:rFonts w:ascii="Arial Narrow" w:hAnsi="Arial Narrow"/>
                <w:b/>
                <w:bCs/>
                <w:color w:val="000000"/>
                <w:sz w:val="18"/>
                <w:szCs w:val="18"/>
                <w:lang w:val="en-AU"/>
              </w:rPr>
              <w:t>-1.02</w:t>
            </w:r>
          </w:p>
          <w:p w:rsidR="00675D5E" w:rsidRPr="00C73C47" w:rsidRDefault="00B77C4A" w:rsidP="00D70360">
            <w:pPr>
              <w:jc w:val="center"/>
              <w:rPr>
                <w:rFonts w:ascii="Arial Narrow" w:hAnsi="Arial Narrow"/>
                <w:bCs/>
                <w:color w:val="000000"/>
                <w:sz w:val="18"/>
                <w:szCs w:val="18"/>
                <w:lang w:val="en-AU"/>
              </w:rPr>
            </w:pPr>
            <w:r>
              <w:rPr>
                <w:rFonts w:ascii="Arial Narrow" w:hAnsi="Arial Narrow"/>
                <w:b/>
                <w:bCs/>
                <w:noProof/>
                <w:color w:val="000000"/>
                <w:sz w:val="18"/>
                <w:szCs w:val="18"/>
                <w:highlight w:val="black"/>
                <w:lang w:val="en-AU"/>
              </w:rPr>
              <w:t>'''''''''''''''''''''</w:t>
            </w:r>
            <w:r w:rsidR="00675D5E" w:rsidRPr="00C73C47">
              <w:rPr>
                <w:rFonts w:ascii="Arial Narrow" w:hAnsi="Arial Narrow"/>
                <w:bCs/>
                <w:color w:val="000000"/>
                <w:sz w:val="18"/>
                <w:szCs w:val="18"/>
                <w:lang w:val="en-AU"/>
              </w:rPr>
              <w:t>]</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-0.85</w:t>
            </w:r>
          </w:p>
          <w:p w:rsidR="00675D5E" w:rsidRPr="00C73C47" w:rsidRDefault="00675D5E" w:rsidP="00D70360">
            <w:pPr>
              <w:jc w:val="center"/>
              <w:rPr>
                <w:rFonts w:ascii="Arial Narrow" w:hAnsi="Arial Narrow"/>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r>
      <w:tr w:rsidR="00675D5E" w:rsidRPr="00C73C47" w:rsidTr="00A63122">
        <w:trPr>
          <w:trHeight w:val="183"/>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CZP Pooled</w:t>
            </w:r>
          </w:p>
        </w:tc>
        <w:tc>
          <w:tcPr>
            <w:tcW w:w="921"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2.10</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1.50, 2.93</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3.73</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2.29</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1.64, 3.18</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2.91</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2.65</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1.57, 4.48</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bCs/>
                <w:color w:val="000000"/>
                <w:sz w:val="18"/>
                <w:szCs w:val="18"/>
                <w:lang w:val="en-AU"/>
              </w:rPr>
            </w:pPr>
            <w:r w:rsidRPr="00C73C47">
              <w:rPr>
                <w:rFonts w:ascii="Arial Narrow" w:hAnsi="Arial Narrow"/>
                <w:b/>
                <w:bCs/>
                <w:color w:val="000000"/>
                <w:sz w:val="18"/>
                <w:szCs w:val="18"/>
                <w:lang w:val="en-AU"/>
              </w:rPr>
              <w:t>8.91</w:t>
            </w:r>
          </w:p>
          <w:p w:rsidR="00675D5E" w:rsidRPr="00C73C47" w:rsidRDefault="00675D5E" w:rsidP="00D70360">
            <w:pPr>
              <w:jc w:val="center"/>
              <w:rPr>
                <w:rFonts w:ascii="Arial Narrow" w:hAnsi="Arial Narrow"/>
                <w:b/>
                <w:bCs/>
                <w:color w:val="000000"/>
                <w:sz w:val="18"/>
                <w:szCs w:val="18"/>
                <w:lang w:val="en-AU"/>
              </w:rPr>
            </w:pPr>
            <w:r w:rsidRPr="00C73C47">
              <w:rPr>
                <w:rFonts w:ascii="Arial Narrow" w:hAnsi="Arial Narrow"/>
                <w:b/>
                <w:bCs/>
                <w:color w:val="000000"/>
                <w:sz w:val="18"/>
                <w:szCs w:val="18"/>
                <w:lang w:val="en-AU"/>
              </w:rPr>
              <w:t>[</w:t>
            </w:r>
            <w:r w:rsidR="00B77C4A">
              <w:rPr>
                <w:rFonts w:ascii="Arial Narrow" w:hAnsi="Arial Narrow"/>
                <w:b/>
                <w:bCs/>
                <w:noProof/>
                <w:color w:val="000000"/>
                <w:sz w:val="18"/>
                <w:szCs w:val="18"/>
                <w:highlight w:val="black"/>
                <w:lang w:val="en-AU"/>
              </w:rPr>
              <w:t>'''''''''' ''''''''''</w:t>
            </w:r>
            <w:r w:rsidRPr="00C73C47">
              <w:rPr>
                <w:rFonts w:ascii="Arial Narrow" w:hAnsi="Arial Narrow"/>
                <w:b/>
                <w:bCs/>
                <w:color w:val="000000"/>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2.86</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1.77, 4.61</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5.13</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 xml:space="preserve">ADA </w:t>
            </w:r>
          </w:p>
        </w:tc>
        <w:tc>
          <w:tcPr>
            <w:tcW w:w="921"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3.51</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2.27, 5.41</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3.22</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3.79</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2.56, 5.63</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2.98</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9.96</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[4.69, 21.17]</w:t>
            </w:r>
          </w:p>
        </w:tc>
        <w:tc>
          <w:tcPr>
            <w:tcW w:w="922" w:type="dxa"/>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8.19</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6.25</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3.32, 11.76</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5.24</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 xml:space="preserve">ETN </w:t>
            </w:r>
          </w:p>
        </w:tc>
        <w:tc>
          <w:tcPr>
            <w:tcW w:w="921"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4.15</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2.71, 6.36</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4.01</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3.68</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[2.17, 6.22]</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2.77</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13.51</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5.03, 36.28</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bCs/>
                <w:color w:val="000000"/>
                <w:sz w:val="18"/>
                <w:szCs w:val="18"/>
                <w:lang w:val="en-AU"/>
              </w:rPr>
            </w:pPr>
            <w:r w:rsidRPr="00C73C47">
              <w:rPr>
                <w:rFonts w:ascii="Arial Narrow" w:hAnsi="Arial Narrow"/>
                <w:b/>
                <w:bCs/>
                <w:color w:val="000000"/>
                <w:sz w:val="18"/>
                <w:szCs w:val="18"/>
                <w:lang w:val="en-AU"/>
              </w:rPr>
              <w:t>10.69</w:t>
            </w:r>
          </w:p>
          <w:p w:rsidR="00675D5E" w:rsidRPr="00C73C47" w:rsidRDefault="00675D5E" w:rsidP="00D70360">
            <w:pPr>
              <w:jc w:val="center"/>
              <w:rPr>
                <w:rFonts w:ascii="Arial Narrow" w:hAnsi="Arial Narrow"/>
                <w:b/>
                <w:bCs/>
                <w:color w:val="000000"/>
                <w:sz w:val="18"/>
                <w:szCs w:val="18"/>
                <w:lang w:val="en-AU"/>
              </w:rPr>
            </w:pPr>
            <w:r w:rsidRPr="00C73C47">
              <w:rPr>
                <w:rFonts w:ascii="Arial Narrow" w:hAnsi="Arial Narrow"/>
                <w:b/>
                <w:bCs/>
                <w:color w:val="000000"/>
                <w:sz w:val="18"/>
                <w:szCs w:val="18"/>
                <w:lang w:val="en-AU"/>
              </w:rPr>
              <w:t>[</w:t>
            </w:r>
            <w:r w:rsidR="00B77C4A">
              <w:rPr>
                <w:rFonts w:ascii="Arial Narrow" w:hAnsi="Arial Narrow"/>
                <w:b/>
                <w:bCs/>
                <w:noProof/>
                <w:color w:val="000000"/>
                <w:sz w:val="18"/>
                <w:szCs w:val="18"/>
                <w:highlight w:val="black"/>
                <w:lang w:val="en-AU"/>
              </w:rPr>
              <w:t>''''''''''' ''''''''''</w:t>
            </w:r>
            <w:r w:rsidRPr="00C73C47">
              <w:rPr>
                <w:rFonts w:ascii="Arial Narrow" w:hAnsi="Arial Narrow"/>
                <w:b/>
                <w:bCs/>
                <w:color w:val="000000"/>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9.52</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3.52, 25.75</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5.19</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GOL</w:t>
            </w:r>
          </w:p>
        </w:tc>
        <w:tc>
          <w:tcPr>
            <w:tcW w:w="921"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5.73</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3.10, 10.57</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3.02</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4.20</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2.51, 7.03</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2.82</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17.03</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4.22, 68.75</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bCs/>
                <w:color w:val="000000"/>
                <w:sz w:val="18"/>
                <w:szCs w:val="18"/>
                <w:lang w:val="en-AU"/>
              </w:rPr>
            </w:pPr>
            <w:r w:rsidRPr="00C73C47">
              <w:rPr>
                <w:rFonts w:ascii="Arial Narrow" w:hAnsi="Arial Narrow"/>
                <w:b/>
                <w:bCs/>
                <w:color w:val="000000"/>
                <w:sz w:val="18"/>
                <w:szCs w:val="18"/>
                <w:lang w:val="en-AU"/>
              </w:rPr>
              <w:t>7.62</w:t>
            </w:r>
          </w:p>
          <w:p w:rsidR="00675D5E" w:rsidRPr="00C73C47" w:rsidRDefault="00675D5E" w:rsidP="00D70360">
            <w:pPr>
              <w:jc w:val="center"/>
              <w:rPr>
                <w:rFonts w:ascii="Arial Narrow" w:hAnsi="Arial Narrow"/>
                <w:b/>
                <w:bCs/>
                <w:color w:val="000000"/>
                <w:sz w:val="18"/>
                <w:szCs w:val="18"/>
                <w:lang w:val="en-AU"/>
              </w:rPr>
            </w:pPr>
            <w:r w:rsidRPr="00C73C47">
              <w:rPr>
                <w:rFonts w:ascii="Arial Narrow" w:hAnsi="Arial Narrow"/>
                <w:b/>
                <w:bCs/>
                <w:color w:val="000000"/>
                <w:sz w:val="18"/>
                <w:szCs w:val="18"/>
                <w:lang w:val="en-AU"/>
              </w:rPr>
              <w:t>[</w:t>
            </w:r>
            <w:r w:rsidR="00B77C4A">
              <w:rPr>
                <w:rFonts w:ascii="Arial Narrow" w:hAnsi="Arial Narrow"/>
                <w:b/>
                <w:bCs/>
                <w:noProof/>
                <w:color w:val="000000"/>
                <w:sz w:val="18"/>
                <w:szCs w:val="18"/>
                <w:highlight w:val="black"/>
                <w:lang w:val="en-AU"/>
              </w:rPr>
              <w:t>'''''''''' ''''''''''''</w:t>
            </w:r>
            <w:r w:rsidRPr="00C73C47">
              <w:rPr>
                <w:rFonts w:ascii="Arial Narrow" w:hAnsi="Arial Narrow"/>
                <w:b/>
                <w:bCs/>
                <w:color w:val="000000"/>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9.09</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3.38, 24.50</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4.56</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INX</w:t>
            </w:r>
          </w:p>
        </w:tc>
        <w:tc>
          <w:tcPr>
            <w:tcW w:w="921" w:type="dxa"/>
            <w:vAlign w:val="center"/>
          </w:tcPr>
          <w:p w:rsidR="00675D5E" w:rsidRPr="00C73C47" w:rsidRDefault="00B46D1E" w:rsidP="00D70360">
            <w:pPr>
              <w:jc w:val="center"/>
              <w:rPr>
                <w:rFonts w:ascii="Arial Narrow" w:hAnsi="Arial Narrow"/>
                <w:b/>
                <w:iCs/>
                <w:sz w:val="18"/>
                <w:szCs w:val="18"/>
                <w:lang w:val="en-AU"/>
              </w:rPr>
            </w:pPr>
            <w:r w:rsidRPr="00C73C47">
              <w:rPr>
                <w:rFonts w:ascii="Arial Narrow" w:hAnsi="Arial Narrow"/>
                <w:b/>
                <w:iCs/>
                <w:sz w:val="18"/>
                <w:szCs w:val="18"/>
                <w:lang w:val="en-AU"/>
              </w:rPr>
              <w:t>5.71</w:t>
            </w:r>
          </w:p>
          <w:p w:rsidR="00675D5E" w:rsidRPr="00C73C47" w:rsidRDefault="00B46D1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3.53, 9.25</w:t>
            </w:r>
            <w:r w:rsidR="00675D5E"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3.73</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3.38</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2.08, 5.48</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2.82</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14.73</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5.11, 42.43</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bCs/>
                <w:color w:val="000000"/>
                <w:sz w:val="18"/>
                <w:szCs w:val="18"/>
                <w:lang w:val="en-AU"/>
              </w:rPr>
            </w:pPr>
            <w:r w:rsidRPr="00C73C47">
              <w:rPr>
                <w:rFonts w:ascii="Arial Narrow" w:hAnsi="Arial Narrow"/>
                <w:b/>
                <w:bCs/>
                <w:color w:val="000000"/>
                <w:sz w:val="18"/>
                <w:szCs w:val="18"/>
                <w:lang w:val="en-AU"/>
              </w:rPr>
              <w:t>9.43</w:t>
            </w:r>
          </w:p>
          <w:p w:rsidR="00675D5E" w:rsidRPr="00C73C47" w:rsidRDefault="00675D5E" w:rsidP="00D70360">
            <w:pPr>
              <w:jc w:val="center"/>
              <w:rPr>
                <w:rFonts w:ascii="Arial Narrow" w:hAnsi="Arial Narrow"/>
                <w:b/>
                <w:bCs/>
                <w:color w:val="000000"/>
                <w:sz w:val="18"/>
                <w:szCs w:val="18"/>
                <w:lang w:val="en-AU"/>
              </w:rPr>
            </w:pPr>
            <w:r w:rsidRPr="00C73C47">
              <w:rPr>
                <w:rFonts w:ascii="Arial Narrow" w:hAnsi="Arial Narrow"/>
                <w:b/>
                <w:bCs/>
                <w:color w:val="000000"/>
                <w:sz w:val="18"/>
                <w:szCs w:val="18"/>
                <w:lang w:val="en-AU"/>
              </w:rPr>
              <w:t>[</w:t>
            </w:r>
            <w:r w:rsidR="00B77C4A">
              <w:rPr>
                <w:rFonts w:ascii="Arial Narrow" w:hAnsi="Arial Narrow"/>
                <w:b/>
                <w:bCs/>
                <w:noProof/>
                <w:color w:val="000000"/>
                <w:sz w:val="18"/>
                <w:szCs w:val="18"/>
                <w:highlight w:val="black"/>
                <w:lang w:val="en-AU"/>
              </w:rPr>
              <w:t>'''''''''' ''''''''''''</w:t>
            </w:r>
            <w:r w:rsidRPr="00C73C47">
              <w:rPr>
                <w:rFonts w:ascii="Arial Narrow" w:hAnsi="Arial Narrow"/>
                <w:b/>
                <w:bCs/>
                <w:color w:val="000000"/>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10.25</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3.81, 27.55</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5.68</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UST45mg</w:t>
            </w:r>
          </w:p>
        </w:tc>
        <w:tc>
          <w:tcPr>
            <w:tcW w:w="921"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1.92</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1.42, 2.61</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2.82</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1.86</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1.38, 2.50</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2.2</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NR</w:t>
            </w:r>
          </w:p>
        </w:tc>
        <w:tc>
          <w:tcPr>
            <w:tcW w:w="922" w:type="dxa"/>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NR</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2.78*</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1.81, 4.27</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3.07</w:t>
            </w:r>
          </w:p>
          <w:p w:rsidR="00675D5E" w:rsidRPr="00C73C47" w:rsidRDefault="00675D5E" w:rsidP="00D70360">
            <w:pPr>
              <w:jc w:val="center"/>
              <w:rPr>
                <w:rFonts w:ascii="Arial Narrow" w:hAnsi="Arial Narrow"/>
                <w:b/>
                <w:sz w:val="18"/>
                <w:szCs w:val="18"/>
                <w:lang w:val="en-AU"/>
              </w:rPr>
            </w:pPr>
            <w:r w:rsidRPr="00C73C47">
              <w:rPr>
                <w:rFonts w:ascii="Arial Narrow" w:hAnsi="Arial Narrow"/>
                <w:b/>
                <w:sz w:val="18"/>
                <w:szCs w:val="18"/>
                <w:lang w:val="en-AU"/>
              </w:rPr>
              <w:t>[</w:t>
            </w:r>
            <w:r w:rsidR="00B77C4A">
              <w:rPr>
                <w:rFonts w:ascii="Arial Narrow" w:hAnsi="Arial Narrow"/>
                <w:b/>
                <w:noProof/>
                <w:color w:val="000000"/>
                <w:sz w:val="18"/>
                <w:szCs w:val="18"/>
                <w:highlight w:val="black"/>
                <w:lang w:val="en-AU"/>
              </w:rPr>
              <w:t>'''''''''' '''''''''</w:t>
            </w:r>
            <w:r w:rsidRPr="00C73C47">
              <w:rPr>
                <w:rFonts w:ascii="Arial Narrow" w:hAnsi="Arial Narrow"/>
                <w:b/>
                <w:sz w:val="18"/>
                <w:szCs w:val="18"/>
                <w:lang w:val="en-AU"/>
              </w:rPr>
              <w:t>]</w:t>
            </w:r>
          </w:p>
        </w:tc>
      </w:tr>
      <w:tr w:rsidR="00675D5E" w:rsidRPr="00C73C47" w:rsidTr="00675D5E">
        <w:trPr>
          <w:tblHeader w:val="0"/>
        </w:trPr>
        <w:tc>
          <w:tcPr>
            <w:tcW w:w="8367" w:type="dxa"/>
            <w:gridSpan w:val="9"/>
            <w:shd w:val="clear" w:color="auto" w:fill="auto"/>
            <w:vAlign w:val="center"/>
          </w:tcPr>
          <w:p w:rsidR="00675D5E" w:rsidRPr="00C73C47" w:rsidRDefault="00675D5E" w:rsidP="00D70360">
            <w:pPr>
              <w:jc w:val="left"/>
              <w:rPr>
                <w:rFonts w:ascii="Arial Narrow" w:hAnsi="Arial Narrow"/>
                <w:b/>
                <w:sz w:val="18"/>
                <w:szCs w:val="18"/>
                <w:lang w:val="en-AU"/>
              </w:rPr>
            </w:pPr>
            <w:r w:rsidRPr="00C73C47">
              <w:rPr>
                <w:rFonts w:ascii="Arial Narrow" w:hAnsi="Arial Narrow"/>
                <w:b/>
                <w:sz w:val="18"/>
                <w:szCs w:val="18"/>
                <w:lang w:val="en-AU"/>
              </w:rPr>
              <w:t>RR [95% CI], CZP Pooled vs. bDMARDs</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ADA</w:t>
            </w:r>
          </w:p>
        </w:tc>
        <w:tc>
          <w:tcPr>
            <w:tcW w:w="921" w:type="dxa"/>
            <w:vAlign w:val="center"/>
          </w:tcPr>
          <w:p w:rsidR="00675D5E" w:rsidRPr="00C73C47" w:rsidRDefault="00675D5E" w:rsidP="00D70360">
            <w:pPr>
              <w:jc w:val="center"/>
              <w:rPr>
                <w:rFonts w:ascii="Arial Narrow" w:hAnsi="Arial Narrow"/>
                <w:bCs/>
                <w:iCs/>
                <w:sz w:val="18"/>
                <w:szCs w:val="18"/>
                <w:lang w:val="en-AU"/>
              </w:rPr>
            </w:pPr>
            <w:r w:rsidRPr="00C73C47">
              <w:rPr>
                <w:rFonts w:ascii="Arial Narrow" w:hAnsi="Arial Narrow"/>
                <w:bCs/>
                <w:iCs/>
                <w:sz w:val="18"/>
                <w:szCs w:val="18"/>
                <w:lang w:val="en-AU"/>
              </w:rPr>
              <w:t>0.60</w:t>
            </w:r>
          </w:p>
          <w:p w:rsidR="00675D5E" w:rsidRPr="00C73C47" w:rsidRDefault="00675D5E" w:rsidP="00D70360">
            <w:pPr>
              <w:jc w:val="center"/>
              <w:rPr>
                <w:rFonts w:ascii="Arial Narrow" w:hAnsi="Arial Narrow"/>
                <w:iCs/>
                <w:sz w:val="18"/>
                <w:szCs w:val="18"/>
                <w:lang w:val="en-AU"/>
              </w:rPr>
            </w:pPr>
            <w:r w:rsidRPr="00C73C47">
              <w:rPr>
                <w:rFonts w:ascii="Arial Narrow" w:hAnsi="Arial Narrow"/>
                <w:bCs/>
                <w:iCs/>
                <w:sz w:val="18"/>
                <w:szCs w:val="18"/>
                <w:lang w:val="en-AU"/>
              </w:rPr>
              <w:t>[</w:t>
            </w:r>
            <w:r w:rsidRPr="004F2C96">
              <w:rPr>
                <w:rFonts w:ascii="Arial Narrow" w:hAnsi="Arial Narrow"/>
                <w:bCs/>
                <w:iCs/>
                <w:sz w:val="18"/>
                <w:szCs w:val="18"/>
                <w:lang w:val="en-AU"/>
              </w:rPr>
              <w:t>0.35, 1.04</w:t>
            </w:r>
            <w:r w:rsidRPr="00C73C47">
              <w:rPr>
                <w:rFonts w:ascii="Arial Narrow" w:hAnsi="Arial Narrow"/>
                <w:bCs/>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1.16</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0.60</w:t>
            </w:r>
          </w:p>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r w:rsidRPr="004F2C96">
              <w:rPr>
                <w:rFonts w:ascii="Arial Narrow" w:hAnsi="Arial Narrow"/>
                <w:iCs/>
                <w:sz w:val="18"/>
                <w:szCs w:val="18"/>
                <w:lang w:val="en-AU"/>
              </w:rPr>
              <w:t>0.36, 1.01</w:t>
            </w: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0.98</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0.27</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0.11, 0.67</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color w:val="000000"/>
                <w:sz w:val="18"/>
                <w:szCs w:val="18"/>
                <w:lang w:val="en-AU"/>
              </w:rPr>
            </w:pPr>
            <w:r w:rsidRPr="00C73C47">
              <w:rPr>
                <w:rFonts w:ascii="Arial Narrow" w:hAnsi="Arial Narrow"/>
                <w:color w:val="000000"/>
                <w:sz w:val="18"/>
                <w:szCs w:val="18"/>
                <w:lang w:val="en-AU"/>
              </w:rPr>
              <w:t>1.09</w:t>
            </w:r>
          </w:p>
          <w:p w:rsidR="00675D5E" w:rsidRPr="00C73C47" w:rsidRDefault="00675D5E" w:rsidP="00D70360">
            <w:pPr>
              <w:jc w:val="center"/>
              <w:rPr>
                <w:rFonts w:ascii="Arial Narrow" w:hAnsi="Arial Narrow"/>
                <w:color w:val="000000"/>
                <w:sz w:val="18"/>
                <w:szCs w:val="18"/>
                <w:lang w:val="en-AU"/>
              </w:rPr>
            </w:pPr>
            <w:r w:rsidRPr="00C73C47">
              <w:rPr>
                <w:rFonts w:ascii="Arial Narrow" w:hAnsi="Arial Narrow"/>
                <w:color w:val="000000"/>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color w:val="000000"/>
                <w:sz w:val="18"/>
                <w:szCs w:val="18"/>
                <w:lang w:val="en-AU"/>
              </w:rPr>
              <w:t>]</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0.45</w:t>
            </w:r>
          </w:p>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r w:rsidRPr="004F2C96">
              <w:rPr>
                <w:rFonts w:ascii="Arial Narrow" w:hAnsi="Arial Narrow"/>
                <w:iCs/>
                <w:sz w:val="18"/>
                <w:szCs w:val="18"/>
                <w:lang w:val="en-AU"/>
              </w:rPr>
              <w:t>0.21, 1.01</w:t>
            </w: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0.98</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ETN</w:t>
            </w:r>
          </w:p>
        </w:tc>
        <w:tc>
          <w:tcPr>
            <w:tcW w:w="921"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0.51</w:t>
            </w:r>
          </w:p>
          <w:p w:rsidR="00675D5E" w:rsidRPr="00C73C47" w:rsidRDefault="00675D5E" w:rsidP="00D70360">
            <w:pPr>
              <w:jc w:val="center"/>
              <w:rPr>
                <w:rFonts w:ascii="Arial Narrow" w:hAnsi="Arial Narrow"/>
                <w:b/>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0.30, 0.87</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0.93</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0.62</w:t>
            </w:r>
          </w:p>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r w:rsidRPr="004F2C96">
              <w:rPr>
                <w:rFonts w:ascii="Arial Narrow" w:hAnsi="Arial Narrow"/>
                <w:iCs/>
                <w:sz w:val="18"/>
                <w:szCs w:val="18"/>
                <w:lang w:val="en-AU"/>
              </w:rPr>
              <w:t>0.33, 1.16</w:t>
            </w: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1.05</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0.20</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0.06, 0.60</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color w:val="000000"/>
                <w:sz w:val="18"/>
                <w:szCs w:val="18"/>
                <w:lang w:val="en-AU"/>
              </w:rPr>
            </w:pPr>
            <w:r w:rsidRPr="00C73C47">
              <w:rPr>
                <w:rFonts w:ascii="Arial Narrow" w:hAnsi="Arial Narrow"/>
                <w:color w:val="000000"/>
                <w:sz w:val="18"/>
                <w:szCs w:val="18"/>
                <w:lang w:val="en-AU"/>
              </w:rPr>
              <w:t>0.84</w:t>
            </w:r>
          </w:p>
          <w:p w:rsidR="00675D5E" w:rsidRPr="00C73C47" w:rsidRDefault="00675D5E" w:rsidP="00D70360">
            <w:pPr>
              <w:jc w:val="center"/>
              <w:rPr>
                <w:rFonts w:ascii="Arial Narrow" w:hAnsi="Arial Narrow"/>
                <w:color w:val="000000"/>
                <w:sz w:val="18"/>
                <w:szCs w:val="18"/>
                <w:lang w:val="en-AU"/>
              </w:rPr>
            </w:pPr>
            <w:r w:rsidRPr="00C73C47">
              <w:rPr>
                <w:rFonts w:ascii="Arial Narrow" w:hAnsi="Arial Narrow"/>
                <w:color w:val="000000"/>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color w:val="000000"/>
                <w:sz w:val="18"/>
                <w:szCs w:val="18"/>
                <w:lang w:val="en-AU"/>
              </w:rPr>
              <w:t>]</w:t>
            </w:r>
          </w:p>
        </w:tc>
        <w:tc>
          <w:tcPr>
            <w:tcW w:w="922" w:type="dxa"/>
            <w:vAlign w:val="center"/>
          </w:tcPr>
          <w:p w:rsidR="00675D5E" w:rsidRPr="00C73C47" w:rsidRDefault="00675D5E" w:rsidP="00D70360">
            <w:pPr>
              <w:jc w:val="center"/>
              <w:rPr>
                <w:rFonts w:ascii="Arial Narrow" w:hAnsi="Arial Narrow"/>
                <w:b/>
                <w:bCs/>
                <w:iCs/>
                <w:sz w:val="18"/>
                <w:szCs w:val="18"/>
                <w:lang w:val="en-AU"/>
              </w:rPr>
            </w:pPr>
            <w:r w:rsidRPr="00C73C47">
              <w:rPr>
                <w:rFonts w:ascii="Arial Narrow" w:hAnsi="Arial Narrow"/>
                <w:b/>
                <w:bCs/>
                <w:iCs/>
                <w:sz w:val="18"/>
                <w:szCs w:val="18"/>
                <w:lang w:val="en-AU"/>
              </w:rPr>
              <w:t>0.30</w:t>
            </w:r>
          </w:p>
          <w:p w:rsidR="00675D5E" w:rsidRPr="00C73C47" w:rsidRDefault="00675D5E" w:rsidP="00D70360">
            <w:pPr>
              <w:jc w:val="center"/>
              <w:rPr>
                <w:rFonts w:ascii="Arial Narrow" w:hAnsi="Arial Narrow"/>
                <w:iCs/>
                <w:sz w:val="18"/>
                <w:szCs w:val="18"/>
                <w:lang w:val="en-AU"/>
              </w:rPr>
            </w:pPr>
            <w:r w:rsidRPr="00C73C47">
              <w:rPr>
                <w:rFonts w:ascii="Arial Narrow" w:hAnsi="Arial Narrow"/>
                <w:b/>
                <w:bCs/>
                <w:iCs/>
                <w:sz w:val="18"/>
                <w:szCs w:val="18"/>
                <w:lang w:val="en-AU"/>
              </w:rPr>
              <w:t>[</w:t>
            </w:r>
            <w:r w:rsidRPr="004F2C96">
              <w:rPr>
                <w:rFonts w:ascii="Arial Narrow" w:hAnsi="Arial Narrow"/>
                <w:b/>
                <w:bCs/>
                <w:iCs/>
                <w:sz w:val="18"/>
                <w:szCs w:val="18"/>
                <w:lang w:val="en-AU"/>
              </w:rPr>
              <w:t>0.1, 0.91</w:t>
            </w:r>
            <w:r w:rsidRPr="00C73C47">
              <w:rPr>
                <w:rFonts w:ascii="Arial Narrow" w:hAnsi="Arial Narrow"/>
                <w:b/>
                <w:bCs/>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0.99</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GOL</w:t>
            </w:r>
          </w:p>
        </w:tc>
        <w:tc>
          <w:tcPr>
            <w:tcW w:w="921"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0.37</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0.18, 0.74</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1.22</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0.55</w:t>
            </w:r>
          </w:p>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r w:rsidRPr="004F2C96">
              <w:rPr>
                <w:rFonts w:ascii="Arial Narrow" w:hAnsi="Arial Narrow"/>
                <w:iCs/>
                <w:sz w:val="18"/>
                <w:szCs w:val="18"/>
                <w:lang w:val="en-AU"/>
              </w:rPr>
              <w:t>0.30, 1.01</w:t>
            </w: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1.03</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0.15</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0.04, 0.70</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color w:val="000000"/>
                <w:sz w:val="18"/>
                <w:szCs w:val="18"/>
                <w:lang w:val="en-AU"/>
              </w:rPr>
            </w:pPr>
            <w:r w:rsidRPr="00C73C47">
              <w:rPr>
                <w:rFonts w:ascii="Arial Narrow" w:hAnsi="Arial Narrow"/>
                <w:color w:val="000000"/>
                <w:sz w:val="18"/>
                <w:szCs w:val="18"/>
                <w:lang w:val="en-AU"/>
              </w:rPr>
              <w:t>1.17</w:t>
            </w:r>
          </w:p>
          <w:p w:rsidR="00675D5E" w:rsidRPr="00C73C47" w:rsidRDefault="00675D5E" w:rsidP="00D70360">
            <w:pPr>
              <w:jc w:val="center"/>
              <w:rPr>
                <w:rFonts w:ascii="Arial Narrow" w:hAnsi="Arial Narrow"/>
                <w:color w:val="000000"/>
                <w:sz w:val="18"/>
                <w:szCs w:val="18"/>
                <w:lang w:val="en-AU"/>
              </w:rPr>
            </w:pPr>
            <w:r w:rsidRPr="00C73C47">
              <w:rPr>
                <w:rFonts w:ascii="Arial Narrow" w:hAnsi="Arial Narrow"/>
                <w:color w:val="000000"/>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color w:val="000000"/>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0.32</w:t>
            </w:r>
          </w:p>
          <w:p w:rsidR="00675D5E" w:rsidRPr="00C73C47" w:rsidRDefault="00675D5E" w:rsidP="00C549EB">
            <w:pPr>
              <w:jc w:val="center"/>
              <w:rPr>
                <w:rFonts w:ascii="Arial Narrow" w:hAnsi="Arial Narrow"/>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0.11, 0.95</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1.12</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INX</w:t>
            </w:r>
          </w:p>
        </w:tc>
        <w:tc>
          <w:tcPr>
            <w:tcW w:w="921"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0.37</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0.21, 0.66</w:t>
            </w:r>
            <w:r w:rsidRPr="00C73C47">
              <w:rPr>
                <w:rFonts w:ascii="Arial Narrow" w:hAnsi="Arial Narrow"/>
                <w:b/>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0.68</w:t>
            </w:r>
          </w:p>
          <w:p w:rsidR="00675D5E" w:rsidRPr="00C73C47" w:rsidRDefault="00675D5E" w:rsidP="00D70360">
            <w:pPr>
              <w:jc w:val="center"/>
              <w:rPr>
                <w:rFonts w:ascii="Arial Narrow" w:hAnsi="Arial Narrow"/>
                <w:iCs/>
                <w:sz w:val="18"/>
                <w:szCs w:val="18"/>
                <w:lang w:val="en-AU"/>
              </w:rPr>
            </w:pPr>
            <w:r w:rsidRPr="00C73C47">
              <w:rPr>
                <w:rFonts w:ascii="Arial Narrow" w:hAnsi="Arial Narrow"/>
                <w:sz w:val="18"/>
                <w:szCs w:val="18"/>
                <w:lang w:val="en-AU"/>
              </w:rPr>
              <w:t>[</w:t>
            </w:r>
            <w:r w:rsidRPr="004F2C96">
              <w:rPr>
                <w:rFonts w:ascii="Arial Narrow" w:hAnsi="Arial Narrow"/>
                <w:sz w:val="18"/>
                <w:szCs w:val="18"/>
                <w:lang w:val="en-AU"/>
              </w:rPr>
              <w:t>0.38, 1.22</w:t>
            </w:r>
            <w:r w:rsidRPr="00C73C47">
              <w:rPr>
                <w:rFonts w:ascii="Arial Narrow" w:hAnsi="Arial Narrow"/>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1.04</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0.18</w:t>
            </w:r>
          </w:p>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0.06, 0.59</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color w:val="000000"/>
                <w:sz w:val="18"/>
                <w:szCs w:val="18"/>
                <w:lang w:val="en-AU"/>
              </w:rPr>
            </w:pPr>
            <w:r w:rsidRPr="00C73C47">
              <w:rPr>
                <w:rFonts w:ascii="Arial Narrow" w:hAnsi="Arial Narrow"/>
                <w:color w:val="000000"/>
                <w:sz w:val="18"/>
                <w:szCs w:val="18"/>
                <w:lang w:val="en-AU"/>
              </w:rPr>
              <w:t>0.94</w:t>
            </w:r>
          </w:p>
          <w:p w:rsidR="00675D5E" w:rsidRPr="00C73C47" w:rsidRDefault="00675D5E" w:rsidP="00D70360">
            <w:pPr>
              <w:jc w:val="center"/>
              <w:rPr>
                <w:rFonts w:ascii="Arial Narrow" w:hAnsi="Arial Narrow"/>
                <w:color w:val="000000"/>
                <w:sz w:val="18"/>
                <w:szCs w:val="18"/>
                <w:lang w:val="en-AU"/>
              </w:rPr>
            </w:pPr>
            <w:r w:rsidRPr="00C73C47">
              <w:rPr>
                <w:rFonts w:ascii="Arial Narrow" w:hAnsi="Arial Narrow"/>
                <w:color w:val="000000"/>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color w:val="000000"/>
                <w:sz w:val="18"/>
                <w:szCs w:val="18"/>
                <w:lang w:val="en-AU"/>
              </w:rPr>
              <w:t>]</w:t>
            </w:r>
          </w:p>
        </w:tc>
        <w:tc>
          <w:tcPr>
            <w:tcW w:w="922" w:type="dxa"/>
            <w:vAlign w:val="center"/>
          </w:tcPr>
          <w:p w:rsidR="00675D5E" w:rsidRPr="00C73C47" w:rsidRDefault="00675D5E" w:rsidP="00D70360">
            <w:pPr>
              <w:jc w:val="center"/>
              <w:rPr>
                <w:rFonts w:ascii="Arial Narrow" w:hAnsi="Arial Narrow"/>
                <w:b/>
                <w:iCs/>
                <w:sz w:val="18"/>
                <w:szCs w:val="18"/>
                <w:lang w:val="en-AU"/>
              </w:rPr>
            </w:pPr>
            <w:r w:rsidRPr="00C73C47">
              <w:rPr>
                <w:rFonts w:ascii="Arial Narrow" w:hAnsi="Arial Narrow"/>
                <w:b/>
                <w:iCs/>
                <w:sz w:val="18"/>
                <w:szCs w:val="18"/>
                <w:lang w:val="en-AU"/>
              </w:rPr>
              <w:t>0.28</w:t>
            </w:r>
          </w:p>
          <w:p w:rsidR="00675D5E" w:rsidRPr="00C73C47" w:rsidRDefault="00675D5E" w:rsidP="00D70360">
            <w:pPr>
              <w:jc w:val="center"/>
              <w:rPr>
                <w:rFonts w:ascii="Arial Narrow" w:hAnsi="Arial Narrow"/>
                <w:iCs/>
                <w:sz w:val="18"/>
                <w:szCs w:val="18"/>
                <w:lang w:val="en-AU"/>
              </w:rPr>
            </w:pPr>
            <w:r w:rsidRPr="00C73C47">
              <w:rPr>
                <w:rFonts w:ascii="Arial Narrow" w:hAnsi="Arial Narrow"/>
                <w:b/>
                <w:iCs/>
                <w:sz w:val="18"/>
                <w:szCs w:val="18"/>
                <w:lang w:val="en-AU"/>
              </w:rPr>
              <w:t>[</w:t>
            </w:r>
            <w:r w:rsidRPr="004F2C96">
              <w:rPr>
                <w:rFonts w:ascii="Arial Narrow" w:hAnsi="Arial Narrow"/>
                <w:b/>
                <w:iCs/>
                <w:sz w:val="18"/>
                <w:szCs w:val="18"/>
                <w:lang w:val="en-AU"/>
              </w:rPr>
              <w:t>0.09, 0.84</w:t>
            </w:r>
            <w:r w:rsidRPr="00C73C47">
              <w:rPr>
                <w:rFonts w:ascii="Arial Narrow" w:hAnsi="Arial Narrow"/>
                <w:b/>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0.9</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UST45mg</w:t>
            </w:r>
          </w:p>
        </w:tc>
        <w:tc>
          <w:tcPr>
            <w:tcW w:w="921" w:type="dxa"/>
            <w:vAlign w:val="center"/>
          </w:tcPr>
          <w:p w:rsidR="00675D5E" w:rsidRPr="00C73C47" w:rsidRDefault="00B46D1E" w:rsidP="00D70360">
            <w:pPr>
              <w:jc w:val="center"/>
              <w:rPr>
                <w:rFonts w:ascii="Arial Narrow" w:hAnsi="Arial Narrow"/>
                <w:iCs/>
                <w:sz w:val="18"/>
                <w:szCs w:val="18"/>
                <w:lang w:val="en-AU"/>
              </w:rPr>
            </w:pPr>
            <w:r w:rsidRPr="00C73C47">
              <w:rPr>
                <w:rFonts w:ascii="Arial Narrow" w:hAnsi="Arial Narrow"/>
                <w:iCs/>
                <w:sz w:val="18"/>
                <w:szCs w:val="18"/>
                <w:lang w:val="en-AU"/>
              </w:rPr>
              <w:t>1.08</w:t>
            </w:r>
          </w:p>
          <w:p w:rsidR="00675D5E" w:rsidRPr="00C73C47" w:rsidRDefault="00B46D1E" w:rsidP="00D70360">
            <w:pPr>
              <w:jc w:val="center"/>
              <w:rPr>
                <w:rFonts w:ascii="Arial Narrow" w:hAnsi="Arial Narrow"/>
                <w:iCs/>
                <w:sz w:val="18"/>
                <w:szCs w:val="18"/>
                <w:lang w:val="en-AU"/>
              </w:rPr>
            </w:pPr>
            <w:r w:rsidRPr="00C73C47">
              <w:rPr>
                <w:rFonts w:ascii="Arial Narrow" w:hAnsi="Arial Narrow"/>
                <w:iCs/>
                <w:sz w:val="18"/>
                <w:szCs w:val="18"/>
                <w:lang w:val="en-AU"/>
              </w:rPr>
              <w:t>[</w:t>
            </w:r>
            <w:r w:rsidRPr="004F2C96">
              <w:rPr>
                <w:rFonts w:ascii="Arial Narrow" w:hAnsi="Arial Narrow"/>
                <w:iCs/>
                <w:sz w:val="18"/>
                <w:szCs w:val="18"/>
                <w:lang w:val="en-AU"/>
              </w:rPr>
              <w:t>0.70, 1.67</w:t>
            </w:r>
            <w:r w:rsidR="00675D5E"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1.31</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1.23</w:t>
            </w:r>
          </w:p>
          <w:p w:rsidR="00675D5E" w:rsidRPr="00C73C47" w:rsidRDefault="00675D5E" w:rsidP="00D70360">
            <w:pPr>
              <w:jc w:val="center"/>
              <w:rPr>
                <w:rFonts w:ascii="Arial Narrow" w:hAnsi="Arial Narrow"/>
                <w:iCs/>
                <w:sz w:val="18"/>
                <w:szCs w:val="18"/>
                <w:lang w:val="en-AU"/>
              </w:rPr>
            </w:pPr>
            <w:r w:rsidRPr="004F2C96">
              <w:rPr>
                <w:rFonts w:ascii="Arial Narrow" w:hAnsi="Arial Narrow"/>
                <w:iCs/>
                <w:sz w:val="18"/>
                <w:szCs w:val="18"/>
                <w:lang w:val="en-AU"/>
              </w:rPr>
              <w:t>0.81, 1.88</w:t>
            </w: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1.32</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NR</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NR</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1.21*</w:t>
            </w:r>
          </w:p>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r w:rsidRPr="004F2C96">
              <w:rPr>
                <w:rFonts w:ascii="Arial Narrow" w:hAnsi="Arial Narrow"/>
                <w:iCs/>
                <w:sz w:val="18"/>
                <w:szCs w:val="18"/>
                <w:lang w:val="en-AU"/>
              </w:rPr>
              <w:t>0.64, 2.27</w:t>
            </w: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1.66</w:t>
            </w:r>
          </w:p>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w:t>
            </w:r>
            <w:r w:rsidR="00B77C4A">
              <w:rPr>
                <w:rFonts w:ascii="Arial Narrow" w:hAnsi="Arial Narrow"/>
                <w:noProof/>
                <w:color w:val="000000"/>
                <w:sz w:val="18"/>
                <w:szCs w:val="18"/>
                <w:highlight w:val="black"/>
                <w:lang w:val="en-AU"/>
              </w:rPr>
              <w:t>''''''''''' ''''''''''</w:t>
            </w:r>
            <w:r w:rsidRPr="00C73C47">
              <w:rPr>
                <w:rFonts w:ascii="Arial Narrow" w:hAnsi="Arial Narrow"/>
                <w:sz w:val="18"/>
                <w:szCs w:val="18"/>
                <w:lang w:val="en-AU"/>
              </w:rPr>
              <w:t>]</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 xml:space="preserve">Dres </w:t>
            </w:r>
          </w:p>
        </w:tc>
        <w:tc>
          <w:tcPr>
            <w:tcW w:w="921"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106.6</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88.21</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79.96</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80.88</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pD</w:t>
            </w:r>
          </w:p>
        </w:tc>
        <w:tc>
          <w:tcPr>
            <w:tcW w:w="921"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17.86</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14.29</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14.31</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13.96</w:t>
            </w:r>
          </w:p>
        </w:tc>
      </w:tr>
      <w:tr w:rsidR="00675D5E" w:rsidRPr="00C73C47" w:rsidTr="00A63122">
        <w:trPr>
          <w:tblHeader w:val="0"/>
        </w:trPr>
        <w:tc>
          <w:tcPr>
            <w:tcW w:w="992" w:type="dxa"/>
            <w:shd w:val="clear" w:color="auto" w:fill="auto"/>
            <w:vAlign w:val="center"/>
          </w:tcPr>
          <w:p w:rsidR="00675D5E" w:rsidRPr="00C73C47" w:rsidRDefault="00675D5E" w:rsidP="00D70360">
            <w:pPr>
              <w:jc w:val="left"/>
              <w:rPr>
                <w:rFonts w:ascii="Arial Narrow" w:hAnsi="Arial Narrow"/>
                <w:sz w:val="18"/>
                <w:szCs w:val="18"/>
                <w:lang w:val="en-AU"/>
              </w:rPr>
            </w:pPr>
            <w:r w:rsidRPr="00C73C47">
              <w:rPr>
                <w:rFonts w:ascii="Arial Narrow" w:hAnsi="Arial Narrow"/>
                <w:sz w:val="18"/>
                <w:szCs w:val="18"/>
                <w:lang w:val="en-AU"/>
              </w:rPr>
              <w:t>DIC</w:t>
            </w:r>
          </w:p>
        </w:tc>
        <w:tc>
          <w:tcPr>
            <w:tcW w:w="921"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124.5</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shd w:val="clear" w:color="auto" w:fill="auto"/>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102.5</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94.27</w:t>
            </w:r>
          </w:p>
        </w:tc>
        <w:tc>
          <w:tcPr>
            <w:tcW w:w="922" w:type="dxa"/>
            <w:vAlign w:val="center"/>
          </w:tcPr>
          <w:p w:rsidR="00675D5E" w:rsidRPr="00C73C47" w:rsidRDefault="00675D5E" w:rsidP="00D70360">
            <w:pPr>
              <w:jc w:val="center"/>
              <w:rPr>
                <w:rFonts w:ascii="Arial Narrow" w:hAnsi="Arial Narrow"/>
                <w:iCs/>
                <w:sz w:val="18"/>
                <w:szCs w:val="18"/>
                <w:lang w:val="en-AU"/>
              </w:rPr>
            </w:pPr>
            <w:r w:rsidRPr="00C73C47">
              <w:rPr>
                <w:rFonts w:ascii="Arial Narrow" w:hAnsi="Arial Narrow"/>
                <w:iCs/>
                <w:sz w:val="18"/>
                <w:szCs w:val="18"/>
                <w:lang w:val="en-AU"/>
              </w:rPr>
              <w:t>-</w:t>
            </w:r>
          </w:p>
        </w:tc>
        <w:tc>
          <w:tcPr>
            <w:tcW w:w="922" w:type="dxa"/>
            <w:vAlign w:val="center"/>
          </w:tcPr>
          <w:p w:rsidR="00675D5E" w:rsidRPr="00C73C47" w:rsidRDefault="00675D5E" w:rsidP="00D70360">
            <w:pPr>
              <w:jc w:val="center"/>
              <w:rPr>
                <w:rFonts w:ascii="Arial Narrow" w:hAnsi="Arial Narrow"/>
                <w:sz w:val="18"/>
                <w:szCs w:val="18"/>
                <w:lang w:val="en-AU"/>
              </w:rPr>
            </w:pPr>
            <w:r w:rsidRPr="00C73C47">
              <w:rPr>
                <w:rFonts w:ascii="Arial Narrow" w:hAnsi="Arial Narrow"/>
                <w:sz w:val="18"/>
                <w:szCs w:val="18"/>
                <w:lang w:val="en-AU"/>
              </w:rPr>
              <w:t>94.84</w:t>
            </w:r>
          </w:p>
        </w:tc>
      </w:tr>
    </w:tbl>
    <w:p w:rsidR="002523C1" w:rsidRPr="00C73C47" w:rsidRDefault="002523C1" w:rsidP="002523C1">
      <w:pPr>
        <w:ind w:left="709"/>
        <w:rPr>
          <w:rFonts w:ascii="Arial Narrow" w:hAnsi="Arial Narrow"/>
          <w:sz w:val="16"/>
          <w:szCs w:val="14"/>
        </w:rPr>
      </w:pPr>
      <w:r w:rsidRPr="00C73C47">
        <w:rPr>
          <w:rFonts w:ascii="Arial Narrow" w:hAnsi="Arial Narrow"/>
          <w:sz w:val="16"/>
          <w:szCs w:val="14"/>
        </w:rPr>
        <w:t>Bolded typography indicates statistically significant results.  Abbreviation: b Abbreviations: Dres (residual deviance), effective number of parameters, DIC=smaller numbers indicate better model fit. b=beta estimate for placebo rate from the MTC, if beta=-1, the effect of placebo rate in any given study is completely removed, so the analysis is basically comparing absolute effects.  CRI=credible interval</w:t>
      </w:r>
    </w:p>
    <w:p w:rsidR="002523C1" w:rsidRPr="00C73C47" w:rsidRDefault="002523C1" w:rsidP="002523C1">
      <w:pPr>
        <w:ind w:left="709"/>
        <w:rPr>
          <w:rFonts w:ascii="Arial Narrow" w:hAnsi="Arial Narrow"/>
          <w:sz w:val="16"/>
          <w:szCs w:val="14"/>
        </w:rPr>
      </w:pPr>
      <w:r w:rsidRPr="00C73C47">
        <w:rPr>
          <w:rFonts w:ascii="Arial Narrow" w:hAnsi="Arial Narrow"/>
          <w:sz w:val="16"/>
          <w:szCs w:val="14"/>
        </w:rPr>
        <w:t>*</w:t>
      </w:r>
      <w:r w:rsidRPr="00C73C47">
        <w:rPr>
          <w:rFonts w:ascii="Arial Narrow" w:hAnsi="Arial Narrow"/>
          <w:sz w:val="16"/>
          <w:szCs w:val="14"/>
        </w:rPr>
        <w:tab/>
        <w:t xml:space="preserve"> includes both TNF-</w:t>
      </w:r>
      <w:r w:rsidRPr="00C73C47">
        <w:rPr>
          <w:rFonts w:ascii="Arial Narrow" w:hAnsi="Arial Narrow"/>
          <w:sz w:val="16"/>
          <w:szCs w:val="14"/>
        </w:rPr>
        <w:sym w:font="Symbol" w:char="F061"/>
      </w:r>
      <w:r w:rsidRPr="00C73C47">
        <w:rPr>
          <w:rFonts w:ascii="Arial Narrow" w:hAnsi="Arial Narrow"/>
          <w:sz w:val="16"/>
          <w:szCs w:val="14"/>
        </w:rPr>
        <w:t xml:space="preserve"> inhibitor naïve and experienced patients. </w:t>
      </w:r>
    </w:p>
    <w:p w:rsidR="002523C1" w:rsidRPr="00C73C47" w:rsidRDefault="002523C1" w:rsidP="002523C1">
      <w:pPr>
        <w:ind w:left="709"/>
        <w:rPr>
          <w:rFonts w:ascii="Arial Narrow" w:hAnsi="Arial Narrow"/>
          <w:sz w:val="16"/>
          <w:szCs w:val="16"/>
        </w:rPr>
      </w:pPr>
      <w:r w:rsidRPr="00C73C47">
        <w:rPr>
          <w:rFonts w:ascii="Arial Narrow" w:hAnsi="Arial Narrow"/>
          <w:sz w:val="16"/>
          <w:szCs w:val="16"/>
        </w:rPr>
        <w:t>Source: Tables B-47 (p111) and B-49 (p114) (UCB Biosciences GmbH 2014), Table 9, p.11, Appendix C, Relative Risk Results-Placebo Effect.xlsx, ACR20_12wks_Placebo_Random, ACR20_24wks_Placebo_Random</w:t>
      </w:r>
    </w:p>
    <w:p w:rsidR="00B31ADF" w:rsidRPr="00C73C47" w:rsidRDefault="00B31ADF" w:rsidP="00A211F8">
      <w:pPr>
        <w:ind w:left="709"/>
        <w:rPr>
          <w:rFonts w:ascii="Arial Narrow" w:hAnsi="Arial Narrow"/>
          <w:sz w:val="18"/>
          <w:szCs w:val="18"/>
        </w:rPr>
      </w:pPr>
    </w:p>
    <w:p w:rsidR="00DF2F4D" w:rsidRPr="00976337" w:rsidRDefault="00853AF4" w:rsidP="00976337">
      <w:pPr>
        <w:pStyle w:val="ListParagraph"/>
        <w:numPr>
          <w:ilvl w:val="1"/>
          <w:numId w:val="5"/>
        </w:numPr>
        <w:rPr>
          <w:szCs w:val="22"/>
        </w:rPr>
      </w:pPr>
      <w:r w:rsidRPr="00325A48">
        <w:rPr>
          <w:szCs w:val="22"/>
        </w:rPr>
        <w:t>The ESC noted that t</w:t>
      </w:r>
      <w:r w:rsidR="00DF2F4D" w:rsidRPr="00325A48">
        <w:rPr>
          <w:szCs w:val="22"/>
        </w:rPr>
        <w:t xml:space="preserve">he </w:t>
      </w:r>
      <w:r w:rsidR="00DF2F4D" w:rsidRPr="00976337">
        <w:rPr>
          <w:szCs w:val="22"/>
        </w:rPr>
        <w:t>results of the adjusted MTC contradict</w:t>
      </w:r>
      <w:r w:rsidRPr="00976337">
        <w:rPr>
          <w:szCs w:val="22"/>
        </w:rPr>
        <w:t>ed</w:t>
      </w:r>
      <w:r w:rsidR="00B22B2A" w:rsidRPr="00976337">
        <w:rPr>
          <w:szCs w:val="22"/>
        </w:rPr>
        <w:t xml:space="preserve"> the</w:t>
      </w:r>
      <w:r w:rsidR="00DF2F4D" w:rsidRPr="00976337">
        <w:rPr>
          <w:szCs w:val="22"/>
        </w:rPr>
        <w:t xml:space="preserve"> conclusions derived from</w:t>
      </w:r>
      <w:r w:rsidR="00612EEB">
        <w:rPr>
          <w:szCs w:val="22"/>
        </w:rPr>
        <w:t xml:space="preserve"> standard indirect comparisons. </w:t>
      </w:r>
      <w:r w:rsidR="00CE2160" w:rsidRPr="00976337">
        <w:rPr>
          <w:szCs w:val="22"/>
        </w:rPr>
        <w:t>Standard unadjusted indirect comparisons suggest</w:t>
      </w:r>
      <w:r w:rsidRPr="00976337">
        <w:rPr>
          <w:szCs w:val="22"/>
        </w:rPr>
        <w:t>ed</w:t>
      </w:r>
      <w:r w:rsidR="00CE2160" w:rsidRPr="00976337">
        <w:rPr>
          <w:szCs w:val="22"/>
        </w:rPr>
        <w:t xml:space="preserve"> </w:t>
      </w:r>
      <w:r w:rsidR="00413E6B" w:rsidRPr="00976337">
        <w:rPr>
          <w:szCs w:val="22"/>
        </w:rPr>
        <w:t xml:space="preserve">CZP </w:t>
      </w:r>
      <w:r w:rsidR="00CE2160" w:rsidRPr="00976337">
        <w:rPr>
          <w:szCs w:val="22"/>
        </w:rPr>
        <w:t>to be inferior to all currently PBS listed bDMARDs in ter</w:t>
      </w:r>
      <w:r w:rsidR="00612EEB">
        <w:rPr>
          <w:szCs w:val="22"/>
        </w:rPr>
        <w:t>ms of ACR20 and ACR50 response.</w:t>
      </w:r>
      <w:r w:rsidR="00CE2160" w:rsidRPr="00976337">
        <w:rPr>
          <w:szCs w:val="22"/>
        </w:rPr>
        <w:t xml:space="preserve"> </w:t>
      </w:r>
      <w:r w:rsidR="0049262C" w:rsidRPr="00976337">
        <w:rPr>
          <w:szCs w:val="22"/>
        </w:rPr>
        <w:t xml:space="preserve">All </w:t>
      </w:r>
      <w:r w:rsidR="00DF2F4D" w:rsidRPr="00976337">
        <w:rPr>
          <w:szCs w:val="22"/>
        </w:rPr>
        <w:t>point estimate</w:t>
      </w:r>
      <w:r w:rsidR="0049262C" w:rsidRPr="00976337">
        <w:rPr>
          <w:szCs w:val="22"/>
        </w:rPr>
        <w:t>s</w:t>
      </w:r>
      <w:r w:rsidR="00DF2F4D" w:rsidRPr="00976337">
        <w:rPr>
          <w:szCs w:val="22"/>
        </w:rPr>
        <w:t xml:space="preserve"> of difference</w:t>
      </w:r>
      <w:r w:rsidR="0049262C" w:rsidRPr="00976337">
        <w:rPr>
          <w:szCs w:val="22"/>
        </w:rPr>
        <w:t>s</w:t>
      </w:r>
      <w:r w:rsidR="00DF2F4D" w:rsidRPr="00976337">
        <w:rPr>
          <w:szCs w:val="22"/>
        </w:rPr>
        <w:t xml:space="preserve"> in treatment effect </w:t>
      </w:r>
      <w:r w:rsidRPr="00976337">
        <w:rPr>
          <w:szCs w:val="22"/>
        </w:rPr>
        <w:t xml:space="preserve">did </w:t>
      </w:r>
      <w:r w:rsidR="00DF2F4D" w:rsidRPr="00976337">
        <w:rPr>
          <w:szCs w:val="22"/>
        </w:rPr>
        <w:t xml:space="preserve">not favour </w:t>
      </w:r>
      <w:r w:rsidR="00413E6B" w:rsidRPr="00976337">
        <w:rPr>
          <w:szCs w:val="22"/>
        </w:rPr>
        <w:t xml:space="preserve">CZP </w:t>
      </w:r>
      <w:r w:rsidR="00DF2F4D" w:rsidRPr="00976337">
        <w:rPr>
          <w:szCs w:val="22"/>
        </w:rPr>
        <w:t>and</w:t>
      </w:r>
      <w:r w:rsidR="0049262C" w:rsidRPr="00976337">
        <w:rPr>
          <w:szCs w:val="22"/>
        </w:rPr>
        <w:t xml:space="preserve"> </w:t>
      </w:r>
      <w:r w:rsidRPr="00976337">
        <w:rPr>
          <w:szCs w:val="22"/>
        </w:rPr>
        <w:t xml:space="preserve">were </w:t>
      </w:r>
      <w:r w:rsidR="00DF2F4D" w:rsidRPr="00976337">
        <w:rPr>
          <w:szCs w:val="22"/>
        </w:rPr>
        <w:t>statistical</w:t>
      </w:r>
      <w:r w:rsidR="00B22B2A" w:rsidRPr="00976337">
        <w:rPr>
          <w:szCs w:val="22"/>
        </w:rPr>
        <w:t>ly</w:t>
      </w:r>
      <w:r w:rsidR="00DF2F4D" w:rsidRPr="00976337">
        <w:rPr>
          <w:szCs w:val="22"/>
        </w:rPr>
        <w:t xml:space="preserve"> significant</w:t>
      </w:r>
      <w:r w:rsidR="00B22B2A" w:rsidRPr="00976337">
        <w:rPr>
          <w:szCs w:val="22"/>
        </w:rPr>
        <w:t>ly</w:t>
      </w:r>
      <w:r w:rsidR="00DF2F4D" w:rsidRPr="00976337">
        <w:rPr>
          <w:szCs w:val="22"/>
        </w:rPr>
        <w:t xml:space="preserve"> worse </w:t>
      </w:r>
      <w:r w:rsidR="0049262C" w:rsidRPr="00976337">
        <w:rPr>
          <w:szCs w:val="22"/>
        </w:rPr>
        <w:t xml:space="preserve">than currently PBS </w:t>
      </w:r>
      <w:r w:rsidR="0049262C" w:rsidRPr="00976337">
        <w:rPr>
          <w:szCs w:val="22"/>
        </w:rPr>
        <w:lastRenderedPageBreak/>
        <w:t xml:space="preserve">listed bDMARDs </w:t>
      </w:r>
      <w:r w:rsidR="00DF2F4D" w:rsidRPr="00976337">
        <w:rPr>
          <w:szCs w:val="22"/>
        </w:rPr>
        <w:t xml:space="preserve">for ACR20 and ACR50 outcomes </w:t>
      </w:r>
      <w:r w:rsidR="00A73DB5" w:rsidRPr="00976337">
        <w:rPr>
          <w:szCs w:val="22"/>
        </w:rPr>
        <w:t>at Weeks 12</w:t>
      </w:r>
      <w:r w:rsidR="00A73DB5" w:rsidRPr="00976337">
        <w:rPr>
          <w:szCs w:val="22"/>
        </w:rPr>
        <w:noBreakHyphen/>
      </w:r>
      <w:r w:rsidR="00675D5E" w:rsidRPr="00976337">
        <w:rPr>
          <w:szCs w:val="22"/>
        </w:rPr>
        <w:t xml:space="preserve">16 (except for ADA for ACR20) </w:t>
      </w:r>
      <w:r w:rsidR="00DF2F4D" w:rsidRPr="00976337">
        <w:rPr>
          <w:szCs w:val="22"/>
        </w:rPr>
        <w:t xml:space="preserve">using the </w:t>
      </w:r>
      <w:r w:rsidR="005C7E1E" w:rsidRPr="00976337">
        <w:rPr>
          <w:szCs w:val="22"/>
        </w:rPr>
        <w:t xml:space="preserve">standard </w:t>
      </w:r>
      <w:r w:rsidR="00DF2F4D" w:rsidRPr="00976337">
        <w:rPr>
          <w:szCs w:val="22"/>
        </w:rPr>
        <w:t xml:space="preserve">indirect relative risk statistic.  </w:t>
      </w:r>
    </w:p>
    <w:p w:rsidR="00DF2F4D" w:rsidRPr="00C73C47" w:rsidRDefault="00DF2F4D" w:rsidP="00DF2F4D">
      <w:pPr>
        <w:ind w:left="709"/>
        <w:rPr>
          <w:iCs/>
        </w:rPr>
      </w:pPr>
    </w:p>
    <w:p w:rsidR="00DF2F4D" w:rsidRPr="00976337" w:rsidRDefault="00DF2F4D" w:rsidP="00976337">
      <w:pPr>
        <w:pStyle w:val="ListParagraph"/>
        <w:numPr>
          <w:ilvl w:val="1"/>
          <w:numId w:val="5"/>
        </w:numPr>
        <w:rPr>
          <w:szCs w:val="22"/>
        </w:rPr>
      </w:pPr>
      <w:r w:rsidRPr="00976337">
        <w:rPr>
          <w:szCs w:val="22"/>
        </w:rPr>
        <w:t xml:space="preserve">By contrast, the adjusted MTC </w:t>
      </w:r>
      <w:r w:rsidR="00853AF4" w:rsidRPr="00976337">
        <w:rPr>
          <w:szCs w:val="22"/>
        </w:rPr>
        <w:t xml:space="preserve">did </w:t>
      </w:r>
      <w:r w:rsidRPr="00976337">
        <w:rPr>
          <w:szCs w:val="22"/>
        </w:rPr>
        <w:t>not find any statistically significant differences between CZP and other comparators for either ACR20 or AC</w:t>
      </w:r>
      <w:r w:rsidR="00612EEB">
        <w:rPr>
          <w:szCs w:val="22"/>
        </w:rPr>
        <w:t>R50 response at any time point.</w:t>
      </w:r>
      <w:r w:rsidRPr="00976337">
        <w:rPr>
          <w:szCs w:val="22"/>
        </w:rPr>
        <w:t xml:space="preserve"> Based on the MTC results, particularly t</w:t>
      </w:r>
      <w:r w:rsidR="00A73DB5" w:rsidRPr="00976337">
        <w:rPr>
          <w:szCs w:val="22"/>
        </w:rPr>
        <w:t>he results for ACR20 at Week 12</w:t>
      </w:r>
      <w:r w:rsidR="00A73DB5" w:rsidRPr="00976337">
        <w:rPr>
          <w:szCs w:val="22"/>
        </w:rPr>
        <w:noBreakHyphen/>
      </w:r>
      <w:r w:rsidRPr="00976337">
        <w:rPr>
          <w:szCs w:val="22"/>
        </w:rPr>
        <w:t xml:space="preserve">16, the submission </w:t>
      </w:r>
      <w:r w:rsidR="00853AF4" w:rsidRPr="00976337">
        <w:rPr>
          <w:szCs w:val="22"/>
        </w:rPr>
        <w:t xml:space="preserve">claimed </w:t>
      </w:r>
      <w:r w:rsidRPr="00976337">
        <w:rPr>
          <w:szCs w:val="22"/>
        </w:rPr>
        <w:t>that since the lower 95%</w:t>
      </w:r>
      <w:r w:rsidR="00612EEB">
        <w:rPr>
          <w:szCs w:val="22"/>
        </w:rPr>
        <w:t xml:space="preserve"> </w:t>
      </w:r>
      <w:r w:rsidRPr="00976337">
        <w:rPr>
          <w:szCs w:val="22"/>
        </w:rPr>
        <w:t>CI of CZP versus ADA is 0.60 (thus exceeding the nominated MCID of 0.46) non-inferiority of CZP to ADA can be established.</w:t>
      </w:r>
    </w:p>
    <w:p w:rsidR="00853AF4" w:rsidRDefault="00853AF4" w:rsidP="00DF2F4D">
      <w:pPr>
        <w:ind w:left="709"/>
        <w:rPr>
          <w:iCs/>
        </w:rPr>
      </w:pPr>
    </w:p>
    <w:p w:rsidR="00C2165E" w:rsidRPr="00C2165E" w:rsidRDefault="00C2165E" w:rsidP="00C2165E">
      <w:pPr>
        <w:ind w:left="709"/>
        <w:rPr>
          <w:i/>
          <w:szCs w:val="22"/>
        </w:rPr>
      </w:pPr>
      <w:r>
        <w:rPr>
          <w:i/>
          <w:szCs w:val="22"/>
        </w:rPr>
        <w:t>For more detail on PBAC’s view, see section 7 “PBAC outcome”</w:t>
      </w:r>
    </w:p>
    <w:p w:rsidR="00C2165E" w:rsidRDefault="00C2165E" w:rsidP="005874F8">
      <w:pPr>
        <w:pStyle w:val="BodyText"/>
      </w:pPr>
      <w:bookmarkStart w:id="23" w:name="_Toc392858196"/>
      <w:bookmarkStart w:id="24" w:name="_Toc398646048"/>
    </w:p>
    <w:p w:rsidR="00A211F8" w:rsidRPr="005874F8" w:rsidRDefault="00A211F8" w:rsidP="005874F8">
      <w:pPr>
        <w:pStyle w:val="BodyText"/>
        <w:rPr>
          <w:b/>
        </w:rPr>
      </w:pPr>
      <w:r w:rsidRPr="005874F8">
        <w:rPr>
          <w:b/>
        </w:rPr>
        <w:t>Comparative harms</w:t>
      </w:r>
      <w:bookmarkEnd w:id="23"/>
      <w:bookmarkEnd w:id="24"/>
    </w:p>
    <w:p w:rsidR="00A211F8" w:rsidRPr="00C73C47" w:rsidRDefault="00A211F8" w:rsidP="005874F8">
      <w:pPr>
        <w:pStyle w:val="BodyText"/>
      </w:pPr>
    </w:p>
    <w:p w:rsidR="00030581" w:rsidRPr="00C73C47" w:rsidRDefault="00030581" w:rsidP="00467428">
      <w:pPr>
        <w:pStyle w:val="ListParagraph"/>
        <w:widowControl/>
        <w:numPr>
          <w:ilvl w:val="1"/>
          <w:numId w:val="5"/>
        </w:numPr>
        <w:rPr>
          <w:szCs w:val="22"/>
        </w:rPr>
      </w:pPr>
      <w:r w:rsidRPr="00C73C47">
        <w:t xml:space="preserve">Comparative safety data </w:t>
      </w:r>
      <w:r w:rsidR="00936BA8">
        <w:t>were</w:t>
      </w:r>
      <w:r w:rsidR="00936BA8" w:rsidRPr="00C73C47">
        <w:t xml:space="preserve"> </w:t>
      </w:r>
      <w:r w:rsidRPr="00C73C47">
        <w:t>not provided in the submission due to a lack of available or consistent pres</w:t>
      </w:r>
      <w:r w:rsidR="00612EEB">
        <w:t>entation of safety information.</w:t>
      </w:r>
      <w:r w:rsidRPr="00C73C47">
        <w:t xml:space="preserve"> However</w:t>
      </w:r>
      <w:r w:rsidR="00B22B2A" w:rsidRPr="00C73C47">
        <w:t>,</w:t>
      </w:r>
      <w:r w:rsidRPr="00C73C47">
        <w:t xml:space="preserve"> the absolute risk of adverse events did not appear to differ significantl</w:t>
      </w:r>
      <w:r w:rsidR="00612EEB">
        <w:t>y across the bDMARD</w:t>
      </w:r>
      <w:r w:rsidR="00DC4E19">
        <w:t>s</w:t>
      </w:r>
      <w:r w:rsidR="00612EEB">
        <w:t xml:space="preserve"> treatment.</w:t>
      </w:r>
      <w:r w:rsidR="00B22B2A" w:rsidRPr="00C73C47">
        <w:t xml:space="preserve"> </w:t>
      </w:r>
      <w:r w:rsidRPr="00C73C47">
        <w:t>Overall</w:t>
      </w:r>
      <w:r w:rsidR="00B22B2A" w:rsidRPr="00C73C47">
        <w:t>,</w:t>
      </w:r>
      <w:r w:rsidRPr="00C73C47">
        <w:t xml:space="preserve"> additional evidence available beyond the randomised controlled trials </w:t>
      </w:r>
      <w:r w:rsidR="00CE707B" w:rsidRPr="00C73C47">
        <w:t>support</w:t>
      </w:r>
      <w:r w:rsidR="00CE707B">
        <w:t>ed</w:t>
      </w:r>
      <w:r w:rsidR="00CE707B" w:rsidRPr="00C73C47">
        <w:t xml:space="preserve"> </w:t>
      </w:r>
      <w:r w:rsidRPr="00C73C47">
        <w:t xml:space="preserve">the safety </w:t>
      </w:r>
      <w:r w:rsidRPr="00936BA8">
        <w:t>profi</w:t>
      </w:r>
      <w:r w:rsidRPr="00167D65">
        <w:t xml:space="preserve">le </w:t>
      </w:r>
      <w:r w:rsidR="00612EEB">
        <w:t>were provided.</w:t>
      </w:r>
      <w:r w:rsidRPr="00C73C47">
        <w:t xml:space="preserve"> Comparatively, the safety profile of CZP </w:t>
      </w:r>
      <w:r w:rsidR="00CE707B">
        <w:t>was considered to be</w:t>
      </w:r>
      <w:r w:rsidR="00CE707B" w:rsidRPr="00C73C47">
        <w:t xml:space="preserve"> </w:t>
      </w:r>
      <w:r w:rsidRPr="00C73C47">
        <w:t>consistent with that expected of a bDMARD used in rheumatological indications.</w:t>
      </w:r>
    </w:p>
    <w:p w:rsidR="00030581" w:rsidRDefault="00030581" w:rsidP="00030581">
      <w:pPr>
        <w:pStyle w:val="ListParagraph"/>
        <w:widowControl/>
        <w:rPr>
          <w:szCs w:val="22"/>
        </w:rPr>
      </w:pPr>
    </w:p>
    <w:p w:rsidR="00C2165E" w:rsidRPr="00C2165E" w:rsidRDefault="00C2165E" w:rsidP="00030581">
      <w:pPr>
        <w:pStyle w:val="ListParagraph"/>
        <w:widowControl/>
        <w:rPr>
          <w:i/>
          <w:szCs w:val="22"/>
        </w:rPr>
      </w:pPr>
      <w:r>
        <w:rPr>
          <w:i/>
          <w:szCs w:val="22"/>
        </w:rPr>
        <w:t>For more detail on PBAC’s view, see section 7 “PBAC outcome”</w:t>
      </w:r>
    </w:p>
    <w:p w:rsidR="00C2165E" w:rsidRDefault="00C2165E" w:rsidP="005874F8">
      <w:pPr>
        <w:pStyle w:val="BodyText"/>
      </w:pPr>
      <w:bookmarkStart w:id="25" w:name="_Toc392858197"/>
      <w:bookmarkStart w:id="26" w:name="_Toc398646049"/>
    </w:p>
    <w:p w:rsidR="00A211F8" w:rsidRPr="005874F8" w:rsidRDefault="00A211F8" w:rsidP="005874F8">
      <w:pPr>
        <w:pStyle w:val="BodyText"/>
        <w:rPr>
          <w:b/>
        </w:rPr>
      </w:pPr>
      <w:r w:rsidRPr="005874F8">
        <w:rPr>
          <w:b/>
        </w:rPr>
        <w:t>Benefits/harms</w:t>
      </w:r>
      <w:bookmarkEnd w:id="25"/>
      <w:bookmarkEnd w:id="26"/>
    </w:p>
    <w:p w:rsidR="00A211F8" w:rsidRPr="00C73C47" w:rsidRDefault="00A211F8" w:rsidP="00A211F8">
      <w:pPr>
        <w:pStyle w:val="ListParagraph"/>
        <w:ind w:left="0"/>
        <w:rPr>
          <w:szCs w:val="22"/>
        </w:rPr>
      </w:pPr>
    </w:p>
    <w:p w:rsidR="0008514C" w:rsidRPr="00976337" w:rsidRDefault="0008514C" w:rsidP="00976337">
      <w:pPr>
        <w:pStyle w:val="ListParagraph"/>
        <w:widowControl/>
        <w:numPr>
          <w:ilvl w:val="1"/>
          <w:numId w:val="5"/>
        </w:numPr>
      </w:pPr>
      <w:r w:rsidRPr="00976337">
        <w:t xml:space="preserve">No statistically significant differences in the proportion of patients achieving ACR50 </w:t>
      </w:r>
      <w:r w:rsidRPr="0008514C">
        <w:t>response</w:t>
      </w:r>
      <w:r w:rsidRPr="00976337">
        <w:t xml:space="preserve"> at 12 weeks were observed between </w:t>
      </w:r>
      <w:r w:rsidR="00CF2C23" w:rsidRPr="00976337">
        <w:t>CZP</w:t>
      </w:r>
      <w:r w:rsidRPr="00976337">
        <w:t xml:space="preserve"> and </w:t>
      </w:r>
      <w:r w:rsidR="00CF2C23" w:rsidRPr="00976337">
        <w:t>ADA</w:t>
      </w:r>
      <w:r w:rsidRPr="00976337">
        <w:t xml:space="preserve"> or </w:t>
      </w:r>
      <w:r w:rsidR="00CF2C23" w:rsidRPr="00976337">
        <w:t>ETC</w:t>
      </w:r>
      <w:r w:rsidRPr="00976337">
        <w:t xml:space="preserve"> in the MTC presented in the submission.</w:t>
      </w:r>
    </w:p>
    <w:p w:rsidR="0008514C" w:rsidRPr="00976337" w:rsidRDefault="0008514C" w:rsidP="00976337">
      <w:pPr>
        <w:pStyle w:val="ListParagraph"/>
        <w:widowControl/>
      </w:pPr>
    </w:p>
    <w:p w:rsidR="0008514C" w:rsidRDefault="0008514C" w:rsidP="00976337">
      <w:pPr>
        <w:pStyle w:val="ListParagraph"/>
        <w:widowControl/>
        <w:numPr>
          <w:ilvl w:val="1"/>
          <w:numId w:val="5"/>
        </w:numPr>
      </w:pPr>
      <w:r>
        <w:t xml:space="preserve">There are no statistically significant differences in the safety profiles of </w:t>
      </w:r>
      <w:r w:rsidR="00CF2C23">
        <w:t>CZP</w:t>
      </w:r>
      <w:r>
        <w:t xml:space="preserve">, </w:t>
      </w:r>
      <w:r w:rsidR="00CF2C23">
        <w:t>ADA</w:t>
      </w:r>
      <w:r>
        <w:t xml:space="preserve"> or </w:t>
      </w:r>
      <w:r w:rsidR="00CF2C23">
        <w:t>ETC</w:t>
      </w:r>
      <w:r w:rsidRPr="008D4FB9">
        <w:t>.</w:t>
      </w:r>
    </w:p>
    <w:p w:rsidR="0008514C" w:rsidRPr="00C73C47" w:rsidRDefault="0008514C" w:rsidP="0008514C">
      <w:pPr>
        <w:widowControl/>
      </w:pPr>
    </w:p>
    <w:p w:rsidR="00A211F8" w:rsidRPr="005874F8" w:rsidRDefault="00A211F8" w:rsidP="005874F8">
      <w:pPr>
        <w:pStyle w:val="BodyText"/>
        <w:rPr>
          <w:b/>
        </w:rPr>
      </w:pPr>
      <w:bookmarkStart w:id="27" w:name="_Toc392858198"/>
      <w:bookmarkStart w:id="28" w:name="_Toc398646050"/>
      <w:r w:rsidRPr="005874F8">
        <w:rPr>
          <w:b/>
        </w:rPr>
        <w:t>Clinical claim</w:t>
      </w:r>
      <w:bookmarkEnd w:id="27"/>
      <w:bookmarkEnd w:id="28"/>
    </w:p>
    <w:p w:rsidR="00A211F8" w:rsidRPr="00C73C47" w:rsidRDefault="00A211F8" w:rsidP="00A211F8">
      <w:pPr>
        <w:ind w:left="720" w:hanging="720"/>
        <w:rPr>
          <w:szCs w:val="22"/>
        </w:rPr>
      </w:pPr>
    </w:p>
    <w:p w:rsidR="00482C85" w:rsidRPr="0064291A" w:rsidRDefault="004858CA" w:rsidP="0064291A">
      <w:pPr>
        <w:pStyle w:val="ListParagraph"/>
        <w:widowControl/>
        <w:numPr>
          <w:ilvl w:val="1"/>
          <w:numId w:val="5"/>
        </w:numPr>
      </w:pPr>
      <w:r w:rsidRPr="0064291A">
        <w:t xml:space="preserve">The submission </w:t>
      </w:r>
      <w:r w:rsidR="003A5B4C" w:rsidRPr="0064291A">
        <w:t xml:space="preserve">described </w:t>
      </w:r>
      <w:r w:rsidR="00413E6B" w:rsidRPr="0064291A">
        <w:t xml:space="preserve">CZP </w:t>
      </w:r>
      <w:r w:rsidRPr="0064291A">
        <w:t xml:space="preserve">as non-inferior in terms of comparative effectiveness and equivalent in terms of comparative safety over </w:t>
      </w:r>
      <w:r w:rsidR="00413E6B" w:rsidRPr="0064291A">
        <w:t>ADA</w:t>
      </w:r>
      <w:r w:rsidRPr="0064291A">
        <w:t xml:space="preserve">, </w:t>
      </w:r>
      <w:r w:rsidR="00413E6B" w:rsidRPr="0064291A">
        <w:t>ETC,GOL</w:t>
      </w:r>
      <w:r w:rsidR="00A63122" w:rsidRPr="0064291A">
        <w:t xml:space="preserve"> and </w:t>
      </w:r>
      <w:r w:rsidR="00413E6B" w:rsidRPr="0064291A">
        <w:t>INX</w:t>
      </w:r>
      <w:r w:rsidR="00612EEB" w:rsidRPr="0064291A">
        <w:t>.</w:t>
      </w:r>
      <w:r w:rsidRPr="0064291A">
        <w:t xml:space="preserve"> </w:t>
      </w:r>
    </w:p>
    <w:p w:rsidR="00482C85" w:rsidRDefault="00482C85" w:rsidP="00F23F8B">
      <w:pPr>
        <w:pStyle w:val="PBACHeading1"/>
        <w:numPr>
          <w:ilvl w:val="0"/>
          <w:numId w:val="0"/>
        </w:numPr>
        <w:ind w:left="720"/>
      </w:pPr>
    </w:p>
    <w:p w:rsidR="00C2165E" w:rsidRPr="00C2165E" w:rsidRDefault="00C2165E" w:rsidP="00F23F8B">
      <w:pPr>
        <w:pStyle w:val="PBACHeading1"/>
        <w:numPr>
          <w:ilvl w:val="0"/>
          <w:numId w:val="0"/>
        </w:numPr>
        <w:ind w:left="720"/>
        <w:rPr>
          <w:b w:val="0"/>
          <w:i/>
        </w:rPr>
      </w:pPr>
      <w:r w:rsidRPr="00C2165E">
        <w:rPr>
          <w:b w:val="0"/>
          <w:i/>
        </w:rPr>
        <w:t>For PBAC’s view, see section 7 “PBAC outcome”</w:t>
      </w:r>
    </w:p>
    <w:p w:rsidR="00F23F8B" w:rsidRPr="00F23F8B" w:rsidRDefault="00F23F8B" w:rsidP="00F23F8B">
      <w:bookmarkStart w:id="29" w:name="_Toc392858199"/>
      <w:bookmarkStart w:id="30" w:name="_Toc398646051"/>
    </w:p>
    <w:p w:rsidR="00A211F8" w:rsidRPr="005874F8" w:rsidRDefault="00A211F8" w:rsidP="005874F8">
      <w:pPr>
        <w:pStyle w:val="BodyText"/>
        <w:rPr>
          <w:b/>
        </w:rPr>
      </w:pPr>
      <w:r w:rsidRPr="005874F8">
        <w:rPr>
          <w:b/>
        </w:rPr>
        <w:t>Economic analysis</w:t>
      </w:r>
      <w:bookmarkEnd w:id="29"/>
      <w:bookmarkEnd w:id="30"/>
      <w:r w:rsidRPr="005874F8">
        <w:rPr>
          <w:b/>
        </w:rPr>
        <w:t xml:space="preserve"> </w:t>
      </w:r>
    </w:p>
    <w:p w:rsidR="00A211F8" w:rsidRPr="00C73C47" w:rsidRDefault="00A211F8" w:rsidP="00A211F8">
      <w:pPr>
        <w:ind w:left="720" w:hanging="720"/>
        <w:rPr>
          <w:szCs w:val="22"/>
        </w:rPr>
      </w:pPr>
    </w:p>
    <w:p w:rsidR="00482C85" w:rsidRPr="00C65E45" w:rsidRDefault="00DD08E0" w:rsidP="0064291A">
      <w:pPr>
        <w:pStyle w:val="ListParagraph"/>
        <w:widowControl/>
        <w:numPr>
          <w:ilvl w:val="1"/>
          <w:numId w:val="5"/>
        </w:numPr>
        <w:rPr>
          <w:szCs w:val="22"/>
        </w:rPr>
      </w:pPr>
      <w:r>
        <w:t>The submission presented a c</w:t>
      </w:r>
      <w:r w:rsidR="00A211F8" w:rsidRPr="00C73C47">
        <w:t>ost-minimisation</w:t>
      </w:r>
      <w:r w:rsidR="004858CA" w:rsidRPr="00C73C47">
        <w:t xml:space="preserve"> analysis</w:t>
      </w:r>
      <w:r w:rsidR="00407E34">
        <w:t>.</w:t>
      </w:r>
      <w:r w:rsidR="00A211F8" w:rsidRPr="00C73C47">
        <w:t xml:space="preserve"> The equi-effective doses </w:t>
      </w:r>
      <w:r w:rsidR="00B50138">
        <w:t>were</w:t>
      </w:r>
      <w:r w:rsidR="00B50138" w:rsidRPr="00C73C47">
        <w:t xml:space="preserve"> </w:t>
      </w:r>
      <w:r w:rsidR="00A211F8" w:rsidRPr="00C73C47">
        <w:t xml:space="preserve">estimated as </w:t>
      </w:r>
      <w:r w:rsidR="009423BB">
        <w:t>CZP</w:t>
      </w:r>
      <w:r w:rsidR="009423BB" w:rsidRPr="00C73C47">
        <w:t xml:space="preserve"> </w:t>
      </w:r>
      <w:r w:rsidR="004858CA" w:rsidRPr="00C73C47">
        <w:t xml:space="preserve">400mg at 0, 2, 4 followed by 200mg q2w or </w:t>
      </w:r>
      <w:r w:rsidR="005E4ABD">
        <w:t xml:space="preserve">400mg q4w versus ADA 40mg q2w. </w:t>
      </w:r>
      <w:r w:rsidR="004858CA" w:rsidRPr="00C73C47">
        <w:t xml:space="preserve">These </w:t>
      </w:r>
      <w:r w:rsidR="00B50138">
        <w:t>were</w:t>
      </w:r>
      <w:r w:rsidR="00B50138" w:rsidRPr="00C73C47">
        <w:t xml:space="preserve"> </w:t>
      </w:r>
      <w:r w:rsidR="004858CA" w:rsidRPr="00C73C47">
        <w:t>based on doses that were used in the t</w:t>
      </w:r>
      <w:r w:rsidR="000C514A" w:rsidRPr="00C73C47">
        <w:t xml:space="preserve">rials. </w:t>
      </w:r>
    </w:p>
    <w:p w:rsidR="000C514A" w:rsidRPr="0020113B" w:rsidRDefault="000C514A" w:rsidP="00C65E45">
      <w:pPr>
        <w:pStyle w:val="ListParagraph"/>
        <w:widowControl/>
        <w:rPr>
          <w:szCs w:val="22"/>
        </w:rPr>
      </w:pPr>
      <w:r w:rsidRPr="00C73C47">
        <w:t xml:space="preserve"> </w:t>
      </w:r>
    </w:p>
    <w:p w:rsidR="00FE2169" w:rsidRPr="00141BDF" w:rsidRDefault="00FE2169" w:rsidP="00B226E1">
      <w:pPr>
        <w:pStyle w:val="ListParagraph"/>
        <w:widowControl/>
        <w:numPr>
          <w:ilvl w:val="1"/>
          <w:numId w:val="5"/>
        </w:numPr>
      </w:pPr>
      <w:bookmarkStart w:id="31" w:name="_Toc392858200"/>
      <w:r w:rsidRPr="00141BDF">
        <w:t>As was</w:t>
      </w:r>
      <w:r w:rsidR="00A263A0" w:rsidRPr="00141BDF">
        <w:t xml:space="preserve"> the case</w:t>
      </w:r>
      <w:r w:rsidRPr="00141BDF">
        <w:t xml:space="preserve"> for the RA and AS indications,</w:t>
      </w:r>
      <w:r w:rsidR="00007318">
        <w:t xml:space="preserve"> </w:t>
      </w:r>
      <w:r w:rsidRPr="00141BDF">
        <w:t xml:space="preserve">treatment with CZP </w:t>
      </w:r>
      <w:r w:rsidR="00007318" w:rsidRPr="00141BDF">
        <w:t>compared to ADA</w:t>
      </w:r>
      <w:r w:rsidR="00007318">
        <w:t xml:space="preserve"> </w:t>
      </w:r>
      <w:r w:rsidRPr="00141BDF">
        <w:t>has higher costs upfront due to the need for loading doses.  For the RA and AS indications, the DPMQ of CZP was estimated using cost analysis of CZP versus ADA over a ty</w:t>
      </w:r>
      <w:r w:rsidR="00407E34" w:rsidRPr="00141BDF">
        <w:t xml:space="preserve">pical 2 year treatment period. </w:t>
      </w:r>
      <w:r w:rsidRPr="00141BDF">
        <w:t xml:space="preserve">The results of the analysis using the effective price is summarised in </w:t>
      </w:r>
      <w:r w:rsidR="00A04332">
        <w:t>the ta</w:t>
      </w:r>
      <w:r w:rsidRPr="00A04332">
        <w:t xml:space="preserve">ble </w:t>
      </w:r>
      <w:r w:rsidR="009423BB" w:rsidRPr="00141BDF">
        <w:t>below</w:t>
      </w:r>
      <w:r w:rsidR="00407E34" w:rsidRPr="00141BDF">
        <w:t xml:space="preserve">. </w:t>
      </w:r>
      <w:r w:rsidRPr="00141BDF">
        <w:t xml:space="preserve">It was estimated that treatment with CZP over </w:t>
      </w:r>
      <w:r w:rsidRPr="00141BDF">
        <w:lastRenderedPageBreak/>
        <w:t>a 2 year period (based on the effective price) results in an overall cost saving to government with an und</w:t>
      </w:r>
      <w:r w:rsidR="00407E34" w:rsidRPr="00141BDF">
        <w:t>iscounted saving of $</w:t>
      </w:r>
      <w:r w:rsidR="00B77C4A">
        <w:rPr>
          <w:noProof/>
          <w:color w:val="000000"/>
          <w:highlight w:val="black"/>
        </w:rPr>
        <w:t>'''''''''''''''''''</w:t>
      </w:r>
      <w:r w:rsidR="00407E34" w:rsidRPr="00141BDF">
        <w:t xml:space="preserve">. </w:t>
      </w:r>
      <w:r w:rsidRPr="00141BDF">
        <w:t>This was mainly driven by cost savings deri</w:t>
      </w:r>
      <w:r w:rsidR="00407E34" w:rsidRPr="00141BDF">
        <w:t xml:space="preserve">ved during continuing therapy. </w:t>
      </w:r>
      <w:r w:rsidRPr="00141BDF">
        <w:t>A similar analysis using the published price resulted in an additional cost of $</w:t>
      </w:r>
      <w:r w:rsidR="00B77C4A">
        <w:rPr>
          <w:noProof/>
          <w:color w:val="000000"/>
          <w:highlight w:val="black"/>
        </w:rPr>
        <w:t>''''''''''''''''</w:t>
      </w:r>
      <w:r w:rsidRPr="00141BDF">
        <w:t xml:space="preserve"> for CZP over 2 years.</w:t>
      </w:r>
    </w:p>
    <w:p w:rsidR="00FE2169" w:rsidRPr="00141BDF" w:rsidRDefault="00FE2169" w:rsidP="00FE2169"/>
    <w:p w:rsidR="00FE2169" w:rsidRPr="00141BDF" w:rsidRDefault="00FE2169" w:rsidP="005E4ABD">
      <w:pPr>
        <w:keepNext/>
        <w:ind w:left="709"/>
        <w:rPr>
          <w:rFonts w:ascii="Arial Narrow" w:hAnsi="Arial Narrow"/>
          <w:b/>
          <w:sz w:val="20"/>
        </w:rPr>
      </w:pPr>
      <w:r w:rsidRPr="00141BDF">
        <w:rPr>
          <w:rFonts w:ascii="Arial Narrow" w:hAnsi="Arial Narrow"/>
          <w:b/>
          <w:sz w:val="20"/>
        </w:rPr>
        <w:t>Cost of treatment over 2 years - CZP versus ADA at the effective price</w:t>
      </w:r>
    </w:p>
    <w:tbl>
      <w:tblPr>
        <w:tblStyle w:val="TableGrid"/>
        <w:tblW w:w="0" w:type="auto"/>
        <w:tblInd w:w="817" w:type="dxa"/>
        <w:tblLook w:val="04A0" w:firstRow="1" w:lastRow="0" w:firstColumn="1" w:lastColumn="0" w:noHBand="0" w:noVBand="1"/>
      </w:tblPr>
      <w:tblGrid>
        <w:gridCol w:w="736"/>
        <w:gridCol w:w="1278"/>
        <w:gridCol w:w="765"/>
        <w:gridCol w:w="1152"/>
        <w:gridCol w:w="1128"/>
        <w:gridCol w:w="1114"/>
        <w:gridCol w:w="1128"/>
        <w:gridCol w:w="1124"/>
      </w:tblGrid>
      <w:tr w:rsidR="00FE2169" w:rsidRPr="00141BDF" w:rsidTr="005E4ABD">
        <w:tc>
          <w:tcPr>
            <w:tcW w:w="2837" w:type="dxa"/>
            <w:gridSpan w:val="3"/>
          </w:tcPr>
          <w:p w:rsidR="00FE2169" w:rsidRPr="00141BDF" w:rsidRDefault="00FE2169" w:rsidP="00083B3A">
            <w:pPr>
              <w:rPr>
                <w:rFonts w:ascii="Arial Narrow" w:hAnsi="Arial Narrow"/>
                <w:sz w:val="20"/>
              </w:rPr>
            </w:pPr>
          </w:p>
        </w:tc>
        <w:tc>
          <w:tcPr>
            <w:tcW w:w="1114" w:type="dxa"/>
            <w:vAlign w:val="center"/>
          </w:tcPr>
          <w:p w:rsidR="00FE2169" w:rsidRPr="00141BDF" w:rsidRDefault="00FE2169" w:rsidP="00083B3A">
            <w:pPr>
              <w:jc w:val="center"/>
              <w:rPr>
                <w:rFonts w:ascii="Arial Narrow" w:hAnsi="Arial Narrow"/>
                <w:b/>
                <w:sz w:val="20"/>
              </w:rPr>
            </w:pPr>
            <w:r w:rsidRPr="00141BDF">
              <w:rPr>
                <w:rFonts w:ascii="Arial Narrow" w:hAnsi="Arial Narrow"/>
                <w:b/>
                <w:sz w:val="20"/>
              </w:rPr>
              <w:t>CZP 200</w:t>
            </w:r>
          </w:p>
        </w:tc>
        <w:tc>
          <w:tcPr>
            <w:tcW w:w="1114" w:type="dxa"/>
            <w:vAlign w:val="center"/>
          </w:tcPr>
          <w:p w:rsidR="00FE2169" w:rsidRPr="00141BDF" w:rsidRDefault="00FE2169" w:rsidP="00083B3A">
            <w:pPr>
              <w:jc w:val="center"/>
              <w:rPr>
                <w:rFonts w:ascii="Arial Narrow" w:hAnsi="Arial Narrow"/>
                <w:b/>
                <w:sz w:val="20"/>
              </w:rPr>
            </w:pPr>
            <w:r w:rsidRPr="00141BDF">
              <w:rPr>
                <w:rFonts w:ascii="Arial Narrow" w:hAnsi="Arial Narrow"/>
                <w:b/>
                <w:sz w:val="20"/>
              </w:rPr>
              <w:t>CZP 400</w:t>
            </w:r>
          </w:p>
        </w:tc>
        <w:tc>
          <w:tcPr>
            <w:tcW w:w="1114" w:type="dxa"/>
            <w:vAlign w:val="center"/>
          </w:tcPr>
          <w:p w:rsidR="00FE2169" w:rsidRPr="00141BDF" w:rsidRDefault="00FE2169" w:rsidP="00083B3A">
            <w:pPr>
              <w:jc w:val="center"/>
              <w:rPr>
                <w:rFonts w:ascii="Arial Narrow" w:hAnsi="Arial Narrow"/>
                <w:b/>
                <w:sz w:val="20"/>
              </w:rPr>
            </w:pPr>
            <w:r w:rsidRPr="00141BDF">
              <w:rPr>
                <w:rFonts w:ascii="Arial Narrow" w:hAnsi="Arial Narrow"/>
                <w:b/>
                <w:sz w:val="20"/>
              </w:rPr>
              <w:t>CZP combined</w:t>
            </w:r>
          </w:p>
        </w:tc>
        <w:tc>
          <w:tcPr>
            <w:tcW w:w="1114" w:type="dxa"/>
            <w:vAlign w:val="center"/>
          </w:tcPr>
          <w:p w:rsidR="00FE2169" w:rsidRPr="00141BDF" w:rsidRDefault="00FE2169" w:rsidP="00083B3A">
            <w:pPr>
              <w:jc w:val="center"/>
              <w:rPr>
                <w:rFonts w:ascii="Arial Narrow" w:hAnsi="Arial Narrow"/>
                <w:b/>
                <w:sz w:val="20"/>
              </w:rPr>
            </w:pPr>
            <w:r w:rsidRPr="00141BDF">
              <w:rPr>
                <w:rFonts w:ascii="Arial Narrow" w:hAnsi="Arial Narrow"/>
                <w:b/>
                <w:sz w:val="20"/>
              </w:rPr>
              <w:t>ADA</w:t>
            </w:r>
          </w:p>
        </w:tc>
        <w:tc>
          <w:tcPr>
            <w:tcW w:w="1132" w:type="dxa"/>
            <w:vAlign w:val="center"/>
          </w:tcPr>
          <w:p w:rsidR="00FE2169" w:rsidRPr="00141BDF" w:rsidRDefault="00FE2169" w:rsidP="00083B3A">
            <w:pPr>
              <w:jc w:val="center"/>
              <w:rPr>
                <w:rFonts w:ascii="Arial Narrow" w:hAnsi="Arial Narrow"/>
                <w:b/>
                <w:sz w:val="20"/>
              </w:rPr>
            </w:pPr>
            <w:r w:rsidRPr="00141BDF">
              <w:rPr>
                <w:rFonts w:ascii="Arial Narrow" w:hAnsi="Arial Narrow"/>
                <w:b/>
                <w:sz w:val="20"/>
              </w:rPr>
              <w:t>Difference*</w:t>
            </w:r>
          </w:p>
        </w:tc>
      </w:tr>
      <w:tr w:rsidR="00FE2169" w:rsidRPr="00141BDF" w:rsidTr="005E4ABD">
        <w:tc>
          <w:tcPr>
            <w:tcW w:w="2837" w:type="dxa"/>
            <w:gridSpan w:val="3"/>
          </w:tcPr>
          <w:p w:rsidR="00FE2169" w:rsidRPr="00141BDF" w:rsidRDefault="00FE2169" w:rsidP="005E4ABD">
            <w:pPr>
              <w:jc w:val="left"/>
              <w:rPr>
                <w:rFonts w:ascii="Arial Narrow" w:hAnsi="Arial Narrow"/>
                <w:sz w:val="20"/>
              </w:rPr>
            </w:pPr>
            <w:r w:rsidRPr="00141BDF">
              <w:rPr>
                <w:rFonts w:ascii="Arial Narrow" w:hAnsi="Arial Narrow"/>
                <w:sz w:val="20"/>
              </w:rPr>
              <w:t xml:space="preserve">Unit cost (DPMQ) </w:t>
            </w:r>
            <w:r w:rsidR="005E4ABD" w:rsidRPr="00141BDF">
              <w:rPr>
                <w:rFonts w:ascii="Arial Narrow" w:hAnsi="Arial Narrow"/>
                <w:sz w:val="20"/>
              </w:rPr>
              <w:br/>
            </w:r>
            <w:r w:rsidRPr="00141BDF">
              <w:rPr>
                <w:rFonts w:ascii="Arial Narrow" w:hAnsi="Arial Narrow"/>
                <w:sz w:val="20"/>
              </w:rPr>
              <w:t xml:space="preserve">(delivers one dose) </w:t>
            </w:r>
          </w:p>
        </w:tc>
        <w:tc>
          <w:tcPr>
            <w:tcW w:w="2228" w:type="dxa"/>
            <w:gridSpan w:val="2"/>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32"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r>
      <w:tr w:rsidR="00FE2169" w:rsidRPr="00141BDF" w:rsidTr="005E4ABD">
        <w:tc>
          <w:tcPr>
            <w:tcW w:w="2837" w:type="dxa"/>
            <w:gridSpan w:val="3"/>
          </w:tcPr>
          <w:p w:rsidR="00FE2169" w:rsidRPr="00141BDF" w:rsidRDefault="00FE2169" w:rsidP="00083B3A">
            <w:pPr>
              <w:rPr>
                <w:rFonts w:ascii="Arial Narrow" w:hAnsi="Arial Narrow"/>
                <w:sz w:val="20"/>
              </w:rPr>
            </w:pPr>
            <w:r w:rsidRPr="00141BDF">
              <w:rPr>
                <w:rFonts w:ascii="Arial Narrow" w:hAnsi="Arial Narrow"/>
                <w:sz w:val="20"/>
              </w:rPr>
              <w:t>Weight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val="restart"/>
            <w:vAlign w:val="center"/>
          </w:tcPr>
          <w:p w:rsidR="00FE2169" w:rsidRPr="00141BDF" w:rsidRDefault="00FE2169" w:rsidP="00083B3A">
            <w:pPr>
              <w:jc w:val="left"/>
              <w:rPr>
                <w:rFonts w:ascii="Arial Narrow" w:hAnsi="Arial Narrow"/>
                <w:sz w:val="20"/>
              </w:rPr>
            </w:pPr>
            <w:r w:rsidRPr="00141BDF">
              <w:rPr>
                <w:rFonts w:ascii="Arial Narrow" w:hAnsi="Arial Narrow"/>
                <w:sz w:val="20"/>
              </w:rPr>
              <w:t>Year 1</w:t>
            </w:r>
          </w:p>
          <w:p w:rsidR="00FE2169" w:rsidRPr="00141BDF" w:rsidRDefault="00FE2169" w:rsidP="00083B3A">
            <w:pPr>
              <w:jc w:val="left"/>
              <w:rPr>
                <w:rFonts w:ascii="Arial Narrow" w:hAnsi="Arial Narrow"/>
                <w:sz w:val="20"/>
              </w:rPr>
            </w:pPr>
            <w:r w:rsidRPr="00141BDF">
              <w:rPr>
                <w:rFonts w:ascii="Arial Narrow" w:hAnsi="Arial Narrow"/>
                <w:sz w:val="20"/>
              </w:rPr>
              <w:t>(52 weeks)</w:t>
            </w:r>
          </w:p>
        </w:tc>
        <w:tc>
          <w:tcPr>
            <w:tcW w:w="1328" w:type="dxa"/>
            <w:vMerge w:val="restart"/>
            <w:vAlign w:val="center"/>
          </w:tcPr>
          <w:p w:rsidR="00FE2169" w:rsidRPr="00141BDF" w:rsidRDefault="00FE2169" w:rsidP="00083B3A">
            <w:pPr>
              <w:jc w:val="center"/>
              <w:rPr>
                <w:rFonts w:ascii="Arial Narrow" w:hAnsi="Arial Narrow"/>
                <w:sz w:val="20"/>
              </w:rPr>
            </w:pPr>
            <w:r w:rsidRPr="00141BDF">
              <w:rPr>
                <w:rFonts w:ascii="Arial Narrow" w:hAnsi="Arial Narrow"/>
                <w:sz w:val="20"/>
              </w:rPr>
              <w:t>Initial</w:t>
            </w:r>
          </w:p>
        </w:tc>
        <w:tc>
          <w:tcPr>
            <w:tcW w:w="773" w:type="dxa"/>
            <w:vAlign w:val="center"/>
          </w:tcPr>
          <w:p w:rsidR="00FE2169" w:rsidRPr="00141BDF" w:rsidRDefault="00FE2169" w:rsidP="00083B3A">
            <w:pPr>
              <w:jc w:val="right"/>
              <w:rPr>
                <w:rFonts w:ascii="Arial Narrow" w:hAnsi="Arial Narrow"/>
                <w:sz w:val="20"/>
              </w:rPr>
            </w:pPr>
            <w:r w:rsidRPr="00141BDF">
              <w:rPr>
                <w:rFonts w:ascii="Arial Narrow" w:hAnsi="Arial Narrow"/>
                <w:sz w:val="20"/>
              </w:rPr>
              <w:t>Scripts</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32"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1328" w:type="dxa"/>
            <w:vMerge/>
          </w:tcPr>
          <w:p w:rsidR="00FE2169" w:rsidRPr="00141BDF" w:rsidRDefault="00FE2169" w:rsidP="00083B3A">
            <w:pPr>
              <w:rPr>
                <w:rFonts w:ascii="Arial Narrow" w:hAnsi="Arial Narrow"/>
                <w:sz w:val="20"/>
              </w:rPr>
            </w:pPr>
          </w:p>
        </w:tc>
        <w:tc>
          <w:tcPr>
            <w:tcW w:w="773" w:type="dxa"/>
            <w:vAlign w:val="center"/>
          </w:tcPr>
          <w:p w:rsidR="00FE2169" w:rsidRPr="00141BDF" w:rsidRDefault="00FE2169" w:rsidP="00083B3A">
            <w:pPr>
              <w:jc w:val="right"/>
              <w:rPr>
                <w:rFonts w:ascii="Arial Narrow" w:hAnsi="Arial Narrow"/>
                <w:sz w:val="20"/>
              </w:rPr>
            </w:pPr>
            <w:r w:rsidRPr="00141BDF">
              <w:rPr>
                <w:rFonts w:ascii="Arial Narrow" w:hAnsi="Arial Narrow"/>
                <w:sz w:val="20"/>
              </w:rPr>
              <w:t>Weeks</w:t>
            </w:r>
          </w:p>
        </w:tc>
        <w:tc>
          <w:tcPr>
            <w:tcW w:w="1114" w:type="dxa"/>
            <w:vAlign w:val="center"/>
          </w:tcPr>
          <w:p w:rsidR="00FE2169" w:rsidRPr="00141BDF" w:rsidRDefault="00B77C4A" w:rsidP="00083B3A">
            <w:pPr>
              <w:jc w:val="center"/>
              <w:rPr>
                <w:rFonts w:ascii="Arial Narrow" w:hAnsi="Arial Narrow"/>
                <w:sz w:val="20"/>
                <w:vertAlign w:val="superscript"/>
              </w:rPr>
            </w:pPr>
            <w:r>
              <w:rPr>
                <w:rFonts w:ascii="Arial Narrow" w:hAnsi="Arial Narrow"/>
                <w:noProof/>
                <w:color w:val="000000"/>
                <w:sz w:val="20"/>
                <w:highlight w:val="black"/>
              </w:rPr>
              <w:t>'''''' ''''''''''''''''</w:t>
            </w:r>
            <w:r w:rsidR="00FE2169" w:rsidRPr="008E123F">
              <w:rPr>
                <w:rFonts w:ascii="Arial Narrow" w:hAnsi="Arial Narrow"/>
                <w:sz w:val="20"/>
                <w:vertAlign w:val="superscript"/>
              </w:rPr>
              <w:t>c</w:t>
            </w:r>
          </w:p>
        </w:tc>
        <w:tc>
          <w:tcPr>
            <w:tcW w:w="1114" w:type="dxa"/>
            <w:vAlign w:val="center"/>
          </w:tcPr>
          <w:p w:rsidR="00FE2169" w:rsidRPr="00141BDF" w:rsidRDefault="00B77C4A" w:rsidP="00083B3A">
            <w:pPr>
              <w:jc w:val="center"/>
              <w:rPr>
                <w:rFonts w:ascii="Arial Narrow" w:hAnsi="Arial Narrow"/>
                <w:sz w:val="20"/>
                <w:vertAlign w:val="superscript"/>
              </w:rPr>
            </w:pPr>
            <w:r>
              <w:rPr>
                <w:rFonts w:ascii="Arial Narrow" w:hAnsi="Arial Narrow"/>
                <w:noProof/>
                <w:color w:val="000000"/>
                <w:sz w:val="20"/>
                <w:highlight w:val="black"/>
              </w:rPr>
              <w:t>''''''' ''''''''''''''''</w:t>
            </w:r>
            <w:r w:rsidR="00FE2169" w:rsidRPr="008E123F">
              <w:rPr>
                <w:rFonts w:ascii="Arial Narrow" w:hAnsi="Arial Narrow"/>
                <w:sz w:val="20"/>
                <w:vertAlign w:val="superscript"/>
              </w:rPr>
              <w:t>c</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141BDF" w:rsidRDefault="00B77C4A" w:rsidP="00083B3A">
            <w:pPr>
              <w:jc w:val="center"/>
              <w:rPr>
                <w:rFonts w:ascii="Arial Narrow" w:hAnsi="Arial Narrow"/>
                <w:sz w:val="20"/>
                <w:vertAlign w:val="superscript"/>
              </w:rPr>
            </w:pPr>
            <w:r>
              <w:rPr>
                <w:rFonts w:ascii="Arial Narrow" w:hAnsi="Arial Narrow"/>
                <w:noProof/>
                <w:color w:val="000000"/>
                <w:sz w:val="20"/>
                <w:highlight w:val="black"/>
              </w:rPr>
              <w:t>'''''' '''''''''''''''</w:t>
            </w:r>
            <w:r w:rsidR="00FE2169" w:rsidRPr="008E123F">
              <w:rPr>
                <w:rFonts w:ascii="Arial Narrow" w:hAnsi="Arial Narrow"/>
                <w:sz w:val="20"/>
                <w:vertAlign w:val="superscript"/>
              </w:rPr>
              <w:t>c</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1328" w:type="dxa"/>
            <w:vMerge/>
          </w:tcPr>
          <w:p w:rsidR="00FE2169" w:rsidRPr="00141BDF" w:rsidRDefault="00FE2169" w:rsidP="00083B3A">
            <w:pPr>
              <w:rPr>
                <w:rFonts w:ascii="Arial Narrow" w:hAnsi="Arial Narrow"/>
                <w:sz w:val="20"/>
              </w:rPr>
            </w:pPr>
          </w:p>
        </w:tc>
        <w:tc>
          <w:tcPr>
            <w:tcW w:w="773" w:type="dxa"/>
            <w:vAlign w:val="center"/>
          </w:tcPr>
          <w:p w:rsidR="00FE2169" w:rsidRPr="00141BDF" w:rsidRDefault="00FE2169" w:rsidP="00083B3A">
            <w:pPr>
              <w:jc w:val="right"/>
              <w:rPr>
                <w:rFonts w:ascii="Arial Narrow" w:hAnsi="Arial Narrow"/>
                <w:sz w:val="20"/>
              </w:rPr>
            </w:pPr>
            <w:r w:rsidRPr="00141BDF">
              <w:rPr>
                <w:rFonts w:ascii="Arial Narrow" w:hAnsi="Arial Narrow"/>
                <w:sz w:val="20"/>
              </w:rPr>
              <w:t>Cost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32"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1328" w:type="dxa"/>
            <w:vMerge w:val="restart"/>
            <w:vAlign w:val="center"/>
          </w:tcPr>
          <w:p w:rsidR="00FE2169" w:rsidRPr="00141BDF" w:rsidRDefault="00FE2169" w:rsidP="00083B3A">
            <w:pPr>
              <w:jc w:val="center"/>
              <w:rPr>
                <w:rFonts w:ascii="Arial Narrow" w:hAnsi="Arial Narrow"/>
                <w:sz w:val="20"/>
              </w:rPr>
            </w:pPr>
            <w:r w:rsidRPr="00141BDF">
              <w:rPr>
                <w:rFonts w:ascii="Arial Narrow" w:hAnsi="Arial Narrow"/>
                <w:sz w:val="20"/>
              </w:rPr>
              <w:t>Continuing</w:t>
            </w:r>
          </w:p>
        </w:tc>
        <w:tc>
          <w:tcPr>
            <w:tcW w:w="773" w:type="dxa"/>
            <w:vAlign w:val="center"/>
          </w:tcPr>
          <w:p w:rsidR="00FE2169" w:rsidRPr="00141BDF" w:rsidRDefault="00FE2169" w:rsidP="00083B3A">
            <w:pPr>
              <w:jc w:val="right"/>
              <w:rPr>
                <w:rFonts w:ascii="Arial Narrow" w:hAnsi="Arial Narrow"/>
                <w:sz w:val="20"/>
              </w:rPr>
            </w:pPr>
            <w:r w:rsidRPr="00141BDF">
              <w:rPr>
                <w:rFonts w:ascii="Arial Narrow" w:hAnsi="Arial Narrow"/>
                <w:sz w:val="20"/>
              </w:rPr>
              <w:t>Scripts</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1328" w:type="dxa"/>
            <w:vMerge/>
          </w:tcPr>
          <w:p w:rsidR="00FE2169" w:rsidRPr="00141BDF" w:rsidRDefault="00FE2169" w:rsidP="00083B3A">
            <w:pPr>
              <w:rPr>
                <w:rFonts w:ascii="Arial Narrow" w:hAnsi="Arial Narrow"/>
                <w:sz w:val="20"/>
              </w:rPr>
            </w:pPr>
          </w:p>
        </w:tc>
        <w:tc>
          <w:tcPr>
            <w:tcW w:w="773" w:type="dxa"/>
            <w:vAlign w:val="center"/>
          </w:tcPr>
          <w:p w:rsidR="00FE2169" w:rsidRPr="00141BDF" w:rsidRDefault="00FE2169" w:rsidP="00083B3A">
            <w:pPr>
              <w:jc w:val="right"/>
              <w:rPr>
                <w:rFonts w:ascii="Arial Narrow" w:hAnsi="Arial Narrow"/>
                <w:sz w:val="20"/>
              </w:rPr>
            </w:pPr>
            <w:r w:rsidRPr="00141BDF">
              <w:rPr>
                <w:rFonts w:ascii="Arial Narrow" w:hAnsi="Arial Narrow"/>
                <w:sz w:val="20"/>
              </w:rPr>
              <w:t>Weeks</w:t>
            </w:r>
          </w:p>
        </w:tc>
        <w:tc>
          <w:tcPr>
            <w:tcW w:w="1114" w:type="dxa"/>
            <w:vAlign w:val="center"/>
          </w:tcPr>
          <w:p w:rsidR="00FE2169" w:rsidRPr="00141BDF" w:rsidRDefault="00B77C4A" w:rsidP="00083B3A">
            <w:pPr>
              <w:jc w:val="center"/>
              <w:rPr>
                <w:rFonts w:ascii="Arial Narrow" w:hAnsi="Arial Narrow"/>
                <w:sz w:val="20"/>
                <w:vertAlign w:val="superscript"/>
              </w:rPr>
            </w:pPr>
            <w:r>
              <w:rPr>
                <w:rFonts w:ascii="Arial Narrow" w:hAnsi="Arial Narrow"/>
                <w:noProof/>
                <w:color w:val="000000"/>
                <w:sz w:val="20"/>
                <w:highlight w:val="black"/>
              </w:rPr>
              <w:t>''''''' ''''''''''''''''</w:t>
            </w:r>
            <w:r w:rsidR="00FE2169" w:rsidRPr="008E123F">
              <w:rPr>
                <w:rFonts w:ascii="Arial Narrow" w:hAnsi="Arial Narrow"/>
                <w:sz w:val="20"/>
                <w:vertAlign w:val="superscript"/>
              </w:rPr>
              <w:t>d</w:t>
            </w:r>
          </w:p>
        </w:tc>
        <w:tc>
          <w:tcPr>
            <w:tcW w:w="1114" w:type="dxa"/>
            <w:vAlign w:val="center"/>
          </w:tcPr>
          <w:p w:rsidR="00FE2169" w:rsidRPr="00141BDF" w:rsidRDefault="00B77C4A" w:rsidP="00083B3A">
            <w:pPr>
              <w:jc w:val="center"/>
              <w:rPr>
                <w:rFonts w:ascii="Arial Narrow" w:hAnsi="Arial Narrow"/>
                <w:sz w:val="20"/>
                <w:vertAlign w:val="superscript"/>
              </w:rPr>
            </w:pPr>
            <w:r>
              <w:rPr>
                <w:rFonts w:ascii="Arial Narrow" w:hAnsi="Arial Narrow"/>
                <w:noProof/>
                <w:color w:val="000000"/>
                <w:sz w:val="20"/>
                <w:highlight w:val="black"/>
              </w:rPr>
              <w:t>''''' ''''''''''''''</w:t>
            </w:r>
            <w:r w:rsidR="00FE2169" w:rsidRPr="008E123F">
              <w:rPr>
                <w:rFonts w:ascii="Arial Narrow" w:hAnsi="Arial Narrow"/>
                <w:sz w:val="20"/>
                <w:vertAlign w:val="superscript"/>
              </w:rPr>
              <w:t>d</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141BDF" w:rsidRDefault="00B77C4A" w:rsidP="00083B3A">
            <w:pPr>
              <w:jc w:val="center"/>
              <w:rPr>
                <w:rFonts w:ascii="Arial Narrow" w:hAnsi="Arial Narrow"/>
                <w:sz w:val="20"/>
                <w:vertAlign w:val="superscript"/>
              </w:rPr>
            </w:pPr>
            <w:r>
              <w:rPr>
                <w:rFonts w:ascii="Arial Narrow" w:hAnsi="Arial Narrow"/>
                <w:noProof/>
                <w:color w:val="000000"/>
                <w:sz w:val="20"/>
                <w:highlight w:val="black"/>
              </w:rPr>
              <w:t>''''' '''''''''''''''</w:t>
            </w:r>
            <w:r w:rsidR="00FE2169" w:rsidRPr="008E123F">
              <w:rPr>
                <w:rFonts w:ascii="Arial Narrow" w:hAnsi="Arial Narrow"/>
                <w:sz w:val="20"/>
                <w:vertAlign w:val="superscript"/>
              </w:rPr>
              <w:t>d</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1328" w:type="dxa"/>
            <w:vMerge/>
          </w:tcPr>
          <w:p w:rsidR="00FE2169" w:rsidRPr="00141BDF" w:rsidRDefault="00FE2169" w:rsidP="00083B3A">
            <w:pPr>
              <w:rPr>
                <w:rFonts w:ascii="Arial Narrow" w:hAnsi="Arial Narrow"/>
                <w:sz w:val="20"/>
              </w:rPr>
            </w:pPr>
          </w:p>
        </w:tc>
        <w:tc>
          <w:tcPr>
            <w:tcW w:w="773" w:type="dxa"/>
            <w:vAlign w:val="center"/>
          </w:tcPr>
          <w:p w:rsidR="00FE2169" w:rsidRPr="00141BDF" w:rsidRDefault="00FE2169" w:rsidP="00083B3A">
            <w:pPr>
              <w:jc w:val="right"/>
              <w:rPr>
                <w:rFonts w:ascii="Arial Narrow" w:hAnsi="Arial Narrow"/>
                <w:sz w:val="20"/>
              </w:rPr>
            </w:pPr>
            <w:r w:rsidRPr="00141BDF">
              <w:rPr>
                <w:rFonts w:ascii="Arial Narrow" w:hAnsi="Arial Narrow"/>
                <w:sz w:val="20"/>
              </w:rPr>
              <w:t>Cost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2101" w:type="dxa"/>
            <w:gridSpan w:val="2"/>
            <w:vAlign w:val="center"/>
          </w:tcPr>
          <w:p w:rsidR="00FE2169" w:rsidRPr="00141BDF" w:rsidRDefault="00FE2169" w:rsidP="00083B3A">
            <w:pPr>
              <w:jc w:val="right"/>
              <w:rPr>
                <w:rFonts w:ascii="Arial Narrow" w:hAnsi="Arial Narrow"/>
                <w:sz w:val="20"/>
              </w:rPr>
            </w:pPr>
            <w:r w:rsidRPr="00141BDF">
              <w:rPr>
                <w:rFonts w:ascii="Arial Narrow" w:hAnsi="Arial Narrow"/>
                <w:sz w:val="20"/>
              </w:rPr>
              <w:t>Initial + continuing weeks</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2101" w:type="dxa"/>
            <w:gridSpan w:val="2"/>
            <w:vAlign w:val="center"/>
          </w:tcPr>
          <w:p w:rsidR="00FE2169" w:rsidRPr="00141BDF" w:rsidRDefault="00FE2169" w:rsidP="00083B3A">
            <w:pPr>
              <w:jc w:val="right"/>
              <w:rPr>
                <w:rFonts w:ascii="Arial Narrow" w:hAnsi="Arial Narrow"/>
                <w:sz w:val="20"/>
              </w:rPr>
            </w:pPr>
            <w:r w:rsidRPr="00141BDF">
              <w:rPr>
                <w:rFonts w:ascii="Arial Narrow" w:hAnsi="Arial Narrow"/>
                <w:sz w:val="20"/>
              </w:rPr>
              <w:t>Wastage</w:t>
            </w:r>
          </w:p>
        </w:tc>
        <w:tc>
          <w:tcPr>
            <w:tcW w:w="1114" w:type="dxa"/>
            <w:vAlign w:val="center"/>
          </w:tcPr>
          <w:p w:rsidR="00FE2169" w:rsidRPr="00141BDF" w:rsidRDefault="00B77C4A" w:rsidP="00083B3A">
            <w:pPr>
              <w:jc w:val="center"/>
              <w:rPr>
                <w:rFonts w:ascii="Arial Narrow" w:hAnsi="Arial Narrow"/>
                <w:sz w:val="20"/>
              </w:rPr>
            </w:pPr>
            <w:r>
              <w:rPr>
                <w:rFonts w:ascii="Arial Narrow" w:hAnsi="Arial Narrow"/>
                <w:noProof/>
                <w:color w:val="000000"/>
                <w:sz w:val="20"/>
                <w:highlight w:val="black"/>
              </w:rPr>
              <w:t>''' ''''''''''''''''</w:t>
            </w:r>
            <w:r w:rsidR="00FE2169" w:rsidRPr="008E123F">
              <w:rPr>
                <w:rFonts w:ascii="Arial Narrow" w:hAnsi="Arial Narrow"/>
                <w:sz w:val="20"/>
                <w:vertAlign w:val="superscript"/>
              </w:rPr>
              <w:t>a</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2101" w:type="dxa"/>
            <w:gridSpan w:val="2"/>
          </w:tcPr>
          <w:p w:rsidR="00FE2169" w:rsidRPr="00141BDF" w:rsidRDefault="00FE2169" w:rsidP="00083B3A">
            <w:pPr>
              <w:rPr>
                <w:rFonts w:ascii="Arial Narrow" w:hAnsi="Arial Narrow"/>
                <w:b/>
                <w:sz w:val="20"/>
              </w:rPr>
            </w:pPr>
            <w:r w:rsidRPr="00141BDF">
              <w:rPr>
                <w:rFonts w:ascii="Arial Narrow" w:hAnsi="Arial Narrow"/>
                <w:b/>
                <w:sz w:val="20"/>
              </w:rPr>
              <w:t>Year 1 cost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32"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r>
      <w:tr w:rsidR="00FE2169" w:rsidRPr="00141BDF" w:rsidTr="005E4ABD">
        <w:tc>
          <w:tcPr>
            <w:tcW w:w="736" w:type="dxa"/>
            <w:vMerge w:val="restart"/>
            <w:vAlign w:val="center"/>
          </w:tcPr>
          <w:p w:rsidR="00FE2169" w:rsidRPr="00141BDF" w:rsidRDefault="00FE2169" w:rsidP="00083B3A">
            <w:pPr>
              <w:jc w:val="center"/>
              <w:rPr>
                <w:rFonts w:ascii="Arial Narrow" w:hAnsi="Arial Narrow"/>
                <w:sz w:val="20"/>
              </w:rPr>
            </w:pPr>
            <w:r w:rsidRPr="00141BDF">
              <w:rPr>
                <w:rFonts w:ascii="Arial Narrow" w:hAnsi="Arial Narrow"/>
                <w:sz w:val="20"/>
              </w:rPr>
              <w:t>Year 2</w:t>
            </w:r>
          </w:p>
          <w:p w:rsidR="00FE2169" w:rsidRPr="00141BDF" w:rsidRDefault="00FE2169" w:rsidP="00083B3A">
            <w:pPr>
              <w:jc w:val="center"/>
              <w:rPr>
                <w:rFonts w:ascii="Arial Narrow" w:hAnsi="Arial Narrow"/>
                <w:sz w:val="20"/>
              </w:rPr>
            </w:pPr>
            <w:r w:rsidRPr="00141BDF">
              <w:rPr>
                <w:rFonts w:ascii="Arial Narrow" w:hAnsi="Arial Narrow"/>
                <w:sz w:val="20"/>
              </w:rPr>
              <w:t>(52 weeks)</w:t>
            </w:r>
          </w:p>
        </w:tc>
        <w:tc>
          <w:tcPr>
            <w:tcW w:w="2101" w:type="dxa"/>
            <w:gridSpan w:val="2"/>
            <w:vAlign w:val="center"/>
          </w:tcPr>
          <w:p w:rsidR="00FE2169" w:rsidRPr="00141BDF" w:rsidRDefault="00FE2169" w:rsidP="00083B3A">
            <w:pPr>
              <w:jc w:val="right"/>
              <w:rPr>
                <w:rFonts w:ascii="Arial Narrow" w:hAnsi="Arial Narrow"/>
                <w:sz w:val="20"/>
              </w:rPr>
            </w:pPr>
            <w:r w:rsidRPr="00141BDF">
              <w:rPr>
                <w:rFonts w:ascii="Arial Narrow" w:hAnsi="Arial Narrow"/>
                <w:sz w:val="20"/>
              </w:rPr>
              <w:t>Scripts</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2101" w:type="dxa"/>
            <w:gridSpan w:val="2"/>
            <w:vAlign w:val="center"/>
          </w:tcPr>
          <w:p w:rsidR="00FE2169" w:rsidRPr="00141BDF" w:rsidRDefault="00FE2169" w:rsidP="00083B3A">
            <w:pPr>
              <w:jc w:val="right"/>
              <w:rPr>
                <w:rFonts w:ascii="Arial Narrow" w:hAnsi="Arial Narrow"/>
                <w:sz w:val="20"/>
              </w:rPr>
            </w:pPr>
            <w:r w:rsidRPr="00141BDF">
              <w:rPr>
                <w:rFonts w:ascii="Arial Narrow" w:hAnsi="Arial Narrow"/>
                <w:sz w:val="20"/>
              </w:rPr>
              <w:t>Weeks</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2101" w:type="dxa"/>
            <w:gridSpan w:val="2"/>
            <w:vAlign w:val="center"/>
          </w:tcPr>
          <w:p w:rsidR="00FE2169" w:rsidRPr="00141BDF" w:rsidRDefault="00FE2169" w:rsidP="00083B3A">
            <w:pPr>
              <w:jc w:val="right"/>
              <w:rPr>
                <w:rFonts w:ascii="Arial Narrow" w:hAnsi="Arial Narrow"/>
                <w:sz w:val="20"/>
              </w:rPr>
            </w:pPr>
            <w:r w:rsidRPr="00141BDF">
              <w:rPr>
                <w:rFonts w:ascii="Arial Narrow" w:hAnsi="Arial Narrow"/>
                <w:sz w:val="20"/>
              </w:rPr>
              <w:t>Wastage</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14" w:type="dxa"/>
            <w:vAlign w:val="center"/>
          </w:tcPr>
          <w:p w:rsidR="00FE2169" w:rsidRPr="00141BDF" w:rsidRDefault="00FE2169" w:rsidP="00083B3A">
            <w:pPr>
              <w:jc w:val="center"/>
              <w:rPr>
                <w:rFonts w:ascii="Arial Narrow" w:hAnsi="Arial Narrow"/>
                <w:sz w:val="20"/>
              </w:rPr>
            </w:pPr>
            <w:r w:rsidRPr="00141BDF">
              <w:rPr>
                <w:rFonts w:ascii="Arial Narrow" w:hAnsi="Arial Narrow"/>
                <w:sz w:val="20"/>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 ''''''''''''''''</w:t>
            </w:r>
          </w:p>
        </w:tc>
        <w:tc>
          <w:tcPr>
            <w:tcW w:w="1132" w:type="dxa"/>
            <w:vAlign w:val="center"/>
          </w:tcPr>
          <w:p w:rsidR="00FE2169" w:rsidRPr="00141BDF" w:rsidRDefault="00FE2169" w:rsidP="00083B3A">
            <w:pPr>
              <w:jc w:val="center"/>
              <w:rPr>
                <w:rFonts w:ascii="Arial Narrow" w:hAnsi="Arial Narrow"/>
                <w:sz w:val="20"/>
              </w:rPr>
            </w:pP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2101" w:type="dxa"/>
            <w:gridSpan w:val="2"/>
            <w:vAlign w:val="center"/>
          </w:tcPr>
          <w:p w:rsidR="00FE2169" w:rsidRPr="00141BDF" w:rsidRDefault="00FE2169" w:rsidP="00083B3A">
            <w:pPr>
              <w:jc w:val="right"/>
              <w:rPr>
                <w:rFonts w:ascii="Arial Narrow" w:hAnsi="Arial Narrow"/>
                <w:sz w:val="20"/>
              </w:rPr>
            </w:pPr>
            <w:r w:rsidRPr="00141BDF">
              <w:rPr>
                <w:rFonts w:ascii="Arial Narrow" w:hAnsi="Arial Narrow"/>
                <w:sz w:val="20"/>
              </w:rPr>
              <w:t>Annual cost (non-disc.)</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32"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r>
      <w:tr w:rsidR="00FE2169" w:rsidRPr="00141BDF" w:rsidTr="005E4ABD">
        <w:tc>
          <w:tcPr>
            <w:tcW w:w="736" w:type="dxa"/>
            <w:vMerge/>
          </w:tcPr>
          <w:p w:rsidR="00FE2169" w:rsidRPr="00141BDF" w:rsidRDefault="00FE2169" w:rsidP="00083B3A">
            <w:pPr>
              <w:rPr>
                <w:rFonts w:ascii="Arial Narrow" w:hAnsi="Arial Narrow"/>
                <w:sz w:val="20"/>
              </w:rPr>
            </w:pPr>
          </w:p>
        </w:tc>
        <w:tc>
          <w:tcPr>
            <w:tcW w:w="2101" w:type="dxa"/>
            <w:gridSpan w:val="2"/>
            <w:vAlign w:val="center"/>
          </w:tcPr>
          <w:p w:rsidR="00FE2169" w:rsidRPr="00141BDF" w:rsidRDefault="00FE2169" w:rsidP="00083B3A">
            <w:pPr>
              <w:jc w:val="right"/>
              <w:rPr>
                <w:rFonts w:ascii="Arial Narrow" w:hAnsi="Arial Narrow"/>
                <w:b/>
                <w:sz w:val="20"/>
              </w:rPr>
            </w:pPr>
            <w:r w:rsidRPr="00141BDF">
              <w:rPr>
                <w:rFonts w:ascii="Arial Narrow" w:hAnsi="Arial Narrow"/>
                <w:b/>
                <w:sz w:val="20"/>
              </w:rPr>
              <w:t xml:space="preserve">Year 2 cost (disc. </w:t>
            </w:r>
            <w:r w:rsidR="00B77C4A">
              <w:rPr>
                <w:rFonts w:ascii="Arial Narrow" w:hAnsi="Arial Narrow"/>
                <w:b/>
                <w:noProof/>
                <w:color w:val="000000"/>
                <w:sz w:val="20"/>
                <w:highlight w:val="black"/>
              </w:rPr>
              <w:t>'''</w:t>
            </w:r>
            <w:r w:rsidRPr="00141BDF">
              <w:rPr>
                <w:rFonts w:ascii="Arial Narrow" w:hAnsi="Arial Narrow"/>
                <w:b/>
                <w:sz w:val="20"/>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32"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r>
      <w:tr w:rsidR="00FE2169" w:rsidRPr="00141BDF" w:rsidTr="005E4ABD">
        <w:tc>
          <w:tcPr>
            <w:tcW w:w="2837" w:type="dxa"/>
            <w:gridSpan w:val="3"/>
            <w:vAlign w:val="bottom"/>
          </w:tcPr>
          <w:p w:rsidR="00FE2169" w:rsidRPr="00141BDF" w:rsidRDefault="00FE2169" w:rsidP="00083B3A">
            <w:pPr>
              <w:jc w:val="right"/>
              <w:rPr>
                <w:rFonts w:ascii="Arial Narrow" w:hAnsi="Arial Narrow"/>
                <w:sz w:val="20"/>
              </w:rPr>
            </w:pPr>
            <w:r w:rsidRPr="00141BDF">
              <w:rPr>
                <w:rFonts w:ascii="Arial Narrow" w:hAnsi="Arial Narrow"/>
                <w:sz w:val="20"/>
              </w:rPr>
              <w:t>Total cost over 2 years (non-discounted)</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c>
          <w:tcPr>
            <w:tcW w:w="1132" w:type="dxa"/>
            <w:vAlign w:val="center"/>
          </w:tcPr>
          <w:p w:rsidR="00FE2169" w:rsidRPr="00B77C4A" w:rsidRDefault="00B77C4A" w:rsidP="00083B3A">
            <w:pPr>
              <w:jc w:val="center"/>
              <w:rPr>
                <w:rFonts w:ascii="Arial Narrow" w:hAnsi="Arial Narrow"/>
                <w:sz w:val="20"/>
                <w:highlight w:val="black"/>
              </w:rPr>
            </w:pPr>
            <w:r>
              <w:rPr>
                <w:rFonts w:ascii="Arial Narrow" w:hAnsi="Arial Narrow"/>
                <w:noProof/>
                <w:color w:val="000000"/>
                <w:sz w:val="20"/>
                <w:highlight w:val="black"/>
              </w:rPr>
              <w:t>'''''''''''''''''''''''</w:t>
            </w:r>
          </w:p>
        </w:tc>
      </w:tr>
      <w:tr w:rsidR="00FE2169" w:rsidRPr="00141BDF" w:rsidTr="005E4ABD">
        <w:tc>
          <w:tcPr>
            <w:tcW w:w="2837" w:type="dxa"/>
            <w:gridSpan w:val="3"/>
            <w:vAlign w:val="bottom"/>
          </w:tcPr>
          <w:p w:rsidR="00FE2169" w:rsidRPr="00141BDF" w:rsidRDefault="00FE2169" w:rsidP="00083B3A">
            <w:pPr>
              <w:jc w:val="right"/>
              <w:rPr>
                <w:rFonts w:ascii="Arial Narrow" w:hAnsi="Arial Narrow"/>
                <w:b/>
                <w:sz w:val="20"/>
              </w:rPr>
            </w:pPr>
            <w:r w:rsidRPr="00141BDF">
              <w:rPr>
                <w:rFonts w:ascii="Arial Narrow" w:hAnsi="Arial Narrow"/>
                <w:b/>
                <w:sz w:val="20"/>
              </w:rPr>
              <w:t xml:space="preserve">Total cost over 2 years (disc. </w:t>
            </w:r>
            <w:r w:rsidR="00B77C4A">
              <w:rPr>
                <w:rFonts w:ascii="Arial Narrow" w:hAnsi="Arial Narrow"/>
                <w:b/>
                <w:noProof/>
                <w:color w:val="000000"/>
                <w:sz w:val="20"/>
                <w:highlight w:val="black"/>
              </w:rPr>
              <w:t>'''</w:t>
            </w:r>
            <w:r w:rsidRPr="00141BDF">
              <w:rPr>
                <w:rFonts w:ascii="Arial Narrow" w:hAnsi="Arial Narrow"/>
                <w:b/>
                <w:sz w:val="20"/>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14"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c>
          <w:tcPr>
            <w:tcW w:w="1132" w:type="dxa"/>
            <w:vAlign w:val="center"/>
          </w:tcPr>
          <w:p w:rsidR="00FE2169" w:rsidRPr="00B77C4A" w:rsidRDefault="00B77C4A" w:rsidP="00083B3A">
            <w:pPr>
              <w:jc w:val="center"/>
              <w:rPr>
                <w:rFonts w:ascii="Arial Narrow" w:hAnsi="Arial Narrow"/>
                <w:b/>
                <w:sz w:val="20"/>
                <w:highlight w:val="black"/>
              </w:rPr>
            </w:pPr>
            <w:r>
              <w:rPr>
                <w:rFonts w:ascii="Arial Narrow" w:hAnsi="Arial Narrow"/>
                <w:b/>
                <w:noProof/>
                <w:color w:val="000000"/>
                <w:sz w:val="20"/>
                <w:highlight w:val="black"/>
              </w:rPr>
              <w:t>''''''''''''''''''''</w:t>
            </w:r>
          </w:p>
        </w:tc>
      </w:tr>
    </w:tbl>
    <w:p w:rsidR="00FE2169" w:rsidRPr="00141BDF" w:rsidRDefault="00FE2169" w:rsidP="005E4ABD">
      <w:pPr>
        <w:ind w:left="709"/>
        <w:rPr>
          <w:rFonts w:ascii="Arial Narrow" w:hAnsi="Arial Narrow" w:cstheme="minorBidi"/>
          <w:bCs/>
          <w:sz w:val="18"/>
          <w:szCs w:val="18"/>
        </w:rPr>
      </w:pPr>
      <w:r w:rsidRPr="00141BDF">
        <w:rPr>
          <w:rFonts w:ascii="Arial Narrow" w:hAnsi="Arial Narrow" w:cstheme="minorBidi"/>
          <w:bCs/>
          <w:sz w:val="18"/>
          <w:szCs w:val="18"/>
        </w:rPr>
        <w:t>Abbreviations: CZP=certolizumab; ADA=adalimumab</w:t>
      </w:r>
    </w:p>
    <w:p w:rsidR="00FE2169" w:rsidRPr="00141BDF" w:rsidRDefault="00FE2169" w:rsidP="005E4ABD">
      <w:pPr>
        <w:ind w:left="709"/>
        <w:rPr>
          <w:rFonts w:ascii="Arial Narrow" w:hAnsi="Arial Narrow" w:cstheme="minorBidi"/>
          <w:bCs/>
          <w:sz w:val="18"/>
          <w:szCs w:val="18"/>
        </w:rPr>
      </w:pPr>
      <w:r w:rsidRPr="00141BDF">
        <w:rPr>
          <w:rFonts w:ascii="Arial Narrow" w:hAnsi="Arial Narrow" w:cstheme="minorBidi"/>
          <w:bCs/>
          <w:sz w:val="18"/>
          <w:szCs w:val="18"/>
        </w:rPr>
        <w:t>*</w:t>
      </w:r>
      <w:r w:rsidRPr="00141BDF">
        <w:rPr>
          <w:rFonts w:ascii="Arial Narrow" w:hAnsi="Arial Narrow" w:cstheme="minorBidi"/>
          <w:bCs/>
          <w:sz w:val="18"/>
          <w:szCs w:val="18"/>
        </w:rPr>
        <w:tab/>
        <w:t>CZP combined minus ADA</w:t>
      </w:r>
    </w:p>
    <w:p w:rsidR="00FE2169" w:rsidRPr="00141BDF" w:rsidRDefault="00FE2169" w:rsidP="005E4ABD">
      <w:pPr>
        <w:ind w:left="709"/>
        <w:rPr>
          <w:rFonts w:ascii="Arial Narrow" w:hAnsi="Arial Narrow" w:cstheme="minorBidi"/>
          <w:bCs/>
          <w:sz w:val="18"/>
          <w:szCs w:val="18"/>
        </w:rPr>
      </w:pPr>
      <w:r w:rsidRPr="00141BDF">
        <w:rPr>
          <w:rFonts w:ascii="Arial Narrow" w:hAnsi="Arial Narrow" w:cstheme="minorBidi"/>
          <w:bCs/>
          <w:sz w:val="18"/>
          <w:szCs w:val="18"/>
          <w:vertAlign w:val="superscript"/>
        </w:rPr>
        <w:t>a</w:t>
      </w:r>
      <w:r w:rsidRPr="00141BDF">
        <w:rPr>
          <w:rFonts w:ascii="Arial Narrow" w:hAnsi="Arial Narrow" w:cstheme="minorBidi"/>
          <w:bCs/>
          <w:sz w:val="18"/>
          <w:szCs w:val="18"/>
        </w:rPr>
        <w:tab/>
        <w:t>wastage due to additional continuing script required for 52 weeks with the 200mg regiment compared to 400mg regimen, due to 2 fewer weeks of initial treatment.</w:t>
      </w:r>
    </w:p>
    <w:p w:rsidR="00FE2169" w:rsidRPr="00B77C4A" w:rsidRDefault="00B77C4A" w:rsidP="005E4ABD">
      <w:pPr>
        <w:ind w:left="709"/>
        <w:rPr>
          <w:rFonts w:ascii="Arial Narrow" w:hAnsi="Arial Narrow" w:cstheme="minorBidi"/>
          <w:bCs/>
          <w:sz w:val="18"/>
          <w:szCs w:val="18"/>
          <w:highlight w:val="black"/>
        </w:rPr>
      </w:pPr>
      <w:r>
        <w:rPr>
          <w:rFonts w:ascii="Arial Narrow" w:hAnsi="Arial Narrow" w:cstheme="minorBidi"/>
          <w:bCs/>
          <w:noProof/>
          <w:color w:val="000000"/>
          <w:sz w:val="18"/>
          <w:szCs w:val="18"/>
          <w:highlight w:val="black"/>
          <w:vertAlign w:val="superscript"/>
        </w:rPr>
        <w:t>'''''''''''' ''''''''''' ''' ''''''''''''' '''''''''''''''''''''' ''''''''' ''''''''''''' '''''''''' ''''''''''' '''''''''' '''' ''''''''''''''''''''''' ''''''''''''''''''''''''' ''''''''' '''''''''' ''''''''''' '''' '''''''''''''' '''''''''''''''''''''''' ''''''' '''''''''''' '''''''''' ''''''''''' '''''''''''' '''' '''''''''''''''' ''''''''''''''''''''''''''''</w:t>
      </w:r>
    </w:p>
    <w:p w:rsidR="00FE2169" w:rsidRPr="00141BDF" w:rsidRDefault="00FE2169" w:rsidP="005E4ABD">
      <w:pPr>
        <w:ind w:left="709"/>
        <w:rPr>
          <w:rFonts w:ascii="Arial Narrow" w:hAnsi="Arial Narrow" w:cstheme="minorBidi"/>
          <w:bCs/>
          <w:sz w:val="18"/>
          <w:szCs w:val="18"/>
        </w:rPr>
      </w:pPr>
      <w:r w:rsidRPr="00141BDF">
        <w:rPr>
          <w:rFonts w:ascii="Arial Narrow" w:hAnsi="Arial Narrow" w:cstheme="minorBidi"/>
          <w:bCs/>
          <w:sz w:val="18"/>
          <w:szCs w:val="18"/>
          <w:vertAlign w:val="superscript"/>
        </w:rPr>
        <w:t>c</w:t>
      </w:r>
      <w:r w:rsidRPr="00141BDF">
        <w:rPr>
          <w:rFonts w:ascii="Arial Narrow" w:hAnsi="Arial Narrow" w:cstheme="minorBidi"/>
          <w:bCs/>
          <w:sz w:val="18"/>
          <w:szCs w:val="18"/>
          <w:vertAlign w:val="superscript"/>
        </w:rPr>
        <w:tab/>
      </w:r>
      <w:r w:rsidRPr="00141BDF">
        <w:rPr>
          <w:rFonts w:ascii="Arial Narrow" w:hAnsi="Arial Narrow" w:cstheme="minorBidi"/>
          <w:bCs/>
          <w:sz w:val="18"/>
          <w:szCs w:val="18"/>
        </w:rPr>
        <w:t>this is the time the next dose is due.</w:t>
      </w:r>
    </w:p>
    <w:p w:rsidR="00FE2169" w:rsidRPr="00141BDF" w:rsidRDefault="00FE2169" w:rsidP="005E4ABD">
      <w:pPr>
        <w:ind w:left="709"/>
        <w:rPr>
          <w:rFonts w:ascii="Arial Narrow" w:hAnsi="Arial Narrow" w:cstheme="minorBidi"/>
          <w:bCs/>
          <w:sz w:val="18"/>
          <w:szCs w:val="18"/>
        </w:rPr>
      </w:pPr>
      <w:r w:rsidRPr="00141BDF">
        <w:rPr>
          <w:rFonts w:ascii="Arial Narrow" w:hAnsi="Arial Narrow" w:cstheme="minorBidi"/>
          <w:bCs/>
          <w:sz w:val="18"/>
          <w:szCs w:val="18"/>
          <w:vertAlign w:val="superscript"/>
        </w:rPr>
        <w:t>d</w:t>
      </w:r>
      <w:r w:rsidRPr="00141BDF">
        <w:rPr>
          <w:rFonts w:ascii="Arial Narrow" w:hAnsi="Arial Narrow" w:cstheme="minorBidi"/>
          <w:bCs/>
          <w:sz w:val="18"/>
          <w:szCs w:val="18"/>
          <w:vertAlign w:val="superscript"/>
        </w:rPr>
        <w:tab/>
      </w:r>
      <w:r w:rsidRPr="00141BDF">
        <w:rPr>
          <w:rFonts w:ascii="Arial Narrow" w:hAnsi="Arial Narrow" w:cstheme="minorBidi"/>
          <w:bCs/>
          <w:sz w:val="18"/>
          <w:szCs w:val="18"/>
        </w:rPr>
        <w:t>52 weeks minus initial treatment period.</w:t>
      </w:r>
    </w:p>
    <w:p w:rsidR="00FE2169" w:rsidRPr="00141BDF" w:rsidRDefault="00FE2169" w:rsidP="005E4ABD">
      <w:pPr>
        <w:ind w:left="709"/>
        <w:rPr>
          <w:rFonts w:ascii="Arial Narrow" w:hAnsi="Arial Narrow" w:cstheme="minorBidi"/>
          <w:bCs/>
          <w:sz w:val="18"/>
          <w:szCs w:val="18"/>
        </w:rPr>
      </w:pPr>
      <w:r w:rsidRPr="00141BDF">
        <w:rPr>
          <w:rFonts w:ascii="Arial Narrow" w:hAnsi="Arial Narrow" w:cstheme="minorBidi"/>
          <w:bCs/>
          <w:sz w:val="18"/>
          <w:szCs w:val="18"/>
        </w:rPr>
        <w:t>Source: Table D-4, p156 of the submission Section D worksheet excel spreadsheet.</w:t>
      </w:r>
    </w:p>
    <w:p w:rsidR="009423BB" w:rsidRPr="001D209E" w:rsidRDefault="009423BB" w:rsidP="00FE2169">
      <w:pPr>
        <w:rPr>
          <w:i/>
          <w:szCs w:val="16"/>
        </w:rPr>
      </w:pPr>
    </w:p>
    <w:p w:rsidR="00FE2169" w:rsidRPr="00C24DE4" w:rsidRDefault="00FE2169" w:rsidP="005E4ABD">
      <w:pPr>
        <w:pStyle w:val="ListParagraph"/>
        <w:widowControl/>
        <w:numPr>
          <w:ilvl w:val="1"/>
          <w:numId w:val="5"/>
        </w:numPr>
      </w:pPr>
      <w:r w:rsidRPr="00C24DE4">
        <w:t xml:space="preserve">Given the proposed PBS listing of CZP </w:t>
      </w:r>
      <w:r w:rsidR="0026716A" w:rsidRPr="00C24DE4">
        <w:t>was</w:t>
      </w:r>
      <w:r w:rsidRPr="00C24DE4">
        <w:t xml:space="preserve"> segregated into initial and continuing therapy, a cost comparison of the effective price of CZP versus ADA for these separate phases was also required t</w:t>
      </w:r>
      <w:r w:rsidR="006639BE" w:rsidRPr="00C24DE4">
        <w:t xml:space="preserve">o establish cost minimisation. </w:t>
      </w:r>
      <w:r w:rsidRPr="00C24DE4">
        <w:t>This was conducted during the evaluat</w:t>
      </w:r>
      <w:r w:rsidR="004D0F2E" w:rsidRPr="00C24DE4">
        <w:t xml:space="preserve">ion and is summarised in </w:t>
      </w:r>
      <w:r w:rsidR="00A04332">
        <w:t xml:space="preserve">the table </w:t>
      </w:r>
      <w:r w:rsidR="009423BB" w:rsidRPr="00C24DE4">
        <w:t>below</w:t>
      </w:r>
      <w:r w:rsidRPr="00C24DE4">
        <w:t>.</w:t>
      </w:r>
    </w:p>
    <w:p w:rsidR="00FE2169" w:rsidRPr="00C24DE4" w:rsidRDefault="00FE2169" w:rsidP="00FE2169">
      <w:pPr>
        <w:rPr>
          <w:szCs w:val="16"/>
        </w:rPr>
      </w:pPr>
    </w:p>
    <w:p w:rsidR="00FE2169" w:rsidRPr="00C24DE4" w:rsidRDefault="00FE2169" w:rsidP="005E4ABD">
      <w:pPr>
        <w:ind w:left="709"/>
        <w:rPr>
          <w:rFonts w:ascii="Arial Narrow" w:hAnsi="Arial Narrow"/>
          <w:sz w:val="20"/>
        </w:rPr>
      </w:pPr>
      <w:r w:rsidRPr="00C24DE4">
        <w:rPr>
          <w:rFonts w:ascii="Arial Narrow" w:hAnsi="Arial Narrow"/>
          <w:b/>
          <w:sz w:val="20"/>
        </w:rPr>
        <w:t>Comparison of the PSB cost of CZP and ADA for initial and continuing treatment of PsA</w:t>
      </w:r>
    </w:p>
    <w:tbl>
      <w:tblPr>
        <w:tblW w:w="822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1134"/>
        <w:gridCol w:w="1417"/>
        <w:gridCol w:w="1418"/>
        <w:gridCol w:w="1134"/>
        <w:gridCol w:w="1276"/>
      </w:tblGrid>
      <w:tr w:rsidR="00FE2169" w:rsidRPr="00C24DE4" w:rsidTr="003D5558">
        <w:tc>
          <w:tcPr>
            <w:tcW w:w="2977" w:type="dxa"/>
            <w:gridSpan w:val="2"/>
            <w:shd w:val="clear" w:color="auto" w:fill="auto"/>
          </w:tcPr>
          <w:p w:rsidR="00FE2169" w:rsidRPr="00C24DE4" w:rsidRDefault="00FE2169" w:rsidP="00083B3A">
            <w:pPr>
              <w:rPr>
                <w:rFonts w:ascii="Arial Narrow" w:hAnsi="Arial Narrow"/>
                <w:iCs/>
                <w:sz w:val="20"/>
              </w:rPr>
            </w:pPr>
          </w:p>
        </w:tc>
        <w:tc>
          <w:tcPr>
            <w:tcW w:w="1417" w:type="dxa"/>
            <w:shd w:val="clear" w:color="auto" w:fill="auto"/>
            <w:vAlign w:val="center"/>
          </w:tcPr>
          <w:p w:rsidR="00FE2169" w:rsidRPr="00C24DE4" w:rsidRDefault="00FE2169" w:rsidP="00083B3A">
            <w:pPr>
              <w:jc w:val="center"/>
              <w:rPr>
                <w:rFonts w:ascii="Arial Narrow" w:hAnsi="Arial Narrow"/>
                <w:b/>
                <w:bCs/>
                <w:iCs/>
                <w:sz w:val="20"/>
              </w:rPr>
            </w:pPr>
            <w:r w:rsidRPr="00C24DE4">
              <w:rPr>
                <w:rFonts w:ascii="Arial Narrow" w:hAnsi="Arial Narrow"/>
                <w:b/>
                <w:bCs/>
                <w:iCs/>
                <w:sz w:val="20"/>
              </w:rPr>
              <w:t>CZP 200</w:t>
            </w:r>
          </w:p>
        </w:tc>
        <w:tc>
          <w:tcPr>
            <w:tcW w:w="1418" w:type="dxa"/>
            <w:shd w:val="clear" w:color="auto" w:fill="auto"/>
            <w:vAlign w:val="center"/>
          </w:tcPr>
          <w:p w:rsidR="00FE2169" w:rsidRPr="00C24DE4" w:rsidRDefault="00FE2169" w:rsidP="00083B3A">
            <w:pPr>
              <w:jc w:val="center"/>
              <w:rPr>
                <w:rFonts w:ascii="Arial Narrow" w:hAnsi="Arial Narrow"/>
                <w:b/>
                <w:bCs/>
                <w:iCs/>
                <w:sz w:val="20"/>
              </w:rPr>
            </w:pPr>
            <w:r w:rsidRPr="00C24DE4">
              <w:rPr>
                <w:rFonts w:ascii="Arial Narrow" w:hAnsi="Arial Narrow"/>
                <w:b/>
                <w:bCs/>
                <w:iCs/>
                <w:sz w:val="20"/>
              </w:rPr>
              <w:t>CZP 400</w:t>
            </w:r>
          </w:p>
        </w:tc>
        <w:tc>
          <w:tcPr>
            <w:tcW w:w="1134" w:type="dxa"/>
            <w:shd w:val="clear" w:color="auto" w:fill="auto"/>
            <w:vAlign w:val="center"/>
          </w:tcPr>
          <w:p w:rsidR="00FE2169" w:rsidRPr="00C24DE4" w:rsidRDefault="00FE2169" w:rsidP="00083B3A">
            <w:pPr>
              <w:jc w:val="center"/>
              <w:rPr>
                <w:rFonts w:ascii="Arial Narrow" w:hAnsi="Arial Narrow"/>
                <w:b/>
                <w:bCs/>
                <w:iCs/>
                <w:sz w:val="20"/>
              </w:rPr>
            </w:pPr>
            <w:r w:rsidRPr="00C24DE4">
              <w:rPr>
                <w:rFonts w:ascii="Arial Narrow" w:hAnsi="Arial Narrow"/>
                <w:b/>
                <w:bCs/>
                <w:iCs/>
                <w:sz w:val="20"/>
              </w:rPr>
              <w:t>ADA</w:t>
            </w:r>
          </w:p>
        </w:tc>
        <w:tc>
          <w:tcPr>
            <w:tcW w:w="1276"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b/>
                <w:bCs/>
                <w:iCs/>
                <w:sz w:val="20"/>
              </w:rPr>
              <w:t>Difference</w:t>
            </w:r>
          </w:p>
        </w:tc>
      </w:tr>
      <w:tr w:rsidR="00FE2169" w:rsidRPr="00C24DE4" w:rsidTr="003D5558">
        <w:tc>
          <w:tcPr>
            <w:tcW w:w="1843" w:type="dxa"/>
            <w:vMerge w:val="restart"/>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Initial</w:t>
            </w:r>
          </w:p>
        </w:tc>
        <w:tc>
          <w:tcPr>
            <w:tcW w:w="1134" w:type="dxa"/>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Scripts</w:t>
            </w:r>
          </w:p>
        </w:tc>
        <w:tc>
          <w:tcPr>
            <w:tcW w:w="1417"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6 scripts</w:t>
            </w:r>
          </w:p>
        </w:tc>
        <w:tc>
          <w:tcPr>
            <w:tcW w:w="1418"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6 scripts</w:t>
            </w:r>
          </w:p>
        </w:tc>
        <w:tc>
          <w:tcPr>
            <w:tcW w:w="1134"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4 scripts</w:t>
            </w:r>
          </w:p>
        </w:tc>
        <w:tc>
          <w:tcPr>
            <w:tcW w:w="1276" w:type="dxa"/>
            <w:vMerge w:val="restart"/>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w:t>
            </w:r>
          </w:p>
        </w:tc>
      </w:tr>
      <w:tr w:rsidR="00FE2169" w:rsidRPr="00C24DE4" w:rsidTr="003D5558">
        <w:trPr>
          <w:trHeight w:val="63"/>
        </w:trPr>
        <w:tc>
          <w:tcPr>
            <w:tcW w:w="1843" w:type="dxa"/>
            <w:vMerge/>
            <w:shd w:val="clear" w:color="auto" w:fill="auto"/>
            <w:vAlign w:val="center"/>
          </w:tcPr>
          <w:p w:rsidR="00FE2169" w:rsidRPr="00C24DE4" w:rsidRDefault="00FE2169" w:rsidP="00083B3A">
            <w:pPr>
              <w:jc w:val="left"/>
              <w:rPr>
                <w:rFonts w:ascii="Arial Narrow" w:hAnsi="Arial Narrow"/>
                <w:iCs/>
                <w:sz w:val="20"/>
              </w:rPr>
            </w:pPr>
          </w:p>
        </w:tc>
        <w:tc>
          <w:tcPr>
            <w:tcW w:w="1134" w:type="dxa"/>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Weeks</w:t>
            </w:r>
          </w:p>
        </w:tc>
        <w:tc>
          <w:tcPr>
            <w:tcW w:w="1417"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18 weeks</w:t>
            </w:r>
          </w:p>
        </w:tc>
        <w:tc>
          <w:tcPr>
            <w:tcW w:w="1418"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20 weeks</w:t>
            </w:r>
          </w:p>
        </w:tc>
        <w:tc>
          <w:tcPr>
            <w:tcW w:w="1134"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16 weeks</w:t>
            </w:r>
          </w:p>
        </w:tc>
        <w:tc>
          <w:tcPr>
            <w:tcW w:w="1276" w:type="dxa"/>
            <w:vMerge/>
            <w:shd w:val="clear" w:color="auto" w:fill="auto"/>
            <w:vAlign w:val="center"/>
          </w:tcPr>
          <w:p w:rsidR="00FE2169" w:rsidRPr="00C24DE4" w:rsidRDefault="00FE2169" w:rsidP="00083B3A">
            <w:pPr>
              <w:jc w:val="center"/>
              <w:rPr>
                <w:rFonts w:ascii="Arial Narrow" w:hAnsi="Arial Narrow"/>
                <w:iCs/>
                <w:sz w:val="20"/>
              </w:rPr>
            </w:pPr>
          </w:p>
        </w:tc>
      </w:tr>
      <w:tr w:rsidR="00FE2169" w:rsidRPr="00C24DE4" w:rsidTr="003D5558">
        <w:tc>
          <w:tcPr>
            <w:tcW w:w="1843" w:type="dxa"/>
            <w:vMerge/>
            <w:shd w:val="clear" w:color="auto" w:fill="auto"/>
            <w:vAlign w:val="center"/>
          </w:tcPr>
          <w:p w:rsidR="00FE2169" w:rsidRPr="00C24DE4" w:rsidRDefault="00FE2169" w:rsidP="00083B3A">
            <w:pPr>
              <w:jc w:val="left"/>
              <w:rPr>
                <w:rFonts w:ascii="Arial Narrow" w:hAnsi="Arial Narrow"/>
                <w:iCs/>
                <w:sz w:val="20"/>
              </w:rPr>
            </w:pPr>
          </w:p>
        </w:tc>
        <w:tc>
          <w:tcPr>
            <w:tcW w:w="1134" w:type="dxa"/>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Cost</w:t>
            </w:r>
          </w:p>
        </w:tc>
        <w:tc>
          <w:tcPr>
            <w:tcW w:w="2835" w:type="dxa"/>
            <w:gridSpan w:val="2"/>
            <w:shd w:val="clear" w:color="auto" w:fill="auto"/>
            <w:vAlign w:val="center"/>
          </w:tcPr>
          <w:p w:rsidR="00FE2169" w:rsidRPr="00B77C4A" w:rsidRDefault="00B77C4A" w:rsidP="00083B3A">
            <w:pPr>
              <w:jc w:val="center"/>
              <w:rPr>
                <w:rFonts w:ascii="Arial Narrow" w:hAnsi="Arial Narrow"/>
                <w:iCs/>
                <w:sz w:val="20"/>
                <w:highlight w:val="black"/>
              </w:rPr>
            </w:pPr>
            <w:r>
              <w:rPr>
                <w:rFonts w:ascii="Arial Narrow" w:hAnsi="Arial Narrow" w:cstheme="minorBidi"/>
                <w:iCs/>
                <w:noProof/>
                <w:color w:val="000000"/>
                <w:sz w:val="20"/>
                <w:highlight w:val="black"/>
              </w:rPr>
              <w:t>''''''''''''''''''''''</w:t>
            </w:r>
          </w:p>
        </w:tc>
        <w:tc>
          <w:tcPr>
            <w:tcW w:w="1134" w:type="dxa"/>
            <w:shd w:val="clear" w:color="auto" w:fill="auto"/>
            <w:vAlign w:val="center"/>
          </w:tcPr>
          <w:p w:rsidR="00FE2169" w:rsidRPr="00B77C4A" w:rsidRDefault="00B77C4A" w:rsidP="00083B3A">
            <w:pPr>
              <w:jc w:val="center"/>
              <w:rPr>
                <w:rFonts w:ascii="Arial Narrow" w:hAnsi="Arial Narrow"/>
                <w:iCs/>
                <w:color w:val="000000"/>
                <w:sz w:val="20"/>
                <w:highlight w:val="black"/>
              </w:rPr>
            </w:pPr>
            <w:r>
              <w:rPr>
                <w:rFonts w:ascii="Arial Narrow" w:hAnsi="Arial Narrow"/>
                <w:iCs/>
                <w:noProof/>
                <w:color w:val="000000"/>
                <w:sz w:val="20"/>
                <w:highlight w:val="black"/>
              </w:rPr>
              <w:t>'''''''''''''''''''''''</w:t>
            </w:r>
          </w:p>
        </w:tc>
        <w:tc>
          <w:tcPr>
            <w:tcW w:w="1276" w:type="dxa"/>
            <w:shd w:val="clear" w:color="auto" w:fill="auto"/>
            <w:vAlign w:val="center"/>
          </w:tcPr>
          <w:p w:rsidR="00FE2169" w:rsidRPr="00B77C4A" w:rsidRDefault="00B77C4A" w:rsidP="00083B3A">
            <w:pPr>
              <w:jc w:val="center"/>
              <w:rPr>
                <w:rFonts w:ascii="Arial Narrow" w:hAnsi="Arial Narrow"/>
                <w:iCs/>
                <w:sz w:val="20"/>
                <w:highlight w:val="black"/>
              </w:rPr>
            </w:pPr>
            <w:r>
              <w:rPr>
                <w:rFonts w:ascii="Arial Narrow" w:hAnsi="Arial Narrow" w:cstheme="minorBidi"/>
                <w:iCs/>
                <w:noProof/>
                <w:color w:val="000000"/>
                <w:sz w:val="20"/>
                <w:highlight w:val="black"/>
              </w:rPr>
              <w:t>'''''''''''''''''''''''''</w:t>
            </w:r>
          </w:p>
        </w:tc>
      </w:tr>
      <w:tr w:rsidR="00FE2169" w:rsidRPr="00C24DE4" w:rsidTr="003D5558">
        <w:tc>
          <w:tcPr>
            <w:tcW w:w="1843" w:type="dxa"/>
            <w:vMerge w:val="restart"/>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Continuing</w:t>
            </w:r>
          </w:p>
        </w:tc>
        <w:tc>
          <w:tcPr>
            <w:tcW w:w="1134" w:type="dxa"/>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Scripts</w:t>
            </w:r>
          </w:p>
        </w:tc>
        <w:tc>
          <w:tcPr>
            <w:tcW w:w="1417"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6 scripts</w:t>
            </w:r>
          </w:p>
        </w:tc>
        <w:tc>
          <w:tcPr>
            <w:tcW w:w="1418"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6 scripts</w:t>
            </w:r>
          </w:p>
        </w:tc>
        <w:tc>
          <w:tcPr>
            <w:tcW w:w="1134"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6 scripts</w:t>
            </w:r>
          </w:p>
        </w:tc>
        <w:tc>
          <w:tcPr>
            <w:tcW w:w="1276" w:type="dxa"/>
            <w:vMerge w:val="restart"/>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w:t>
            </w:r>
          </w:p>
        </w:tc>
      </w:tr>
      <w:tr w:rsidR="00FE2169" w:rsidRPr="00C24DE4" w:rsidTr="003D5558">
        <w:trPr>
          <w:trHeight w:val="63"/>
        </w:trPr>
        <w:tc>
          <w:tcPr>
            <w:tcW w:w="1843" w:type="dxa"/>
            <w:vMerge/>
            <w:shd w:val="clear" w:color="auto" w:fill="auto"/>
            <w:vAlign w:val="center"/>
          </w:tcPr>
          <w:p w:rsidR="00FE2169" w:rsidRPr="00C24DE4" w:rsidRDefault="00FE2169" w:rsidP="00083B3A">
            <w:pPr>
              <w:jc w:val="left"/>
              <w:rPr>
                <w:rFonts w:ascii="Arial Narrow" w:hAnsi="Arial Narrow"/>
                <w:iCs/>
                <w:sz w:val="20"/>
              </w:rPr>
            </w:pPr>
          </w:p>
        </w:tc>
        <w:tc>
          <w:tcPr>
            <w:tcW w:w="1134" w:type="dxa"/>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Weeks</w:t>
            </w:r>
          </w:p>
        </w:tc>
        <w:tc>
          <w:tcPr>
            <w:tcW w:w="1417"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24 weeks</w:t>
            </w:r>
          </w:p>
        </w:tc>
        <w:tc>
          <w:tcPr>
            <w:tcW w:w="1418"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24 weeks</w:t>
            </w:r>
          </w:p>
        </w:tc>
        <w:tc>
          <w:tcPr>
            <w:tcW w:w="1134" w:type="dxa"/>
            <w:shd w:val="clear" w:color="auto" w:fill="auto"/>
            <w:vAlign w:val="center"/>
          </w:tcPr>
          <w:p w:rsidR="00FE2169" w:rsidRPr="00C24DE4" w:rsidRDefault="00FE2169" w:rsidP="00083B3A">
            <w:pPr>
              <w:jc w:val="center"/>
              <w:rPr>
                <w:rFonts w:ascii="Arial Narrow" w:hAnsi="Arial Narrow"/>
                <w:iCs/>
                <w:sz w:val="20"/>
              </w:rPr>
            </w:pPr>
            <w:r w:rsidRPr="00C24DE4">
              <w:rPr>
                <w:rFonts w:ascii="Arial Narrow" w:hAnsi="Arial Narrow"/>
                <w:iCs/>
                <w:sz w:val="20"/>
              </w:rPr>
              <w:t>24 weeks</w:t>
            </w:r>
          </w:p>
        </w:tc>
        <w:tc>
          <w:tcPr>
            <w:tcW w:w="1276" w:type="dxa"/>
            <w:vMerge/>
            <w:shd w:val="clear" w:color="auto" w:fill="auto"/>
            <w:vAlign w:val="center"/>
          </w:tcPr>
          <w:p w:rsidR="00FE2169" w:rsidRPr="00C24DE4" w:rsidRDefault="00FE2169" w:rsidP="00083B3A">
            <w:pPr>
              <w:jc w:val="center"/>
              <w:rPr>
                <w:rFonts w:ascii="Arial Narrow" w:hAnsi="Arial Narrow"/>
                <w:iCs/>
                <w:sz w:val="20"/>
              </w:rPr>
            </w:pPr>
          </w:p>
        </w:tc>
      </w:tr>
      <w:tr w:rsidR="00FE2169" w:rsidRPr="00C24DE4" w:rsidTr="003D5558">
        <w:tc>
          <w:tcPr>
            <w:tcW w:w="1843" w:type="dxa"/>
            <w:vMerge/>
            <w:shd w:val="clear" w:color="auto" w:fill="auto"/>
            <w:vAlign w:val="center"/>
          </w:tcPr>
          <w:p w:rsidR="00FE2169" w:rsidRPr="00C24DE4" w:rsidRDefault="00FE2169" w:rsidP="00083B3A">
            <w:pPr>
              <w:jc w:val="left"/>
              <w:rPr>
                <w:rFonts w:ascii="Arial Narrow" w:hAnsi="Arial Narrow"/>
                <w:iCs/>
                <w:sz w:val="20"/>
              </w:rPr>
            </w:pPr>
          </w:p>
        </w:tc>
        <w:tc>
          <w:tcPr>
            <w:tcW w:w="1134" w:type="dxa"/>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Cost</w:t>
            </w:r>
          </w:p>
        </w:tc>
        <w:tc>
          <w:tcPr>
            <w:tcW w:w="2835" w:type="dxa"/>
            <w:gridSpan w:val="2"/>
            <w:shd w:val="clear" w:color="auto" w:fill="auto"/>
            <w:vAlign w:val="center"/>
          </w:tcPr>
          <w:p w:rsidR="00FE2169" w:rsidRPr="00B77C4A" w:rsidRDefault="00B77C4A" w:rsidP="00083B3A">
            <w:pPr>
              <w:jc w:val="center"/>
              <w:rPr>
                <w:rFonts w:ascii="Arial Narrow" w:hAnsi="Arial Narrow"/>
                <w:iCs/>
                <w:sz w:val="20"/>
                <w:highlight w:val="black"/>
              </w:rPr>
            </w:pPr>
            <w:r>
              <w:rPr>
                <w:rFonts w:ascii="Arial Narrow" w:hAnsi="Arial Narrow" w:cstheme="minorBidi"/>
                <w:iCs/>
                <w:noProof/>
                <w:color w:val="000000"/>
                <w:sz w:val="20"/>
                <w:highlight w:val="black"/>
              </w:rPr>
              <w:t>'''''''''''''''''''''''''</w:t>
            </w:r>
          </w:p>
        </w:tc>
        <w:tc>
          <w:tcPr>
            <w:tcW w:w="1134" w:type="dxa"/>
            <w:shd w:val="clear" w:color="auto" w:fill="auto"/>
            <w:vAlign w:val="center"/>
          </w:tcPr>
          <w:p w:rsidR="00FE2169" w:rsidRPr="00B77C4A" w:rsidRDefault="00B77C4A" w:rsidP="00083B3A">
            <w:pPr>
              <w:jc w:val="center"/>
              <w:rPr>
                <w:rFonts w:ascii="Arial Narrow" w:hAnsi="Arial Narrow"/>
                <w:iCs/>
                <w:sz w:val="20"/>
                <w:highlight w:val="black"/>
              </w:rPr>
            </w:pPr>
            <w:r>
              <w:rPr>
                <w:rFonts w:ascii="Arial Narrow" w:hAnsi="Arial Narrow"/>
                <w:iCs/>
                <w:noProof/>
                <w:color w:val="000000"/>
                <w:sz w:val="20"/>
                <w:highlight w:val="black"/>
              </w:rPr>
              <w:t>''''''''''''''''''''''''''</w:t>
            </w:r>
          </w:p>
        </w:tc>
        <w:tc>
          <w:tcPr>
            <w:tcW w:w="1276" w:type="dxa"/>
            <w:shd w:val="clear" w:color="auto" w:fill="auto"/>
            <w:vAlign w:val="center"/>
          </w:tcPr>
          <w:p w:rsidR="00FE2169" w:rsidRPr="00B77C4A" w:rsidRDefault="00B77C4A" w:rsidP="00083B3A">
            <w:pPr>
              <w:jc w:val="center"/>
              <w:rPr>
                <w:rFonts w:ascii="Arial Narrow" w:hAnsi="Arial Narrow"/>
                <w:iCs/>
                <w:sz w:val="20"/>
                <w:highlight w:val="black"/>
              </w:rPr>
            </w:pPr>
            <w:r>
              <w:rPr>
                <w:rFonts w:ascii="Arial Narrow" w:hAnsi="Arial Narrow"/>
                <w:iCs/>
                <w:noProof/>
                <w:color w:val="000000"/>
                <w:sz w:val="20"/>
                <w:highlight w:val="black"/>
              </w:rPr>
              <w:t>''''''''''''''''''''''''</w:t>
            </w:r>
          </w:p>
        </w:tc>
      </w:tr>
      <w:tr w:rsidR="00FE2169" w:rsidRPr="00C24DE4" w:rsidTr="003D5558">
        <w:tc>
          <w:tcPr>
            <w:tcW w:w="1843" w:type="dxa"/>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Total after one round</w:t>
            </w:r>
          </w:p>
        </w:tc>
        <w:tc>
          <w:tcPr>
            <w:tcW w:w="1134" w:type="dxa"/>
            <w:shd w:val="clear" w:color="auto" w:fill="auto"/>
            <w:vAlign w:val="center"/>
          </w:tcPr>
          <w:p w:rsidR="00FE2169" w:rsidRPr="00C24DE4" w:rsidRDefault="00FE2169" w:rsidP="00083B3A">
            <w:pPr>
              <w:jc w:val="left"/>
              <w:rPr>
                <w:rFonts w:ascii="Arial Narrow" w:hAnsi="Arial Narrow"/>
                <w:iCs/>
                <w:sz w:val="20"/>
              </w:rPr>
            </w:pPr>
            <w:r w:rsidRPr="00C24DE4">
              <w:rPr>
                <w:rFonts w:ascii="Arial Narrow" w:hAnsi="Arial Narrow"/>
                <w:iCs/>
                <w:sz w:val="20"/>
              </w:rPr>
              <w:t xml:space="preserve">Cost </w:t>
            </w:r>
          </w:p>
        </w:tc>
        <w:tc>
          <w:tcPr>
            <w:tcW w:w="2835" w:type="dxa"/>
            <w:gridSpan w:val="2"/>
            <w:shd w:val="clear" w:color="auto" w:fill="auto"/>
            <w:vAlign w:val="center"/>
          </w:tcPr>
          <w:p w:rsidR="00FE2169" w:rsidRPr="00B77C4A" w:rsidRDefault="00B77C4A" w:rsidP="00083B3A">
            <w:pPr>
              <w:jc w:val="center"/>
              <w:rPr>
                <w:rFonts w:ascii="Arial Narrow" w:hAnsi="Arial Narrow" w:cstheme="minorBidi"/>
                <w:iCs/>
                <w:sz w:val="20"/>
                <w:highlight w:val="black"/>
              </w:rPr>
            </w:pPr>
            <w:r>
              <w:rPr>
                <w:rFonts w:ascii="Arial Narrow" w:hAnsi="Arial Narrow" w:cstheme="minorBidi"/>
                <w:iCs/>
                <w:noProof/>
                <w:color w:val="000000"/>
                <w:sz w:val="20"/>
                <w:highlight w:val="black"/>
              </w:rPr>
              <w:t>'''''''''''''''''''''''''''''</w:t>
            </w:r>
          </w:p>
        </w:tc>
        <w:tc>
          <w:tcPr>
            <w:tcW w:w="1134" w:type="dxa"/>
            <w:shd w:val="clear" w:color="auto" w:fill="auto"/>
            <w:vAlign w:val="center"/>
          </w:tcPr>
          <w:p w:rsidR="00FE2169" w:rsidRPr="00B77C4A" w:rsidRDefault="00B77C4A" w:rsidP="00083B3A">
            <w:pPr>
              <w:jc w:val="center"/>
              <w:rPr>
                <w:rFonts w:ascii="Arial Narrow" w:hAnsi="Arial Narrow"/>
                <w:iCs/>
                <w:sz w:val="20"/>
                <w:highlight w:val="black"/>
              </w:rPr>
            </w:pPr>
            <w:r>
              <w:rPr>
                <w:rFonts w:ascii="Arial Narrow" w:hAnsi="Arial Narrow"/>
                <w:iCs/>
                <w:noProof/>
                <w:color w:val="000000"/>
                <w:sz w:val="20"/>
                <w:highlight w:val="black"/>
              </w:rPr>
              <w:t>''''''''''''''''''''''''''</w:t>
            </w:r>
          </w:p>
        </w:tc>
        <w:tc>
          <w:tcPr>
            <w:tcW w:w="1276" w:type="dxa"/>
            <w:shd w:val="clear" w:color="auto" w:fill="auto"/>
            <w:vAlign w:val="center"/>
          </w:tcPr>
          <w:p w:rsidR="00FE2169" w:rsidRPr="00B77C4A" w:rsidRDefault="00B77C4A" w:rsidP="00083B3A">
            <w:pPr>
              <w:jc w:val="center"/>
              <w:rPr>
                <w:rFonts w:ascii="Arial Narrow" w:hAnsi="Arial Narrow"/>
                <w:iCs/>
                <w:sz w:val="20"/>
                <w:highlight w:val="black"/>
              </w:rPr>
            </w:pPr>
            <w:r>
              <w:rPr>
                <w:rFonts w:ascii="Arial Narrow" w:hAnsi="Arial Narrow"/>
                <w:iCs/>
                <w:noProof/>
                <w:color w:val="000000"/>
                <w:sz w:val="20"/>
                <w:highlight w:val="black"/>
              </w:rPr>
              <w:t>''''''''''''''''''''''''</w:t>
            </w:r>
          </w:p>
        </w:tc>
      </w:tr>
    </w:tbl>
    <w:p w:rsidR="00FE2169" w:rsidRPr="00C24DE4" w:rsidRDefault="00FE2169" w:rsidP="005E4ABD">
      <w:pPr>
        <w:ind w:left="709"/>
        <w:rPr>
          <w:rFonts w:ascii="Arial Narrow" w:hAnsi="Arial Narrow" w:cstheme="minorBidi"/>
          <w:bCs/>
          <w:sz w:val="18"/>
          <w:szCs w:val="18"/>
        </w:rPr>
      </w:pPr>
      <w:r w:rsidRPr="00C24DE4">
        <w:rPr>
          <w:rFonts w:ascii="Arial Narrow" w:hAnsi="Arial Narrow" w:cstheme="minorBidi"/>
          <w:bCs/>
          <w:sz w:val="18"/>
          <w:szCs w:val="18"/>
        </w:rPr>
        <w:t>Source: constructed during the evaluation</w:t>
      </w:r>
    </w:p>
    <w:p w:rsidR="00FE2169" w:rsidRPr="0024074D" w:rsidRDefault="00FE2169" w:rsidP="00FE2169">
      <w:pPr>
        <w:widowControl/>
        <w:jc w:val="left"/>
      </w:pPr>
    </w:p>
    <w:p w:rsidR="00A211F8" w:rsidRPr="00C73C47" w:rsidRDefault="004858CA" w:rsidP="00467428">
      <w:pPr>
        <w:pStyle w:val="ListParagraph"/>
        <w:widowControl/>
        <w:numPr>
          <w:ilvl w:val="1"/>
          <w:numId w:val="5"/>
        </w:numPr>
        <w:rPr>
          <w:b/>
          <w:bCs/>
          <w:szCs w:val="22"/>
        </w:rPr>
      </w:pPr>
      <w:r w:rsidRPr="00C73C47">
        <w:t xml:space="preserve">At the effective price, a course of initial treatment with </w:t>
      </w:r>
      <w:r w:rsidR="0026716A">
        <w:t>CZP</w:t>
      </w:r>
      <w:r w:rsidR="0026716A" w:rsidRPr="00C73C47">
        <w:t xml:space="preserve"> </w:t>
      </w:r>
      <w:r w:rsidRPr="00C73C47">
        <w:t xml:space="preserve">compared with </w:t>
      </w:r>
      <w:r w:rsidR="0026716A">
        <w:t>ADA</w:t>
      </w:r>
      <w:r w:rsidR="0026716A" w:rsidRPr="00C73C47">
        <w:t xml:space="preserve"> </w:t>
      </w:r>
      <w:r w:rsidR="0026716A">
        <w:t>would have</w:t>
      </w:r>
      <w:r w:rsidR="0026716A" w:rsidRPr="00C73C47">
        <w:t xml:space="preserve"> </w:t>
      </w:r>
      <w:r w:rsidRPr="00C73C47">
        <w:t>a net cost to government of $</w:t>
      </w:r>
      <w:r w:rsidR="00B77C4A">
        <w:rPr>
          <w:noProof/>
          <w:color w:val="000000"/>
          <w:highlight w:val="black"/>
        </w:rPr>
        <w:t>'''''''''''''''''''</w:t>
      </w:r>
      <w:r w:rsidRPr="00C73C47">
        <w:t xml:space="preserve">, whereas a course of continuing treatment </w:t>
      </w:r>
      <w:r w:rsidR="0026716A">
        <w:t>would have</w:t>
      </w:r>
      <w:r w:rsidR="0026716A" w:rsidRPr="00C73C47">
        <w:t xml:space="preserve"> </w:t>
      </w:r>
      <w:r w:rsidR="004D0F2E">
        <w:t>a net savings of $</w:t>
      </w:r>
      <w:r w:rsidR="00B77C4A">
        <w:rPr>
          <w:noProof/>
          <w:color w:val="000000"/>
          <w:highlight w:val="black"/>
        </w:rPr>
        <w:t>'''''''''''''''''''</w:t>
      </w:r>
      <w:r w:rsidR="004D0F2E">
        <w:t>.</w:t>
      </w:r>
      <w:r w:rsidRPr="00C73C47">
        <w:t xml:space="preserve"> After one round of initial and continu</w:t>
      </w:r>
      <w:r w:rsidRPr="004D0F2E">
        <w:t xml:space="preserve">ing therapy, treatment with CZP </w:t>
      </w:r>
      <w:r w:rsidR="00B50138" w:rsidRPr="004D0F2E">
        <w:t xml:space="preserve">would </w:t>
      </w:r>
      <w:r w:rsidRPr="004D0F2E">
        <w:t>result in a cost saving of $</w:t>
      </w:r>
      <w:r w:rsidR="00B77C4A">
        <w:rPr>
          <w:noProof/>
          <w:color w:val="000000"/>
          <w:highlight w:val="black"/>
        </w:rPr>
        <w:t>''''''''''''''''''''''</w:t>
      </w:r>
      <w:r w:rsidR="004D0F2E" w:rsidRPr="004D0F2E">
        <w:t>.</w:t>
      </w:r>
      <w:r w:rsidRPr="004D0F2E">
        <w:t xml:space="preserve"> </w:t>
      </w:r>
      <w:bookmarkEnd w:id="31"/>
    </w:p>
    <w:p w:rsidR="00B50138" w:rsidRPr="00C73C47" w:rsidRDefault="00B50138" w:rsidP="004858CA">
      <w:pPr>
        <w:pStyle w:val="ListParagraph"/>
        <w:widowControl/>
        <w:rPr>
          <w:b/>
          <w:bCs/>
          <w:szCs w:val="22"/>
        </w:rPr>
      </w:pPr>
    </w:p>
    <w:p w:rsidR="00A211F8" w:rsidRPr="005874F8" w:rsidRDefault="004858CA" w:rsidP="005874F8">
      <w:pPr>
        <w:pStyle w:val="BodyText"/>
        <w:rPr>
          <w:b/>
        </w:rPr>
      </w:pPr>
      <w:bookmarkStart w:id="32" w:name="_Toc398646052"/>
      <w:r w:rsidRPr="005874F8">
        <w:rPr>
          <w:b/>
        </w:rPr>
        <w:t>Drug cost/patient/course</w:t>
      </w:r>
      <w:bookmarkEnd w:id="32"/>
    </w:p>
    <w:p w:rsidR="000C514A" w:rsidRPr="00C73C47" w:rsidRDefault="000C514A" w:rsidP="000C514A"/>
    <w:p w:rsidR="00A211F8" w:rsidRPr="00C73C47" w:rsidRDefault="004D0F2E" w:rsidP="00467428">
      <w:pPr>
        <w:pStyle w:val="ListParagraph"/>
        <w:widowControl/>
        <w:numPr>
          <w:ilvl w:val="1"/>
          <w:numId w:val="5"/>
        </w:numPr>
        <w:rPr>
          <w:szCs w:val="22"/>
        </w:rPr>
      </w:pPr>
      <w:r>
        <w:rPr>
          <w:iCs/>
        </w:rPr>
        <w:t xml:space="preserve">As shown in </w:t>
      </w:r>
      <w:r w:rsidR="00A04332">
        <w:rPr>
          <w:iCs/>
        </w:rPr>
        <w:t xml:space="preserve">the table </w:t>
      </w:r>
      <w:r w:rsidR="00F0363D">
        <w:rPr>
          <w:iCs/>
        </w:rPr>
        <w:t xml:space="preserve">above, </w:t>
      </w:r>
      <w:r w:rsidR="00625AC3" w:rsidRPr="00C73C47">
        <w:rPr>
          <w:iCs/>
        </w:rPr>
        <w:t>$</w:t>
      </w:r>
      <w:r w:rsidR="00B77C4A">
        <w:rPr>
          <w:iCs/>
          <w:noProof/>
          <w:color w:val="000000"/>
          <w:highlight w:val="black"/>
        </w:rPr>
        <w:t>'''''''''''''''''''''</w:t>
      </w:r>
      <w:r w:rsidR="00625AC3" w:rsidRPr="00C73C47">
        <w:rPr>
          <w:iCs/>
        </w:rPr>
        <w:t xml:space="preserve"> (for initiation therapy up to </w:t>
      </w:r>
      <w:r w:rsidR="0008141B" w:rsidRPr="00C73C47">
        <w:rPr>
          <w:iCs/>
        </w:rPr>
        <w:t>20</w:t>
      </w:r>
      <w:r w:rsidR="00625AC3" w:rsidRPr="00C73C47">
        <w:rPr>
          <w:iCs/>
        </w:rPr>
        <w:t xml:space="preserve"> weeks</w:t>
      </w:r>
      <w:r w:rsidR="003D5558">
        <w:rPr>
          <w:iCs/>
        </w:rPr>
        <w:t>, 6 </w:t>
      </w:r>
      <w:r w:rsidR="002E531D" w:rsidRPr="00C73C47">
        <w:rPr>
          <w:iCs/>
        </w:rPr>
        <w:t>scripts</w:t>
      </w:r>
      <w:r w:rsidR="00625AC3" w:rsidRPr="00C73C47">
        <w:rPr>
          <w:iCs/>
        </w:rPr>
        <w:t>) and $</w:t>
      </w:r>
      <w:r w:rsidR="00B77C4A">
        <w:rPr>
          <w:iCs/>
          <w:noProof/>
          <w:color w:val="000000"/>
          <w:highlight w:val="black"/>
        </w:rPr>
        <w:t>'''''''''''''''''''''</w:t>
      </w:r>
      <w:r w:rsidR="00625AC3" w:rsidRPr="00C73C47">
        <w:rPr>
          <w:iCs/>
        </w:rPr>
        <w:t xml:space="preserve"> every 24 weeks </w:t>
      </w:r>
      <w:r w:rsidR="002E531D" w:rsidRPr="00C73C47">
        <w:rPr>
          <w:iCs/>
        </w:rPr>
        <w:t xml:space="preserve">(6 scripts) </w:t>
      </w:r>
      <w:r w:rsidR="00625AC3" w:rsidRPr="00C73C47">
        <w:rPr>
          <w:iCs/>
        </w:rPr>
        <w:t>for co</w:t>
      </w:r>
      <w:r w:rsidR="00FB6415">
        <w:rPr>
          <w:iCs/>
        </w:rPr>
        <w:t>ntinuing therapy in responders.</w:t>
      </w:r>
      <w:r w:rsidR="00625AC3" w:rsidRPr="00C73C47">
        <w:rPr>
          <w:color w:val="3366FF"/>
          <w:szCs w:val="22"/>
        </w:rPr>
        <w:t xml:space="preserve"> </w:t>
      </w:r>
      <w:r w:rsidR="00625AC3" w:rsidRPr="00C73C47">
        <w:rPr>
          <w:szCs w:val="22"/>
        </w:rPr>
        <w:t xml:space="preserve">Compared to </w:t>
      </w:r>
      <w:r w:rsidR="009423BB">
        <w:rPr>
          <w:szCs w:val="22"/>
        </w:rPr>
        <w:t>ADA</w:t>
      </w:r>
      <w:r w:rsidR="00625AC3" w:rsidRPr="00C73C47">
        <w:rPr>
          <w:szCs w:val="22"/>
        </w:rPr>
        <w:t>: $</w:t>
      </w:r>
      <w:r w:rsidR="00B77C4A">
        <w:rPr>
          <w:noProof/>
          <w:color w:val="000000"/>
          <w:szCs w:val="22"/>
          <w:highlight w:val="black"/>
        </w:rPr>
        <w:t>''''''''''''''''''''</w:t>
      </w:r>
      <w:r w:rsidR="00625AC3" w:rsidRPr="00C73C47">
        <w:rPr>
          <w:szCs w:val="22"/>
        </w:rPr>
        <w:t xml:space="preserve"> for initiation providing up to 16 weeks </w:t>
      </w:r>
      <w:r w:rsidR="003D5558">
        <w:rPr>
          <w:szCs w:val="22"/>
        </w:rPr>
        <w:t>(4 </w:t>
      </w:r>
      <w:r w:rsidR="002E531D" w:rsidRPr="00C73C47">
        <w:rPr>
          <w:szCs w:val="22"/>
        </w:rPr>
        <w:t xml:space="preserve">scripts) </w:t>
      </w:r>
      <w:r w:rsidR="00625AC3" w:rsidRPr="00C73C47">
        <w:rPr>
          <w:szCs w:val="22"/>
        </w:rPr>
        <w:t xml:space="preserve">treatment and </w:t>
      </w:r>
      <w:r w:rsidR="00A95447" w:rsidRPr="00C73C47">
        <w:rPr>
          <w:szCs w:val="22"/>
        </w:rPr>
        <w:t>$</w:t>
      </w:r>
      <w:r w:rsidR="00B77C4A">
        <w:rPr>
          <w:noProof/>
          <w:color w:val="000000"/>
          <w:szCs w:val="22"/>
          <w:highlight w:val="black"/>
        </w:rPr>
        <w:t>''''''''''''''''''''''</w:t>
      </w:r>
      <w:r w:rsidR="00A95447" w:rsidRPr="00C73C47">
        <w:rPr>
          <w:szCs w:val="22"/>
        </w:rPr>
        <w:t xml:space="preserve"> every 24 weeks </w:t>
      </w:r>
      <w:r w:rsidR="002E531D" w:rsidRPr="00C73C47">
        <w:rPr>
          <w:szCs w:val="22"/>
        </w:rPr>
        <w:t xml:space="preserve">(6 scripts) </w:t>
      </w:r>
      <w:r w:rsidR="00A95447" w:rsidRPr="00C73C47">
        <w:rPr>
          <w:szCs w:val="22"/>
        </w:rPr>
        <w:t>for con</w:t>
      </w:r>
      <w:r w:rsidR="00FB6415">
        <w:rPr>
          <w:szCs w:val="22"/>
        </w:rPr>
        <w:t xml:space="preserve">tinuing therapy in responders. </w:t>
      </w:r>
      <w:r w:rsidR="00A95447" w:rsidRPr="00C73C47">
        <w:rPr>
          <w:szCs w:val="22"/>
        </w:rPr>
        <w:t xml:space="preserve">In responders, </w:t>
      </w:r>
      <w:r w:rsidR="009423BB">
        <w:rPr>
          <w:szCs w:val="22"/>
        </w:rPr>
        <w:t>CZP</w:t>
      </w:r>
      <w:r w:rsidR="00083B3A">
        <w:rPr>
          <w:szCs w:val="22"/>
        </w:rPr>
        <w:t xml:space="preserve"> would result in </w:t>
      </w:r>
      <w:r w:rsidR="00A95447" w:rsidRPr="00C73C47">
        <w:rPr>
          <w:szCs w:val="22"/>
        </w:rPr>
        <w:t xml:space="preserve">a cost saving to government, after 2 years of continued treatment </w:t>
      </w:r>
      <w:r w:rsidR="00F0363D">
        <w:rPr>
          <w:szCs w:val="22"/>
        </w:rPr>
        <w:t>CZP</w:t>
      </w:r>
      <w:r w:rsidR="00F0363D" w:rsidRPr="00C73C47">
        <w:rPr>
          <w:szCs w:val="22"/>
        </w:rPr>
        <w:t xml:space="preserve"> </w:t>
      </w:r>
      <w:r w:rsidR="00A95447" w:rsidRPr="00C73C47">
        <w:rPr>
          <w:szCs w:val="22"/>
        </w:rPr>
        <w:t>costs $</w:t>
      </w:r>
      <w:r w:rsidR="00B77C4A">
        <w:rPr>
          <w:noProof/>
          <w:color w:val="000000"/>
          <w:szCs w:val="22"/>
          <w:highlight w:val="black"/>
        </w:rPr>
        <w:t>''''''''''''''''</w:t>
      </w:r>
      <w:r w:rsidR="00A95447" w:rsidRPr="00C73C47">
        <w:rPr>
          <w:szCs w:val="22"/>
        </w:rPr>
        <w:t xml:space="preserve"> versus $</w:t>
      </w:r>
      <w:r w:rsidR="00B77C4A">
        <w:rPr>
          <w:noProof/>
          <w:color w:val="000000"/>
          <w:szCs w:val="22"/>
          <w:highlight w:val="black"/>
        </w:rPr>
        <w:t>'''''''''''''''''</w:t>
      </w:r>
      <w:r w:rsidR="00A95447" w:rsidRPr="00C73C47">
        <w:rPr>
          <w:szCs w:val="22"/>
        </w:rPr>
        <w:t xml:space="preserve"> for </w:t>
      </w:r>
      <w:r w:rsidR="00F0363D">
        <w:rPr>
          <w:szCs w:val="22"/>
        </w:rPr>
        <w:t>ADA</w:t>
      </w:r>
      <w:r w:rsidR="00FB6415">
        <w:rPr>
          <w:szCs w:val="22"/>
        </w:rPr>
        <w:t>.</w:t>
      </w:r>
      <w:r w:rsidR="00A95447" w:rsidRPr="00C73C47">
        <w:rPr>
          <w:szCs w:val="22"/>
        </w:rPr>
        <w:t xml:space="preserve"> However in non-responders, cost of treatment with </w:t>
      </w:r>
      <w:r w:rsidR="00F0363D">
        <w:rPr>
          <w:szCs w:val="22"/>
        </w:rPr>
        <w:t>CZP</w:t>
      </w:r>
      <w:r w:rsidR="00F0363D" w:rsidRPr="00C73C47">
        <w:rPr>
          <w:szCs w:val="22"/>
        </w:rPr>
        <w:t xml:space="preserve"> </w:t>
      </w:r>
      <w:r w:rsidR="00083B3A">
        <w:rPr>
          <w:szCs w:val="22"/>
        </w:rPr>
        <w:t>would be</w:t>
      </w:r>
      <w:r w:rsidR="00083B3A" w:rsidRPr="00C73C47">
        <w:rPr>
          <w:szCs w:val="22"/>
        </w:rPr>
        <w:t xml:space="preserve"> </w:t>
      </w:r>
      <w:r w:rsidR="00A95447" w:rsidRPr="00C73C47">
        <w:rPr>
          <w:szCs w:val="22"/>
        </w:rPr>
        <w:t xml:space="preserve">greater than </w:t>
      </w:r>
      <w:r w:rsidR="00F0363D">
        <w:rPr>
          <w:szCs w:val="22"/>
        </w:rPr>
        <w:t>ADA</w:t>
      </w:r>
      <w:r w:rsidR="00F0363D" w:rsidRPr="00C73C47">
        <w:rPr>
          <w:szCs w:val="22"/>
        </w:rPr>
        <w:t xml:space="preserve"> </w:t>
      </w:r>
      <w:r w:rsidR="00A95447" w:rsidRPr="00C73C47">
        <w:rPr>
          <w:szCs w:val="22"/>
        </w:rPr>
        <w:t>($</w:t>
      </w:r>
      <w:r w:rsidR="00B77C4A">
        <w:rPr>
          <w:noProof/>
          <w:color w:val="000000"/>
          <w:szCs w:val="22"/>
          <w:highlight w:val="black"/>
        </w:rPr>
        <w:t>''''''''''''''</w:t>
      </w:r>
      <w:r w:rsidR="00A95447" w:rsidRPr="00C73C47">
        <w:rPr>
          <w:szCs w:val="22"/>
        </w:rPr>
        <w:t xml:space="preserve"> extra) due to higher costs associated with the loading doses.</w:t>
      </w:r>
    </w:p>
    <w:p w:rsidR="00A95447" w:rsidRPr="00C73C47" w:rsidRDefault="00A95447" w:rsidP="00A95447">
      <w:pPr>
        <w:pStyle w:val="ListParagraph"/>
        <w:widowControl/>
        <w:rPr>
          <w:szCs w:val="22"/>
        </w:rPr>
      </w:pPr>
    </w:p>
    <w:p w:rsidR="00A211F8" w:rsidRPr="005874F8" w:rsidRDefault="00A211F8" w:rsidP="005874F8">
      <w:pPr>
        <w:pStyle w:val="BodyText"/>
        <w:rPr>
          <w:b/>
        </w:rPr>
      </w:pPr>
      <w:bookmarkStart w:id="33" w:name="_Toc392858201"/>
      <w:bookmarkStart w:id="34" w:name="_Toc398646053"/>
      <w:r w:rsidRPr="005874F8">
        <w:rPr>
          <w:b/>
        </w:rPr>
        <w:t>Estimated PBS usage &amp; financial implications</w:t>
      </w:r>
      <w:bookmarkEnd w:id="33"/>
      <w:bookmarkEnd w:id="34"/>
    </w:p>
    <w:p w:rsidR="00A211F8" w:rsidRPr="00C73C47" w:rsidRDefault="00A211F8" w:rsidP="00A211F8">
      <w:pPr>
        <w:ind w:left="720" w:hanging="720"/>
        <w:rPr>
          <w:b/>
          <w:szCs w:val="22"/>
        </w:rPr>
      </w:pPr>
    </w:p>
    <w:p w:rsidR="00C73C47" w:rsidRPr="00C73C47" w:rsidRDefault="00C73C47" w:rsidP="00467428">
      <w:pPr>
        <w:pStyle w:val="ListParagraph"/>
        <w:widowControl/>
        <w:numPr>
          <w:ilvl w:val="1"/>
          <w:numId w:val="5"/>
        </w:numPr>
        <w:rPr>
          <w:szCs w:val="22"/>
        </w:rPr>
      </w:pPr>
      <w:r w:rsidRPr="00EF0E1D">
        <w:rPr>
          <w:bCs/>
          <w:szCs w:val="22"/>
        </w:rPr>
        <w:t>This submission was not considered by DUSC</w:t>
      </w:r>
      <w:r w:rsidR="00A211F8" w:rsidRPr="00C73C47">
        <w:rPr>
          <w:color w:val="0070C0"/>
        </w:rPr>
        <w:t>.</w:t>
      </w:r>
      <w:r w:rsidR="00FB6415">
        <w:rPr>
          <w:color w:val="0070C0"/>
        </w:rPr>
        <w:t xml:space="preserve"> </w:t>
      </w:r>
    </w:p>
    <w:p w:rsidR="00C73C47" w:rsidRPr="00C73C47" w:rsidRDefault="00C73C47" w:rsidP="00B71DED">
      <w:pPr>
        <w:pStyle w:val="ListParagraph"/>
        <w:widowControl/>
        <w:rPr>
          <w:szCs w:val="22"/>
        </w:rPr>
      </w:pPr>
    </w:p>
    <w:p w:rsidR="003F1407" w:rsidRDefault="00A211F8" w:rsidP="00A263A0">
      <w:pPr>
        <w:pStyle w:val="ListParagraph"/>
        <w:widowControl/>
        <w:numPr>
          <w:ilvl w:val="1"/>
          <w:numId w:val="5"/>
        </w:numPr>
      </w:pPr>
      <w:r w:rsidRPr="00C73C47">
        <w:t xml:space="preserve">A market share approach </w:t>
      </w:r>
      <w:r w:rsidR="00083B3A">
        <w:t>wa</w:t>
      </w:r>
      <w:r w:rsidR="00083B3A" w:rsidRPr="00C73C47">
        <w:t xml:space="preserve">s </w:t>
      </w:r>
      <w:r w:rsidRPr="00C73C47">
        <w:t>used to estimate the financial impact</w:t>
      </w:r>
      <w:r w:rsidR="00FB6415">
        <w:t xml:space="preserve"> of CZP listing on PBS for PsA.</w:t>
      </w:r>
      <w:r w:rsidRPr="00C73C47">
        <w:t xml:space="preserve"> </w:t>
      </w:r>
      <w:r w:rsidRPr="00C73C47">
        <w:rPr>
          <w:iCs/>
        </w:rPr>
        <w:t xml:space="preserve">This </w:t>
      </w:r>
      <w:r w:rsidR="00083B3A">
        <w:rPr>
          <w:iCs/>
        </w:rPr>
        <w:t>was considered</w:t>
      </w:r>
      <w:r w:rsidR="00083B3A" w:rsidRPr="00C73C47">
        <w:rPr>
          <w:iCs/>
        </w:rPr>
        <w:t xml:space="preserve"> </w:t>
      </w:r>
      <w:r w:rsidRPr="00C73C47">
        <w:rPr>
          <w:iCs/>
        </w:rPr>
        <w:t>appropriate.</w:t>
      </w:r>
    </w:p>
    <w:p w:rsidR="00A211F8" w:rsidRPr="0041159C" w:rsidRDefault="00A211F8" w:rsidP="00E07CED">
      <w:pPr>
        <w:pStyle w:val="ListParagraph"/>
        <w:widowControl/>
        <w:rPr>
          <w:szCs w:val="22"/>
        </w:rPr>
      </w:pPr>
      <w:r w:rsidRPr="00C73C47">
        <w:t xml:space="preserve"> </w:t>
      </w:r>
    </w:p>
    <w:p w:rsidR="00F0363D" w:rsidRPr="00C73C47" w:rsidRDefault="00F0363D" w:rsidP="00467428">
      <w:pPr>
        <w:pStyle w:val="ListParagraph"/>
        <w:widowControl/>
        <w:numPr>
          <w:ilvl w:val="1"/>
          <w:numId w:val="5"/>
        </w:numPr>
        <w:rPr>
          <w:szCs w:val="22"/>
        </w:rPr>
      </w:pPr>
      <w:r>
        <w:rPr>
          <w:szCs w:val="22"/>
        </w:rPr>
        <w:t xml:space="preserve">The estimated use and financial implications of listing CZP on the PBS </w:t>
      </w:r>
      <w:r w:rsidR="004D0F2E">
        <w:rPr>
          <w:szCs w:val="22"/>
        </w:rPr>
        <w:t xml:space="preserve">for PsA is summarised in </w:t>
      </w:r>
      <w:r w:rsidR="00A04332">
        <w:rPr>
          <w:szCs w:val="22"/>
        </w:rPr>
        <w:t xml:space="preserve">the table </w:t>
      </w:r>
      <w:r>
        <w:rPr>
          <w:szCs w:val="22"/>
        </w:rPr>
        <w:t>below.</w:t>
      </w:r>
    </w:p>
    <w:p w:rsidR="00A211F8" w:rsidRPr="00C73C47" w:rsidRDefault="00A211F8" w:rsidP="004858CA">
      <w:pPr>
        <w:pStyle w:val="ListParagraph"/>
        <w:widowControl/>
        <w:rPr>
          <w:szCs w:val="22"/>
        </w:rPr>
      </w:pPr>
    </w:p>
    <w:p w:rsidR="00A211F8" w:rsidRPr="00C73C47" w:rsidRDefault="00A211F8" w:rsidP="000C514A">
      <w:pPr>
        <w:keepNext/>
        <w:ind w:firstLine="709"/>
        <w:rPr>
          <w:rStyle w:val="CommentReference"/>
        </w:rPr>
      </w:pPr>
      <w:r w:rsidRPr="00C73C47">
        <w:rPr>
          <w:rStyle w:val="CommentReference"/>
        </w:rPr>
        <w:lastRenderedPageBreak/>
        <w:t>Estimated use and financial implications</w:t>
      </w:r>
    </w:p>
    <w:tbl>
      <w:tblPr>
        <w:tblW w:w="82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1158"/>
        <w:gridCol w:w="1187"/>
        <w:gridCol w:w="1280"/>
        <w:gridCol w:w="1316"/>
        <w:gridCol w:w="1359"/>
      </w:tblGrid>
      <w:tr w:rsidR="004858CA" w:rsidRPr="00C73C47" w:rsidTr="004858CA">
        <w:trPr>
          <w:tblHeader/>
        </w:trPr>
        <w:tc>
          <w:tcPr>
            <w:tcW w:w="1985" w:type="dxa"/>
            <w:shd w:val="clear" w:color="auto" w:fill="auto"/>
          </w:tcPr>
          <w:p w:rsidR="004858CA" w:rsidRPr="00C73C47" w:rsidRDefault="004858CA" w:rsidP="000C514A">
            <w:pPr>
              <w:keepNext/>
              <w:tabs>
                <w:tab w:val="left" w:pos="142"/>
              </w:tabs>
              <w:rPr>
                <w:rFonts w:ascii="Arial Narrow" w:hAnsi="Arial Narrow"/>
                <w:b/>
                <w:sz w:val="20"/>
              </w:rPr>
            </w:pPr>
          </w:p>
        </w:tc>
        <w:tc>
          <w:tcPr>
            <w:tcW w:w="1158" w:type="dxa"/>
            <w:shd w:val="clear" w:color="auto" w:fill="auto"/>
          </w:tcPr>
          <w:p w:rsidR="004858CA" w:rsidRPr="00C73C47" w:rsidRDefault="004858CA" w:rsidP="000C514A">
            <w:pPr>
              <w:keepNext/>
              <w:jc w:val="center"/>
              <w:rPr>
                <w:rFonts w:ascii="Arial Narrow" w:hAnsi="Arial Narrow"/>
                <w:b/>
                <w:sz w:val="20"/>
              </w:rPr>
            </w:pPr>
            <w:r w:rsidRPr="00C73C47">
              <w:rPr>
                <w:rFonts w:ascii="Arial Narrow" w:hAnsi="Arial Narrow"/>
                <w:b/>
                <w:sz w:val="20"/>
              </w:rPr>
              <w:t>Year 1</w:t>
            </w:r>
          </w:p>
        </w:tc>
        <w:tc>
          <w:tcPr>
            <w:tcW w:w="1187" w:type="dxa"/>
            <w:shd w:val="clear" w:color="auto" w:fill="auto"/>
          </w:tcPr>
          <w:p w:rsidR="004858CA" w:rsidRPr="00C73C47" w:rsidRDefault="004858CA" w:rsidP="000C514A">
            <w:pPr>
              <w:keepNext/>
              <w:jc w:val="center"/>
              <w:rPr>
                <w:rFonts w:ascii="Arial Narrow" w:hAnsi="Arial Narrow"/>
                <w:b/>
                <w:sz w:val="20"/>
              </w:rPr>
            </w:pPr>
            <w:r w:rsidRPr="00C73C47">
              <w:rPr>
                <w:rFonts w:ascii="Arial Narrow" w:hAnsi="Arial Narrow"/>
                <w:b/>
                <w:sz w:val="20"/>
              </w:rPr>
              <w:t>Year 2</w:t>
            </w:r>
          </w:p>
        </w:tc>
        <w:tc>
          <w:tcPr>
            <w:tcW w:w="1280" w:type="dxa"/>
            <w:shd w:val="clear" w:color="auto" w:fill="auto"/>
          </w:tcPr>
          <w:p w:rsidR="004858CA" w:rsidRPr="00C73C47" w:rsidRDefault="004858CA" w:rsidP="000C514A">
            <w:pPr>
              <w:keepNext/>
              <w:jc w:val="center"/>
              <w:rPr>
                <w:rFonts w:ascii="Arial Narrow" w:hAnsi="Arial Narrow"/>
                <w:b/>
                <w:sz w:val="20"/>
              </w:rPr>
            </w:pPr>
            <w:r w:rsidRPr="00C73C47">
              <w:rPr>
                <w:rFonts w:ascii="Arial Narrow" w:hAnsi="Arial Narrow"/>
                <w:b/>
                <w:sz w:val="20"/>
              </w:rPr>
              <w:t>Year 3</w:t>
            </w:r>
          </w:p>
        </w:tc>
        <w:tc>
          <w:tcPr>
            <w:tcW w:w="1316" w:type="dxa"/>
            <w:shd w:val="clear" w:color="auto" w:fill="auto"/>
          </w:tcPr>
          <w:p w:rsidR="004858CA" w:rsidRPr="00C73C47" w:rsidRDefault="004858CA" w:rsidP="000C514A">
            <w:pPr>
              <w:keepNext/>
              <w:jc w:val="center"/>
              <w:rPr>
                <w:rFonts w:ascii="Arial Narrow" w:hAnsi="Arial Narrow"/>
                <w:b/>
                <w:sz w:val="20"/>
              </w:rPr>
            </w:pPr>
            <w:r w:rsidRPr="00C73C47">
              <w:rPr>
                <w:rFonts w:ascii="Arial Narrow" w:hAnsi="Arial Narrow"/>
                <w:b/>
                <w:sz w:val="20"/>
              </w:rPr>
              <w:t>Year 4</w:t>
            </w:r>
          </w:p>
        </w:tc>
        <w:tc>
          <w:tcPr>
            <w:tcW w:w="1359" w:type="dxa"/>
            <w:shd w:val="clear" w:color="auto" w:fill="auto"/>
          </w:tcPr>
          <w:p w:rsidR="004858CA" w:rsidRPr="00C73C47" w:rsidRDefault="004858CA" w:rsidP="000C514A">
            <w:pPr>
              <w:keepNext/>
              <w:jc w:val="center"/>
              <w:rPr>
                <w:rFonts w:ascii="Arial Narrow" w:hAnsi="Arial Narrow"/>
                <w:b/>
                <w:sz w:val="20"/>
              </w:rPr>
            </w:pPr>
            <w:r w:rsidRPr="00C73C47">
              <w:rPr>
                <w:rFonts w:ascii="Arial Narrow" w:hAnsi="Arial Narrow"/>
                <w:b/>
                <w:sz w:val="20"/>
              </w:rPr>
              <w:t>Year 5</w:t>
            </w:r>
          </w:p>
        </w:tc>
      </w:tr>
      <w:tr w:rsidR="004858CA" w:rsidRPr="00C73C47" w:rsidTr="004858CA">
        <w:tc>
          <w:tcPr>
            <w:tcW w:w="8285" w:type="dxa"/>
            <w:gridSpan w:val="6"/>
            <w:shd w:val="clear" w:color="auto" w:fill="auto"/>
          </w:tcPr>
          <w:p w:rsidR="004858CA" w:rsidRPr="00C73C47" w:rsidRDefault="004858CA" w:rsidP="000C514A">
            <w:pPr>
              <w:keepNext/>
              <w:jc w:val="left"/>
              <w:rPr>
                <w:rFonts w:ascii="Arial Narrow" w:hAnsi="Arial Narrow"/>
                <w:b/>
                <w:bCs/>
                <w:color w:val="000000"/>
                <w:sz w:val="20"/>
              </w:rPr>
            </w:pPr>
            <w:r w:rsidRPr="00C73C47">
              <w:rPr>
                <w:rFonts w:ascii="Arial Narrow" w:hAnsi="Arial Narrow"/>
                <w:b/>
                <w:bCs/>
                <w:color w:val="000000"/>
                <w:sz w:val="20"/>
              </w:rPr>
              <w:t>E.2: Estimated use of CZP and cost to PBS/RPBS</w:t>
            </w:r>
          </w:p>
        </w:tc>
      </w:tr>
      <w:tr w:rsidR="004858CA" w:rsidRPr="00C73C47" w:rsidTr="004858CA">
        <w:tc>
          <w:tcPr>
            <w:tcW w:w="1985" w:type="dxa"/>
            <w:shd w:val="clear" w:color="auto" w:fill="auto"/>
          </w:tcPr>
          <w:p w:rsidR="004858CA" w:rsidRPr="00C73C47" w:rsidRDefault="004858CA" w:rsidP="000C514A">
            <w:pPr>
              <w:keepNext/>
              <w:tabs>
                <w:tab w:val="left" w:pos="142"/>
              </w:tabs>
              <w:rPr>
                <w:rFonts w:ascii="Arial Narrow" w:hAnsi="Arial Narrow"/>
                <w:sz w:val="20"/>
              </w:rPr>
            </w:pPr>
            <w:r w:rsidRPr="00C73C47">
              <w:rPr>
                <w:rFonts w:ascii="Arial Narrow" w:hAnsi="Arial Narrow"/>
                <w:sz w:val="20"/>
              </w:rPr>
              <w:t>bDMARD scripts for PsA</w:t>
            </w:r>
          </w:p>
        </w:tc>
        <w:tc>
          <w:tcPr>
            <w:tcW w:w="1158"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D9D9D9"/>
          </w:tcPr>
          <w:p w:rsidR="004858CA" w:rsidRPr="00C73C47" w:rsidRDefault="004858CA" w:rsidP="000C514A">
            <w:pPr>
              <w:keepNext/>
              <w:tabs>
                <w:tab w:val="left" w:pos="142"/>
              </w:tabs>
              <w:rPr>
                <w:rFonts w:ascii="Arial Narrow" w:hAnsi="Arial Narrow"/>
                <w:sz w:val="20"/>
              </w:rPr>
            </w:pPr>
            <w:r w:rsidRPr="00C73C47">
              <w:rPr>
                <w:rFonts w:ascii="Arial Narrow" w:hAnsi="Arial Narrow"/>
                <w:sz w:val="20"/>
              </w:rPr>
              <w:t>CZP scripts</w:t>
            </w:r>
          </w:p>
        </w:tc>
        <w:tc>
          <w:tcPr>
            <w:tcW w:w="1158"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Initial</w:t>
            </w:r>
          </w:p>
        </w:tc>
        <w:tc>
          <w:tcPr>
            <w:tcW w:w="1158"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Continuing</w:t>
            </w:r>
          </w:p>
        </w:tc>
        <w:tc>
          <w:tcPr>
            <w:tcW w:w="1158"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D9D9D9"/>
          </w:tcPr>
          <w:p w:rsidR="004858CA" w:rsidRPr="00C73C47" w:rsidRDefault="004858CA" w:rsidP="000C514A">
            <w:pPr>
              <w:keepNext/>
              <w:tabs>
                <w:tab w:val="left" w:pos="142"/>
              </w:tabs>
              <w:rPr>
                <w:rFonts w:ascii="Arial Narrow" w:hAnsi="Arial Narrow"/>
                <w:sz w:val="20"/>
                <w:vertAlign w:val="superscript"/>
              </w:rPr>
            </w:pPr>
            <w:r w:rsidRPr="00C73C47">
              <w:rPr>
                <w:rFonts w:ascii="Arial Narrow" w:hAnsi="Arial Narrow"/>
                <w:sz w:val="20"/>
              </w:rPr>
              <w:t>CZP cost to PBS/RPBS</w:t>
            </w:r>
            <w:r w:rsidRPr="00C73C47">
              <w:rPr>
                <w:rFonts w:ascii="Arial Narrow" w:hAnsi="Arial Narrow"/>
                <w:sz w:val="20"/>
                <w:vertAlign w:val="superscript"/>
              </w:rPr>
              <w:t>a</w:t>
            </w:r>
          </w:p>
        </w:tc>
        <w:tc>
          <w:tcPr>
            <w:tcW w:w="1158"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Initial</w:t>
            </w:r>
          </w:p>
        </w:tc>
        <w:tc>
          <w:tcPr>
            <w:tcW w:w="1158"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Continuing</w:t>
            </w:r>
          </w:p>
        </w:tc>
        <w:tc>
          <w:tcPr>
            <w:tcW w:w="1158"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8285" w:type="dxa"/>
            <w:gridSpan w:val="6"/>
            <w:shd w:val="clear" w:color="auto" w:fill="auto"/>
            <w:vAlign w:val="center"/>
          </w:tcPr>
          <w:p w:rsidR="004858CA" w:rsidRPr="00C73C47" w:rsidRDefault="004858CA" w:rsidP="000C514A">
            <w:pPr>
              <w:keepNext/>
              <w:jc w:val="left"/>
              <w:rPr>
                <w:rFonts w:ascii="Arial Narrow" w:hAnsi="Arial Narrow"/>
                <w:b/>
                <w:color w:val="000000"/>
                <w:sz w:val="20"/>
              </w:rPr>
            </w:pPr>
            <w:r w:rsidRPr="00C73C47">
              <w:rPr>
                <w:rFonts w:ascii="Arial Narrow" w:hAnsi="Arial Narrow"/>
                <w:b/>
                <w:color w:val="000000"/>
                <w:sz w:val="20"/>
              </w:rPr>
              <w:t>E.3: Estimated change in ADA, ETC, GOL and cost to PBS/RPBS</w:t>
            </w:r>
          </w:p>
        </w:tc>
      </w:tr>
      <w:tr w:rsidR="004858CA" w:rsidRPr="00C73C47" w:rsidTr="004858CA">
        <w:tc>
          <w:tcPr>
            <w:tcW w:w="1985" w:type="dxa"/>
            <w:shd w:val="clear" w:color="auto" w:fill="D9D9D9"/>
          </w:tcPr>
          <w:p w:rsidR="004858CA" w:rsidRPr="00C73C47" w:rsidRDefault="004858CA" w:rsidP="000C514A">
            <w:pPr>
              <w:keepNext/>
              <w:tabs>
                <w:tab w:val="left" w:pos="142"/>
              </w:tabs>
              <w:rPr>
                <w:rFonts w:ascii="Arial Narrow" w:hAnsi="Arial Narrow"/>
                <w:sz w:val="20"/>
              </w:rPr>
            </w:pPr>
            <w:r w:rsidRPr="00C73C47">
              <w:rPr>
                <w:rFonts w:ascii="Arial Narrow" w:hAnsi="Arial Narrow"/>
                <w:sz w:val="20"/>
              </w:rPr>
              <w:t>ADA,ETC,GOL scripts</w:t>
            </w:r>
          </w:p>
        </w:tc>
        <w:tc>
          <w:tcPr>
            <w:tcW w:w="1158"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Initial</w:t>
            </w:r>
          </w:p>
        </w:tc>
        <w:tc>
          <w:tcPr>
            <w:tcW w:w="1158" w:type="dxa"/>
            <w:shd w:val="clear" w:color="auto" w:fill="auto"/>
            <w:vAlign w:val="bottom"/>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vAlign w:val="bottom"/>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vAlign w:val="bottom"/>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vAlign w:val="bottom"/>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vAlign w:val="bottom"/>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Continuing</w:t>
            </w:r>
          </w:p>
        </w:tc>
        <w:tc>
          <w:tcPr>
            <w:tcW w:w="1158"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D9D9D9"/>
          </w:tcPr>
          <w:p w:rsidR="004858CA" w:rsidRPr="00C73C47" w:rsidRDefault="004858CA" w:rsidP="000C514A">
            <w:pPr>
              <w:keepNext/>
              <w:tabs>
                <w:tab w:val="left" w:pos="142"/>
              </w:tabs>
              <w:rPr>
                <w:rFonts w:ascii="Arial Narrow" w:hAnsi="Arial Narrow"/>
                <w:sz w:val="20"/>
                <w:vertAlign w:val="superscript"/>
              </w:rPr>
            </w:pPr>
            <w:r w:rsidRPr="00C73C47">
              <w:rPr>
                <w:rFonts w:ascii="Arial Narrow" w:hAnsi="Arial Narrow"/>
                <w:sz w:val="20"/>
              </w:rPr>
              <w:t>ADA,ETC,GOL cost to PBS/RPBS</w:t>
            </w:r>
            <w:r w:rsidRPr="00C73C47">
              <w:rPr>
                <w:rFonts w:ascii="Arial Narrow" w:hAnsi="Arial Narrow"/>
                <w:sz w:val="20"/>
                <w:vertAlign w:val="superscript"/>
              </w:rPr>
              <w:t>a</w:t>
            </w:r>
          </w:p>
        </w:tc>
        <w:tc>
          <w:tcPr>
            <w:tcW w:w="1158"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Initial</w:t>
            </w:r>
          </w:p>
        </w:tc>
        <w:tc>
          <w:tcPr>
            <w:tcW w:w="1158"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Continuing</w:t>
            </w:r>
          </w:p>
        </w:tc>
        <w:tc>
          <w:tcPr>
            <w:tcW w:w="1158"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8285" w:type="dxa"/>
            <w:gridSpan w:val="6"/>
            <w:shd w:val="clear" w:color="auto" w:fill="auto"/>
            <w:vAlign w:val="center"/>
          </w:tcPr>
          <w:p w:rsidR="004858CA" w:rsidRPr="00C73C47" w:rsidRDefault="004858CA" w:rsidP="000C514A">
            <w:pPr>
              <w:keepNext/>
              <w:jc w:val="left"/>
              <w:rPr>
                <w:rFonts w:ascii="Arial Narrow" w:hAnsi="Arial Narrow"/>
                <w:b/>
                <w:color w:val="000000"/>
                <w:sz w:val="20"/>
              </w:rPr>
            </w:pPr>
            <w:r w:rsidRPr="00C73C47">
              <w:rPr>
                <w:rFonts w:ascii="Arial Narrow" w:hAnsi="Arial Narrow"/>
                <w:b/>
                <w:color w:val="000000"/>
                <w:sz w:val="20"/>
              </w:rPr>
              <w:t>E.4: Estimated net cost to the PBS/RPBS</w:t>
            </w:r>
          </w:p>
        </w:tc>
      </w:tr>
      <w:tr w:rsidR="004858CA" w:rsidRPr="00C73C47" w:rsidTr="004858CA">
        <w:tc>
          <w:tcPr>
            <w:tcW w:w="1985" w:type="dxa"/>
            <w:shd w:val="clear" w:color="auto" w:fill="D9D9D9"/>
          </w:tcPr>
          <w:p w:rsidR="004858CA" w:rsidRPr="00C73C47" w:rsidRDefault="004858CA" w:rsidP="000C514A">
            <w:pPr>
              <w:keepNext/>
              <w:tabs>
                <w:tab w:val="left" w:pos="142"/>
              </w:tabs>
              <w:rPr>
                <w:rFonts w:ascii="Arial Narrow" w:hAnsi="Arial Narrow"/>
                <w:sz w:val="20"/>
              </w:rPr>
            </w:pPr>
            <w:r w:rsidRPr="00C73C47">
              <w:rPr>
                <w:rFonts w:ascii="Arial Narrow" w:hAnsi="Arial Narrow"/>
                <w:sz w:val="20"/>
              </w:rPr>
              <w:t>Net cost to PBS/RPBS</w:t>
            </w:r>
            <w:r w:rsidRPr="00C73C47">
              <w:rPr>
                <w:rFonts w:ascii="Arial Narrow" w:hAnsi="Arial Narrow"/>
                <w:sz w:val="20"/>
                <w:vertAlign w:val="superscript"/>
              </w:rPr>
              <w:t xml:space="preserve">a </w:t>
            </w:r>
          </w:p>
        </w:tc>
        <w:tc>
          <w:tcPr>
            <w:tcW w:w="1158"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D9D9D9"/>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Initial</w:t>
            </w:r>
          </w:p>
        </w:tc>
        <w:tc>
          <w:tcPr>
            <w:tcW w:w="1158"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auto"/>
          </w:tcPr>
          <w:p w:rsidR="004858CA" w:rsidRPr="00C73C47" w:rsidRDefault="004858CA" w:rsidP="000C514A">
            <w:pPr>
              <w:keepNext/>
              <w:tabs>
                <w:tab w:val="left" w:pos="142"/>
              </w:tabs>
              <w:ind w:left="152"/>
              <w:rPr>
                <w:rFonts w:ascii="Arial Narrow" w:hAnsi="Arial Narrow"/>
                <w:sz w:val="20"/>
              </w:rPr>
            </w:pPr>
            <w:r w:rsidRPr="00C73C47">
              <w:rPr>
                <w:rFonts w:ascii="Arial Narrow" w:hAnsi="Arial Narrow"/>
                <w:sz w:val="20"/>
              </w:rPr>
              <w:t>Continuing</w:t>
            </w:r>
          </w:p>
        </w:tc>
        <w:tc>
          <w:tcPr>
            <w:tcW w:w="1158"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vAlign w:val="center"/>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8285" w:type="dxa"/>
            <w:gridSpan w:val="6"/>
            <w:shd w:val="clear" w:color="auto" w:fill="auto"/>
          </w:tcPr>
          <w:p w:rsidR="004858CA" w:rsidRPr="00C73C47" w:rsidRDefault="004858CA" w:rsidP="000C514A">
            <w:pPr>
              <w:keepNext/>
              <w:jc w:val="left"/>
              <w:rPr>
                <w:rFonts w:ascii="Arial Narrow" w:hAnsi="Arial Narrow"/>
                <w:b/>
                <w:bCs/>
                <w:color w:val="000000"/>
                <w:sz w:val="20"/>
              </w:rPr>
            </w:pPr>
            <w:r w:rsidRPr="00C73C47">
              <w:rPr>
                <w:rFonts w:ascii="Arial Narrow" w:hAnsi="Arial Narrow"/>
                <w:b/>
                <w:bCs/>
                <w:color w:val="000000"/>
                <w:sz w:val="20"/>
              </w:rPr>
              <w:t>E.5: Estimated net cost to health budgets (PBS/RPBS/MBS)</w:t>
            </w:r>
          </w:p>
        </w:tc>
      </w:tr>
      <w:tr w:rsidR="004858CA" w:rsidRPr="00C73C47" w:rsidTr="004858CA">
        <w:tc>
          <w:tcPr>
            <w:tcW w:w="1985" w:type="dxa"/>
            <w:shd w:val="clear" w:color="auto" w:fill="auto"/>
          </w:tcPr>
          <w:p w:rsidR="004858CA" w:rsidRPr="00C73C47" w:rsidRDefault="004858CA" w:rsidP="000C514A">
            <w:pPr>
              <w:keepNext/>
              <w:tabs>
                <w:tab w:val="left" w:pos="142"/>
              </w:tabs>
              <w:rPr>
                <w:rFonts w:ascii="Arial Narrow" w:hAnsi="Arial Narrow"/>
                <w:sz w:val="20"/>
              </w:rPr>
            </w:pPr>
            <w:r w:rsidRPr="00C73C47">
              <w:rPr>
                <w:rFonts w:ascii="Arial Narrow" w:hAnsi="Arial Narrow"/>
                <w:sz w:val="20"/>
              </w:rPr>
              <w:t xml:space="preserve">Processing cost to MBS </w:t>
            </w:r>
          </w:p>
        </w:tc>
        <w:tc>
          <w:tcPr>
            <w:tcW w:w="1158"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auto"/>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r w:rsidR="004858CA" w:rsidRPr="00C73C47" w:rsidTr="004858CA">
        <w:tc>
          <w:tcPr>
            <w:tcW w:w="1985" w:type="dxa"/>
            <w:shd w:val="clear" w:color="auto" w:fill="D9D9D9"/>
          </w:tcPr>
          <w:p w:rsidR="004858CA" w:rsidRPr="00C73C47" w:rsidRDefault="004858CA" w:rsidP="000C514A">
            <w:pPr>
              <w:keepNext/>
              <w:tabs>
                <w:tab w:val="left" w:pos="142"/>
              </w:tabs>
              <w:rPr>
                <w:rFonts w:ascii="Arial Narrow" w:hAnsi="Arial Narrow"/>
                <w:sz w:val="20"/>
                <w:vertAlign w:val="superscript"/>
              </w:rPr>
            </w:pPr>
            <w:r w:rsidRPr="00C73C47">
              <w:rPr>
                <w:rFonts w:ascii="Arial Narrow" w:hAnsi="Arial Narrow"/>
                <w:sz w:val="20"/>
              </w:rPr>
              <w:t>Net cost to government</w:t>
            </w:r>
            <w:r w:rsidRPr="00C73C47">
              <w:rPr>
                <w:rFonts w:ascii="Arial Narrow" w:hAnsi="Arial Narrow"/>
                <w:sz w:val="20"/>
                <w:vertAlign w:val="superscript"/>
              </w:rPr>
              <w:t>a</w:t>
            </w:r>
          </w:p>
        </w:tc>
        <w:tc>
          <w:tcPr>
            <w:tcW w:w="1158"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187"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280"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16"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c>
          <w:tcPr>
            <w:tcW w:w="1359" w:type="dxa"/>
            <w:shd w:val="clear" w:color="auto" w:fill="D9D9D9"/>
          </w:tcPr>
          <w:p w:rsidR="004858CA" w:rsidRPr="00B77C4A" w:rsidRDefault="00B77C4A" w:rsidP="000C514A">
            <w:pPr>
              <w:keepNext/>
              <w:jc w:val="center"/>
              <w:rPr>
                <w:rFonts w:ascii="Arial Narrow" w:hAnsi="Arial Narrow"/>
                <w:sz w:val="20"/>
                <w:highlight w:val="black"/>
              </w:rPr>
            </w:pPr>
            <w:r>
              <w:rPr>
                <w:rFonts w:ascii="Arial Narrow" w:hAnsi="Arial Narrow"/>
                <w:noProof/>
                <w:color w:val="000000"/>
                <w:sz w:val="20"/>
                <w:highlight w:val="black"/>
              </w:rPr>
              <w:t>'''''''''''''''''''''''''''''</w:t>
            </w:r>
          </w:p>
        </w:tc>
      </w:tr>
    </w:tbl>
    <w:p w:rsidR="004858CA" w:rsidRDefault="004858CA" w:rsidP="000C514A">
      <w:pPr>
        <w:keepNext/>
        <w:tabs>
          <w:tab w:val="left" w:pos="180"/>
        </w:tabs>
        <w:ind w:left="709"/>
        <w:rPr>
          <w:rFonts w:ascii="Arial Narrow" w:hAnsi="Arial Narrow"/>
          <w:sz w:val="18"/>
        </w:rPr>
      </w:pPr>
      <w:r w:rsidRPr="00C73C47">
        <w:rPr>
          <w:rFonts w:ascii="Arial Narrow" w:hAnsi="Arial Narrow"/>
          <w:sz w:val="18"/>
          <w:vertAlign w:val="superscript"/>
        </w:rPr>
        <w:t>a</w:t>
      </w:r>
      <w:r w:rsidRPr="00C73C47">
        <w:rPr>
          <w:rFonts w:ascii="Arial Narrow" w:hAnsi="Arial Narrow"/>
          <w:sz w:val="18"/>
          <w:vertAlign w:val="superscript"/>
        </w:rPr>
        <w:tab/>
      </w:r>
      <w:r w:rsidRPr="00C73C47">
        <w:rPr>
          <w:rFonts w:ascii="Arial Narrow" w:hAnsi="Arial Narrow"/>
          <w:sz w:val="18"/>
        </w:rPr>
        <w:t>Net of patient co-payments *</w:t>
      </w:r>
      <w:r w:rsidRPr="00C73C47">
        <w:rPr>
          <w:rFonts w:ascii="Arial Narrow" w:hAnsi="Arial Narrow"/>
          <w:sz w:val="18"/>
        </w:rPr>
        <w:tab/>
        <w:t>At times, estimates presented in Section E workbook conflicts with the main body of the submission, where there are inconsistencies, Section E workbook results are presented.  Source: Tables E-2 to E-5, pp163-166 of the submission and Section E worksheet accompanying the submission.</w:t>
      </w:r>
    </w:p>
    <w:p w:rsidR="00B97F4C" w:rsidRDefault="00B97F4C" w:rsidP="005874F8">
      <w:pPr>
        <w:pStyle w:val="BodyText"/>
      </w:pPr>
    </w:p>
    <w:p w:rsidR="00B97F4C" w:rsidRPr="005874F8" w:rsidRDefault="00B97F4C" w:rsidP="005874F8">
      <w:pPr>
        <w:pStyle w:val="BodyText"/>
        <w:ind w:left="709"/>
        <w:rPr>
          <w:i/>
        </w:rPr>
      </w:pPr>
      <w:r w:rsidRPr="005874F8">
        <w:rPr>
          <w:i/>
        </w:rPr>
        <w:t>The redacted table above shows that at Year 5, the estimated number of certolizumab scripts would be 10,000 – 50,000 and the net saving to Government would be less than $10 million.</w:t>
      </w:r>
    </w:p>
    <w:p w:rsidR="000C514A" w:rsidRPr="00C73C47" w:rsidRDefault="000C514A" w:rsidP="000C514A">
      <w:pPr>
        <w:pStyle w:val="ListParagraph"/>
        <w:widowControl/>
        <w:rPr>
          <w:szCs w:val="22"/>
        </w:rPr>
      </w:pPr>
    </w:p>
    <w:p w:rsidR="00482C85" w:rsidRPr="00C65E45" w:rsidRDefault="00EA3284" w:rsidP="00882C54">
      <w:pPr>
        <w:pStyle w:val="ListParagraph"/>
        <w:widowControl/>
        <w:numPr>
          <w:ilvl w:val="1"/>
          <w:numId w:val="5"/>
        </w:numPr>
        <w:rPr>
          <w:szCs w:val="22"/>
        </w:rPr>
      </w:pPr>
      <w:r w:rsidRPr="00C73C47">
        <w:t>The</w:t>
      </w:r>
      <w:r w:rsidR="0020113B">
        <w:t xml:space="preserve"> ESC advised that the</w:t>
      </w:r>
      <w:r w:rsidRPr="00C73C47">
        <w:t xml:space="preserve"> </w:t>
      </w:r>
      <w:r w:rsidR="00F0363D">
        <w:t xml:space="preserve">estimated </w:t>
      </w:r>
      <w:r w:rsidRPr="00C73C47">
        <w:t>numbers of scripts may be inaccurate due to: (i) the assumed uptake rates for CZP (based on PBS</w:t>
      </w:r>
      <w:r w:rsidR="00F0363D">
        <w:t xml:space="preserve"> listed CZP for</w:t>
      </w:r>
      <w:r w:rsidRPr="00C73C47">
        <w:t xml:space="preserve"> a different indication); and (ii) there may be considerable uncertainty regarding the proporti</w:t>
      </w:r>
      <w:r w:rsidR="00FB6415">
        <w:t>on of initial scripts required.</w:t>
      </w:r>
      <w:r w:rsidRPr="00C73C47">
        <w:t xml:space="preserve"> The current </w:t>
      </w:r>
      <w:r w:rsidR="00122565" w:rsidRPr="00C73C47">
        <w:t>estimates were</w:t>
      </w:r>
      <w:r w:rsidRPr="00C73C47">
        <w:t xml:space="preserve"> based on </w:t>
      </w:r>
      <w:r w:rsidR="00F0363D">
        <w:t>GOL</w:t>
      </w:r>
      <w:r w:rsidR="00F0363D" w:rsidRPr="00C73C47">
        <w:t xml:space="preserve"> </w:t>
      </w:r>
      <w:r w:rsidR="00FB6415">
        <w:t>for PsA.</w:t>
      </w:r>
      <w:r w:rsidRPr="00C73C47">
        <w:t xml:space="preserve"> </w:t>
      </w:r>
    </w:p>
    <w:p w:rsidR="00663D76" w:rsidRPr="0020113B" w:rsidRDefault="00663D76" w:rsidP="00C65E45">
      <w:pPr>
        <w:pStyle w:val="ListParagraph"/>
        <w:widowControl/>
        <w:rPr>
          <w:szCs w:val="22"/>
        </w:rPr>
      </w:pPr>
    </w:p>
    <w:p w:rsidR="001D209E" w:rsidRPr="001D209E" w:rsidRDefault="00EA3284" w:rsidP="001D209E">
      <w:pPr>
        <w:pStyle w:val="ListParagraph"/>
        <w:widowControl/>
        <w:numPr>
          <w:ilvl w:val="1"/>
          <w:numId w:val="5"/>
        </w:numPr>
        <w:rPr>
          <w:szCs w:val="22"/>
        </w:rPr>
      </w:pPr>
      <w:r w:rsidRPr="00C73C47">
        <w:rPr>
          <w:szCs w:val="18"/>
        </w:rPr>
        <w:t xml:space="preserve">The submission’s estimate of the cost of listing </w:t>
      </w:r>
      <w:r w:rsidR="00F0363D">
        <w:rPr>
          <w:szCs w:val="18"/>
        </w:rPr>
        <w:t>CZP</w:t>
      </w:r>
      <w:r w:rsidR="00F0363D" w:rsidRPr="00C73C47">
        <w:rPr>
          <w:szCs w:val="18"/>
        </w:rPr>
        <w:t xml:space="preserve"> </w:t>
      </w:r>
      <w:r w:rsidRPr="00C73C47">
        <w:rPr>
          <w:szCs w:val="18"/>
        </w:rPr>
        <w:t xml:space="preserve">for PsA may not be </w:t>
      </w:r>
      <w:r w:rsidRPr="00C73C47">
        <w:t>entirely reasonable due to omission of potential additional cost</w:t>
      </w:r>
      <w:r w:rsidR="00947592" w:rsidRPr="00C73C47">
        <w:t>s</w:t>
      </w:r>
      <w:r w:rsidR="00B41942">
        <w:t xml:space="preserve"> for help with injections.</w:t>
      </w:r>
      <w:r w:rsidRPr="00C73C47">
        <w:t xml:space="preserve"> The lack </w:t>
      </w:r>
      <w:r w:rsidR="00B41942">
        <w:t xml:space="preserve">of </w:t>
      </w:r>
      <w:r w:rsidRPr="00C73C47">
        <w:t xml:space="preserve">an auto-injector presentation for CZP </w:t>
      </w:r>
      <w:r w:rsidR="00DB5B76">
        <w:t>would</w:t>
      </w:r>
      <w:r w:rsidR="00DB5B76" w:rsidRPr="00C73C47">
        <w:t xml:space="preserve"> </w:t>
      </w:r>
      <w:r w:rsidRPr="00C73C47">
        <w:t xml:space="preserve">result in greater services being required for </w:t>
      </w:r>
      <w:r w:rsidR="00F0363D">
        <w:t>CZP</w:t>
      </w:r>
      <w:r w:rsidR="00F0363D" w:rsidRPr="00C73C47">
        <w:t xml:space="preserve"> </w:t>
      </w:r>
      <w:r w:rsidRPr="00C73C47">
        <w:t xml:space="preserve">administration versus </w:t>
      </w:r>
      <w:r w:rsidR="00F0363D">
        <w:t>ADA</w:t>
      </w:r>
      <w:r w:rsidR="00F0363D" w:rsidRPr="00C73C47">
        <w:t xml:space="preserve"> </w:t>
      </w:r>
      <w:r w:rsidRPr="00C73C47">
        <w:t xml:space="preserve">or </w:t>
      </w:r>
      <w:r w:rsidR="00F0363D">
        <w:t>ETC</w:t>
      </w:r>
      <w:r w:rsidR="00F0363D" w:rsidRPr="00C73C47">
        <w:t xml:space="preserve"> </w:t>
      </w:r>
      <w:r w:rsidRPr="00C73C47">
        <w:t>where an auto-injector pen is available</w:t>
      </w:r>
      <w:r w:rsidRPr="003F1407">
        <w:t>.</w:t>
      </w:r>
      <w:r w:rsidRPr="00C73C47">
        <w:t xml:space="preserve"> Patients prefer to use an auto-injector where available, as it is prescribed to the majority of patients on </w:t>
      </w:r>
      <w:r w:rsidR="00F0363D">
        <w:t>ADA</w:t>
      </w:r>
      <w:r w:rsidR="00F0363D" w:rsidRPr="00C73C47">
        <w:t xml:space="preserve"> </w:t>
      </w:r>
      <w:r w:rsidRPr="00C73C47">
        <w:t xml:space="preserve">(77%), </w:t>
      </w:r>
      <w:r w:rsidR="00F0363D">
        <w:t>ETC</w:t>
      </w:r>
      <w:r w:rsidR="00F0363D" w:rsidRPr="00C73C47">
        <w:t xml:space="preserve"> </w:t>
      </w:r>
      <w:r w:rsidRPr="00C73C47">
        <w:t xml:space="preserve">(63%). </w:t>
      </w:r>
    </w:p>
    <w:p w:rsidR="001D209E" w:rsidRPr="001D209E" w:rsidRDefault="001D209E" w:rsidP="001D209E">
      <w:pPr>
        <w:pStyle w:val="ListParagraph"/>
        <w:rPr>
          <w:i/>
          <w:szCs w:val="22"/>
        </w:rPr>
      </w:pPr>
    </w:p>
    <w:p w:rsidR="001D209E" w:rsidRPr="00F64C27" w:rsidRDefault="00B252F9" w:rsidP="001D209E">
      <w:pPr>
        <w:pStyle w:val="ListParagraph"/>
        <w:widowControl/>
        <w:numPr>
          <w:ilvl w:val="1"/>
          <w:numId w:val="5"/>
        </w:numPr>
        <w:rPr>
          <w:szCs w:val="22"/>
        </w:rPr>
      </w:pPr>
      <w:r w:rsidRPr="00F64C27">
        <w:rPr>
          <w:szCs w:val="22"/>
        </w:rPr>
        <w:t>The submission presented sensitivity analyses for the total cost of CZP for PsA</w:t>
      </w:r>
      <w:r w:rsidR="001D209E" w:rsidRPr="00F64C27">
        <w:rPr>
          <w:szCs w:val="22"/>
        </w:rPr>
        <w:t xml:space="preserve"> </w:t>
      </w:r>
      <w:r w:rsidRPr="00F64C27">
        <w:rPr>
          <w:szCs w:val="22"/>
        </w:rPr>
        <w:t>to government, varying the assumed market g</w:t>
      </w:r>
      <w:r w:rsidR="007C5214">
        <w:rPr>
          <w:szCs w:val="22"/>
        </w:rPr>
        <w:t xml:space="preserve">rowth, market share, proportion </w:t>
      </w:r>
      <w:r w:rsidRPr="00F64C27">
        <w:rPr>
          <w:szCs w:val="22"/>
        </w:rPr>
        <w:t>of</w:t>
      </w:r>
      <w:r w:rsidR="00A263A0" w:rsidRPr="00F64C27">
        <w:rPr>
          <w:szCs w:val="22"/>
        </w:rPr>
        <w:t xml:space="preserve"> </w:t>
      </w:r>
      <w:r w:rsidRPr="00F64C27">
        <w:rPr>
          <w:szCs w:val="22"/>
        </w:rPr>
        <w:t>initial scripts replaced and CZP scripts required for replacement.</w:t>
      </w:r>
    </w:p>
    <w:p w:rsidR="001D209E" w:rsidRPr="001D209E" w:rsidRDefault="001D209E" w:rsidP="001D209E">
      <w:pPr>
        <w:pStyle w:val="ListParagraph"/>
        <w:rPr>
          <w:i/>
          <w:szCs w:val="22"/>
        </w:rPr>
      </w:pPr>
    </w:p>
    <w:p w:rsidR="00B252F9" w:rsidRPr="00F64C27" w:rsidRDefault="00B252F9" w:rsidP="001D209E">
      <w:pPr>
        <w:pStyle w:val="ListParagraph"/>
        <w:widowControl/>
        <w:numPr>
          <w:ilvl w:val="1"/>
          <w:numId w:val="5"/>
        </w:numPr>
        <w:rPr>
          <w:szCs w:val="22"/>
        </w:rPr>
      </w:pPr>
      <w:r w:rsidRPr="00F64C27">
        <w:rPr>
          <w:szCs w:val="22"/>
        </w:rPr>
        <w:t xml:space="preserve">The financial implications </w:t>
      </w:r>
      <w:r w:rsidR="00663D76" w:rsidRPr="00F64C27">
        <w:rPr>
          <w:szCs w:val="22"/>
        </w:rPr>
        <w:t>appeared</w:t>
      </w:r>
      <w:r w:rsidRPr="00F64C27">
        <w:rPr>
          <w:szCs w:val="22"/>
        </w:rPr>
        <w:t xml:space="preserve"> to be most sensitive to</w:t>
      </w:r>
      <w:r w:rsidR="00B41942" w:rsidRPr="00F64C27">
        <w:rPr>
          <w:szCs w:val="22"/>
        </w:rPr>
        <w:t xml:space="preserve"> the market uptake assumptions.</w:t>
      </w:r>
      <w:r w:rsidRPr="00F64C27">
        <w:rPr>
          <w:szCs w:val="22"/>
        </w:rPr>
        <w:t xml:space="preserve"> Should CZP achieve equal market uptake as GOL after its listing in 2010, the savings to the government over 5 years would be $</w:t>
      </w:r>
      <w:r w:rsidR="00B77C4A">
        <w:rPr>
          <w:noProof/>
          <w:color w:val="000000"/>
          <w:szCs w:val="22"/>
          <w:highlight w:val="black"/>
        </w:rPr>
        <w:t>'''''''''''''''''''''''''</w:t>
      </w:r>
      <w:r w:rsidRPr="00F64C27">
        <w:rPr>
          <w:szCs w:val="22"/>
        </w:rPr>
        <w:t>.</w:t>
      </w:r>
    </w:p>
    <w:p w:rsidR="00A211F8" w:rsidRPr="00C73C47" w:rsidRDefault="00A211F8" w:rsidP="00A211F8">
      <w:pPr>
        <w:widowControl/>
        <w:rPr>
          <w:szCs w:val="22"/>
        </w:rPr>
      </w:pPr>
    </w:p>
    <w:p w:rsidR="00A211F8" w:rsidRPr="005874F8" w:rsidRDefault="00A211F8" w:rsidP="005874F8">
      <w:pPr>
        <w:pStyle w:val="BodyText"/>
        <w:rPr>
          <w:b/>
        </w:rPr>
      </w:pPr>
      <w:bookmarkStart w:id="35" w:name="_Toc392858203"/>
      <w:bookmarkStart w:id="36" w:name="_Toc398646055"/>
      <w:r w:rsidRPr="005874F8">
        <w:rPr>
          <w:b/>
        </w:rPr>
        <w:lastRenderedPageBreak/>
        <w:t>Financial Management – Risk Sharing Arrangements</w:t>
      </w:r>
      <w:bookmarkEnd w:id="35"/>
      <w:bookmarkEnd w:id="36"/>
    </w:p>
    <w:p w:rsidR="00A211F8" w:rsidRPr="00C73C47" w:rsidRDefault="00A211F8" w:rsidP="005874F8">
      <w:pPr>
        <w:pStyle w:val="BodyText"/>
      </w:pPr>
    </w:p>
    <w:p w:rsidR="00A211F8" w:rsidRPr="00B71DED" w:rsidRDefault="00A211F8" w:rsidP="00467428">
      <w:pPr>
        <w:pStyle w:val="ListParagraph"/>
        <w:widowControl/>
        <w:numPr>
          <w:ilvl w:val="1"/>
          <w:numId w:val="5"/>
        </w:numPr>
        <w:rPr>
          <w:szCs w:val="22"/>
        </w:rPr>
      </w:pPr>
      <w:r w:rsidRPr="00C73C47">
        <w:t xml:space="preserve">The submission </w:t>
      </w:r>
      <w:r w:rsidR="00482C85">
        <w:t>did not propose a risk share arrangement.</w:t>
      </w:r>
    </w:p>
    <w:p w:rsidR="00B71DED" w:rsidRDefault="00B71DED" w:rsidP="00B71DED">
      <w:pPr>
        <w:pStyle w:val="PBACHeading1"/>
        <w:numPr>
          <w:ilvl w:val="0"/>
          <w:numId w:val="0"/>
        </w:numPr>
        <w:ind w:left="720" w:hanging="720"/>
      </w:pPr>
    </w:p>
    <w:p w:rsidR="009B31CF" w:rsidRDefault="009B31CF" w:rsidP="00B71DED">
      <w:pPr>
        <w:pStyle w:val="PBACHeading1"/>
        <w:numPr>
          <w:ilvl w:val="0"/>
          <w:numId w:val="0"/>
        </w:numPr>
        <w:ind w:left="720" w:hanging="720"/>
      </w:pPr>
    </w:p>
    <w:bookmarkEnd w:id="2"/>
    <w:bookmarkEnd w:id="3"/>
    <w:bookmarkEnd w:id="4"/>
    <w:bookmarkEnd w:id="5"/>
    <w:bookmarkEnd w:id="6"/>
    <w:p w:rsidR="00F06E41" w:rsidRPr="00882C54" w:rsidRDefault="00F06E41" w:rsidP="00882C54">
      <w:pPr>
        <w:pStyle w:val="PBACHeading1"/>
        <w:rPr>
          <w:bCs/>
        </w:rPr>
      </w:pPr>
      <w:r w:rsidRPr="00882C54">
        <w:t>PBAC</w:t>
      </w:r>
      <w:r w:rsidRPr="00882C54">
        <w:rPr>
          <w:bCs/>
        </w:rPr>
        <w:t xml:space="preserve"> Outcome</w:t>
      </w:r>
    </w:p>
    <w:p w:rsidR="00F06E41" w:rsidRPr="00722B08" w:rsidRDefault="00F06E41" w:rsidP="00F06E41">
      <w:pPr>
        <w:contextualSpacing/>
        <w:rPr>
          <w:b/>
          <w:bCs/>
          <w:szCs w:val="22"/>
          <w:lang w:val="en-GB"/>
        </w:rPr>
      </w:pPr>
    </w:p>
    <w:p w:rsidR="00F06E41" w:rsidRPr="00722B08" w:rsidRDefault="008B3F9B" w:rsidP="00C60BBF">
      <w:pPr>
        <w:numPr>
          <w:ilvl w:val="1"/>
          <w:numId w:val="5"/>
        </w:numPr>
        <w:contextualSpacing/>
        <w:rPr>
          <w:bCs/>
          <w:szCs w:val="22"/>
          <w:lang w:val="en-GB"/>
        </w:rPr>
      </w:pPr>
      <w:r w:rsidRPr="00722B08">
        <w:rPr>
          <w:bCs/>
          <w:szCs w:val="22"/>
          <w:lang w:val="en-GB"/>
        </w:rPr>
        <w:t>The PBAC rec</w:t>
      </w:r>
      <w:r w:rsidR="00623BD8">
        <w:rPr>
          <w:bCs/>
          <w:szCs w:val="22"/>
          <w:lang w:val="en-GB"/>
        </w:rPr>
        <w:t>ommended an Authority Required</w:t>
      </w:r>
      <w:r w:rsidRPr="00722B08">
        <w:rPr>
          <w:bCs/>
          <w:szCs w:val="22"/>
          <w:lang w:val="en-GB"/>
        </w:rPr>
        <w:t xml:space="preserve"> benefit listing of certolizumab for the treatment of psoriatic arthritis on the cost-minimisation basis with adalimumab, at the price </w:t>
      </w:r>
      <w:r w:rsidR="00C60BBF">
        <w:rPr>
          <w:bCs/>
          <w:szCs w:val="22"/>
          <w:lang w:val="en-GB"/>
        </w:rPr>
        <w:t>proposed by the submission</w:t>
      </w:r>
      <w:r w:rsidRPr="00722B08">
        <w:rPr>
          <w:bCs/>
          <w:szCs w:val="22"/>
          <w:lang w:val="en-GB"/>
        </w:rPr>
        <w:t>.</w:t>
      </w:r>
      <w:r w:rsidR="007C5214">
        <w:rPr>
          <w:bCs/>
          <w:szCs w:val="22"/>
          <w:lang w:val="en-GB"/>
        </w:rPr>
        <w:t xml:space="preserve"> </w:t>
      </w:r>
      <w:r w:rsidR="00C60BBF">
        <w:rPr>
          <w:bCs/>
          <w:szCs w:val="22"/>
          <w:lang w:val="en-GB"/>
        </w:rPr>
        <w:t xml:space="preserve">The </w:t>
      </w:r>
      <w:r w:rsidR="00C60BBF" w:rsidRPr="00C60BBF">
        <w:rPr>
          <w:bCs/>
          <w:szCs w:val="22"/>
          <w:lang w:val="en-GB"/>
        </w:rPr>
        <w:t xml:space="preserve">equi-effective doses </w:t>
      </w:r>
      <w:r w:rsidR="00C60BBF">
        <w:rPr>
          <w:bCs/>
          <w:szCs w:val="22"/>
          <w:lang w:val="en-GB"/>
        </w:rPr>
        <w:t xml:space="preserve">are </w:t>
      </w:r>
      <w:r w:rsidR="00C60BBF" w:rsidRPr="00C60BBF">
        <w:rPr>
          <w:bCs/>
          <w:szCs w:val="22"/>
          <w:lang w:val="en-GB"/>
        </w:rPr>
        <w:t xml:space="preserve">CZP 400mg at </w:t>
      </w:r>
      <w:r w:rsidR="00C60BBF">
        <w:rPr>
          <w:bCs/>
          <w:szCs w:val="22"/>
          <w:lang w:val="en-GB"/>
        </w:rPr>
        <w:t xml:space="preserve">weeks </w:t>
      </w:r>
      <w:r w:rsidR="00C60BBF" w:rsidRPr="00C60BBF">
        <w:rPr>
          <w:bCs/>
          <w:szCs w:val="22"/>
          <w:lang w:val="en-GB"/>
        </w:rPr>
        <w:t xml:space="preserve">0, 2, 4 followed by 200mg </w:t>
      </w:r>
      <w:r w:rsidR="00C60BBF">
        <w:rPr>
          <w:bCs/>
          <w:szCs w:val="22"/>
          <w:lang w:val="en-GB"/>
        </w:rPr>
        <w:t>every 2 weeks</w:t>
      </w:r>
      <w:r w:rsidR="00C60BBF" w:rsidRPr="00C60BBF">
        <w:rPr>
          <w:bCs/>
          <w:szCs w:val="22"/>
          <w:lang w:val="en-GB"/>
        </w:rPr>
        <w:t xml:space="preserve"> or 400mg </w:t>
      </w:r>
      <w:r w:rsidR="00C60BBF">
        <w:rPr>
          <w:bCs/>
          <w:szCs w:val="22"/>
          <w:lang w:val="en-GB"/>
        </w:rPr>
        <w:t>every 4 weeks</w:t>
      </w:r>
      <w:r w:rsidR="00C60BBF" w:rsidRPr="00C60BBF">
        <w:rPr>
          <w:bCs/>
          <w:szCs w:val="22"/>
          <w:lang w:val="en-GB"/>
        </w:rPr>
        <w:t xml:space="preserve"> </w:t>
      </w:r>
      <w:r w:rsidR="00C60BBF">
        <w:rPr>
          <w:bCs/>
          <w:szCs w:val="22"/>
          <w:lang w:val="en-GB"/>
        </w:rPr>
        <w:t>equals</w:t>
      </w:r>
      <w:r w:rsidR="00C60BBF" w:rsidRPr="00C60BBF">
        <w:rPr>
          <w:bCs/>
          <w:szCs w:val="22"/>
          <w:lang w:val="en-GB"/>
        </w:rPr>
        <w:t xml:space="preserve"> ADA 40mg </w:t>
      </w:r>
      <w:r w:rsidR="00C60BBF">
        <w:rPr>
          <w:bCs/>
          <w:szCs w:val="22"/>
          <w:lang w:val="en-GB"/>
        </w:rPr>
        <w:t>every 2 weeks.</w:t>
      </w:r>
    </w:p>
    <w:p w:rsidR="00F06E41" w:rsidRPr="00722B08" w:rsidRDefault="00F06E41" w:rsidP="00F06E41">
      <w:pPr>
        <w:rPr>
          <w:b/>
          <w:szCs w:val="22"/>
          <w:lang w:val="en-GB"/>
        </w:rPr>
      </w:pPr>
    </w:p>
    <w:p w:rsidR="00E162D3" w:rsidRDefault="00E162D3" w:rsidP="00E162D3">
      <w:pPr>
        <w:pStyle w:val="ListParagraph"/>
        <w:widowControl/>
        <w:numPr>
          <w:ilvl w:val="1"/>
          <w:numId w:val="5"/>
        </w:numPr>
      </w:pPr>
      <w:r>
        <w:t xml:space="preserve">The PBAC noted that the submission appropriately nominated adalimumab as the main comparator and etanercept, golimumab and infliximab as the secondary comparators. </w:t>
      </w:r>
    </w:p>
    <w:p w:rsidR="00E162D3" w:rsidRDefault="00E162D3" w:rsidP="00E162D3"/>
    <w:p w:rsidR="00627BDC" w:rsidRDefault="00627BDC" w:rsidP="00627BDC">
      <w:pPr>
        <w:pStyle w:val="ListParagraph"/>
        <w:widowControl/>
        <w:numPr>
          <w:ilvl w:val="1"/>
          <w:numId w:val="5"/>
        </w:numPr>
      </w:pPr>
      <w:r>
        <w:t xml:space="preserve">The PBAC noted that the submission used both a standard indirect comparison and Bayesian mixed treatment comparison (MTC) to investigate and adjust for the heterogeneity between the presented trials of RAPID-PsA (certolizumab </w:t>
      </w:r>
      <w:r w:rsidR="000A5CEA">
        <w:t>vs.</w:t>
      </w:r>
      <w:r>
        <w:t xml:space="preserve"> placebo), ADA1 and 2 (adalimumab </w:t>
      </w:r>
      <w:r w:rsidR="000A5CEA">
        <w:t>vs.</w:t>
      </w:r>
      <w:r>
        <w:t xml:space="preserve"> placebo), ETC1 and 2 (etanercept </w:t>
      </w:r>
      <w:r w:rsidR="000A5CEA">
        <w:t>vs.</w:t>
      </w:r>
      <w:r>
        <w:t xml:space="preserve"> placebo), GOL1 (golimumab </w:t>
      </w:r>
      <w:r w:rsidR="000A5CEA">
        <w:t>vs.</w:t>
      </w:r>
      <w:r>
        <w:t xml:space="preserve">, placebo),  INX1 and 2 (infliximab </w:t>
      </w:r>
      <w:r w:rsidR="000A5CEA">
        <w:t>vs.</w:t>
      </w:r>
      <w:r>
        <w:t xml:space="preserve"> placebo) and UST1 and 2 (ustelinumab </w:t>
      </w:r>
      <w:r w:rsidR="000A5CEA">
        <w:t>vs.</w:t>
      </w:r>
      <w:r>
        <w:t xml:space="preserve"> placebo). The PBAC agreed with the ESC that the inclusion of ustekinumab in the Bayesian MTC analysis was not appropriate as ustekinumab was not nominated as a comparator in the submission. </w:t>
      </w:r>
      <w:r w:rsidR="00C06279">
        <w:t>T</w:t>
      </w:r>
      <w:r>
        <w:t>he PBAC also noted that the MTC results for the ACR50 at 12-16 weeks</w:t>
      </w:r>
      <w:r w:rsidR="00882C54">
        <w:t xml:space="preserve"> presented in the submission</w:t>
      </w:r>
      <w:r>
        <w:t xml:space="preserve"> do not include UST.</w:t>
      </w:r>
    </w:p>
    <w:p w:rsidR="00627BDC" w:rsidRDefault="00627BDC" w:rsidP="00A04332">
      <w:pPr>
        <w:pStyle w:val="PBACHeading1"/>
        <w:numPr>
          <w:ilvl w:val="0"/>
          <w:numId w:val="0"/>
        </w:numPr>
        <w:ind w:left="720"/>
      </w:pPr>
    </w:p>
    <w:p w:rsidR="006E792A" w:rsidRPr="00A04332" w:rsidRDefault="00627BDC" w:rsidP="00882C54">
      <w:pPr>
        <w:pStyle w:val="ListParagraph"/>
        <w:widowControl/>
        <w:numPr>
          <w:ilvl w:val="1"/>
          <w:numId w:val="5"/>
        </w:numPr>
      </w:pPr>
      <w:r w:rsidRPr="00882C54">
        <w:t xml:space="preserve">The PBAC </w:t>
      </w:r>
      <w:r w:rsidR="006E792A" w:rsidRPr="00882C54">
        <w:t xml:space="preserve">noted the ESC advice that both the standard indirect comparison </w:t>
      </w:r>
      <w:r w:rsidR="00007318">
        <w:t xml:space="preserve">and the </w:t>
      </w:r>
      <w:r w:rsidR="006E792A" w:rsidRPr="00882C54">
        <w:t>Bayesian MTC analysis have limitations in the context of the comparison of the effectiveness of CZP with ADA</w:t>
      </w:r>
      <w:r w:rsidR="00C06279" w:rsidRPr="00882C54">
        <w:t xml:space="preserve"> and the other bDMARDs</w:t>
      </w:r>
      <w:r w:rsidR="006E792A" w:rsidRPr="00882C54">
        <w:t xml:space="preserve">. On balance, the PBAC considered the Bayesian MTC analysis provided the most appropriate basis upon which </w:t>
      </w:r>
      <w:r w:rsidR="00C06279" w:rsidRPr="00882C54">
        <w:t>to compare</w:t>
      </w:r>
      <w:r w:rsidR="006E792A" w:rsidRPr="00882C54">
        <w:t xml:space="preserve"> the </w:t>
      </w:r>
      <w:r w:rsidR="00C06279" w:rsidRPr="00882C54">
        <w:t xml:space="preserve">effectiveness of the </w:t>
      </w:r>
      <w:r w:rsidR="006E792A" w:rsidRPr="00882C54">
        <w:t>two drugs. In forming this vi</w:t>
      </w:r>
      <w:r w:rsidR="007C5214">
        <w:t xml:space="preserve">ew, the PBAC noted there is no </w:t>
      </w:r>
      <w:r w:rsidR="00007318">
        <w:t>obvious</w:t>
      </w:r>
      <w:r w:rsidR="006E792A" w:rsidRPr="00882C54">
        <w:t xml:space="preserve"> explanation for the different placebo response rates in the CZP versus </w:t>
      </w:r>
      <w:r w:rsidR="00C06279" w:rsidRPr="00882C54">
        <w:t>other bDMARD trials</w:t>
      </w:r>
      <w:r w:rsidR="00007318">
        <w:t xml:space="preserve">. The difference in placebo events rates across the trials is substantial and therefore </w:t>
      </w:r>
      <w:r w:rsidR="006E792A" w:rsidRPr="00882C54">
        <w:t xml:space="preserve">the Bayesian MTC is </w:t>
      </w:r>
      <w:r w:rsidR="00007318">
        <w:t xml:space="preserve">the more </w:t>
      </w:r>
      <w:r w:rsidR="006E792A" w:rsidRPr="00882C54">
        <w:t>appropriate methodology for adjusting for both between-trial heterogeneity and uncertainty in between-trial heterogeneity across the multiple trials being compared.</w:t>
      </w:r>
    </w:p>
    <w:p w:rsidR="006E792A" w:rsidRPr="00816B7A" w:rsidRDefault="006E792A" w:rsidP="00A04332">
      <w:pPr>
        <w:pStyle w:val="PBACHeading1"/>
        <w:numPr>
          <w:ilvl w:val="0"/>
          <w:numId w:val="0"/>
        </w:numPr>
        <w:ind w:left="720" w:hanging="720"/>
      </w:pPr>
    </w:p>
    <w:p w:rsidR="00627BDC" w:rsidRDefault="00627BDC" w:rsidP="00627BDC">
      <w:pPr>
        <w:pStyle w:val="ListParagraph"/>
        <w:widowControl/>
        <w:numPr>
          <w:ilvl w:val="1"/>
          <w:numId w:val="5"/>
        </w:numPr>
      </w:pPr>
      <w:r>
        <w:t>The PBAC also noted the submission presented ACR20 at week 12 as the primary outcome and ACR20 and ACR50 at 12-</w:t>
      </w:r>
      <w:r w:rsidR="00163614">
        <w:t>16</w:t>
      </w:r>
      <w:r>
        <w:t xml:space="preserve"> weeks and 24 weeks and PASI75 at 24 weeks as the secondary outcomes. The PBAC </w:t>
      </w:r>
      <w:r w:rsidR="00713219">
        <w:t>agreed with the ESC</w:t>
      </w:r>
      <w:r w:rsidR="00816B7A">
        <w:t xml:space="preserve"> </w:t>
      </w:r>
      <w:r>
        <w:t xml:space="preserve">that ACR50 should be considered as the primary outcome as it is more stringent than ACR20 and reflects to a greater degree the current PBS criteria for eligibility for continuing treatment with a bDMARD.  </w:t>
      </w:r>
    </w:p>
    <w:p w:rsidR="00816B7A" w:rsidRDefault="00816B7A" w:rsidP="00A04332">
      <w:pPr>
        <w:pStyle w:val="ListParagraph"/>
        <w:widowControl/>
      </w:pPr>
    </w:p>
    <w:p w:rsidR="00E162D3" w:rsidRDefault="0094568C" w:rsidP="00E162D3">
      <w:pPr>
        <w:pStyle w:val="ListParagraph"/>
        <w:widowControl/>
        <w:numPr>
          <w:ilvl w:val="1"/>
          <w:numId w:val="5"/>
        </w:numPr>
      </w:pPr>
      <w:r>
        <w:t>As such, b</w:t>
      </w:r>
      <w:r w:rsidR="00E162D3">
        <w:t xml:space="preserve">ased on the adjusted MTC result of ACR50 response at week 12-16 across treatments in anti-TNF naïve patients, the PBAC </w:t>
      </w:r>
      <w:r w:rsidR="00C60BBF">
        <w:t xml:space="preserve">considered </w:t>
      </w:r>
      <w:r w:rsidR="00E162D3">
        <w:t xml:space="preserve">that </w:t>
      </w:r>
      <w:r w:rsidR="007C5214">
        <w:t>CZP</w:t>
      </w:r>
      <w:r w:rsidR="00E162D3">
        <w:t xml:space="preserve"> is non-inferior to the main comparator </w:t>
      </w:r>
      <w:r w:rsidR="007C5214">
        <w:t>ADA</w:t>
      </w:r>
      <w:r w:rsidR="00E162D3">
        <w:t xml:space="preserve"> with a relative risk (</w:t>
      </w:r>
      <w:r>
        <w:t xml:space="preserve">RR) of [1.09; 95%CI: </w:t>
      </w:r>
      <w:r w:rsidR="00B77C4A">
        <w:rPr>
          <w:noProof/>
          <w:color w:val="000000"/>
          <w:highlight w:val="black"/>
        </w:rPr>
        <w:t>''''''''''</w:t>
      </w:r>
      <w:r>
        <w:t>,</w:t>
      </w:r>
      <w:r w:rsidR="00B77C4A">
        <w:rPr>
          <w:noProof/>
          <w:color w:val="000000"/>
          <w:highlight w:val="black"/>
        </w:rPr>
        <w:t>'''''''''''</w:t>
      </w:r>
      <w:r>
        <w:t>],</w:t>
      </w:r>
      <w:r w:rsidR="00E162D3">
        <w:t xml:space="preserve"> as well as the secondary comparators </w:t>
      </w:r>
      <w:r w:rsidR="007C5214">
        <w:t>ETC</w:t>
      </w:r>
      <w:r w:rsidR="00E162D3">
        <w:t xml:space="preserve">, </w:t>
      </w:r>
      <w:r w:rsidR="007C5214">
        <w:t>GOL</w:t>
      </w:r>
      <w:r w:rsidR="00E162D3">
        <w:t xml:space="preserve"> and </w:t>
      </w:r>
      <w:r w:rsidR="007C5214">
        <w:t>INX</w:t>
      </w:r>
      <w:r w:rsidR="00E162D3">
        <w:t xml:space="preserve"> with the respective RR of [0.84; 95%</w:t>
      </w:r>
      <w:r w:rsidR="00627BDC">
        <w:t xml:space="preserve"> </w:t>
      </w:r>
      <w:r w:rsidR="00E162D3">
        <w:t>CI:</w:t>
      </w:r>
      <w:r w:rsidR="00B77C4A">
        <w:rPr>
          <w:noProof/>
          <w:color w:val="000000"/>
          <w:highlight w:val="black"/>
        </w:rPr>
        <w:t>'''''''''''</w:t>
      </w:r>
      <w:r w:rsidR="00E162D3">
        <w:t>,</w:t>
      </w:r>
      <w:r w:rsidR="00B77C4A">
        <w:rPr>
          <w:noProof/>
          <w:color w:val="000000"/>
          <w:highlight w:val="black"/>
        </w:rPr>
        <w:t>''''''''''</w:t>
      </w:r>
      <w:r w:rsidR="00E162D3">
        <w:t>], [1.17; 95%CI:</w:t>
      </w:r>
      <w:r w:rsidR="00B77C4A">
        <w:rPr>
          <w:noProof/>
          <w:color w:val="000000"/>
          <w:highlight w:val="black"/>
        </w:rPr>
        <w:t>''''''''''</w:t>
      </w:r>
      <w:r w:rsidR="00E162D3">
        <w:t>,</w:t>
      </w:r>
      <w:r w:rsidR="00B77C4A">
        <w:rPr>
          <w:noProof/>
          <w:color w:val="000000"/>
          <w:highlight w:val="black"/>
        </w:rPr>
        <w:t>'''''''''''</w:t>
      </w:r>
      <w:r w:rsidR="00E162D3">
        <w:t xml:space="preserve">] and [0.94; </w:t>
      </w:r>
      <w:r w:rsidR="00E162D3">
        <w:lastRenderedPageBreak/>
        <w:t>95%CI:</w:t>
      </w:r>
      <w:r w:rsidR="00B77C4A">
        <w:rPr>
          <w:noProof/>
          <w:color w:val="000000"/>
          <w:highlight w:val="black"/>
        </w:rPr>
        <w:t>''''''''''</w:t>
      </w:r>
      <w:r w:rsidR="00E162D3">
        <w:t>,</w:t>
      </w:r>
      <w:r w:rsidR="00B77C4A">
        <w:rPr>
          <w:noProof/>
          <w:color w:val="000000"/>
          <w:highlight w:val="black"/>
        </w:rPr>
        <w:t>''''''''''''</w:t>
      </w:r>
      <w:r w:rsidR="00E162D3">
        <w:t xml:space="preserve">]. The PBAC also noted that </w:t>
      </w:r>
      <w:r w:rsidR="007C5214">
        <w:t>CZP’s</w:t>
      </w:r>
      <w:r w:rsidR="00E162D3">
        <w:t xml:space="preserve"> safety profile is not differen</w:t>
      </w:r>
      <w:r w:rsidR="00C60BBF">
        <w:t>t</w:t>
      </w:r>
      <w:r w:rsidR="00E162D3">
        <w:t xml:space="preserve"> from other TNF inhibitors.</w:t>
      </w:r>
    </w:p>
    <w:p w:rsidR="00E162D3" w:rsidRDefault="00E162D3" w:rsidP="00E162D3"/>
    <w:p w:rsidR="00E162D3" w:rsidRDefault="00E162D3" w:rsidP="00E162D3">
      <w:pPr>
        <w:pStyle w:val="ListParagraph"/>
        <w:widowControl/>
        <w:numPr>
          <w:ilvl w:val="1"/>
          <w:numId w:val="5"/>
        </w:numPr>
      </w:pPr>
      <w:r>
        <w:t>The PBAC therefore accepted the submission’s clinical claim that certolizumab is non-inferior to adalimumab, etanercept, golimumab and infliximab in terms of comparative effectiveness and equivalent in term of comparative safety.</w:t>
      </w:r>
    </w:p>
    <w:p w:rsidR="00E162D3" w:rsidRDefault="00E162D3" w:rsidP="00E162D3"/>
    <w:p w:rsidR="00722B08" w:rsidRDefault="00722B08" w:rsidP="00722B08">
      <w:pPr>
        <w:pStyle w:val="ListParagraph"/>
        <w:widowControl/>
        <w:numPr>
          <w:ilvl w:val="1"/>
          <w:numId w:val="5"/>
        </w:numPr>
      </w:pPr>
      <w:r>
        <w:t>The PBAC recommended that the Safety Net 20 Day Rule should not apply to the continuing criteria.</w:t>
      </w:r>
    </w:p>
    <w:p w:rsidR="00722B08" w:rsidRDefault="00722B08" w:rsidP="00722B08"/>
    <w:p w:rsidR="00722B08" w:rsidRDefault="00722B08" w:rsidP="00722B08">
      <w:pPr>
        <w:pStyle w:val="ListParagraph"/>
        <w:widowControl/>
        <w:numPr>
          <w:ilvl w:val="1"/>
          <w:numId w:val="5"/>
        </w:numPr>
      </w:pPr>
      <w:r>
        <w:t>The PBAC advised that certolizumab is not suitable for prescribing by nurse practitioners.</w:t>
      </w:r>
    </w:p>
    <w:p w:rsidR="00722B08" w:rsidRDefault="00722B08" w:rsidP="00722B08">
      <w:pPr>
        <w:pStyle w:val="ListParagraph"/>
        <w:widowControl/>
      </w:pPr>
    </w:p>
    <w:p w:rsidR="00E162D3" w:rsidRDefault="00E162D3" w:rsidP="00E162D3">
      <w:pPr>
        <w:pStyle w:val="ListParagraph"/>
        <w:widowControl/>
        <w:numPr>
          <w:ilvl w:val="1"/>
          <w:numId w:val="5"/>
        </w:numPr>
      </w:pPr>
      <w:r>
        <w:t xml:space="preserve">The PBAC advised, under Section 101(3BA) of the </w:t>
      </w:r>
      <w:r w:rsidRPr="004B5123">
        <w:rPr>
          <w:i/>
        </w:rPr>
        <w:t>National Health Act</w:t>
      </w:r>
      <w:r w:rsidR="00C60BBF" w:rsidRPr="004B5123">
        <w:rPr>
          <w:i/>
        </w:rPr>
        <w:t xml:space="preserve"> 1953</w:t>
      </w:r>
      <w:r>
        <w:t xml:space="preserve">, that certolizumab and </w:t>
      </w:r>
      <w:r w:rsidR="00592568">
        <w:t xml:space="preserve">the </w:t>
      </w:r>
      <w:r>
        <w:t>other bDMARDs for the treatment of PsA</w:t>
      </w:r>
      <w:r w:rsidR="00592568">
        <w:t>,</w:t>
      </w:r>
      <w:r w:rsidR="00C60BBF">
        <w:t xml:space="preserve"> adal</w:t>
      </w:r>
      <w:r w:rsidR="00C06279">
        <w:t>imumab, etanercept, golim</w:t>
      </w:r>
      <w:r w:rsidR="00C60BBF">
        <w:t>umab and infliximab</w:t>
      </w:r>
      <w:r w:rsidR="00592568">
        <w:t>,</w:t>
      </w:r>
      <w:r>
        <w:t xml:space="preserve"> should be treated </w:t>
      </w:r>
      <w:r w:rsidR="0049209D">
        <w:t xml:space="preserve">as </w:t>
      </w:r>
      <w:r>
        <w:t>interchangeable on an individual patient basis.</w:t>
      </w:r>
    </w:p>
    <w:p w:rsidR="002B3762" w:rsidRDefault="002B3762" w:rsidP="002B3762">
      <w:pPr>
        <w:pStyle w:val="PBACHeading1"/>
        <w:numPr>
          <w:ilvl w:val="0"/>
          <w:numId w:val="0"/>
        </w:numPr>
        <w:ind w:left="720"/>
      </w:pPr>
    </w:p>
    <w:p w:rsidR="00E162D3" w:rsidRDefault="00AE2EFF" w:rsidP="00AE2EFF">
      <w:pPr>
        <w:pStyle w:val="ListParagraph"/>
        <w:widowControl/>
        <w:numPr>
          <w:ilvl w:val="1"/>
          <w:numId w:val="5"/>
        </w:numPr>
      </w:pPr>
      <w:r>
        <w:t xml:space="preserve">The PBAC noted that </w:t>
      </w:r>
      <w:r w:rsidR="0049209D">
        <w:t xml:space="preserve">the Authority Required </w:t>
      </w:r>
      <w:r>
        <w:t xml:space="preserve">PBS-listed bDMARDs for the indications of rheumatoid arthritis, psoriatic arthritis, severe active juvenile idiopathic arthritis, </w:t>
      </w:r>
      <w:r w:rsidRPr="00AE2EFF">
        <w:t>ankylosing spondylitis</w:t>
      </w:r>
      <w:r>
        <w:t xml:space="preserve"> and chronic plague psoriasis </w:t>
      </w:r>
      <w:r w:rsidR="0049209D">
        <w:t>are being</w:t>
      </w:r>
      <w:r>
        <w:t xml:space="preserve"> considered as </w:t>
      </w:r>
      <w:r w:rsidR="002A46D3">
        <w:t>part of</w:t>
      </w:r>
      <w:r>
        <w:t xml:space="preserve"> the post market review for</w:t>
      </w:r>
      <w:r w:rsidR="002B3762">
        <w:t xml:space="preserve"> Authority Required listings</w:t>
      </w:r>
      <w:r>
        <w:t>.</w:t>
      </w:r>
    </w:p>
    <w:p w:rsidR="00F06E41" w:rsidRPr="00722B08" w:rsidRDefault="00F06E41" w:rsidP="00F06E41">
      <w:pPr>
        <w:rPr>
          <w:b/>
          <w:bCs/>
          <w:szCs w:val="22"/>
          <w:lang w:val="en-GB"/>
        </w:rPr>
      </w:pPr>
    </w:p>
    <w:p w:rsidR="00F06E41" w:rsidRPr="00722B08" w:rsidRDefault="00F06E41" w:rsidP="00F06E41">
      <w:pPr>
        <w:rPr>
          <w:b/>
          <w:bCs/>
          <w:szCs w:val="22"/>
          <w:lang w:val="en-GB"/>
        </w:rPr>
      </w:pPr>
      <w:r w:rsidRPr="00722B08">
        <w:rPr>
          <w:b/>
          <w:bCs/>
          <w:szCs w:val="22"/>
          <w:lang w:val="en-GB"/>
        </w:rPr>
        <w:t>Outcome:</w:t>
      </w:r>
    </w:p>
    <w:p w:rsidR="00F06E41" w:rsidRPr="00722B08" w:rsidRDefault="00F06E41" w:rsidP="00F06E41">
      <w:pPr>
        <w:rPr>
          <w:bCs/>
          <w:szCs w:val="22"/>
          <w:lang w:val="en-GB"/>
        </w:rPr>
      </w:pPr>
      <w:r w:rsidRPr="00722B08">
        <w:rPr>
          <w:bCs/>
          <w:szCs w:val="22"/>
          <w:lang w:val="en-GB"/>
        </w:rPr>
        <w:t xml:space="preserve">Recommended </w:t>
      </w:r>
    </w:p>
    <w:p w:rsidR="00F06E41" w:rsidRDefault="00F06E41" w:rsidP="00F06E41">
      <w:pPr>
        <w:rPr>
          <w:bCs/>
          <w:szCs w:val="22"/>
          <w:lang w:val="en-GB"/>
        </w:rPr>
      </w:pPr>
    </w:p>
    <w:p w:rsidR="00C363F1" w:rsidRPr="00722B08" w:rsidRDefault="00C363F1" w:rsidP="00F06E41">
      <w:pPr>
        <w:rPr>
          <w:bCs/>
          <w:szCs w:val="22"/>
          <w:lang w:val="en-GB"/>
        </w:rPr>
      </w:pPr>
    </w:p>
    <w:p w:rsidR="00F06E41" w:rsidRPr="00722B08" w:rsidRDefault="00F06E41" w:rsidP="00F06E41">
      <w:pPr>
        <w:numPr>
          <w:ilvl w:val="0"/>
          <w:numId w:val="5"/>
        </w:numPr>
        <w:rPr>
          <w:b/>
          <w:bCs/>
          <w:i/>
          <w:szCs w:val="22"/>
          <w:lang w:val="en-GB"/>
        </w:rPr>
      </w:pPr>
      <w:r w:rsidRPr="00722B08">
        <w:rPr>
          <w:b/>
          <w:bCs/>
          <w:szCs w:val="22"/>
          <w:lang w:val="en-GB"/>
        </w:rPr>
        <w:t>Recommended listing</w:t>
      </w:r>
    </w:p>
    <w:p w:rsidR="00F06E41" w:rsidRPr="00722B08" w:rsidRDefault="00F06E41" w:rsidP="00F06E41">
      <w:pPr>
        <w:rPr>
          <w:b/>
          <w:bCs/>
          <w:i/>
          <w:szCs w:val="22"/>
          <w:lang w:val="en-GB"/>
        </w:rPr>
      </w:pPr>
    </w:p>
    <w:p w:rsidR="00882C54" w:rsidRPr="00605EA0" w:rsidRDefault="00882C54" w:rsidP="005874F8">
      <w:pPr>
        <w:pStyle w:val="ListParagraph"/>
        <w:widowControl/>
        <w:numPr>
          <w:ilvl w:val="1"/>
          <w:numId w:val="5"/>
        </w:numPr>
        <w:rPr>
          <w:b/>
        </w:rPr>
      </w:pPr>
      <w:r>
        <w:t>Amend</w:t>
      </w:r>
      <w:r w:rsidRPr="00605EA0">
        <w:t xml:space="preserve"> item:</w:t>
      </w:r>
    </w:p>
    <w:p w:rsidR="00E1771E" w:rsidRDefault="00F25821" w:rsidP="005874F8">
      <w:pPr>
        <w:pStyle w:val="ListParagraph"/>
        <w:widowControl/>
        <w:rPr>
          <w:bCs/>
          <w:szCs w:val="22"/>
        </w:rPr>
      </w:pPr>
      <w:r>
        <w:rPr>
          <w:bCs/>
          <w:szCs w:val="22"/>
        </w:rPr>
        <w:t xml:space="preserve">While the requested </w:t>
      </w:r>
      <w:r w:rsidRPr="00DD2522">
        <w:t>restrictions</w:t>
      </w:r>
      <w:r>
        <w:rPr>
          <w:bCs/>
          <w:szCs w:val="22"/>
        </w:rPr>
        <w:t xml:space="preserve"> are based on the existing restrictions for the treatment of psoriatic arthritis, they will need to be remodelled to comply with PharmCis format. The Secretariat will provide </w:t>
      </w:r>
      <w:r w:rsidR="00966449">
        <w:rPr>
          <w:bCs/>
          <w:szCs w:val="22"/>
        </w:rPr>
        <w:t xml:space="preserve">a </w:t>
      </w:r>
      <w:r>
        <w:rPr>
          <w:bCs/>
          <w:szCs w:val="22"/>
        </w:rPr>
        <w:t>suggested restriction in the PharmCis format as soon as it’s available.</w:t>
      </w:r>
    </w:p>
    <w:p w:rsidR="0028764C" w:rsidRDefault="0028764C" w:rsidP="009B3C72">
      <w:pPr>
        <w:rPr>
          <w:bCs/>
          <w:szCs w:val="22"/>
        </w:rPr>
      </w:pPr>
    </w:p>
    <w:p w:rsidR="0028764C" w:rsidRDefault="0028764C" w:rsidP="009B3C72">
      <w:pPr>
        <w:rPr>
          <w:bCs/>
          <w:szCs w:val="22"/>
        </w:rPr>
      </w:pPr>
    </w:p>
    <w:p w:rsidR="000C63AF" w:rsidRDefault="000C63AF" w:rsidP="000C63AF">
      <w:pPr>
        <w:pStyle w:val="ListParagraph"/>
        <w:widowControl/>
        <w:numPr>
          <w:ilvl w:val="0"/>
          <w:numId w:val="5"/>
        </w:numPr>
        <w:rPr>
          <w:b/>
        </w:rPr>
      </w:pPr>
      <w:r w:rsidRPr="00D4420F">
        <w:rPr>
          <w:b/>
        </w:rPr>
        <w:t>Context for Decision</w:t>
      </w:r>
    </w:p>
    <w:p w:rsidR="000C63AF" w:rsidRPr="00D4420F" w:rsidRDefault="000C63AF" w:rsidP="000C63AF">
      <w:pPr>
        <w:pStyle w:val="ListParagraph"/>
        <w:rPr>
          <w:b/>
        </w:rPr>
      </w:pPr>
    </w:p>
    <w:p w:rsidR="000C63AF" w:rsidRPr="00D4420F" w:rsidRDefault="000C63AF" w:rsidP="000C63AF">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C63AF" w:rsidRDefault="000C63AF" w:rsidP="000C63AF"/>
    <w:p w:rsidR="0028764C" w:rsidRPr="00D4420F" w:rsidRDefault="0028764C" w:rsidP="000C63AF"/>
    <w:p w:rsidR="00CB3009" w:rsidRDefault="000C63AF" w:rsidP="00CB3009">
      <w:pPr>
        <w:pStyle w:val="ListParagraph"/>
        <w:widowControl/>
        <w:numPr>
          <w:ilvl w:val="0"/>
          <w:numId w:val="5"/>
        </w:numPr>
        <w:rPr>
          <w:b/>
        </w:rPr>
      </w:pPr>
      <w:r w:rsidRPr="00D4420F">
        <w:rPr>
          <w:b/>
        </w:rPr>
        <w:t>Sponsor’s Comment</w:t>
      </w:r>
    </w:p>
    <w:p w:rsidR="00CB3009" w:rsidRDefault="00CB3009" w:rsidP="00CB3009">
      <w:pPr>
        <w:pStyle w:val="ListParagraph"/>
        <w:widowControl/>
        <w:rPr>
          <w:b/>
        </w:rPr>
      </w:pPr>
    </w:p>
    <w:p w:rsidR="00CB3009" w:rsidRPr="00CB3009" w:rsidRDefault="00CB3009" w:rsidP="00CB3009">
      <w:pPr>
        <w:pStyle w:val="ListParagraph"/>
        <w:widowControl/>
      </w:pPr>
      <w:r w:rsidRPr="00CB3009">
        <w:t>The sponsor wishes to thank the PBAC for their evaluation</w:t>
      </w:r>
      <w:r>
        <w:t>.</w:t>
      </w:r>
    </w:p>
    <w:sectPr w:rsidR="00CB3009" w:rsidRPr="00CB3009" w:rsidSect="007667B8">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4A" w:rsidRDefault="00B77C4A">
      <w:r>
        <w:separator/>
      </w:r>
    </w:p>
  </w:endnote>
  <w:endnote w:type="continuationSeparator" w:id="0">
    <w:p w:rsidR="00B77C4A" w:rsidRDefault="00B7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BC" w:rsidRDefault="002139BC">
    <w:pPr>
      <w:pStyle w:val="Footer"/>
      <w:jc w:val="center"/>
    </w:pPr>
  </w:p>
  <w:p w:rsidR="002139BC" w:rsidRPr="00705E8C" w:rsidRDefault="004B0A47" w:rsidP="00705E8C">
    <w:pPr>
      <w:pStyle w:val="Footer"/>
      <w:jc w:val="center"/>
    </w:pPr>
    <w:sdt>
      <w:sdtPr>
        <w:id w:val="1038317798"/>
        <w:docPartObj>
          <w:docPartGallery w:val="Page Numbers (Bottom of Page)"/>
          <w:docPartUnique/>
        </w:docPartObj>
      </w:sdtPr>
      <w:sdtEndPr>
        <w:rPr>
          <w:noProof/>
        </w:rPr>
      </w:sdtEndPr>
      <w:sdtContent>
        <w:r w:rsidR="002139BC">
          <w:fldChar w:fldCharType="begin"/>
        </w:r>
        <w:r w:rsidR="002139BC">
          <w:instrText xml:space="preserve"> PAGE   \* MERGEFORMAT </w:instrText>
        </w:r>
        <w:r w:rsidR="002139BC">
          <w:fldChar w:fldCharType="separate"/>
        </w:r>
        <w:r>
          <w:rPr>
            <w:noProof/>
          </w:rPr>
          <w:t>1</w:t>
        </w:r>
        <w:r w:rsidR="002139B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4A" w:rsidRDefault="00B77C4A">
      <w:r>
        <w:separator/>
      </w:r>
    </w:p>
  </w:footnote>
  <w:footnote w:type="continuationSeparator" w:id="0">
    <w:p w:rsidR="00B77C4A" w:rsidRDefault="00B7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BC" w:rsidRPr="00DF217D" w:rsidRDefault="002139BC" w:rsidP="00C8529D">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2139BC" w:rsidRPr="008C7ECB" w:rsidRDefault="00213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26A"/>
    <w:multiLevelType w:val="hybridMultilevel"/>
    <w:tmpl w:val="C93A5BB2"/>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55176"/>
    <w:multiLevelType w:val="hybridMultilevel"/>
    <w:tmpl w:val="CD78EF54"/>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534FB3"/>
    <w:multiLevelType w:val="hybridMultilevel"/>
    <w:tmpl w:val="96DE4BD0"/>
    <w:lvl w:ilvl="0" w:tplc="0C090001">
      <w:start w:val="1"/>
      <w:numFmt w:val="bullet"/>
      <w:lvlText w:val=""/>
      <w:lvlJc w:val="left"/>
      <w:pPr>
        <w:ind w:left="720" w:hanging="360"/>
      </w:pPr>
      <w:rPr>
        <w:rFonts w:ascii="Symbol" w:hAnsi="Symbol" w:hint="default"/>
      </w:rPr>
    </w:lvl>
    <w:lvl w:ilvl="1" w:tplc="086A39D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DB6EC1"/>
    <w:multiLevelType w:val="hybridMultilevel"/>
    <w:tmpl w:val="1FAC7FF6"/>
    <w:lvl w:ilvl="0" w:tplc="04090001">
      <w:start w:val="1"/>
      <w:numFmt w:val="bullet"/>
      <w:lvlText w:val=""/>
      <w:lvlJc w:val="left"/>
      <w:pPr>
        <w:ind w:left="720" w:hanging="360"/>
      </w:pPr>
      <w:rPr>
        <w:rFonts w:ascii="Symbol" w:hAnsi="Symbol" w:hint="default"/>
      </w:rPr>
    </w:lvl>
    <w:lvl w:ilvl="1" w:tplc="85C6898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9377E"/>
    <w:multiLevelType w:val="hybridMultilevel"/>
    <w:tmpl w:val="4F44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236741"/>
    <w:multiLevelType w:val="hybridMultilevel"/>
    <w:tmpl w:val="D1B6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nsid w:val="249B05AE"/>
    <w:multiLevelType w:val="hybridMultilevel"/>
    <w:tmpl w:val="3DEAC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227F6B"/>
    <w:multiLevelType w:val="hybridMultilevel"/>
    <w:tmpl w:val="C364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591BED"/>
    <w:multiLevelType w:val="hybridMultilevel"/>
    <w:tmpl w:val="109EB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FA3B03"/>
    <w:multiLevelType w:val="hybridMultilevel"/>
    <w:tmpl w:val="55AE884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7C34E2"/>
    <w:multiLevelType w:val="hybridMultilevel"/>
    <w:tmpl w:val="CA107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3FFC6BFF"/>
    <w:multiLevelType w:val="hybridMultilevel"/>
    <w:tmpl w:val="B324110E"/>
    <w:lvl w:ilvl="0" w:tplc="AF3AAE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AD1A4F"/>
    <w:multiLevelType w:val="hybridMultilevel"/>
    <w:tmpl w:val="129E8E5A"/>
    <w:lvl w:ilvl="0" w:tplc="09962206">
      <w:start w:val="1"/>
      <w:numFmt w:val="bullet"/>
      <w:lvlText w:val="-"/>
      <w:lvlJc w:val="left"/>
      <w:pPr>
        <w:ind w:left="1440" w:hanging="360"/>
      </w:pPr>
      <w:rPr>
        <w:rFonts w:ascii="Cambria" w:eastAsiaTheme="minorEastAsia" w:hAnsi="Cambri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4B045C8"/>
    <w:multiLevelType w:val="hybridMultilevel"/>
    <w:tmpl w:val="8BB66000"/>
    <w:lvl w:ilvl="0" w:tplc="AF3AAEF6">
      <w:start w:val="1"/>
      <w:numFmt w:val="decimal"/>
      <w:lvlText w:val="(%1)"/>
      <w:lvlJc w:val="left"/>
      <w:pPr>
        <w:ind w:left="720" w:hanging="360"/>
      </w:pPr>
      <w:rPr>
        <w:rFonts w:hint="default"/>
      </w:rPr>
    </w:lvl>
    <w:lvl w:ilvl="1" w:tplc="AF3AAE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1A1D16"/>
    <w:multiLevelType w:val="hybridMultilevel"/>
    <w:tmpl w:val="2AD44F2C"/>
    <w:lvl w:ilvl="0" w:tplc="9258D0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9258D01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FF2E04"/>
    <w:multiLevelType w:val="hybridMultilevel"/>
    <w:tmpl w:val="30C66E0C"/>
    <w:lvl w:ilvl="0" w:tplc="AF3AAEF6">
      <w:start w:val="1"/>
      <w:numFmt w:val="decimal"/>
      <w:lvlText w:val="(%1)"/>
      <w:lvlJc w:val="left"/>
      <w:pPr>
        <w:ind w:left="720" w:hanging="360"/>
      </w:pPr>
      <w:rPr>
        <w:rFonts w:hint="default"/>
      </w:rPr>
    </w:lvl>
    <w:lvl w:ilvl="1" w:tplc="AF3AAE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4B136D49"/>
    <w:multiLevelType w:val="hybridMultilevel"/>
    <w:tmpl w:val="906E3900"/>
    <w:lvl w:ilvl="0" w:tplc="AF3AAE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F64EDD"/>
    <w:multiLevelType w:val="hybridMultilevel"/>
    <w:tmpl w:val="5BE28492"/>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D03F32"/>
    <w:multiLevelType w:val="hybridMultilevel"/>
    <w:tmpl w:val="592C50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nsid w:val="5F6A2054"/>
    <w:multiLevelType w:val="hybridMultilevel"/>
    <w:tmpl w:val="F6AA6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A66DF3"/>
    <w:multiLevelType w:val="hybridMultilevel"/>
    <w:tmpl w:val="AE64B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91235C"/>
    <w:multiLevelType w:val="hybridMultilevel"/>
    <w:tmpl w:val="93941D2C"/>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F4660"/>
    <w:multiLevelType w:val="hybridMultilevel"/>
    <w:tmpl w:val="1C983D6C"/>
    <w:lvl w:ilvl="0" w:tplc="09962206">
      <w:start w:val="1"/>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447A90"/>
    <w:multiLevelType w:val="hybridMultilevel"/>
    <w:tmpl w:val="5A280446"/>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9F0592"/>
    <w:multiLevelType w:val="hybridMultilevel"/>
    <w:tmpl w:val="7AA8E952"/>
    <w:lvl w:ilvl="0" w:tplc="0C090017">
      <w:start w:val="1"/>
      <w:numFmt w:val="lowerLetter"/>
      <w:lvlText w:val="%1)"/>
      <w:lvlJc w:val="left"/>
      <w:pPr>
        <w:ind w:left="720" w:hanging="360"/>
      </w:pPr>
    </w:lvl>
    <w:lvl w:ilvl="1" w:tplc="420660CE">
      <w:start w:val="1"/>
      <w:numFmt w:val="decimal"/>
      <w:lvlText w:val="(%2)"/>
      <w:lvlJc w:val="left"/>
      <w:pPr>
        <w:ind w:left="1440" w:hanging="360"/>
      </w:pPr>
      <w:rPr>
        <w:rFonts w:hint="default"/>
      </w:rPr>
    </w:lvl>
    <w:lvl w:ilvl="2" w:tplc="9258D01A">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BD054D"/>
    <w:multiLevelType w:val="hybridMultilevel"/>
    <w:tmpl w:val="2E0A8032"/>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C03102A"/>
    <w:multiLevelType w:val="hybridMultilevel"/>
    <w:tmpl w:val="7ABCE2B0"/>
    <w:lvl w:ilvl="0" w:tplc="AF3AAEF6">
      <w:start w:val="1"/>
      <w:numFmt w:val="decimal"/>
      <w:lvlText w:val="(%1)"/>
      <w:lvlJc w:val="left"/>
      <w:pPr>
        <w:ind w:left="720" w:hanging="360"/>
      </w:pPr>
      <w:rPr>
        <w:rFonts w:hint="default"/>
      </w:rPr>
    </w:lvl>
    <w:lvl w:ilvl="1" w:tplc="AF3AAE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D9A008E"/>
    <w:multiLevelType w:val="hybridMultilevel"/>
    <w:tmpl w:val="E440F030"/>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830002"/>
    <w:multiLevelType w:val="hybridMultilevel"/>
    <w:tmpl w:val="E74858B2"/>
    <w:lvl w:ilvl="0" w:tplc="DC0AEA28">
      <w:start w:val="1"/>
      <w:numFmt w:val="decimal"/>
      <w:pStyle w:val="TableNumbers"/>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0E572A"/>
    <w:multiLevelType w:val="hybridMultilevel"/>
    <w:tmpl w:val="738C61C4"/>
    <w:lvl w:ilvl="0" w:tplc="1BD4F4A2">
      <w:start w:val="1"/>
      <w:numFmt w:val="bullet"/>
      <w:lvlText w:val=""/>
      <w:lvlJc w:val="left"/>
      <w:pPr>
        <w:ind w:left="783" w:hanging="360"/>
      </w:pPr>
      <w:rPr>
        <w:rFonts w:ascii="Symbol" w:hAnsi="Symbol" w:hint="default"/>
        <w:strike w:val="0"/>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84D033C"/>
    <w:multiLevelType w:val="multilevel"/>
    <w:tmpl w:val="AD7E522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B2177E8"/>
    <w:multiLevelType w:val="hybridMultilevel"/>
    <w:tmpl w:val="BCF0F194"/>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2"/>
  </w:num>
  <w:num w:numId="2">
    <w:abstractNumId w:val="18"/>
  </w:num>
  <w:num w:numId="3">
    <w:abstractNumId w:val="11"/>
  </w:num>
  <w:num w:numId="4">
    <w:abstractNumId w:val="3"/>
  </w:num>
  <w:num w:numId="5">
    <w:abstractNumId w:val="37"/>
  </w:num>
  <w:num w:numId="6">
    <w:abstractNumId w:val="19"/>
  </w:num>
  <w:num w:numId="7">
    <w:abstractNumId w:val="31"/>
  </w:num>
  <w:num w:numId="8">
    <w:abstractNumId w:val="30"/>
  </w:num>
  <w:num w:numId="9">
    <w:abstractNumId w:val="13"/>
  </w:num>
  <w:num w:numId="10">
    <w:abstractNumId w:val="32"/>
  </w:num>
  <w:num w:numId="11">
    <w:abstractNumId w:val="17"/>
  </w:num>
  <w:num w:numId="12">
    <w:abstractNumId w:val="15"/>
  </w:num>
  <w:num w:numId="13">
    <w:abstractNumId w:val="10"/>
  </w:num>
  <w:num w:numId="14">
    <w:abstractNumId w:val="16"/>
  </w:num>
  <w:num w:numId="15">
    <w:abstractNumId w:val="0"/>
  </w:num>
  <w:num w:numId="16">
    <w:abstractNumId w:val="33"/>
  </w:num>
  <w:num w:numId="17">
    <w:abstractNumId w:val="1"/>
  </w:num>
  <w:num w:numId="18">
    <w:abstractNumId w:val="20"/>
  </w:num>
  <w:num w:numId="19">
    <w:abstractNumId w:val="29"/>
  </w:num>
  <w:num w:numId="20">
    <w:abstractNumId w:val="25"/>
  </w:num>
  <w:num w:numId="21">
    <w:abstractNumId w:val="34"/>
  </w:num>
  <w:num w:numId="22">
    <w:abstractNumId w:val="38"/>
  </w:num>
  <w:num w:numId="23">
    <w:abstractNumId w:val="4"/>
  </w:num>
  <w:num w:numId="24">
    <w:abstractNumId w:val="23"/>
  </w:num>
  <w:num w:numId="25">
    <w:abstractNumId w:val="7"/>
  </w:num>
  <w:num w:numId="26">
    <w:abstractNumId w:val="9"/>
  </w:num>
  <w:num w:numId="27">
    <w:abstractNumId w:val="5"/>
  </w:num>
  <w:num w:numId="28">
    <w:abstractNumId w:val="14"/>
  </w:num>
  <w:num w:numId="29">
    <w:abstractNumId w:val="28"/>
  </w:num>
  <w:num w:numId="30">
    <w:abstractNumId w:val="26"/>
  </w:num>
  <w:num w:numId="31">
    <w:abstractNumId w:val="24"/>
  </w:num>
  <w:num w:numId="32">
    <w:abstractNumId w:val="27"/>
  </w:num>
  <w:num w:numId="33">
    <w:abstractNumId w:val="35"/>
  </w:num>
  <w:num w:numId="34">
    <w:abstractNumId w:val="8"/>
  </w:num>
  <w:num w:numId="35">
    <w:abstractNumId w:val="2"/>
  </w:num>
  <w:num w:numId="36">
    <w:abstractNumId w:val="22"/>
  </w:num>
  <w:num w:numId="37">
    <w:abstractNumId w:val="21"/>
  </w:num>
  <w:num w:numId="38">
    <w:abstractNumId w:val="36"/>
  </w:num>
  <w:num w:numId="39">
    <w:abstractNumId w:val="39"/>
  </w:num>
  <w:num w:numId="40">
    <w:abstractNumId w:val="6"/>
  </w:num>
  <w:num w:numId="41">
    <w:abstractNumId w:val="37"/>
  </w:num>
  <w:num w:numId="42">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7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3B"/>
    <w:rsid w:val="00005250"/>
    <w:rsid w:val="00005264"/>
    <w:rsid w:val="00005D16"/>
    <w:rsid w:val="00006ADC"/>
    <w:rsid w:val="00007318"/>
    <w:rsid w:val="000111CF"/>
    <w:rsid w:val="0001364B"/>
    <w:rsid w:val="00014639"/>
    <w:rsid w:val="000155F6"/>
    <w:rsid w:val="00021F7D"/>
    <w:rsid w:val="00025AF3"/>
    <w:rsid w:val="00030581"/>
    <w:rsid w:val="00031234"/>
    <w:rsid w:val="000355B6"/>
    <w:rsid w:val="000372E6"/>
    <w:rsid w:val="000403E3"/>
    <w:rsid w:val="00040FEB"/>
    <w:rsid w:val="00041CC6"/>
    <w:rsid w:val="00042E5F"/>
    <w:rsid w:val="00044C82"/>
    <w:rsid w:val="00050BEE"/>
    <w:rsid w:val="00052282"/>
    <w:rsid w:val="000551EC"/>
    <w:rsid w:val="000577CC"/>
    <w:rsid w:val="00057E78"/>
    <w:rsid w:val="0006055A"/>
    <w:rsid w:val="000648AD"/>
    <w:rsid w:val="000675AD"/>
    <w:rsid w:val="00071501"/>
    <w:rsid w:val="0007460E"/>
    <w:rsid w:val="00077C02"/>
    <w:rsid w:val="00077DF1"/>
    <w:rsid w:val="00080609"/>
    <w:rsid w:val="0008141B"/>
    <w:rsid w:val="00083B3A"/>
    <w:rsid w:val="00084460"/>
    <w:rsid w:val="0008514C"/>
    <w:rsid w:val="00085E18"/>
    <w:rsid w:val="00087F2D"/>
    <w:rsid w:val="000964D7"/>
    <w:rsid w:val="000A1404"/>
    <w:rsid w:val="000A4B94"/>
    <w:rsid w:val="000A4F6E"/>
    <w:rsid w:val="000A5CEA"/>
    <w:rsid w:val="000A6076"/>
    <w:rsid w:val="000B4C82"/>
    <w:rsid w:val="000B77C0"/>
    <w:rsid w:val="000C48BB"/>
    <w:rsid w:val="000C514A"/>
    <w:rsid w:val="000C63AF"/>
    <w:rsid w:val="000C6A79"/>
    <w:rsid w:val="000C7352"/>
    <w:rsid w:val="000D03CD"/>
    <w:rsid w:val="000D49C4"/>
    <w:rsid w:val="000E0845"/>
    <w:rsid w:val="000E0901"/>
    <w:rsid w:val="000E0F58"/>
    <w:rsid w:val="000E2F07"/>
    <w:rsid w:val="000E4A1B"/>
    <w:rsid w:val="000F507D"/>
    <w:rsid w:val="000F62D0"/>
    <w:rsid w:val="00101397"/>
    <w:rsid w:val="00104685"/>
    <w:rsid w:val="001112D3"/>
    <w:rsid w:val="00114883"/>
    <w:rsid w:val="0011520B"/>
    <w:rsid w:val="00117C8E"/>
    <w:rsid w:val="0012036D"/>
    <w:rsid w:val="00121400"/>
    <w:rsid w:val="00122565"/>
    <w:rsid w:val="001234A8"/>
    <w:rsid w:val="00126713"/>
    <w:rsid w:val="00126CD4"/>
    <w:rsid w:val="00131E5D"/>
    <w:rsid w:val="0013295A"/>
    <w:rsid w:val="001410A3"/>
    <w:rsid w:val="00141140"/>
    <w:rsid w:val="00141685"/>
    <w:rsid w:val="00141811"/>
    <w:rsid w:val="00141BDF"/>
    <w:rsid w:val="00144E72"/>
    <w:rsid w:val="00152C75"/>
    <w:rsid w:val="00155A32"/>
    <w:rsid w:val="00156838"/>
    <w:rsid w:val="001603AA"/>
    <w:rsid w:val="00163411"/>
    <w:rsid w:val="00163614"/>
    <w:rsid w:val="00167D65"/>
    <w:rsid w:val="001715A2"/>
    <w:rsid w:val="00171764"/>
    <w:rsid w:val="00182794"/>
    <w:rsid w:val="001829DB"/>
    <w:rsid w:val="00185233"/>
    <w:rsid w:val="001856FC"/>
    <w:rsid w:val="0018584D"/>
    <w:rsid w:val="00190259"/>
    <w:rsid w:val="00194FBC"/>
    <w:rsid w:val="001967A6"/>
    <w:rsid w:val="001A23B1"/>
    <w:rsid w:val="001A3441"/>
    <w:rsid w:val="001A4776"/>
    <w:rsid w:val="001A6AA3"/>
    <w:rsid w:val="001A7227"/>
    <w:rsid w:val="001B2701"/>
    <w:rsid w:val="001B4CC7"/>
    <w:rsid w:val="001B4FD1"/>
    <w:rsid w:val="001B5E46"/>
    <w:rsid w:val="001B70B6"/>
    <w:rsid w:val="001C0E20"/>
    <w:rsid w:val="001C24EC"/>
    <w:rsid w:val="001C64CC"/>
    <w:rsid w:val="001C6D45"/>
    <w:rsid w:val="001C746C"/>
    <w:rsid w:val="001D209E"/>
    <w:rsid w:val="001D2533"/>
    <w:rsid w:val="001D7773"/>
    <w:rsid w:val="001E282A"/>
    <w:rsid w:val="001F0ACB"/>
    <w:rsid w:val="0020113B"/>
    <w:rsid w:val="00202697"/>
    <w:rsid w:val="002033C7"/>
    <w:rsid w:val="0021179C"/>
    <w:rsid w:val="002139BC"/>
    <w:rsid w:val="0021534D"/>
    <w:rsid w:val="00215BFA"/>
    <w:rsid w:val="00216E46"/>
    <w:rsid w:val="00217258"/>
    <w:rsid w:val="002224E6"/>
    <w:rsid w:val="002233E3"/>
    <w:rsid w:val="00230663"/>
    <w:rsid w:val="00236014"/>
    <w:rsid w:val="0024074D"/>
    <w:rsid w:val="00244326"/>
    <w:rsid w:val="002523C1"/>
    <w:rsid w:val="00263C8D"/>
    <w:rsid w:val="002670CE"/>
    <w:rsid w:val="0026716A"/>
    <w:rsid w:val="002744E9"/>
    <w:rsid w:val="00274DA0"/>
    <w:rsid w:val="00276B0D"/>
    <w:rsid w:val="0027709C"/>
    <w:rsid w:val="00281C53"/>
    <w:rsid w:val="0028764C"/>
    <w:rsid w:val="002915AC"/>
    <w:rsid w:val="00292286"/>
    <w:rsid w:val="00294FF5"/>
    <w:rsid w:val="002A0C88"/>
    <w:rsid w:val="002A1BCD"/>
    <w:rsid w:val="002A46D3"/>
    <w:rsid w:val="002B23FC"/>
    <w:rsid w:val="002B3762"/>
    <w:rsid w:val="002B5A3A"/>
    <w:rsid w:val="002C4CC3"/>
    <w:rsid w:val="002C54CF"/>
    <w:rsid w:val="002D1707"/>
    <w:rsid w:val="002D4F06"/>
    <w:rsid w:val="002D7F52"/>
    <w:rsid w:val="002E1819"/>
    <w:rsid w:val="002E35B9"/>
    <w:rsid w:val="002E5128"/>
    <w:rsid w:val="002E531D"/>
    <w:rsid w:val="002E7E32"/>
    <w:rsid w:val="002F0B76"/>
    <w:rsid w:val="002F1B21"/>
    <w:rsid w:val="002F2AB5"/>
    <w:rsid w:val="002F34BF"/>
    <w:rsid w:val="002F3C57"/>
    <w:rsid w:val="002F5033"/>
    <w:rsid w:val="003023A6"/>
    <w:rsid w:val="0031076E"/>
    <w:rsid w:val="003139BF"/>
    <w:rsid w:val="003168D8"/>
    <w:rsid w:val="00320EB3"/>
    <w:rsid w:val="00323C77"/>
    <w:rsid w:val="00324F38"/>
    <w:rsid w:val="00325A48"/>
    <w:rsid w:val="00334A9B"/>
    <w:rsid w:val="003362C5"/>
    <w:rsid w:val="003438B6"/>
    <w:rsid w:val="00343F05"/>
    <w:rsid w:val="003462E7"/>
    <w:rsid w:val="003502DE"/>
    <w:rsid w:val="00351FF6"/>
    <w:rsid w:val="0035248F"/>
    <w:rsid w:val="003547A6"/>
    <w:rsid w:val="00354ECC"/>
    <w:rsid w:val="00370D64"/>
    <w:rsid w:val="00371FE8"/>
    <w:rsid w:val="00374F8E"/>
    <w:rsid w:val="0037647A"/>
    <w:rsid w:val="00381464"/>
    <w:rsid w:val="00384119"/>
    <w:rsid w:val="00384D95"/>
    <w:rsid w:val="003969CD"/>
    <w:rsid w:val="00397F0F"/>
    <w:rsid w:val="003A29D0"/>
    <w:rsid w:val="003A5B4C"/>
    <w:rsid w:val="003B094C"/>
    <w:rsid w:val="003B1D08"/>
    <w:rsid w:val="003B3079"/>
    <w:rsid w:val="003B3E84"/>
    <w:rsid w:val="003B63A3"/>
    <w:rsid w:val="003B7809"/>
    <w:rsid w:val="003C4736"/>
    <w:rsid w:val="003C47FB"/>
    <w:rsid w:val="003D1831"/>
    <w:rsid w:val="003D1F6E"/>
    <w:rsid w:val="003D5558"/>
    <w:rsid w:val="003D568B"/>
    <w:rsid w:val="003D7A81"/>
    <w:rsid w:val="003E0C1C"/>
    <w:rsid w:val="003F1407"/>
    <w:rsid w:val="003F204B"/>
    <w:rsid w:val="003F5592"/>
    <w:rsid w:val="003F7233"/>
    <w:rsid w:val="004023DF"/>
    <w:rsid w:val="00402E0D"/>
    <w:rsid w:val="00404FF6"/>
    <w:rsid w:val="00407788"/>
    <w:rsid w:val="00407E34"/>
    <w:rsid w:val="00410D80"/>
    <w:rsid w:val="0041159C"/>
    <w:rsid w:val="004125DE"/>
    <w:rsid w:val="004126FA"/>
    <w:rsid w:val="00412861"/>
    <w:rsid w:val="00413E6B"/>
    <w:rsid w:val="00416F6F"/>
    <w:rsid w:val="004207C9"/>
    <w:rsid w:val="00423081"/>
    <w:rsid w:val="004243AD"/>
    <w:rsid w:val="004260AF"/>
    <w:rsid w:val="00427D73"/>
    <w:rsid w:val="00430A60"/>
    <w:rsid w:val="00440C7A"/>
    <w:rsid w:val="00444E14"/>
    <w:rsid w:val="0044635B"/>
    <w:rsid w:val="004534A7"/>
    <w:rsid w:val="00454C4C"/>
    <w:rsid w:val="00461236"/>
    <w:rsid w:val="00464D8D"/>
    <w:rsid w:val="00464E9D"/>
    <w:rsid w:val="00467428"/>
    <w:rsid w:val="00470DE5"/>
    <w:rsid w:val="00471F5C"/>
    <w:rsid w:val="00473ECC"/>
    <w:rsid w:val="00474A2B"/>
    <w:rsid w:val="00474D2B"/>
    <w:rsid w:val="00481CE7"/>
    <w:rsid w:val="00482C85"/>
    <w:rsid w:val="00483D21"/>
    <w:rsid w:val="004858CA"/>
    <w:rsid w:val="004867BA"/>
    <w:rsid w:val="0049209D"/>
    <w:rsid w:val="0049262C"/>
    <w:rsid w:val="00492BC8"/>
    <w:rsid w:val="004A293B"/>
    <w:rsid w:val="004A346C"/>
    <w:rsid w:val="004B0A47"/>
    <w:rsid w:val="004B5123"/>
    <w:rsid w:val="004B575E"/>
    <w:rsid w:val="004C6341"/>
    <w:rsid w:val="004D0938"/>
    <w:rsid w:val="004D0F2E"/>
    <w:rsid w:val="004E2F9D"/>
    <w:rsid w:val="004E770D"/>
    <w:rsid w:val="004F0267"/>
    <w:rsid w:val="004F2C96"/>
    <w:rsid w:val="004F32C7"/>
    <w:rsid w:val="004F4B8B"/>
    <w:rsid w:val="004F5B07"/>
    <w:rsid w:val="004F63AD"/>
    <w:rsid w:val="00507196"/>
    <w:rsid w:val="00507E83"/>
    <w:rsid w:val="005109A3"/>
    <w:rsid w:val="00510BE2"/>
    <w:rsid w:val="00515B8E"/>
    <w:rsid w:val="005206DD"/>
    <w:rsid w:val="00523150"/>
    <w:rsid w:val="00524FFA"/>
    <w:rsid w:val="0052596A"/>
    <w:rsid w:val="00533674"/>
    <w:rsid w:val="0053404D"/>
    <w:rsid w:val="005348F2"/>
    <w:rsid w:val="00536632"/>
    <w:rsid w:val="00540FF3"/>
    <w:rsid w:val="005444FD"/>
    <w:rsid w:val="005475EE"/>
    <w:rsid w:val="00553D7C"/>
    <w:rsid w:val="00560392"/>
    <w:rsid w:val="005624E5"/>
    <w:rsid w:val="00564401"/>
    <w:rsid w:val="005713FA"/>
    <w:rsid w:val="00572269"/>
    <w:rsid w:val="0057428C"/>
    <w:rsid w:val="0057586A"/>
    <w:rsid w:val="00577426"/>
    <w:rsid w:val="00584117"/>
    <w:rsid w:val="00585B91"/>
    <w:rsid w:val="00585FA0"/>
    <w:rsid w:val="005874F8"/>
    <w:rsid w:val="00590648"/>
    <w:rsid w:val="00591057"/>
    <w:rsid w:val="00592568"/>
    <w:rsid w:val="005A5A67"/>
    <w:rsid w:val="005A7B59"/>
    <w:rsid w:val="005B0265"/>
    <w:rsid w:val="005B0926"/>
    <w:rsid w:val="005B1666"/>
    <w:rsid w:val="005B21C9"/>
    <w:rsid w:val="005B2B31"/>
    <w:rsid w:val="005B4391"/>
    <w:rsid w:val="005C59A9"/>
    <w:rsid w:val="005C7344"/>
    <w:rsid w:val="005C7E1E"/>
    <w:rsid w:val="005D31C0"/>
    <w:rsid w:val="005D33DA"/>
    <w:rsid w:val="005D42B4"/>
    <w:rsid w:val="005E22F4"/>
    <w:rsid w:val="005E4ABD"/>
    <w:rsid w:val="005E5BFF"/>
    <w:rsid w:val="005F1309"/>
    <w:rsid w:val="005F62C5"/>
    <w:rsid w:val="00607E81"/>
    <w:rsid w:val="00612EEB"/>
    <w:rsid w:val="00621E12"/>
    <w:rsid w:val="0062345B"/>
    <w:rsid w:val="00623BD8"/>
    <w:rsid w:val="006244EB"/>
    <w:rsid w:val="00624D11"/>
    <w:rsid w:val="00625071"/>
    <w:rsid w:val="006250E0"/>
    <w:rsid w:val="006254EA"/>
    <w:rsid w:val="00625AC3"/>
    <w:rsid w:val="00627BDC"/>
    <w:rsid w:val="0063134C"/>
    <w:rsid w:val="00634968"/>
    <w:rsid w:val="00636892"/>
    <w:rsid w:val="00637F95"/>
    <w:rsid w:val="006413E5"/>
    <w:rsid w:val="00641773"/>
    <w:rsid w:val="006422B0"/>
    <w:rsid w:val="0064291A"/>
    <w:rsid w:val="0065211C"/>
    <w:rsid w:val="0065216E"/>
    <w:rsid w:val="00662544"/>
    <w:rsid w:val="006639BE"/>
    <w:rsid w:val="00663D76"/>
    <w:rsid w:val="00663FE3"/>
    <w:rsid w:val="0066561F"/>
    <w:rsid w:val="006662C8"/>
    <w:rsid w:val="006721B9"/>
    <w:rsid w:val="00675D5E"/>
    <w:rsid w:val="006808BF"/>
    <w:rsid w:val="006860E5"/>
    <w:rsid w:val="0068703A"/>
    <w:rsid w:val="006910BA"/>
    <w:rsid w:val="00693C49"/>
    <w:rsid w:val="006A6532"/>
    <w:rsid w:val="006B6566"/>
    <w:rsid w:val="006B736D"/>
    <w:rsid w:val="006C3501"/>
    <w:rsid w:val="006D5F72"/>
    <w:rsid w:val="006D6E2E"/>
    <w:rsid w:val="006E6841"/>
    <w:rsid w:val="006E792A"/>
    <w:rsid w:val="006F14F3"/>
    <w:rsid w:val="006F379F"/>
    <w:rsid w:val="006F4DD5"/>
    <w:rsid w:val="006F759B"/>
    <w:rsid w:val="00705E8C"/>
    <w:rsid w:val="00713219"/>
    <w:rsid w:val="00714C02"/>
    <w:rsid w:val="00722B08"/>
    <w:rsid w:val="00723FEB"/>
    <w:rsid w:val="007263CA"/>
    <w:rsid w:val="00727942"/>
    <w:rsid w:val="00730A26"/>
    <w:rsid w:val="00735D4F"/>
    <w:rsid w:val="0073652C"/>
    <w:rsid w:val="00737622"/>
    <w:rsid w:val="00744823"/>
    <w:rsid w:val="00744922"/>
    <w:rsid w:val="00751337"/>
    <w:rsid w:val="007538E9"/>
    <w:rsid w:val="007541EC"/>
    <w:rsid w:val="00754EF8"/>
    <w:rsid w:val="00756280"/>
    <w:rsid w:val="007615FD"/>
    <w:rsid w:val="007667B8"/>
    <w:rsid w:val="00766C0B"/>
    <w:rsid w:val="00771F8B"/>
    <w:rsid w:val="00772292"/>
    <w:rsid w:val="00773566"/>
    <w:rsid w:val="0077359C"/>
    <w:rsid w:val="00773E3A"/>
    <w:rsid w:val="0077487C"/>
    <w:rsid w:val="00780447"/>
    <w:rsid w:val="007804F9"/>
    <w:rsid w:val="0078272D"/>
    <w:rsid w:val="00786FC8"/>
    <w:rsid w:val="00794D6A"/>
    <w:rsid w:val="007972BD"/>
    <w:rsid w:val="007A1967"/>
    <w:rsid w:val="007B0E1D"/>
    <w:rsid w:val="007B4F75"/>
    <w:rsid w:val="007B7DE9"/>
    <w:rsid w:val="007C5214"/>
    <w:rsid w:val="007C56AA"/>
    <w:rsid w:val="007C58C8"/>
    <w:rsid w:val="007D762A"/>
    <w:rsid w:val="007E314C"/>
    <w:rsid w:val="007E47C3"/>
    <w:rsid w:val="007F203B"/>
    <w:rsid w:val="007F3275"/>
    <w:rsid w:val="007F34DA"/>
    <w:rsid w:val="007F4616"/>
    <w:rsid w:val="007F61A7"/>
    <w:rsid w:val="00800031"/>
    <w:rsid w:val="0080527D"/>
    <w:rsid w:val="008068EA"/>
    <w:rsid w:val="00812FF8"/>
    <w:rsid w:val="00816B7A"/>
    <w:rsid w:val="00820296"/>
    <w:rsid w:val="00822FDB"/>
    <w:rsid w:val="008326EF"/>
    <w:rsid w:val="00843E78"/>
    <w:rsid w:val="00844C7B"/>
    <w:rsid w:val="00850010"/>
    <w:rsid w:val="00853AF4"/>
    <w:rsid w:val="00853F7C"/>
    <w:rsid w:val="00854436"/>
    <w:rsid w:val="00855BCD"/>
    <w:rsid w:val="00866EAE"/>
    <w:rsid w:val="008754F3"/>
    <w:rsid w:val="00875E37"/>
    <w:rsid w:val="00877BA7"/>
    <w:rsid w:val="00882C54"/>
    <w:rsid w:val="00890AD3"/>
    <w:rsid w:val="00897673"/>
    <w:rsid w:val="008A42FF"/>
    <w:rsid w:val="008B0DB9"/>
    <w:rsid w:val="008B3957"/>
    <w:rsid w:val="008B3F9B"/>
    <w:rsid w:val="008B7035"/>
    <w:rsid w:val="008B73A6"/>
    <w:rsid w:val="008B7BCB"/>
    <w:rsid w:val="008C31BB"/>
    <w:rsid w:val="008C4044"/>
    <w:rsid w:val="008C5E07"/>
    <w:rsid w:val="008D0CD3"/>
    <w:rsid w:val="008D2A6C"/>
    <w:rsid w:val="008D432B"/>
    <w:rsid w:val="008D5077"/>
    <w:rsid w:val="008D6FD0"/>
    <w:rsid w:val="008E123F"/>
    <w:rsid w:val="008E28DE"/>
    <w:rsid w:val="008E6F6A"/>
    <w:rsid w:val="008E793F"/>
    <w:rsid w:val="008E7D52"/>
    <w:rsid w:val="008F0C50"/>
    <w:rsid w:val="008F29D1"/>
    <w:rsid w:val="008F4175"/>
    <w:rsid w:val="008F6CE0"/>
    <w:rsid w:val="009039DC"/>
    <w:rsid w:val="00921FAB"/>
    <w:rsid w:val="00923777"/>
    <w:rsid w:val="009238D6"/>
    <w:rsid w:val="00936BA8"/>
    <w:rsid w:val="00941568"/>
    <w:rsid w:val="009423BB"/>
    <w:rsid w:val="009436A4"/>
    <w:rsid w:val="0094568C"/>
    <w:rsid w:val="00946EBB"/>
    <w:rsid w:val="00947592"/>
    <w:rsid w:val="009528F7"/>
    <w:rsid w:val="009530AB"/>
    <w:rsid w:val="00955B4C"/>
    <w:rsid w:val="00966449"/>
    <w:rsid w:val="009704DA"/>
    <w:rsid w:val="00973513"/>
    <w:rsid w:val="00976337"/>
    <w:rsid w:val="0097641A"/>
    <w:rsid w:val="00990D53"/>
    <w:rsid w:val="00990F8A"/>
    <w:rsid w:val="00993A36"/>
    <w:rsid w:val="00993ECB"/>
    <w:rsid w:val="009A1890"/>
    <w:rsid w:val="009A7482"/>
    <w:rsid w:val="009B03CC"/>
    <w:rsid w:val="009B04EF"/>
    <w:rsid w:val="009B2B32"/>
    <w:rsid w:val="009B31CF"/>
    <w:rsid w:val="009B3C72"/>
    <w:rsid w:val="009B5122"/>
    <w:rsid w:val="009C04DE"/>
    <w:rsid w:val="009C1D54"/>
    <w:rsid w:val="009C2749"/>
    <w:rsid w:val="009C37ED"/>
    <w:rsid w:val="009C5F4D"/>
    <w:rsid w:val="009D03D2"/>
    <w:rsid w:val="009D3A6C"/>
    <w:rsid w:val="009D62D4"/>
    <w:rsid w:val="009E3AAB"/>
    <w:rsid w:val="009F1C43"/>
    <w:rsid w:val="009F2011"/>
    <w:rsid w:val="009F2368"/>
    <w:rsid w:val="00A01130"/>
    <w:rsid w:val="00A021FD"/>
    <w:rsid w:val="00A036D4"/>
    <w:rsid w:val="00A04332"/>
    <w:rsid w:val="00A057A1"/>
    <w:rsid w:val="00A211F8"/>
    <w:rsid w:val="00A215DF"/>
    <w:rsid w:val="00A25E9E"/>
    <w:rsid w:val="00A263A0"/>
    <w:rsid w:val="00A31C82"/>
    <w:rsid w:val="00A35175"/>
    <w:rsid w:val="00A43593"/>
    <w:rsid w:val="00A464CB"/>
    <w:rsid w:val="00A470C9"/>
    <w:rsid w:val="00A504E0"/>
    <w:rsid w:val="00A54F6F"/>
    <w:rsid w:val="00A57172"/>
    <w:rsid w:val="00A57A27"/>
    <w:rsid w:val="00A57C0E"/>
    <w:rsid w:val="00A60C11"/>
    <w:rsid w:val="00A63122"/>
    <w:rsid w:val="00A70747"/>
    <w:rsid w:val="00A71978"/>
    <w:rsid w:val="00A73DB5"/>
    <w:rsid w:val="00A77DE0"/>
    <w:rsid w:val="00A810F4"/>
    <w:rsid w:val="00A83773"/>
    <w:rsid w:val="00A84F71"/>
    <w:rsid w:val="00A92117"/>
    <w:rsid w:val="00A92FEA"/>
    <w:rsid w:val="00A95447"/>
    <w:rsid w:val="00A9673B"/>
    <w:rsid w:val="00AA290D"/>
    <w:rsid w:val="00AB3D98"/>
    <w:rsid w:val="00AC731E"/>
    <w:rsid w:val="00AD2A4C"/>
    <w:rsid w:val="00AD33DD"/>
    <w:rsid w:val="00AE243D"/>
    <w:rsid w:val="00AE2EFF"/>
    <w:rsid w:val="00AE3928"/>
    <w:rsid w:val="00AF19EB"/>
    <w:rsid w:val="00AF73DE"/>
    <w:rsid w:val="00B06C23"/>
    <w:rsid w:val="00B1539D"/>
    <w:rsid w:val="00B1671B"/>
    <w:rsid w:val="00B16737"/>
    <w:rsid w:val="00B2200F"/>
    <w:rsid w:val="00B226E1"/>
    <w:rsid w:val="00B22B2A"/>
    <w:rsid w:val="00B22B4B"/>
    <w:rsid w:val="00B252F9"/>
    <w:rsid w:val="00B31110"/>
    <w:rsid w:val="00B31ADF"/>
    <w:rsid w:val="00B3693D"/>
    <w:rsid w:val="00B41942"/>
    <w:rsid w:val="00B43C33"/>
    <w:rsid w:val="00B46D1E"/>
    <w:rsid w:val="00B47847"/>
    <w:rsid w:val="00B50138"/>
    <w:rsid w:val="00B50A07"/>
    <w:rsid w:val="00B531C6"/>
    <w:rsid w:val="00B53241"/>
    <w:rsid w:val="00B54E8E"/>
    <w:rsid w:val="00B55304"/>
    <w:rsid w:val="00B57C80"/>
    <w:rsid w:val="00B60BC5"/>
    <w:rsid w:val="00B6181B"/>
    <w:rsid w:val="00B61BFC"/>
    <w:rsid w:val="00B62751"/>
    <w:rsid w:val="00B66A63"/>
    <w:rsid w:val="00B66DF1"/>
    <w:rsid w:val="00B71DED"/>
    <w:rsid w:val="00B722C2"/>
    <w:rsid w:val="00B72927"/>
    <w:rsid w:val="00B730A6"/>
    <w:rsid w:val="00B74289"/>
    <w:rsid w:val="00B76142"/>
    <w:rsid w:val="00B77C4A"/>
    <w:rsid w:val="00B82D01"/>
    <w:rsid w:val="00B830EB"/>
    <w:rsid w:val="00B91C4B"/>
    <w:rsid w:val="00B9379C"/>
    <w:rsid w:val="00B96BE1"/>
    <w:rsid w:val="00B97F4C"/>
    <w:rsid w:val="00BA1F72"/>
    <w:rsid w:val="00BA572B"/>
    <w:rsid w:val="00BB1022"/>
    <w:rsid w:val="00BC4992"/>
    <w:rsid w:val="00BC5489"/>
    <w:rsid w:val="00BC655F"/>
    <w:rsid w:val="00BC78D6"/>
    <w:rsid w:val="00BC78E2"/>
    <w:rsid w:val="00BC7AB7"/>
    <w:rsid w:val="00BD1715"/>
    <w:rsid w:val="00BD21A1"/>
    <w:rsid w:val="00BD2609"/>
    <w:rsid w:val="00BD4589"/>
    <w:rsid w:val="00BD57B9"/>
    <w:rsid w:val="00BD7FFA"/>
    <w:rsid w:val="00BE684A"/>
    <w:rsid w:val="00BE69C4"/>
    <w:rsid w:val="00BE721A"/>
    <w:rsid w:val="00BF305F"/>
    <w:rsid w:val="00BF470C"/>
    <w:rsid w:val="00BF4AED"/>
    <w:rsid w:val="00C03E2A"/>
    <w:rsid w:val="00C06279"/>
    <w:rsid w:val="00C10DC7"/>
    <w:rsid w:val="00C166EA"/>
    <w:rsid w:val="00C2060A"/>
    <w:rsid w:val="00C2165E"/>
    <w:rsid w:val="00C23B65"/>
    <w:rsid w:val="00C24DE4"/>
    <w:rsid w:val="00C272FA"/>
    <w:rsid w:val="00C30B5C"/>
    <w:rsid w:val="00C363F1"/>
    <w:rsid w:val="00C43E87"/>
    <w:rsid w:val="00C5049A"/>
    <w:rsid w:val="00C51E83"/>
    <w:rsid w:val="00C53FF3"/>
    <w:rsid w:val="00C549EB"/>
    <w:rsid w:val="00C560AE"/>
    <w:rsid w:val="00C60BBF"/>
    <w:rsid w:val="00C646E8"/>
    <w:rsid w:val="00C65E45"/>
    <w:rsid w:val="00C67ACB"/>
    <w:rsid w:val="00C70197"/>
    <w:rsid w:val="00C70289"/>
    <w:rsid w:val="00C72F37"/>
    <w:rsid w:val="00C73C47"/>
    <w:rsid w:val="00C75C22"/>
    <w:rsid w:val="00C81216"/>
    <w:rsid w:val="00C82FFF"/>
    <w:rsid w:val="00C831B7"/>
    <w:rsid w:val="00C84DE5"/>
    <w:rsid w:val="00C8529D"/>
    <w:rsid w:val="00C9190D"/>
    <w:rsid w:val="00C91E86"/>
    <w:rsid w:val="00C92AAB"/>
    <w:rsid w:val="00CA4941"/>
    <w:rsid w:val="00CA75EE"/>
    <w:rsid w:val="00CA7E8D"/>
    <w:rsid w:val="00CB02E1"/>
    <w:rsid w:val="00CB0A29"/>
    <w:rsid w:val="00CB0EB3"/>
    <w:rsid w:val="00CB13DE"/>
    <w:rsid w:val="00CB3009"/>
    <w:rsid w:val="00CB33E5"/>
    <w:rsid w:val="00CB4A8C"/>
    <w:rsid w:val="00CD1118"/>
    <w:rsid w:val="00CD3EE8"/>
    <w:rsid w:val="00CE1160"/>
    <w:rsid w:val="00CE1DE8"/>
    <w:rsid w:val="00CE2160"/>
    <w:rsid w:val="00CE69E2"/>
    <w:rsid w:val="00CE707B"/>
    <w:rsid w:val="00CF05EE"/>
    <w:rsid w:val="00CF2C23"/>
    <w:rsid w:val="00CF4FC4"/>
    <w:rsid w:val="00D01967"/>
    <w:rsid w:val="00D02BC2"/>
    <w:rsid w:val="00D05DC2"/>
    <w:rsid w:val="00D14453"/>
    <w:rsid w:val="00D16CA5"/>
    <w:rsid w:val="00D17406"/>
    <w:rsid w:val="00D25900"/>
    <w:rsid w:val="00D26BEE"/>
    <w:rsid w:val="00D278BF"/>
    <w:rsid w:val="00D3194A"/>
    <w:rsid w:val="00D341C8"/>
    <w:rsid w:val="00D347A6"/>
    <w:rsid w:val="00D36ACB"/>
    <w:rsid w:val="00D37FC6"/>
    <w:rsid w:val="00D44DBC"/>
    <w:rsid w:val="00D476E8"/>
    <w:rsid w:val="00D53971"/>
    <w:rsid w:val="00D5595F"/>
    <w:rsid w:val="00D56AD4"/>
    <w:rsid w:val="00D57AD9"/>
    <w:rsid w:val="00D60220"/>
    <w:rsid w:val="00D61410"/>
    <w:rsid w:val="00D67AD8"/>
    <w:rsid w:val="00D70360"/>
    <w:rsid w:val="00D71EBD"/>
    <w:rsid w:val="00D77DBE"/>
    <w:rsid w:val="00D83DBD"/>
    <w:rsid w:val="00D85526"/>
    <w:rsid w:val="00D86CC0"/>
    <w:rsid w:val="00D86D6A"/>
    <w:rsid w:val="00D91817"/>
    <w:rsid w:val="00D97F1E"/>
    <w:rsid w:val="00DB1367"/>
    <w:rsid w:val="00DB4445"/>
    <w:rsid w:val="00DB5B76"/>
    <w:rsid w:val="00DB75CE"/>
    <w:rsid w:val="00DC4599"/>
    <w:rsid w:val="00DC4E19"/>
    <w:rsid w:val="00DD08E0"/>
    <w:rsid w:val="00DD2522"/>
    <w:rsid w:val="00DD6F4C"/>
    <w:rsid w:val="00DE0B19"/>
    <w:rsid w:val="00DE0E78"/>
    <w:rsid w:val="00DF2F4D"/>
    <w:rsid w:val="00E00156"/>
    <w:rsid w:val="00E0026E"/>
    <w:rsid w:val="00E010DA"/>
    <w:rsid w:val="00E03F15"/>
    <w:rsid w:val="00E07CED"/>
    <w:rsid w:val="00E10A17"/>
    <w:rsid w:val="00E119EA"/>
    <w:rsid w:val="00E11FBB"/>
    <w:rsid w:val="00E14873"/>
    <w:rsid w:val="00E15DFB"/>
    <w:rsid w:val="00E162D3"/>
    <w:rsid w:val="00E1771E"/>
    <w:rsid w:val="00E228D4"/>
    <w:rsid w:val="00E24437"/>
    <w:rsid w:val="00E2746A"/>
    <w:rsid w:val="00E30CCF"/>
    <w:rsid w:val="00E32C5D"/>
    <w:rsid w:val="00E32DAF"/>
    <w:rsid w:val="00E33EC0"/>
    <w:rsid w:val="00E35B6D"/>
    <w:rsid w:val="00E425A0"/>
    <w:rsid w:val="00E436C8"/>
    <w:rsid w:val="00E50638"/>
    <w:rsid w:val="00E50A0A"/>
    <w:rsid w:val="00E50C17"/>
    <w:rsid w:val="00E51DE5"/>
    <w:rsid w:val="00E576AC"/>
    <w:rsid w:val="00E61325"/>
    <w:rsid w:val="00E647DF"/>
    <w:rsid w:val="00E66674"/>
    <w:rsid w:val="00E72362"/>
    <w:rsid w:val="00E73D75"/>
    <w:rsid w:val="00E74838"/>
    <w:rsid w:val="00E75CCA"/>
    <w:rsid w:val="00E80101"/>
    <w:rsid w:val="00E8392A"/>
    <w:rsid w:val="00E83ABA"/>
    <w:rsid w:val="00E90058"/>
    <w:rsid w:val="00E913FD"/>
    <w:rsid w:val="00E921E0"/>
    <w:rsid w:val="00E92438"/>
    <w:rsid w:val="00E9440E"/>
    <w:rsid w:val="00EA0D18"/>
    <w:rsid w:val="00EA27F4"/>
    <w:rsid w:val="00EA3284"/>
    <w:rsid w:val="00EA539D"/>
    <w:rsid w:val="00EB3193"/>
    <w:rsid w:val="00EB77DB"/>
    <w:rsid w:val="00EC48DE"/>
    <w:rsid w:val="00ED621F"/>
    <w:rsid w:val="00EE046C"/>
    <w:rsid w:val="00EE1E6C"/>
    <w:rsid w:val="00EE494B"/>
    <w:rsid w:val="00EE5413"/>
    <w:rsid w:val="00EE541E"/>
    <w:rsid w:val="00EF6A76"/>
    <w:rsid w:val="00EF7127"/>
    <w:rsid w:val="00EF7611"/>
    <w:rsid w:val="00F001B9"/>
    <w:rsid w:val="00F01EF8"/>
    <w:rsid w:val="00F02C71"/>
    <w:rsid w:val="00F0363D"/>
    <w:rsid w:val="00F03E96"/>
    <w:rsid w:val="00F0417A"/>
    <w:rsid w:val="00F06E41"/>
    <w:rsid w:val="00F15B54"/>
    <w:rsid w:val="00F21188"/>
    <w:rsid w:val="00F23BC7"/>
    <w:rsid w:val="00F23F8B"/>
    <w:rsid w:val="00F24BE1"/>
    <w:rsid w:val="00F25821"/>
    <w:rsid w:val="00F2726D"/>
    <w:rsid w:val="00F278B1"/>
    <w:rsid w:val="00F27AD8"/>
    <w:rsid w:val="00F3361B"/>
    <w:rsid w:val="00F41FCA"/>
    <w:rsid w:val="00F42B59"/>
    <w:rsid w:val="00F45364"/>
    <w:rsid w:val="00F45C7D"/>
    <w:rsid w:val="00F5037D"/>
    <w:rsid w:val="00F506FF"/>
    <w:rsid w:val="00F536F7"/>
    <w:rsid w:val="00F6162C"/>
    <w:rsid w:val="00F61813"/>
    <w:rsid w:val="00F64C27"/>
    <w:rsid w:val="00F73764"/>
    <w:rsid w:val="00F77BCA"/>
    <w:rsid w:val="00F81A6A"/>
    <w:rsid w:val="00F84FC1"/>
    <w:rsid w:val="00F87372"/>
    <w:rsid w:val="00F873C7"/>
    <w:rsid w:val="00F90BF7"/>
    <w:rsid w:val="00F90F38"/>
    <w:rsid w:val="00F914F9"/>
    <w:rsid w:val="00F91C88"/>
    <w:rsid w:val="00F91ECF"/>
    <w:rsid w:val="00F9693D"/>
    <w:rsid w:val="00FA16B4"/>
    <w:rsid w:val="00FA40BC"/>
    <w:rsid w:val="00FB57CE"/>
    <w:rsid w:val="00FB639C"/>
    <w:rsid w:val="00FB6415"/>
    <w:rsid w:val="00FB77F8"/>
    <w:rsid w:val="00FC29F6"/>
    <w:rsid w:val="00FD0B0D"/>
    <w:rsid w:val="00FD1B73"/>
    <w:rsid w:val="00FD389C"/>
    <w:rsid w:val="00FE2169"/>
    <w:rsid w:val="00FF1233"/>
    <w:rsid w:val="00FF3CF4"/>
    <w:rsid w:val="00FF6A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3B"/>
    <w:pPr>
      <w:widowControl w:val="0"/>
      <w:jc w:val="both"/>
    </w:pPr>
    <w:rPr>
      <w:rFonts w:ascii="Arial" w:eastAsia="Times New Roman" w:hAnsi="Arial" w:cs="Arial"/>
      <w:snapToGrid w:val="0"/>
      <w:sz w:val="22"/>
      <w:lang w:eastAsia="en-US"/>
    </w:rPr>
  </w:style>
  <w:style w:type="paragraph" w:styleId="Heading1">
    <w:name w:val="heading 1"/>
    <w:basedOn w:val="Normal"/>
    <w:next w:val="Normal"/>
    <w:link w:val="Heading1Char"/>
    <w:qFormat/>
    <w:rsid w:val="007F203B"/>
    <w:pPr>
      <w:ind w:left="720" w:hanging="720"/>
      <w:outlineLvl w:val="0"/>
    </w:pPr>
    <w:rPr>
      <w:rFonts w:ascii="Arial Bold" w:hAnsi="Arial Bold"/>
      <w:b/>
      <w:caps/>
    </w:rPr>
  </w:style>
  <w:style w:type="paragraph" w:styleId="Heading2">
    <w:name w:val="heading 2"/>
    <w:basedOn w:val="Normal"/>
    <w:next w:val="Normal"/>
    <w:link w:val="Heading2Char"/>
    <w:qFormat/>
    <w:rsid w:val="007F203B"/>
    <w:pPr>
      <w:outlineLvl w:val="1"/>
    </w:pPr>
    <w:rPr>
      <w:b/>
    </w:rPr>
  </w:style>
  <w:style w:type="paragraph" w:styleId="Heading3">
    <w:name w:val="heading 3"/>
    <w:basedOn w:val="Normal"/>
    <w:next w:val="Normal"/>
    <w:link w:val="Heading3Char"/>
    <w:qFormat/>
    <w:rsid w:val="007F203B"/>
    <w:pPr>
      <w:outlineLvl w:val="2"/>
    </w:pPr>
    <w:rPr>
      <w:u w:val="single"/>
    </w:rPr>
  </w:style>
  <w:style w:type="paragraph" w:styleId="Heading4">
    <w:name w:val="heading 4"/>
    <w:basedOn w:val="Normal"/>
    <w:next w:val="Normal"/>
    <w:link w:val="Heading4Char"/>
    <w:rsid w:val="007F203B"/>
    <w:pPr>
      <w:keepNext/>
      <w:spacing w:before="240" w:after="60"/>
      <w:outlineLvl w:val="3"/>
    </w:pPr>
    <w:rPr>
      <w:b/>
      <w:bCs/>
      <w:i/>
      <w:sz w:val="26"/>
      <w:szCs w:val="28"/>
    </w:rPr>
  </w:style>
  <w:style w:type="paragraph" w:styleId="Heading5">
    <w:name w:val="heading 5"/>
    <w:basedOn w:val="Normal"/>
    <w:next w:val="Normal"/>
    <w:link w:val="Heading5Char"/>
    <w:rsid w:val="007F203B"/>
    <w:pPr>
      <w:spacing w:before="240" w:after="60"/>
      <w:outlineLvl w:val="4"/>
    </w:pPr>
    <w:rPr>
      <w:b/>
      <w:bCs/>
      <w:iCs/>
      <w:sz w:val="26"/>
      <w:szCs w:val="26"/>
    </w:rPr>
  </w:style>
  <w:style w:type="paragraph" w:styleId="Heading6">
    <w:name w:val="heading 6"/>
    <w:basedOn w:val="Normal"/>
    <w:next w:val="Normal"/>
    <w:link w:val="Heading6Char"/>
    <w:rsid w:val="007F203B"/>
    <w:pPr>
      <w:spacing w:before="240" w:after="60"/>
      <w:outlineLvl w:val="5"/>
    </w:pPr>
    <w:rPr>
      <w:b/>
      <w:bCs/>
      <w:i/>
      <w:szCs w:val="22"/>
    </w:rPr>
  </w:style>
  <w:style w:type="paragraph" w:styleId="Heading7">
    <w:name w:val="heading 7"/>
    <w:basedOn w:val="Normal"/>
    <w:next w:val="Normal"/>
    <w:link w:val="Heading7Char"/>
    <w:rsid w:val="007F203B"/>
    <w:pPr>
      <w:keepNext/>
      <w:jc w:val="center"/>
      <w:outlineLvl w:val="6"/>
    </w:pPr>
    <w:rPr>
      <w:b/>
      <w:sz w:val="20"/>
    </w:rPr>
  </w:style>
  <w:style w:type="paragraph" w:styleId="Heading8">
    <w:name w:val="heading 8"/>
    <w:basedOn w:val="Normal"/>
    <w:next w:val="Normal"/>
    <w:link w:val="Heading8Char"/>
    <w:rsid w:val="007F203B"/>
    <w:pPr>
      <w:keepNext/>
      <w:jc w:val="right"/>
      <w:outlineLvl w:val="7"/>
    </w:pPr>
    <w:rPr>
      <w:b/>
    </w:rPr>
  </w:style>
  <w:style w:type="paragraph" w:styleId="Heading9">
    <w:name w:val="heading 9"/>
    <w:basedOn w:val="Normal"/>
    <w:next w:val="Normal"/>
    <w:link w:val="Heading9Char"/>
    <w:rsid w:val="007F203B"/>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203B"/>
    <w:rPr>
      <w:rFonts w:ascii="Arial Bold" w:eastAsia="Times New Roman" w:hAnsi="Arial Bold" w:cs="Arial"/>
      <w:b/>
      <w:caps/>
      <w:snapToGrid w:val="0"/>
      <w:szCs w:val="20"/>
      <w:lang w:eastAsia="en-US"/>
    </w:rPr>
  </w:style>
  <w:style w:type="character" w:customStyle="1" w:styleId="Heading2Char">
    <w:name w:val="Heading 2 Char"/>
    <w:link w:val="Heading2"/>
    <w:rsid w:val="007F203B"/>
    <w:rPr>
      <w:rFonts w:ascii="Arial" w:eastAsia="Times New Roman" w:hAnsi="Arial" w:cs="Arial"/>
      <w:b/>
      <w:snapToGrid w:val="0"/>
      <w:szCs w:val="20"/>
      <w:lang w:eastAsia="en-US"/>
    </w:rPr>
  </w:style>
  <w:style w:type="character" w:customStyle="1" w:styleId="Heading3Char">
    <w:name w:val="Heading 3 Char"/>
    <w:link w:val="Heading3"/>
    <w:rsid w:val="007F203B"/>
    <w:rPr>
      <w:rFonts w:ascii="Arial" w:eastAsia="Times New Roman" w:hAnsi="Arial" w:cs="Arial"/>
      <w:snapToGrid w:val="0"/>
      <w:szCs w:val="20"/>
      <w:u w:val="single"/>
      <w:lang w:eastAsia="en-US"/>
    </w:rPr>
  </w:style>
  <w:style w:type="character" w:customStyle="1" w:styleId="Heading4Char">
    <w:name w:val="Heading 4 Char"/>
    <w:link w:val="Heading4"/>
    <w:rsid w:val="007F203B"/>
    <w:rPr>
      <w:rFonts w:ascii="Arial" w:eastAsia="Times New Roman" w:hAnsi="Arial" w:cs="Arial"/>
      <w:b/>
      <w:bCs/>
      <w:i/>
      <w:snapToGrid w:val="0"/>
      <w:sz w:val="26"/>
      <w:szCs w:val="28"/>
      <w:lang w:eastAsia="en-US"/>
    </w:rPr>
  </w:style>
  <w:style w:type="character" w:customStyle="1" w:styleId="Heading5Char">
    <w:name w:val="Heading 5 Char"/>
    <w:link w:val="Heading5"/>
    <w:rsid w:val="007F203B"/>
    <w:rPr>
      <w:rFonts w:ascii="Arial" w:eastAsia="Times New Roman" w:hAnsi="Arial" w:cs="Arial"/>
      <w:b/>
      <w:bCs/>
      <w:iCs/>
      <w:snapToGrid w:val="0"/>
      <w:sz w:val="26"/>
      <w:szCs w:val="26"/>
      <w:lang w:eastAsia="en-US"/>
    </w:rPr>
  </w:style>
  <w:style w:type="character" w:customStyle="1" w:styleId="Heading6Char">
    <w:name w:val="Heading 6 Char"/>
    <w:link w:val="Heading6"/>
    <w:rsid w:val="007F203B"/>
    <w:rPr>
      <w:rFonts w:ascii="Arial" w:eastAsia="Times New Roman" w:hAnsi="Arial" w:cs="Arial"/>
      <w:b/>
      <w:bCs/>
      <w:i/>
      <w:snapToGrid w:val="0"/>
      <w:lang w:eastAsia="en-US"/>
    </w:rPr>
  </w:style>
  <w:style w:type="character" w:customStyle="1" w:styleId="Heading7Char">
    <w:name w:val="Heading 7 Char"/>
    <w:link w:val="Heading7"/>
    <w:rsid w:val="007F203B"/>
    <w:rPr>
      <w:rFonts w:ascii="Arial" w:eastAsia="Times New Roman" w:hAnsi="Arial" w:cs="Arial"/>
      <w:b/>
      <w:snapToGrid w:val="0"/>
      <w:sz w:val="20"/>
      <w:szCs w:val="20"/>
      <w:lang w:eastAsia="en-US"/>
    </w:rPr>
  </w:style>
  <w:style w:type="character" w:customStyle="1" w:styleId="Heading8Char">
    <w:name w:val="Heading 8 Char"/>
    <w:link w:val="Heading8"/>
    <w:rsid w:val="007F203B"/>
    <w:rPr>
      <w:rFonts w:ascii="Arial" w:eastAsia="Times New Roman" w:hAnsi="Arial" w:cs="Arial"/>
      <w:b/>
      <w:snapToGrid w:val="0"/>
      <w:szCs w:val="20"/>
      <w:lang w:eastAsia="en-US"/>
    </w:rPr>
  </w:style>
  <w:style w:type="character" w:customStyle="1" w:styleId="Heading9Char">
    <w:name w:val="Heading 9 Char"/>
    <w:link w:val="Heading9"/>
    <w:rsid w:val="007F203B"/>
    <w:rPr>
      <w:rFonts w:ascii="Arial" w:eastAsia="Times New Roman" w:hAnsi="Arial" w:cs="Arial"/>
      <w:b/>
      <w:snapToGrid w:val="0"/>
      <w:color w:val="000000"/>
      <w:sz w:val="20"/>
      <w:szCs w:val="20"/>
      <w:lang w:eastAsia="en-US"/>
    </w:rPr>
  </w:style>
  <w:style w:type="paragraph" w:customStyle="1" w:styleId="TableFooter">
    <w:name w:val="Table Footer"/>
    <w:basedOn w:val="Normal"/>
    <w:qFormat/>
    <w:rsid w:val="007F203B"/>
    <w:rPr>
      <w:rFonts w:ascii="Arial Narrow" w:hAnsi="Arial Narrow"/>
      <w:sz w:val="18"/>
    </w:rPr>
  </w:style>
  <w:style w:type="paragraph" w:customStyle="1" w:styleId="TableHeader">
    <w:name w:val="Table Header"/>
    <w:basedOn w:val="Normal"/>
    <w:rsid w:val="007F203B"/>
    <w:rPr>
      <w:b/>
      <w:sz w:val="20"/>
    </w:rPr>
  </w:style>
  <w:style w:type="paragraph" w:styleId="Caption">
    <w:name w:val="caption"/>
    <w:basedOn w:val="Normal"/>
    <w:next w:val="Normal"/>
    <w:link w:val="CaptionChar"/>
    <w:uiPriority w:val="99"/>
    <w:unhideWhenUsed/>
    <w:qFormat/>
    <w:rsid w:val="007F203B"/>
    <w:pPr>
      <w:spacing w:after="200"/>
    </w:pPr>
    <w:rPr>
      <w:b/>
      <w:bCs/>
      <w:color w:val="4F81BD"/>
      <w:sz w:val="18"/>
      <w:szCs w:val="18"/>
    </w:rPr>
  </w:style>
  <w:style w:type="character" w:customStyle="1" w:styleId="CaptionChar">
    <w:name w:val="Caption Char"/>
    <w:link w:val="Caption"/>
    <w:uiPriority w:val="99"/>
    <w:rsid w:val="007F203B"/>
    <w:rPr>
      <w:rFonts w:ascii="Arial" w:eastAsia="Times New Roman" w:hAnsi="Arial" w:cs="Arial"/>
      <w:b/>
      <w:bCs/>
      <w:snapToGrid w:val="0"/>
      <w:color w:val="4F81BD"/>
      <w:sz w:val="18"/>
      <w:szCs w:val="18"/>
      <w:lang w:eastAsia="en-US"/>
    </w:rPr>
  </w:style>
  <w:style w:type="paragraph" w:styleId="Title">
    <w:name w:val="Title"/>
    <w:basedOn w:val="Normal"/>
    <w:next w:val="Normal"/>
    <w:link w:val="TitleChar"/>
    <w:rsid w:val="007F203B"/>
    <w:pPr>
      <w:spacing w:before="240" w:after="60"/>
      <w:jc w:val="center"/>
      <w:outlineLvl w:val="0"/>
    </w:pPr>
    <w:rPr>
      <w:rFonts w:ascii="Cambria" w:hAnsi="Cambria"/>
      <w:b/>
      <w:bCs/>
      <w:kern w:val="28"/>
      <w:sz w:val="32"/>
      <w:szCs w:val="32"/>
    </w:rPr>
  </w:style>
  <w:style w:type="character" w:customStyle="1" w:styleId="TitleChar">
    <w:name w:val="Title Char"/>
    <w:link w:val="Title"/>
    <w:rsid w:val="007F203B"/>
    <w:rPr>
      <w:rFonts w:ascii="Cambria" w:eastAsia="Times New Roman" w:hAnsi="Cambria" w:cs="Arial"/>
      <w:b/>
      <w:bCs/>
      <w:snapToGrid w:val="0"/>
      <w:kern w:val="28"/>
      <w:sz w:val="32"/>
      <w:szCs w:val="32"/>
      <w:lang w:eastAsia="en-US"/>
    </w:rPr>
  </w:style>
  <w:style w:type="paragraph" w:styleId="BodyText">
    <w:name w:val="Body Text"/>
    <w:basedOn w:val="Normal"/>
    <w:link w:val="BodyTextChar"/>
    <w:qFormat/>
    <w:rsid w:val="007F203B"/>
    <w:pPr>
      <w:jc w:val="left"/>
    </w:pPr>
  </w:style>
  <w:style w:type="character" w:customStyle="1" w:styleId="BodyTextChar">
    <w:name w:val="Body Text Char"/>
    <w:link w:val="BodyText"/>
    <w:rsid w:val="007F203B"/>
    <w:rPr>
      <w:rFonts w:ascii="Arial" w:eastAsia="Times New Roman" w:hAnsi="Arial" w:cs="Arial"/>
      <w:snapToGrid w:val="0"/>
      <w:szCs w:val="20"/>
      <w:lang w:eastAsia="en-US"/>
    </w:rPr>
  </w:style>
  <w:style w:type="paragraph" w:styleId="ListParagraph">
    <w:name w:val="List Paragraph"/>
    <w:basedOn w:val="Normal"/>
    <w:link w:val="ListParagraphChar"/>
    <w:uiPriority w:val="72"/>
    <w:qFormat/>
    <w:rsid w:val="007F203B"/>
    <w:pPr>
      <w:ind w:left="720"/>
      <w:contextualSpacing/>
    </w:pPr>
  </w:style>
  <w:style w:type="paragraph" w:customStyle="1" w:styleId="RegularText">
    <w:name w:val="Regular Text"/>
    <w:basedOn w:val="BodyText"/>
    <w:link w:val="RegularTextChar"/>
    <w:rsid w:val="007F203B"/>
    <w:rPr>
      <w:b/>
    </w:rPr>
  </w:style>
  <w:style w:type="paragraph" w:styleId="NoSpacing">
    <w:name w:val="No Spacing"/>
    <w:uiPriority w:val="1"/>
    <w:qFormat/>
    <w:rsid w:val="007F203B"/>
    <w:pPr>
      <w:widowControl w:val="0"/>
      <w:jc w:val="both"/>
    </w:pPr>
    <w:rPr>
      <w:rFonts w:ascii="Arial" w:eastAsia="Times New Roman" w:hAnsi="Arial" w:cs="Arial"/>
      <w:snapToGrid w:val="0"/>
      <w:sz w:val="22"/>
      <w:lang w:eastAsia="en-US"/>
    </w:rPr>
  </w:style>
  <w:style w:type="character" w:customStyle="1" w:styleId="RegularTextChar">
    <w:name w:val="Regular Text Char"/>
    <w:link w:val="RegularText"/>
    <w:rsid w:val="007F203B"/>
    <w:rPr>
      <w:rFonts w:ascii="Arial" w:eastAsia="Times New Roman" w:hAnsi="Arial" w:cs="Arial"/>
      <w:b/>
      <w:snapToGrid w:val="0"/>
      <w:szCs w:val="20"/>
      <w:lang w:eastAsia="en-US"/>
    </w:rPr>
  </w:style>
  <w:style w:type="paragraph" w:styleId="Header">
    <w:name w:val="header"/>
    <w:aliases w:val="Page Header,Header title,he=header,cntr/bld"/>
    <w:basedOn w:val="Normal"/>
    <w:link w:val="HeaderChar"/>
    <w:uiPriority w:val="99"/>
    <w:rsid w:val="007F203B"/>
    <w:pPr>
      <w:tabs>
        <w:tab w:val="center" w:pos="4513"/>
        <w:tab w:val="right" w:pos="9026"/>
      </w:tabs>
    </w:pPr>
  </w:style>
  <w:style w:type="character" w:customStyle="1" w:styleId="HeaderChar">
    <w:name w:val="Header Char"/>
    <w:aliases w:val="Page Header Char,Header title Char,he=header Char,cntr/bld Char"/>
    <w:link w:val="Header"/>
    <w:uiPriority w:val="99"/>
    <w:rsid w:val="007F203B"/>
    <w:rPr>
      <w:rFonts w:ascii="Arial" w:eastAsia="Times New Roman" w:hAnsi="Arial" w:cs="Arial"/>
      <w:snapToGrid w:val="0"/>
      <w:szCs w:val="20"/>
      <w:lang w:eastAsia="en-US"/>
    </w:rPr>
  </w:style>
  <w:style w:type="paragraph" w:styleId="Footer">
    <w:name w:val="footer"/>
    <w:basedOn w:val="Normal"/>
    <w:link w:val="FooterChar"/>
    <w:uiPriority w:val="99"/>
    <w:rsid w:val="007F203B"/>
    <w:pPr>
      <w:tabs>
        <w:tab w:val="center" w:pos="4513"/>
        <w:tab w:val="right" w:pos="9026"/>
      </w:tabs>
    </w:pPr>
  </w:style>
  <w:style w:type="character" w:customStyle="1" w:styleId="FooterChar">
    <w:name w:val="Footer Char"/>
    <w:link w:val="Footer"/>
    <w:uiPriority w:val="99"/>
    <w:rsid w:val="007F203B"/>
    <w:rPr>
      <w:rFonts w:ascii="Arial" w:eastAsia="Times New Roman" w:hAnsi="Arial" w:cs="Arial"/>
      <w:snapToGrid w:val="0"/>
      <w:szCs w:val="20"/>
      <w:lang w:eastAsia="en-US"/>
    </w:rPr>
  </w:style>
  <w:style w:type="table" w:styleId="TableGrid">
    <w:name w:val="Table Grid"/>
    <w:basedOn w:val="TableNormal"/>
    <w:uiPriority w:val="59"/>
    <w:rsid w:val="007F203B"/>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7F203B"/>
    <w:rPr>
      <w:rFonts w:ascii="Arial Narrow" w:hAnsi="Arial Narrow"/>
      <w:b/>
      <w:sz w:val="20"/>
      <w:szCs w:val="16"/>
    </w:rPr>
  </w:style>
  <w:style w:type="paragraph" w:customStyle="1" w:styleId="Tabletext">
    <w:name w:val="Table text"/>
    <w:basedOn w:val="Normal"/>
    <w:link w:val="TabletextChar"/>
    <w:rsid w:val="007F203B"/>
    <w:pPr>
      <w:widowControl/>
      <w:spacing w:after="120"/>
      <w:jc w:val="left"/>
    </w:pPr>
    <w:rPr>
      <w:rFonts w:cs="Times New Roman"/>
      <w:snapToGrid/>
      <w:sz w:val="20"/>
    </w:rPr>
  </w:style>
  <w:style w:type="paragraph" w:customStyle="1" w:styleId="TableHeading">
    <w:name w:val="TableHeading"/>
    <w:basedOn w:val="Normal"/>
    <w:rsid w:val="007F203B"/>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7F203B"/>
    <w:rPr>
      <w:rFonts w:ascii="Arial" w:eastAsia="Times New Roman" w:hAnsi="Arial" w:cs="Times New Roman"/>
      <w:sz w:val="20"/>
      <w:szCs w:val="20"/>
      <w:lang w:eastAsia="en-US"/>
    </w:rPr>
  </w:style>
  <w:style w:type="paragraph" w:customStyle="1" w:styleId="Corpsdetextemarge">
    <w:name w:val="Corps de texte marge"/>
    <w:basedOn w:val="BodyText"/>
    <w:uiPriority w:val="99"/>
    <w:rsid w:val="007F203B"/>
    <w:pPr>
      <w:widowControl/>
      <w:jc w:val="both"/>
    </w:pPr>
    <w:rPr>
      <w:rFonts w:ascii="Times" w:hAnsi="Times" w:cs="Times New Roman"/>
      <w:snapToGrid/>
      <w:sz w:val="24"/>
      <w:lang w:val="en-US"/>
    </w:rPr>
  </w:style>
  <w:style w:type="paragraph" w:styleId="NormalWeb">
    <w:name w:val="Normal (Web)"/>
    <w:basedOn w:val="Normal"/>
    <w:uiPriority w:val="99"/>
    <w:rsid w:val="007F203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7F203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7F203B"/>
    <w:pPr>
      <w:spacing w:before="240" w:after="120"/>
      <w:jc w:val="left"/>
    </w:pPr>
    <w:rPr>
      <w:bCs/>
      <w:sz w:val="20"/>
    </w:rPr>
  </w:style>
  <w:style w:type="character" w:styleId="Hyperlink">
    <w:name w:val="Hyperlink"/>
    <w:uiPriority w:val="99"/>
    <w:unhideWhenUsed/>
    <w:rsid w:val="007F203B"/>
    <w:rPr>
      <w:color w:val="0000FF"/>
      <w:u w:val="single"/>
    </w:rPr>
  </w:style>
  <w:style w:type="paragraph" w:styleId="TOCHeading">
    <w:name w:val="TOC Heading"/>
    <w:basedOn w:val="Heading1"/>
    <w:next w:val="Normal"/>
    <w:uiPriority w:val="39"/>
    <w:unhideWhenUsed/>
    <w:rsid w:val="007F203B"/>
    <w:pPr>
      <w:keepNext/>
      <w:keepLines/>
      <w:widowControl/>
      <w:spacing w:before="480" w:line="276" w:lineRule="auto"/>
      <w:ind w:left="0" w:firstLine="0"/>
      <w:jc w:val="left"/>
      <w:outlineLvl w:val="9"/>
    </w:pPr>
    <w:rPr>
      <w:rFonts w:ascii="Cambria" w:eastAsia="SimSun" w:hAnsi="Cambria" w:cs="Times New Roman"/>
      <w:bCs/>
      <w:snapToGrid/>
      <w:color w:val="365F91"/>
      <w:sz w:val="28"/>
      <w:szCs w:val="28"/>
      <w:lang w:val="en-US" w:eastAsia="ja-JP"/>
    </w:rPr>
  </w:style>
  <w:style w:type="paragraph" w:styleId="TOC3">
    <w:name w:val="toc 3"/>
    <w:basedOn w:val="Normal"/>
    <w:next w:val="Normal"/>
    <w:autoRedefine/>
    <w:uiPriority w:val="39"/>
    <w:unhideWhenUsed/>
    <w:rsid w:val="007F203B"/>
    <w:pPr>
      <w:ind w:left="440"/>
      <w:jc w:val="left"/>
    </w:pPr>
    <w:rPr>
      <w:rFonts w:ascii="Calibri" w:hAnsi="Calibri"/>
      <w:sz w:val="20"/>
    </w:rPr>
  </w:style>
  <w:style w:type="paragraph" w:styleId="BalloonText">
    <w:name w:val="Balloon Text"/>
    <w:basedOn w:val="Normal"/>
    <w:link w:val="BalloonTextChar"/>
    <w:uiPriority w:val="99"/>
    <w:rsid w:val="007F203B"/>
    <w:rPr>
      <w:rFonts w:ascii="Tahoma" w:hAnsi="Tahoma" w:cs="Tahoma"/>
      <w:sz w:val="16"/>
      <w:szCs w:val="16"/>
    </w:rPr>
  </w:style>
  <w:style w:type="character" w:customStyle="1" w:styleId="BalloonTextChar">
    <w:name w:val="Balloon Text Char"/>
    <w:link w:val="BalloonText"/>
    <w:uiPriority w:val="99"/>
    <w:rsid w:val="007F203B"/>
    <w:rPr>
      <w:rFonts w:ascii="Tahoma" w:eastAsia="Times New Roman" w:hAnsi="Tahoma" w:cs="Tahoma"/>
      <w:snapToGrid w:val="0"/>
      <w:sz w:val="16"/>
      <w:szCs w:val="16"/>
      <w:lang w:eastAsia="en-US"/>
    </w:rPr>
  </w:style>
  <w:style w:type="paragraph" w:styleId="BodyText3">
    <w:name w:val="Body Text 3"/>
    <w:basedOn w:val="Normal"/>
    <w:link w:val="BodyText3Char"/>
    <w:rsid w:val="007F203B"/>
    <w:pPr>
      <w:spacing w:after="120"/>
    </w:pPr>
    <w:rPr>
      <w:sz w:val="16"/>
      <w:szCs w:val="16"/>
    </w:rPr>
  </w:style>
  <w:style w:type="character" w:customStyle="1" w:styleId="BodyText3Char">
    <w:name w:val="Body Text 3 Char"/>
    <w:link w:val="BodyText3"/>
    <w:rsid w:val="007F203B"/>
    <w:rPr>
      <w:rFonts w:ascii="Arial" w:eastAsia="Times New Roman" w:hAnsi="Arial" w:cs="Arial"/>
      <w:snapToGrid w:val="0"/>
      <w:sz w:val="16"/>
      <w:szCs w:val="16"/>
      <w:lang w:eastAsia="en-US"/>
    </w:rPr>
  </w:style>
  <w:style w:type="paragraph" w:styleId="TOC4">
    <w:name w:val="toc 4"/>
    <w:basedOn w:val="Normal"/>
    <w:next w:val="Normal"/>
    <w:autoRedefine/>
    <w:rsid w:val="007F203B"/>
    <w:pPr>
      <w:ind w:left="660"/>
      <w:jc w:val="left"/>
    </w:pPr>
    <w:rPr>
      <w:rFonts w:ascii="Calibri" w:hAnsi="Calibri"/>
      <w:sz w:val="20"/>
    </w:rPr>
  </w:style>
  <w:style w:type="paragraph" w:styleId="TOC5">
    <w:name w:val="toc 5"/>
    <w:basedOn w:val="Normal"/>
    <w:next w:val="Normal"/>
    <w:autoRedefine/>
    <w:rsid w:val="007F203B"/>
    <w:pPr>
      <w:ind w:left="880"/>
      <w:jc w:val="left"/>
    </w:pPr>
    <w:rPr>
      <w:rFonts w:ascii="Calibri" w:hAnsi="Calibri"/>
      <w:sz w:val="20"/>
    </w:rPr>
  </w:style>
  <w:style w:type="paragraph" w:styleId="TOC6">
    <w:name w:val="toc 6"/>
    <w:basedOn w:val="Normal"/>
    <w:next w:val="Normal"/>
    <w:autoRedefine/>
    <w:rsid w:val="007F203B"/>
    <w:pPr>
      <w:ind w:left="1100"/>
      <w:jc w:val="left"/>
    </w:pPr>
    <w:rPr>
      <w:rFonts w:ascii="Calibri" w:hAnsi="Calibri"/>
      <w:sz w:val="20"/>
    </w:rPr>
  </w:style>
  <w:style w:type="paragraph" w:styleId="TOC7">
    <w:name w:val="toc 7"/>
    <w:basedOn w:val="Normal"/>
    <w:next w:val="Normal"/>
    <w:autoRedefine/>
    <w:rsid w:val="007F203B"/>
    <w:pPr>
      <w:ind w:left="1320"/>
      <w:jc w:val="left"/>
    </w:pPr>
    <w:rPr>
      <w:rFonts w:ascii="Calibri" w:hAnsi="Calibri"/>
      <w:sz w:val="20"/>
    </w:rPr>
  </w:style>
  <w:style w:type="paragraph" w:styleId="TOC8">
    <w:name w:val="toc 8"/>
    <w:basedOn w:val="Normal"/>
    <w:next w:val="Normal"/>
    <w:autoRedefine/>
    <w:rsid w:val="007F203B"/>
    <w:pPr>
      <w:ind w:left="1540"/>
      <w:jc w:val="left"/>
    </w:pPr>
    <w:rPr>
      <w:rFonts w:ascii="Calibri" w:hAnsi="Calibri"/>
      <w:sz w:val="20"/>
    </w:rPr>
  </w:style>
  <w:style w:type="paragraph" w:styleId="TOC9">
    <w:name w:val="toc 9"/>
    <w:basedOn w:val="Normal"/>
    <w:next w:val="Normal"/>
    <w:autoRedefine/>
    <w:rsid w:val="007F203B"/>
    <w:pPr>
      <w:ind w:left="1760"/>
      <w:jc w:val="left"/>
    </w:pPr>
    <w:rPr>
      <w:rFonts w:ascii="Calibri" w:hAnsi="Calibri"/>
      <w:sz w:val="20"/>
    </w:rPr>
  </w:style>
  <w:style w:type="paragraph" w:styleId="BodyText2">
    <w:name w:val="Body Text 2"/>
    <w:basedOn w:val="Normal"/>
    <w:link w:val="BodyText2Char"/>
    <w:rsid w:val="007F203B"/>
    <w:pPr>
      <w:spacing w:after="120" w:line="480" w:lineRule="auto"/>
    </w:pPr>
  </w:style>
  <w:style w:type="character" w:customStyle="1" w:styleId="BodyText2Char">
    <w:name w:val="Body Text 2 Char"/>
    <w:link w:val="BodyText2"/>
    <w:rsid w:val="007F203B"/>
    <w:rPr>
      <w:rFonts w:ascii="Arial" w:eastAsia="Times New Roman" w:hAnsi="Arial" w:cs="Arial"/>
      <w:snapToGrid w:val="0"/>
      <w:szCs w:val="20"/>
      <w:lang w:eastAsia="en-US"/>
    </w:rPr>
  </w:style>
  <w:style w:type="paragraph" w:styleId="CommentText">
    <w:name w:val="annotation text"/>
    <w:basedOn w:val="Normal"/>
    <w:link w:val="CommentTextChar"/>
    <w:rsid w:val="007F203B"/>
    <w:rPr>
      <w:rFonts w:ascii="Times New Roman" w:hAnsi="Times New Roman" w:cs="Times New Roman"/>
      <w:sz w:val="20"/>
    </w:rPr>
  </w:style>
  <w:style w:type="character" w:customStyle="1" w:styleId="CommentTextChar">
    <w:name w:val="Comment Text Char"/>
    <w:link w:val="CommentText"/>
    <w:rsid w:val="007F203B"/>
    <w:rPr>
      <w:rFonts w:ascii="Times New Roman" w:eastAsia="Times New Roman" w:hAnsi="Times New Roman" w:cs="Times New Roman"/>
      <w:snapToGrid w:val="0"/>
      <w:sz w:val="20"/>
      <w:szCs w:val="20"/>
      <w:lang w:eastAsia="en-US"/>
    </w:rPr>
  </w:style>
  <w:style w:type="paragraph" w:customStyle="1" w:styleId="TableText0">
    <w:name w:val="TableText"/>
    <w:basedOn w:val="Normal"/>
    <w:rsid w:val="007F203B"/>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7F203B"/>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7F203B"/>
    <w:pPr>
      <w:keepNext w:val="0"/>
      <w:keepLines/>
      <w:spacing w:before="0" w:after="360"/>
      <w:ind w:left="720"/>
    </w:pPr>
    <w:rPr>
      <w:sz w:val="18"/>
      <w:szCs w:val="18"/>
    </w:rPr>
  </w:style>
  <w:style w:type="paragraph" w:customStyle="1" w:styleId="TableNotes0">
    <w:name w:val="TableNotes+0"/>
    <w:basedOn w:val="TableNotes18"/>
    <w:rsid w:val="007F203B"/>
    <w:pPr>
      <w:keepNext/>
      <w:spacing w:after="0"/>
    </w:pPr>
  </w:style>
  <w:style w:type="paragraph" w:styleId="CommentSubject">
    <w:name w:val="annotation subject"/>
    <w:basedOn w:val="CommentText"/>
    <w:next w:val="CommentText"/>
    <w:link w:val="CommentSubjectChar"/>
    <w:uiPriority w:val="99"/>
    <w:rsid w:val="007F203B"/>
    <w:rPr>
      <w:rFonts w:ascii="Arial" w:hAnsi="Arial" w:cs="Arial"/>
      <w:b/>
      <w:bCs/>
    </w:rPr>
  </w:style>
  <w:style w:type="character" w:customStyle="1" w:styleId="CommentSubjectChar">
    <w:name w:val="Comment Subject Char"/>
    <w:link w:val="CommentSubject"/>
    <w:uiPriority w:val="99"/>
    <w:rsid w:val="007F203B"/>
    <w:rPr>
      <w:rFonts w:ascii="Arial" w:eastAsia="Times New Roman" w:hAnsi="Arial" w:cs="Arial"/>
      <w:b/>
      <w:bCs/>
      <w:snapToGrid w:val="0"/>
      <w:sz w:val="20"/>
      <w:szCs w:val="20"/>
      <w:lang w:eastAsia="en-US"/>
    </w:rPr>
  </w:style>
  <w:style w:type="paragraph" w:styleId="Revision">
    <w:name w:val="Revision"/>
    <w:hidden/>
    <w:uiPriority w:val="99"/>
    <w:semiHidden/>
    <w:rsid w:val="007F203B"/>
    <w:rPr>
      <w:rFonts w:ascii="Arial" w:eastAsia="Times New Roman" w:hAnsi="Arial" w:cs="Arial"/>
      <w:snapToGrid w:val="0"/>
      <w:sz w:val="22"/>
      <w:lang w:eastAsia="en-US"/>
    </w:rPr>
  </w:style>
  <w:style w:type="paragraph" w:styleId="BodyTextIndent">
    <w:name w:val="Body Text Indent"/>
    <w:basedOn w:val="Normal"/>
    <w:link w:val="BodyTextIndentChar"/>
    <w:rsid w:val="007F203B"/>
    <w:pPr>
      <w:spacing w:after="120"/>
      <w:ind w:left="283"/>
    </w:pPr>
  </w:style>
  <w:style w:type="character" w:customStyle="1" w:styleId="BodyTextIndentChar">
    <w:name w:val="Body Text Indent Char"/>
    <w:link w:val="BodyTextIndent"/>
    <w:rsid w:val="007F203B"/>
    <w:rPr>
      <w:rFonts w:ascii="Arial" w:eastAsia="Times New Roman" w:hAnsi="Arial" w:cs="Arial"/>
      <w:snapToGrid w:val="0"/>
      <w:szCs w:val="20"/>
      <w:lang w:eastAsia="en-US"/>
    </w:rPr>
  </w:style>
  <w:style w:type="paragraph" w:customStyle="1" w:styleId="Char1CharCharChar">
    <w:name w:val="Char1 Char Char Char"/>
    <w:basedOn w:val="Normal"/>
    <w:rsid w:val="007F203B"/>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7F203B"/>
    <w:rPr>
      <w:lang w:eastAsia="en-US"/>
    </w:rPr>
  </w:style>
  <w:style w:type="paragraph" w:styleId="Subtitle">
    <w:name w:val="Subtitle"/>
    <w:basedOn w:val="Normal"/>
    <w:link w:val="SubtitleChar"/>
    <w:qFormat/>
    <w:rsid w:val="007F203B"/>
    <w:pPr>
      <w:widowControl/>
    </w:pPr>
    <w:rPr>
      <w:rFonts w:ascii="Calibri" w:eastAsia="SimSun" w:hAnsi="Calibri" w:cs="Times New Roman"/>
      <w:snapToGrid/>
      <w:szCs w:val="22"/>
    </w:rPr>
  </w:style>
  <w:style w:type="character" w:customStyle="1" w:styleId="SubtitleChar1">
    <w:name w:val="Subtitle Char1"/>
    <w:rsid w:val="007F203B"/>
    <w:rPr>
      <w:rFonts w:ascii="Cambria" w:eastAsia="SimSun" w:hAnsi="Cambria" w:cs="Times New Roman"/>
      <w:i/>
      <w:iCs/>
      <w:snapToGrid w:val="0"/>
      <w:color w:val="4F81BD"/>
      <w:spacing w:val="15"/>
      <w:sz w:val="24"/>
      <w:szCs w:val="24"/>
      <w:lang w:eastAsia="en-US"/>
    </w:rPr>
  </w:style>
  <w:style w:type="paragraph" w:customStyle="1" w:styleId="PBACHeading1">
    <w:name w:val="PBAC Heading 1"/>
    <w:qFormat/>
    <w:rsid w:val="007F203B"/>
    <w:pPr>
      <w:numPr>
        <w:numId w:val="5"/>
      </w:numPr>
    </w:pPr>
    <w:rPr>
      <w:rFonts w:ascii="Arial" w:eastAsia="Times New Roman" w:hAnsi="Arial" w:cs="Arial"/>
      <w:b/>
      <w:snapToGrid w:val="0"/>
      <w:sz w:val="22"/>
      <w:szCs w:val="22"/>
      <w:lang w:eastAsia="en-US"/>
    </w:rPr>
  </w:style>
  <w:style w:type="paragraph" w:customStyle="1" w:styleId="CaptionFootnote">
    <w:name w:val="Caption Footnote"/>
    <w:basedOn w:val="Caption"/>
    <w:qFormat/>
    <w:rsid w:val="007F203B"/>
    <w:pPr>
      <w:spacing w:after="0"/>
    </w:pPr>
    <w:rPr>
      <w:rFonts w:ascii="Candara" w:eastAsia="SimSun" w:hAnsi="Candara" w:cs="Times New Roman"/>
      <w:b w:val="0"/>
      <w:snapToGrid/>
      <w:color w:val="auto"/>
      <w:sz w:val="16"/>
      <w:lang w:bidi="en-US"/>
    </w:rPr>
  </w:style>
  <w:style w:type="paragraph" w:customStyle="1" w:styleId="Table">
    <w:name w:val="Table"/>
    <w:basedOn w:val="Normal"/>
    <w:link w:val="TableChar"/>
    <w:qFormat/>
    <w:rsid w:val="007F203B"/>
    <w:pPr>
      <w:widowControl/>
    </w:pPr>
    <w:rPr>
      <w:rFonts w:ascii="Candara" w:eastAsia="SimSun" w:hAnsi="Candara" w:cs="Times New Roman"/>
      <w:snapToGrid/>
      <w:sz w:val="20"/>
      <w:szCs w:val="22"/>
      <w:lang w:bidi="en-US"/>
    </w:rPr>
  </w:style>
  <w:style w:type="character" w:customStyle="1" w:styleId="TableChar">
    <w:name w:val="Table Char"/>
    <w:link w:val="Table"/>
    <w:locked/>
    <w:rsid w:val="007F203B"/>
    <w:rPr>
      <w:rFonts w:ascii="Candara" w:eastAsia="SimSun" w:hAnsi="Candara" w:cs="Times New Roman"/>
      <w:sz w:val="20"/>
      <w:lang w:eastAsia="en-US" w:bidi="en-US"/>
    </w:rPr>
  </w:style>
  <w:style w:type="character" w:customStyle="1" w:styleId="SmallBold">
    <w:name w:val="Small Bold"/>
    <w:uiPriority w:val="4"/>
    <w:qFormat/>
    <w:rsid w:val="007F203B"/>
    <w:rPr>
      <w:rFonts w:ascii="Candara" w:hAnsi="Candara"/>
      <w:b/>
      <w:sz w:val="20"/>
      <w:lang w:val="en-AU"/>
    </w:rPr>
  </w:style>
  <w:style w:type="paragraph" w:customStyle="1" w:styleId="TableCentre">
    <w:name w:val="Table Centre"/>
    <w:basedOn w:val="Table"/>
    <w:qFormat/>
    <w:rsid w:val="007F203B"/>
    <w:pPr>
      <w:jc w:val="center"/>
    </w:pPr>
  </w:style>
  <w:style w:type="table" w:customStyle="1" w:styleId="TableGrid2">
    <w:name w:val="Table Grid2"/>
    <w:basedOn w:val="TableNormal"/>
    <w:next w:val="TableGrid"/>
    <w:uiPriority w:val="59"/>
    <w:rsid w:val="007F203B"/>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
    <w:uiPriority w:val="5"/>
    <w:qFormat/>
    <w:rsid w:val="007F203B"/>
    <w:pPr>
      <w:numPr>
        <w:numId w:val="20"/>
      </w:numPr>
      <w:tabs>
        <w:tab w:val="num" w:pos="360"/>
      </w:tabs>
      <w:ind w:left="357" w:hanging="357"/>
    </w:pPr>
  </w:style>
  <w:style w:type="table" w:customStyle="1" w:styleId="TableGrid5">
    <w:name w:val="Table Grid5"/>
    <w:basedOn w:val="TableNormal"/>
    <w:next w:val="TableGrid"/>
    <w:uiPriority w:val="59"/>
    <w:rsid w:val="007F203B"/>
    <w:rPr>
      <w:rFonts w:ascii="Candara" w:hAnsi="Candara"/>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Numbers">
    <w:name w:val="Table Numbers"/>
    <w:basedOn w:val="Normal"/>
    <w:uiPriority w:val="3"/>
    <w:qFormat/>
    <w:rsid w:val="007F203B"/>
    <w:pPr>
      <w:widowControl/>
      <w:numPr>
        <w:numId w:val="21"/>
      </w:numPr>
      <w:ind w:left="170" w:hanging="170"/>
    </w:pPr>
    <w:rPr>
      <w:rFonts w:ascii="Candara" w:eastAsia="SimSun" w:hAnsi="Candara" w:cs="Times New Roman"/>
      <w:snapToGrid/>
      <w:sz w:val="20"/>
      <w:szCs w:val="22"/>
      <w:lang w:bidi="en-US"/>
    </w:rPr>
  </w:style>
  <w:style w:type="table" w:customStyle="1" w:styleId="TableGrid6">
    <w:name w:val="Table Grid6"/>
    <w:basedOn w:val="TableNormal"/>
    <w:next w:val="TableGrid"/>
    <w:uiPriority w:val="59"/>
    <w:rsid w:val="007F203B"/>
    <w:rPr>
      <w:rFonts w:ascii="Candara" w:hAnsi="Candara"/>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1">
    <w:name w:val="Table Grid1"/>
    <w:basedOn w:val="TableNormal"/>
    <w:next w:val="TableGrid"/>
    <w:uiPriority w:val="59"/>
    <w:rsid w:val="00F27AD8"/>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FootnoteText">
    <w:name w:val="footnote text"/>
    <w:basedOn w:val="Normal"/>
    <w:link w:val="FootnoteTextChar"/>
    <w:uiPriority w:val="99"/>
    <w:semiHidden/>
    <w:unhideWhenUsed/>
    <w:rsid w:val="00B31ADF"/>
    <w:rPr>
      <w:sz w:val="20"/>
    </w:rPr>
  </w:style>
  <w:style w:type="character" w:customStyle="1" w:styleId="FootnoteTextChar">
    <w:name w:val="Footnote Text Char"/>
    <w:basedOn w:val="DefaultParagraphFont"/>
    <w:link w:val="FootnoteText"/>
    <w:uiPriority w:val="99"/>
    <w:semiHidden/>
    <w:rsid w:val="00B31ADF"/>
    <w:rPr>
      <w:rFonts w:ascii="Arial" w:eastAsia="Times New Roman" w:hAnsi="Arial" w:cs="Arial"/>
      <w:snapToGrid w:val="0"/>
      <w:lang w:eastAsia="en-US"/>
    </w:rPr>
  </w:style>
  <w:style w:type="character" w:styleId="FootnoteReference">
    <w:name w:val="footnote reference"/>
    <w:basedOn w:val="DefaultParagraphFont"/>
    <w:uiPriority w:val="99"/>
    <w:semiHidden/>
    <w:unhideWhenUsed/>
    <w:rsid w:val="00B31ADF"/>
    <w:rPr>
      <w:vertAlign w:val="superscript"/>
    </w:rPr>
  </w:style>
  <w:style w:type="character" w:customStyle="1" w:styleId="ListParagraphChar">
    <w:name w:val="List Paragraph Char"/>
    <w:basedOn w:val="DefaultParagraphFont"/>
    <w:link w:val="ListParagraph"/>
    <w:uiPriority w:val="72"/>
    <w:rsid w:val="000C63AF"/>
    <w:rPr>
      <w:rFonts w:ascii="Arial" w:eastAsia="Times New Roman"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3B"/>
    <w:pPr>
      <w:widowControl w:val="0"/>
      <w:jc w:val="both"/>
    </w:pPr>
    <w:rPr>
      <w:rFonts w:ascii="Arial" w:eastAsia="Times New Roman" w:hAnsi="Arial" w:cs="Arial"/>
      <w:snapToGrid w:val="0"/>
      <w:sz w:val="22"/>
      <w:lang w:eastAsia="en-US"/>
    </w:rPr>
  </w:style>
  <w:style w:type="paragraph" w:styleId="Heading1">
    <w:name w:val="heading 1"/>
    <w:basedOn w:val="Normal"/>
    <w:next w:val="Normal"/>
    <w:link w:val="Heading1Char"/>
    <w:qFormat/>
    <w:rsid w:val="007F203B"/>
    <w:pPr>
      <w:ind w:left="720" w:hanging="720"/>
      <w:outlineLvl w:val="0"/>
    </w:pPr>
    <w:rPr>
      <w:rFonts w:ascii="Arial Bold" w:hAnsi="Arial Bold"/>
      <w:b/>
      <w:caps/>
    </w:rPr>
  </w:style>
  <w:style w:type="paragraph" w:styleId="Heading2">
    <w:name w:val="heading 2"/>
    <w:basedOn w:val="Normal"/>
    <w:next w:val="Normal"/>
    <w:link w:val="Heading2Char"/>
    <w:qFormat/>
    <w:rsid w:val="007F203B"/>
    <w:pPr>
      <w:outlineLvl w:val="1"/>
    </w:pPr>
    <w:rPr>
      <w:b/>
    </w:rPr>
  </w:style>
  <w:style w:type="paragraph" w:styleId="Heading3">
    <w:name w:val="heading 3"/>
    <w:basedOn w:val="Normal"/>
    <w:next w:val="Normal"/>
    <w:link w:val="Heading3Char"/>
    <w:qFormat/>
    <w:rsid w:val="007F203B"/>
    <w:pPr>
      <w:outlineLvl w:val="2"/>
    </w:pPr>
    <w:rPr>
      <w:u w:val="single"/>
    </w:rPr>
  </w:style>
  <w:style w:type="paragraph" w:styleId="Heading4">
    <w:name w:val="heading 4"/>
    <w:basedOn w:val="Normal"/>
    <w:next w:val="Normal"/>
    <w:link w:val="Heading4Char"/>
    <w:rsid w:val="007F203B"/>
    <w:pPr>
      <w:keepNext/>
      <w:spacing w:before="240" w:after="60"/>
      <w:outlineLvl w:val="3"/>
    </w:pPr>
    <w:rPr>
      <w:b/>
      <w:bCs/>
      <w:i/>
      <w:sz w:val="26"/>
      <w:szCs w:val="28"/>
    </w:rPr>
  </w:style>
  <w:style w:type="paragraph" w:styleId="Heading5">
    <w:name w:val="heading 5"/>
    <w:basedOn w:val="Normal"/>
    <w:next w:val="Normal"/>
    <w:link w:val="Heading5Char"/>
    <w:rsid w:val="007F203B"/>
    <w:pPr>
      <w:spacing w:before="240" w:after="60"/>
      <w:outlineLvl w:val="4"/>
    </w:pPr>
    <w:rPr>
      <w:b/>
      <w:bCs/>
      <w:iCs/>
      <w:sz w:val="26"/>
      <w:szCs w:val="26"/>
    </w:rPr>
  </w:style>
  <w:style w:type="paragraph" w:styleId="Heading6">
    <w:name w:val="heading 6"/>
    <w:basedOn w:val="Normal"/>
    <w:next w:val="Normal"/>
    <w:link w:val="Heading6Char"/>
    <w:rsid w:val="007F203B"/>
    <w:pPr>
      <w:spacing w:before="240" w:after="60"/>
      <w:outlineLvl w:val="5"/>
    </w:pPr>
    <w:rPr>
      <w:b/>
      <w:bCs/>
      <w:i/>
      <w:szCs w:val="22"/>
    </w:rPr>
  </w:style>
  <w:style w:type="paragraph" w:styleId="Heading7">
    <w:name w:val="heading 7"/>
    <w:basedOn w:val="Normal"/>
    <w:next w:val="Normal"/>
    <w:link w:val="Heading7Char"/>
    <w:rsid w:val="007F203B"/>
    <w:pPr>
      <w:keepNext/>
      <w:jc w:val="center"/>
      <w:outlineLvl w:val="6"/>
    </w:pPr>
    <w:rPr>
      <w:b/>
      <w:sz w:val="20"/>
    </w:rPr>
  </w:style>
  <w:style w:type="paragraph" w:styleId="Heading8">
    <w:name w:val="heading 8"/>
    <w:basedOn w:val="Normal"/>
    <w:next w:val="Normal"/>
    <w:link w:val="Heading8Char"/>
    <w:rsid w:val="007F203B"/>
    <w:pPr>
      <w:keepNext/>
      <w:jc w:val="right"/>
      <w:outlineLvl w:val="7"/>
    </w:pPr>
    <w:rPr>
      <w:b/>
    </w:rPr>
  </w:style>
  <w:style w:type="paragraph" w:styleId="Heading9">
    <w:name w:val="heading 9"/>
    <w:basedOn w:val="Normal"/>
    <w:next w:val="Normal"/>
    <w:link w:val="Heading9Char"/>
    <w:rsid w:val="007F203B"/>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203B"/>
    <w:rPr>
      <w:rFonts w:ascii="Arial Bold" w:eastAsia="Times New Roman" w:hAnsi="Arial Bold" w:cs="Arial"/>
      <w:b/>
      <w:caps/>
      <w:snapToGrid w:val="0"/>
      <w:szCs w:val="20"/>
      <w:lang w:eastAsia="en-US"/>
    </w:rPr>
  </w:style>
  <w:style w:type="character" w:customStyle="1" w:styleId="Heading2Char">
    <w:name w:val="Heading 2 Char"/>
    <w:link w:val="Heading2"/>
    <w:rsid w:val="007F203B"/>
    <w:rPr>
      <w:rFonts w:ascii="Arial" w:eastAsia="Times New Roman" w:hAnsi="Arial" w:cs="Arial"/>
      <w:b/>
      <w:snapToGrid w:val="0"/>
      <w:szCs w:val="20"/>
      <w:lang w:eastAsia="en-US"/>
    </w:rPr>
  </w:style>
  <w:style w:type="character" w:customStyle="1" w:styleId="Heading3Char">
    <w:name w:val="Heading 3 Char"/>
    <w:link w:val="Heading3"/>
    <w:rsid w:val="007F203B"/>
    <w:rPr>
      <w:rFonts w:ascii="Arial" w:eastAsia="Times New Roman" w:hAnsi="Arial" w:cs="Arial"/>
      <w:snapToGrid w:val="0"/>
      <w:szCs w:val="20"/>
      <w:u w:val="single"/>
      <w:lang w:eastAsia="en-US"/>
    </w:rPr>
  </w:style>
  <w:style w:type="character" w:customStyle="1" w:styleId="Heading4Char">
    <w:name w:val="Heading 4 Char"/>
    <w:link w:val="Heading4"/>
    <w:rsid w:val="007F203B"/>
    <w:rPr>
      <w:rFonts w:ascii="Arial" w:eastAsia="Times New Roman" w:hAnsi="Arial" w:cs="Arial"/>
      <w:b/>
      <w:bCs/>
      <w:i/>
      <w:snapToGrid w:val="0"/>
      <w:sz w:val="26"/>
      <w:szCs w:val="28"/>
      <w:lang w:eastAsia="en-US"/>
    </w:rPr>
  </w:style>
  <w:style w:type="character" w:customStyle="1" w:styleId="Heading5Char">
    <w:name w:val="Heading 5 Char"/>
    <w:link w:val="Heading5"/>
    <w:rsid w:val="007F203B"/>
    <w:rPr>
      <w:rFonts w:ascii="Arial" w:eastAsia="Times New Roman" w:hAnsi="Arial" w:cs="Arial"/>
      <w:b/>
      <w:bCs/>
      <w:iCs/>
      <w:snapToGrid w:val="0"/>
      <w:sz w:val="26"/>
      <w:szCs w:val="26"/>
      <w:lang w:eastAsia="en-US"/>
    </w:rPr>
  </w:style>
  <w:style w:type="character" w:customStyle="1" w:styleId="Heading6Char">
    <w:name w:val="Heading 6 Char"/>
    <w:link w:val="Heading6"/>
    <w:rsid w:val="007F203B"/>
    <w:rPr>
      <w:rFonts w:ascii="Arial" w:eastAsia="Times New Roman" w:hAnsi="Arial" w:cs="Arial"/>
      <w:b/>
      <w:bCs/>
      <w:i/>
      <w:snapToGrid w:val="0"/>
      <w:lang w:eastAsia="en-US"/>
    </w:rPr>
  </w:style>
  <w:style w:type="character" w:customStyle="1" w:styleId="Heading7Char">
    <w:name w:val="Heading 7 Char"/>
    <w:link w:val="Heading7"/>
    <w:rsid w:val="007F203B"/>
    <w:rPr>
      <w:rFonts w:ascii="Arial" w:eastAsia="Times New Roman" w:hAnsi="Arial" w:cs="Arial"/>
      <w:b/>
      <w:snapToGrid w:val="0"/>
      <w:sz w:val="20"/>
      <w:szCs w:val="20"/>
      <w:lang w:eastAsia="en-US"/>
    </w:rPr>
  </w:style>
  <w:style w:type="character" w:customStyle="1" w:styleId="Heading8Char">
    <w:name w:val="Heading 8 Char"/>
    <w:link w:val="Heading8"/>
    <w:rsid w:val="007F203B"/>
    <w:rPr>
      <w:rFonts w:ascii="Arial" w:eastAsia="Times New Roman" w:hAnsi="Arial" w:cs="Arial"/>
      <w:b/>
      <w:snapToGrid w:val="0"/>
      <w:szCs w:val="20"/>
      <w:lang w:eastAsia="en-US"/>
    </w:rPr>
  </w:style>
  <w:style w:type="character" w:customStyle="1" w:styleId="Heading9Char">
    <w:name w:val="Heading 9 Char"/>
    <w:link w:val="Heading9"/>
    <w:rsid w:val="007F203B"/>
    <w:rPr>
      <w:rFonts w:ascii="Arial" w:eastAsia="Times New Roman" w:hAnsi="Arial" w:cs="Arial"/>
      <w:b/>
      <w:snapToGrid w:val="0"/>
      <w:color w:val="000000"/>
      <w:sz w:val="20"/>
      <w:szCs w:val="20"/>
      <w:lang w:eastAsia="en-US"/>
    </w:rPr>
  </w:style>
  <w:style w:type="paragraph" w:customStyle="1" w:styleId="TableFooter">
    <w:name w:val="Table Footer"/>
    <w:basedOn w:val="Normal"/>
    <w:qFormat/>
    <w:rsid w:val="007F203B"/>
    <w:rPr>
      <w:rFonts w:ascii="Arial Narrow" w:hAnsi="Arial Narrow"/>
      <w:sz w:val="18"/>
    </w:rPr>
  </w:style>
  <w:style w:type="paragraph" w:customStyle="1" w:styleId="TableHeader">
    <w:name w:val="Table Header"/>
    <w:basedOn w:val="Normal"/>
    <w:rsid w:val="007F203B"/>
    <w:rPr>
      <w:b/>
      <w:sz w:val="20"/>
    </w:rPr>
  </w:style>
  <w:style w:type="paragraph" w:styleId="Caption">
    <w:name w:val="caption"/>
    <w:basedOn w:val="Normal"/>
    <w:next w:val="Normal"/>
    <w:link w:val="CaptionChar"/>
    <w:uiPriority w:val="99"/>
    <w:unhideWhenUsed/>
    <w:qFormat/>
    <w:rsid w:val="007F203B"/>
    <w:pPr>
      <w:spacing w:after="200"/>
    </w:pPr>
    <w:rPr>
      <w:b/>
      <w:bCs/>
      <w:color w:val="4F81BD"/>
      <w:sz w:val="18"/>
      <w:szCs w:val="18"/>
    </w:rPr>
  </w:style>
  <w:style w:type="character" w:customStyle="1" w:styleId="CaptionChar">
    <w:name w:val="Caption Char"/>
    <w:link w:val="Caption"/>
    <w:uiPriority w:val="99"/>
    <w:rsid w:val="007F203B"/>
    <w:rPr>
      <w:rFonts w:ascii="Arial" w:eastAsia="Times New Roman" w:hAnsi="Arial" w:cs="Arial"/>
      <w:b/>
      <w:bCs/>
      <w:snapToGrid w:val="0"/>
      <w:color w:val="4F81BD"/>
      <w:sz w:val="18"/>
      <w:szCs w:val="18"/>
      <w:lang w:eastAsia="en-US"/>
    </w:rPr>
  </w:style>
  <w:style w:type="paragraph" w:styleId="Title">
    <w:name w:val="Title"/>
    <w:basedOn w:val="Normal"/>
    <w:next w:val="Normal"/>
    <w:link w:val="TitleChar"/>
    <w:rsid w:val="007F203B"/>
    <w:pPr>
      <w:spacing w:before="240" w:after="60"/>
      <w:jc w:val="center"/>
      <w:outlineLvl w:val="0"/>
    </w:pPr>
    <w:rPr>
      <w:rFonts w:ascii="Cambria" w:hAnsi="Cambria"/>
      <w:b/>
      <w:bCs/>
      <w:kern w:val="28"/>
      <w:sz w:val="32"/>
      <w:szCs w:val="32"/>
    </w:rPr>
  </w:style>
  <w:style w:type="character" w:customStyle="1" w:styleId="TitleChar">
    <w:name w:val="Title Char"/>
    <w:link w:val="Title"/>
    <w:rsid w:val="007F203B"/>
    <w:rPr>
      <w:rFonts w:ascii="Cambria" w:eastAsia="Times New Roman" w:hAnsi="Cambria" w:cs="Arial"/>
      <w:b/>
      <w:bCs/>
      <w:snapToGrid w:val="0"/>
      <w:kern w:val="28"/>
      <w:sz w:val="32"/>
      <w:szCs w:val="32"/>
      <w:lang w:eastAsia="en-US"/>
    </w:rPr>
  </w:style>
  <w:style w:type="paragraph" w:styleId="BodyText">
    <w:name w:val="Body Text"/>
    <w:basedOn w:val="Normal"/>
    <w:link w:val="BodyTextChar"/>
    <w:qFormat/>
    <w:rsid w:val="007F203B"/>
    <w:pPr>
      <w:jc w:val="left"/>
    </w:pPr>
  </w:style>
  <w:style w:type="character" w:customStyle="1" w:styleId="BodyTextChar">
    <w:name w:val="Body Text Char"/>
    <w:link w:val="BodyText"/>
    <w:rsid w:val="007F203B"/>
    <w:rPr>
      <w:rFonts w:ascii="Arial" w:eastAsia="Times New Roman" w:hAnsi="Arial" w:cs="Arial"/>
      <w:snapToGrid w:val="0"/>
      <w:szCs w:val="20"/>
      <w:lang w:eastAsia="en-US"/>
    </w:rPr>
  </w:style>
  <w:style w:type="paragraph" w:styleId="ListParagraph">
    <w:name w:val="List Paragraph"/>
    <w:basedOn w:val="Normal"/>
    <w:link w:val="ListParagraphChar"/>
    <w:uiPriority w:val="72"/>
    <w:qFormat/>
    <w:rsid w:val="007F203B"/>
    <w:pPr>
      <w:ind w:left="720"/>
      <w:contextualSpacing/>
    </w:pPr>
  </w:style>
  <w:style w:type="paragraph" w:customStyle="1" w:styleId="RegularText">
    <w:name w:val="Regular Text"/>
    <w:basedOn w:val="BodyText"/>
    <w:link w:val="RegularTextChar"/>
    <w:rsid w:val="007F203B"/>
    <w:rPr>
      <w:b/>
    </w:rPr>
  </w:style>
  <w:style w:type="paragraph" w:styleId="NoSpacing">
    <w:name w:val="No Spacing"/>
    <w:uiPriority w:val="1"/>
    <w:qFormat/>
    <w:rsid w:val="007F203B"/>
    <w:pPr>
      <w:widowControl w:val="0"/>
      <w:jc w:val="both"/>
    </w:pPr>
    <w:rPr>
      <w:rFonts w:ascii="Arial" w:eastAsia="Times New Roman" w:hAnsi="Arial" w:cs="Arial"/>
      <w:snapToGrid w:val="0"/>
      <w:sz w:val="22"/>
      <w:lang w:eastAsia="en-US"/>
    </w:rPr>
  </w:style>
  <w:style w:type="character" w:customStyle="1" w:styleId="RegularTextChar">
    <w:name w:val="Regular Text Char"/>
    <w:link w:val="RegularText"/>
    <w:rsid w:val="007F203B"/>
    <w:rPr>
      <w:rFonts w:ascii="Arial" w:eastAsia="Times New Roman" w:hAnsi="Arial" w:cs="Arial"/>
      <w:b/>
      <w:snapToGrid w:val="0"/>
      <w:szCs w:val="20"/>
      <w:lang w:eastAsia="en-US"/>
    </w:rPr>
  </w:style>
  <w:style w:type="paragraph" w:styleId="Header">
    <w:name w:val="header"/>
    <w:aliases w:val="Page Header,Header title,he=header,cntr/bld"/>
    <w:basedOn w:val="Normal"/>
    <w:link w:val="HeaderChar"/>
    <w:uiPriority w:val="99"/>
    <w:rsid w:val="007F203B"/>
    <w:pPr>
      <w:tabs>
        <w:tab w:val="center" w:pos="4513"/>
        <w:tab w:val="right" w:pos="9026"/>
      </w:tabs>
    </w:pPr>
  </w:style>
  <w:style w:type="character" w:customStyle="1" w:styleId="HeaderChar">
    <w:name w:val="Header Char"/>
    <w:aliases w:val="Page Header Char,Header title Char,he=header Char,cntr/bld Char"/>
    <w:link w:val="Header"/>
    <w:uiPriority w:val="99"/>
    <w:rsid w:val="007F203B"/>
    <w:rPr>
      <w:rFonts w:ascii="Arial" w:eastAsia="Times New Roman" w:hAnsi="Arial" w:cs="Arial"/>
      <w:snapToGrid w:val="0"/>
      <w:szCs w:val="20"/>
      <w:lang w:eastAsia="en-US"/>
    </w:rPr>
  </w:style>
  <w:style w:type="paragraph" w:styleId="Footer">
    <w:name w:val="footer"/>
    <w:basedOn w:val="Normal"/>
    <w:link w:val="FooterChar"/>
    <w:uiPriority w:val="99"/>
    <w:rsid w:val="007F203B"/>
    <w:pPr>
      <w:tabs>
        <w:tab w:val="center" w:pos="4513"/>
        <w:tab w:val="right" w:pos="9026"/>
      </w:tabs>
    </w:pPr>
  </w:style>
  <w:style w:type="character" w:customStyle="1" w:styleId="FooterChar">
    <w:name w:val="Footer Char"/>
    <w:link w:val="Footer"/>
    <w:uiPriority w:val="99"/>
    <w:rsid w:val="007F203B"/>
    <w:rPr>
      <w:rFonts w:ascii="Arial" w:eastAsia="Times New Roman" w:hAnsi="Arial" w:cs="Arial"/>
      <w:snapToGrid w:val="0"/>
      <w:szCs w:val="20"/>
      <w:lang w:eastAsia="en-US"/>
    </w:rPr>
  </w:style>
  <w:style w:type="table" w:styleId="TableGrid">
    <w:name w:val="Table Grid"/>
    <w:basedOn w:val="TableNormal"/>
    <w:uiPriority w:val="59"/>
    <w:rsid w:val="007F203B"/>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7F203B"/>
    <w:rPr>
      <w:rFonts w:ascii="Arial Narrow" w:hAnsi="Arial Narrow"/>
      <w:b/>
      <w:sz w:val="20"/>
      <w:szCs w:val="16"/>
    </w:rPr>
  </w:style>
  <w:style w:type="paragraph" w:customStyle="1" w:styleId="Tabletext">
    <w:name w:val="Table text"/>
    <w:basedOn w:val="Normal"/>
    <w:link w:val="TabletextChar"/>
    <w:rsid w:val="007F203B"/>
    <w:pPr>
      <w:widowControl/>
      <w:spacing w:after="120"/>
      <w:jc w:val="left"/>
    </w:pPr>
    <w:rPr>
      <w:rFonts w:cs="Times New Roman"/>
      <w:snapToGrid/>
      <w:sz w:val="20"/>
    </w:rPr>
  </w:style>
  <w:style w:type="paragraph" w:customStyle="1" w:styleId="TableHeading">
    <w:name w:val="TableHeading"/>
    <w:basedOn w:val="Normal"/>
    <w:rsid w:val="007F203B"/>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7F203B"/>
    <w:rPr>
      <w:rFonts w:ascii="Arial" w:eastAsia="Times New Roman" w:hAnsi="Arial" w:cs="Times New Roman"/>
      <w:sz w:val="20"/>
      <w:szCs w:val="20"/>
      <w:lang w:eastAsia="en-US"/>
    </w:rPr>
  </w:style>
  <w:style w:type="paragraph" w:customStyle="1" w:styleId="Corpsdetextemarge">
    <w:name w:val="Corps de texte marge"/>
    <w:basedOn w:val="BodyText"/>
    <w:uiPriority w:val="99"/>
    <w:rsid w:val="007F203B"/>
    <w:pPr>
      <w:widowControl/>
      <w:jc w:val="both"/>
    </w:pPr>
    <w:rPr>
      <w:rFonts w:ascii="Times" w:hAnsi="Times" w:cs="Times New Roman"/>
      <w:snapToGrid/>
      <w:sz w:val="24"/>
      <w:lang w:val="en-US"/>
    </w:rPr>
  </w:style>
  <w:style w:type="paragraph" w:styleId="NormalWeb">
    <w:name w:val="Normal (Web)"/>
    <w:basedOn w:val="Normal"/>
    <w:uiPriority w:val="99"/>
    <w:rsid w:val="007F203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7F203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7F203B"/>
    <w:pPr>
      <w:spacing w:before="240" w:after="120"/>
      <w:jc w:val="left"/>
    </w:pPr>
    <w:rPr>
      <w:bCs/>
      <w:sz w:val="20"/>
    </w:rPr>
  </w:style>
  <w:style w:type="character" w:styleId="Hyperlink">
    <w:name w:val="Hyperlink"/>
    <w:uiPriority w:val="99"/>
    <w:unhideWhenUsed/>
    <w:rsid w:val="007F203B"/>
    <w:rPr>
      <w:color w:val="0000FF"/>
      <w:u w:val="single"/>
    </w:rPr>
  </w:style>
  <w:style w:type="paragraph" w:styleId="TOCHeading">
    <w:name w:val="TOC Heading"/>
    <w:basedOn w:val="Heading1"/>
    <w:next w:val="Normal"/>
    <w:uiPriority w:val="39"/>
    <w:unhideWhenUsed/>
    <w:rsid w:val="007F203B"/>
    <w:pPr>
      <w:keepNext/>
      <w:keepLines/>
      <w:widowControl/>
      <w:spacing w:before="480" w:line="276" w:lineRule="auto"/>
      <w:ind w:left="0" w:firstLine="0"/>
      <w:jc w:val="left"/>
      <w:outlineLvl w:val="9"/>
    </w:pPr>
    <w:rPr>
      <w:rFonts w:ascii="Cambria" w:eastAsia="SimSun" w:hAnsi="Cambria" w:cs="Times New Roman"/>
      <w:bCs/>
      <w:snapToGrid/>
      <w:color w:val="365F91"/>
      <w:sz w:val="28"/>
      <w:szCs w:val="28"/>
      <w:lang w:val="en-US" w:eastAsia="ja-JP"/>
    </w:rPr>
  </w:style>
  <w:style w:type="paragraph" w:styleId="TOC3">
    <w:name w:val="toc 3"/>
    <w:basedOn w:val="Normal"/>
    <w:next w:val="Normal"/>
    <w:autoRedefine/>
    <w:uiPriority w:val="39"/>
    <w:unhideWhenUsed/>
    <w:rsid w:val="007F203B"/>
    <w:pPr>
      <w:ind w:left="440"/>
      <w:jc w:val="left"/>
    </w:pPr>
    <w:rPr>
      <w:rFonts w:ascii="Calibri" w:hAnsi="Calibri"/>
      <w:sz w:val="20"/>
    </w:rPr>
  </w:style>
  <w:style w:type="paragraph" w:styleId="BalloonText">
    <w:name w:val="Balloon Text"/>
    <w:basedOn w:val="Normal"/>
    <w:link w:val="BalloonTextChar"/>
    <w:uiPriority w:val="99"/>
    <w:rsid w:val="007F203B"/>
    <w:rPr>
      <w:rFonts w:ascii="Tahoma" w:hAnsi="Tahoma" w:cs="Tahoma"/>
      <w:sz w:val="16"/>
      <w:szCs w:val="16"/>
    </w:rPr>
  </w:style>
  <w:style w:type="character" w:customStyle="1" w:styleId="BalloonTextChar">
    <w:name w:val="Balloon Text Char"/>
    <w:link w:val="BalloonText"/>
    <w:uiPriority w:val="99"/>
    <w:rsid w:val="007F203B"/>
    <w:rPr>
      <w:rFonts w:ascii="Tahoma" w:eastAsia="Times New Roman" w:hAnsi="Tahoma" w:cs="Tahoma"/>
      <w:snapToGrid w:val="0"/>
      <w:sz w:val="16"/>
      <w:szCs w:val="16"/>
      <w:lang w:eastAsia="en-US"/>
    </w:rPr>
  </w:style>
  <w:style w:type="paragraph" w:styleId="BodyText3">
    <w:name w:val="Body Text 3"/>
    <w:basedOn w:val="Normal"/>
    <w:link w:val="BodyText3Char"/>
    <w:rsid w:val="007F203B"/>
    <w:pPr>
      <w:spacing w:after="120"/>
    </w:pPr>
    <w:rPr>
      <w:sz w:val="16"/>
      <w:szCs w:val="16"/>
    </w:rPr>
  </w:style>
  <w:style w:type="character" w:customStyle="1" w:styleId="BodyText3Char">
    <w:name w:val="Body Text 3 Char"/>
    <w:link w:val="BodyText3"/>
    <w:rsid w:val="007F203B"/>
    <w:rPr>
      <w:rFonts w:ascii="Arial" w:eastAsia="Times New Roman" w:hAnsi="Arial" w:cs="Arial"/>
      <w:snapToGrid w:val="0"/>
      <w:sz w:val="16"/>
      <w:szCs w:val="16"/>
      <w:lang w:eastAsia="en-US"/>
    </w:rPr>
  </w:style>
  <w:style w:type="paragraph" w:styleId="TOC4">
    <w:name w:val="toc 4"/>
    <w:basedOn w:val="Normal"/>
    <w:next w:val="Normal"/>
    <w:autoRedefine/>
    <w:rsid w:val="007F203B"/>
    <w:pPr>
      <w:ind w:left="660"/>
      <w:jc w:val="left"/>
    </w:pPr>
    <w:rPr>
      <w:rFonts w:ascii="Calibri" w:hAnsi="Calibri"/>
      <w:sz w:val="20"/>
    </w:rPr>
  </w:style>
  <w:style w:type="paragraph" w:styleId="TOC5">
    <w:name w:val="toc 5"/>
    <w:basedOn w:val="Normal"/>
    <w:next w:val="Normal"/>
    <w:autoRedefine/>
    <w:rsid w:val="007F203B"/>
    <w:pPr>
      <w:ind w:left="880"/>
      <w:jc w:val="left"/>
    </w:pPr>
    <w:rPr>
      <w:rFonts w:ascii="Calibri" w:hAnsi="Calibri"/>
      <w:sz w:val="20"/>
    </w:rPr>
  </w:style>
  <w:style w:type="paragraph" w:styleId="TOC6">
    <w:name w:val="toc 6"/>
    <w:basedOn w:val="Normal"/>
    <w:next w:val="Normal"/>
    <w:autoRedefine/>
    <w:rsid w:val="007F203B"/>
    <w:pPr>
      <w:ind w:left="1100"/>
      <w:jc w:val="left"/>
    </w:pPr>
    <w:rPr>
      <w:rFonts w:ascii="Calibri" w:hAnsi="Calibri"/>
      <w:sz w:val="20"/>
    </w:rPr>
  </w:style>
  <w:style w:type="paragraph" w:styleId="TOC7">
    <w:name w:val="toc 7"/>
    <w:basedOn w:val="Normal"/>
    <w:next w:val="Normal"/>
    <w:autoRedefine/>
    <w:rsid w:val="007F203B"/>
    <w:pPr>
      <w:ind w:left="1320"/>
      <w:jc w:val="left"/>
    </w:pPr>
    <w:rPr>
      <w:rFonts w:ascii="Calibri" w:hAnsi="Calibri"/>
      <w:sz w:val="20"/>
    </w:rPr>
  </w:style>
  <w:style w:type="paragraph" w:styleId="TOC8">
    <w:name w:val="toc 8"/>
    <w:basedOn w:val="Normal"/>
    <w:next w:val="Normal"/>
    <w:autoRedefine/>
    <w:rsid w:val="007F203B"/>
    <w:pPr>
      <w:ind w:left="1540"/>
      <w:jc w:val="left"/>
    </w:pPr>
    <w:rPr>
      <w:rFonts w:ascii="Calibri" w:hAnsi="Calibri"/>
      <w:sz w:val="20"/>
    </w:rPr>
  </w:style>
  <w:style w:type="paragraph" w:styleId="TOC9">
    <w:name w:val="toc 9"/>
    <w:basedOn w:val="Normal"/>
    <w:next w:val="Normal"/>
    <w:autoRedefine/>
    <w:rsid w:val="007F203B"/>
    <w:pPr>
      <w:ind w:left="1760"/>
      <w:jc w:val="left"/>
    </w:pPr>
    <w:rPr>
      <w:rFonts w:ascii="Calibri" w:hAnsi="Calibri"/>
      <w:sz w:val="20"/>
    </w:rPr>
  </w:style>
  <w:style w:type="paragraph" w:styleId="BodyText2">
    <w:name w:val="Body Text 2"/>
    <w:basedOn w:val="Normal"/>
    <w:link w:val="BodyText2Char"/>
    <w:rsid w:val="007F203B"/>
    <w:pPr>
      <w:spacing w:after="120" w:line="480" w:lineRule="auto"/>
    </w:pPr>
  </w:style>
  <w:style w:type="character" w:customStyle="1" w:styleId="BodyText2Char">
    <w:name w:val="Body Text 2 Char"/>
    <w:link w:val="BodyText2"/>
    <w:rsid w:val="007F203B"/>
    <w:rPr>
      <w:rFonts w:ascii="Arial" w:eastAsia="Times New Roman" w:hAnsi="Arial" w:cs="Arial"/>
      <w:snapToGrid w:val="0"/>
      <w:szCs w:val="20"/>
      <w:lang w:eastAsia="en-US"/>
    </w:rPr>
  </w:style>
  <w:style w:type="paragraph" w:styleId="CommentText">
    <w:name w:val="annotation text"/>
    <w:basedOn w:val="Normal"/>
    <w:link w:val="CommentTextChar"/>
    <w:rsid w:val="007F203B"/>
    <w:rPr>
      <w:rFonts w:ascii="Times New Roman" w:hAnsi="Times New Roman" w:cs="Times New Roman"/>
      <w:sz w:val="20"/>
    </w:rPr>
  </w:style>
  <w:style w:type="character" w:customStyle="1" w:styleId="CommentTextChar">
    <w:name w:val="Comment Text Char"/>
    <w:link w:val="CommentText"/>
    <w:rsid w:val="007F203B"/>
    <w:rPr>
      <w:rFonts w:ascii="Times New Roman" w:eastAsia="Times New Roman" w:hAnsi="Times New Roman" w:cs="Times New Roman"/>
      <w:snapToGrid w:val="0"/>
      <w:sz w:val="20"/>
      <w:szCs w:val="20"/>
      <w:lang w:eastAsia="en-US"/>
    </w:rPr>
  </w:style>
  <w:style w:type="paragraph" w:customStyle="1" w:styleId="TableText0">
    <w:name w:val="TableText"/>
    <w:basedOn w:val="Normal"/>
    <w:rsid w:val="007F203B"/>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7F203B"/>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7F203B"/>
    <w:pPr>
      <w:keepNext w:val="0"/>
      <w:keepLines/>
      <w:spacing w:before="0" w:after="360"/>
      <w:ind w:left="720"/>
    </w:pPr>
    <w:rPr>
      <w:sz w:val="18"/>
      <w:szCs w:val="18"/>
    </w:rPr>
  </w:style>
  <w:style w:type="paragraph" w:customStyle="1" w:styleId="TableNotes0">
    <w:name w:val="TableNotes+0"/>
    <w:basedOn w:val="TableNotes18"/>
    <w:rsid w:val="007F203B"/>
    <w:pPr>
      <w:keepNext/>
      <w:spacing w:after="0"/>
    </w:pPr>
  </w:style>
  <w:style w:type="paragraph" w:styleId="CommentSubject">
    <w:name w:val="annotation subject"/>
    <w:basedOn w:val="CommentText"/>
    <w:next w:val="CommentText"/>
    <w:link w:val="CommentSubjectChar"/>
    <w:uiPriority w:val="99"/>
    <w:rsid w:val="007F203B"/>
    <w:rPr>
      <w:rFonts w:ascii="Arial" w:hAnsi="Arial" w:cs="Arial"/>
      <w:b/>
      <w:bCs/>
    </w:rPr>
  </w:style>
  <w:style w:type="character" w:customStyle="1" w:styleId="CommentSubjectChar">
    <w:name w:val="Comment Subject Char"/>
    <w:link w:val="CommentSubject"/>
    <w:uiPriority w:val="99"/>
    <w:rsid w:val="007F203B"/>
    <w:rPr>
      <w:rFonts w:ascii="Arial" w:eastAsia="Times New Roman" w:hAnsi="Arial" w:cs="Arial"/>
      <w:b/>
      <w:bCs/>
      <w:snapToGrid w:val="0"/>
      <w:sz w:val="20"/>
      <w:szCs w:val="20"/>
      <w:lang w:eastAsia="en-US"/>
    </w:rPr>
  </w:style>
  <w:style w:type="paragraph" w:styleId="Revision">
    <w:name w:val="Revision"/>
    <w:hidden/>
    <w:uiPriority w:val="99"/>
    <w:semiHidden/>
    <w:rsid w:val="007F203B"/>
    <w:rPr>
      <w:rFonts w:ascii="Arial" w:eastAsia="Times New Roman" w:hAnsi="Arial" w:cs="Arial"/>
      <w:snapToGrid w:val="0"/>
      <w:sz w:val="22"/>
      <w:lang w:eastAsia="en-US"/>
    </w:rPr>
  </w:style>
  <w:style w:type="paragraph" w:styleId="BodyTextIndent">
    <w:name w:val="Body Text Indent"/>
    <w:basedOn w:val="Normal"/>
    <w:link w:val="BodyTextIndentChar"/>
    <w:rsid w:val="007F203B"/>
    <w:pPr>
      <w:spacing w:after="120"/>
      <w:ind w:left="283"/>
    </w:pPr>
  </w:style>
  <w:style w:type="character" w:customStyle="1" w:styleId="BodyTextIndentChar">
    <w:name w:val="Body Text Indent Char"/>
    <w:link w:val="BodyTextIndent"/>
    <w:rsid w:val="007F203B"/>
    <w:rPr>
      <w:rFonts w:ascii="Arial" w:eastAsia="Times New Roman" w:hAnsi="Arial" w:cs="Arial"/>
      <w:snapToGrid w:val="0"/>
      <w:szCs w:val="20"/>
      <w:lang w:eastAsia="en-US"/>
    </w:rPr>
  </w:style>
  <w:style w:type="paragraph" w:customStyle="1" w:styleId="Char1CharCharChar">
    <w:name w:val="Char1 Char Char Char"/>
    <w:basedOn w:val="Normal"/>
    <w:rsid w:val="007F203B"/>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7F203B"/>
    <w:rPr>
      <w:lang w:eastAsia="en-US"/>
    </w:rPr>
  </w:style>
  <w:style w:type="paragraph" w:styleId="Subtitle">
    <w:name w:val="Subtitle"/>
    <w:basedOn w:val="Normal"/>
    <w:link w:val="SubtitleChar"/>
    <w:qFormat/>
    <w:rsid w:val="007F203B"/>
    <w:pPr>
      <w:widowControl/>
    </w:pPr>
    <w:rPr>
      <w:rFonts w:ascii="Calibri" w:eastAsia="SimSun" w:hAnsi="Calibri" w:cs="Times New Roman"/>
      <w:snapToGrid/>
      <w:szCs w:val="22"/>
    </w:rPr>
  </w:style>
  <w:style w:type="character" w:customStyle="1" w:styleId="SubtitleChar1">
    <w:name w:val="Subtitle Char1"/>
    <w:rsid w:val="007F203B"/>
    <w:rPr>
      <w:rFonts w:ascii="Cambria" w:eastAsia="SimSun" w:hAnsi="Cambria" w:cs="Times New Roman"/>
      <w:i/>
      <w:iCs/>
      <w:snapToGrid w:val="0"/>
      <w:color w:val="4F81BD"/>
      <w:spacing w:val="15"/>
      <w:sz w:val="24"/>
      <w:szCs w:val="24"/>
      <w:lang w:eastAsia="en-US"/>
    </w:rPr>
  </w:style>
  <w:style w:type="paragraph" w:customStyle="1" w:styleId="PBACHeading1">
    <w:name w:val="PBAC Heading 1"/>
    <w:qFormat/>
    <w:rsid w:val="007F203B"/>
    <w:pPr>
      <w:numPr>
        <w:numId w:val="5"/>
      </w:numPr>
    </w:pPr>
    <w:rPr>
      <w:rFonts w:ascii="Arial" w:eastAsia="Times New Roman" w:hAnsi="Arial" w:cs="Arial"/>
      <w:b/>
      <w:snapToGrid w:val="0"/>
      <w:sz w:val="22"/>
      <w:szCs w:val="22"/>
      <w:lang w:eastAsia="en-US"/>
    </w:rPr>
  </w:style>
  <w:style w:type="paragraph" w:customStyle="1" w:styleId="CaptionFootnote">
    <w:name w:val="Caption Footnote"/>
    <w:basedOn w:val="Caption"/>
    <w:qFormat/>
    <w:rsid w:val="007F203B"/>
    <w:pPr>
      <w:spacing w:after="0"/>
    </w:pPr>
    <w:rPr>
      <w:rFonts w:ascii="Candara" w:eastAsia="SimSun" w:hAnsi="Candara" w:cs="Times New Roman"/>
      <w:b w:val="0"/>
      <w:snapToGrid/>
      <w:color w:val="auto"/>
      <w:sz w:val="16"/>
      <w:lang w:bidi="en-US"/>
    </w:rPr>
  </w:style>
  <w:style w:type="paragraph" w:customStyle="1" w:styleId="Table">
    <w:name w:val="Table"/>
    <w:basedOn w:val="Normal"/>
    <w:link w:val="TableChar"/>
    <w:qFormat/>
    <w:rsid w:val="007F203B"/>
    <w:pPr>
      <w:widowControl/>
    </w:pPr>
    <w:rPr>
      <w:rFonts w:ascii="Candara" w:eastAsia="SimSun" w:hAnsi="Candara" w:cs="Times New Roman"/>
      <w:snapToGrid/>
      <w:sz w:val="20"/>
      <w:szCs w:val="22"/>
      <w:lang w:bidi="en-US"/>
    </w:rPr>
  </w:style>
  <w:style w:type="character" w:customStyle="1" w:styleId="TableChar">
    <w:name w:val="Table Char"/>
    <w:link w:val="Table"/>
    <w:locked/>
    <w:rsid w:val="007F203B"/>
    <w:rPr>
      <w:rFonts w:ascii="Candara" w:eastAsia="SimSun" w:hAnsi="Candara" w:cs="Times New Roman"/>
      <w:sz w:val="20"/>
      <w:lang w:eastAsia="en-US" w:bidi="en-US"/>
    </w:rPr>
  </w:style>
  <w:style w:type="character" w:customStyle="1" w:styleId="SmallBold">
    <w:name w:val="Small Bold"/>
    <w:uiPriority w:val="4"/>
    <w:qFormat/>
    <w:rsid w:val="007F203B"/>
    <w:rPr>
      <w:rFonts w:ascii="Candara" w:hAnsi="Candara"/>
      <w:b/>
      <w:sz w:val="20"/>
      <w:lang w:val="en-AU"/>
    </w:rPr>
  </w:style>
  <w:style w:type="paragraph" w:customStyle="1" w:styleId="TableCentre">
    <w:name w:val="Table Centre"/>
    <w:basedOn w:val="Table"/>
    <w:qFormat/>
    <w:rsid w:val="007F203B"/>
    <w:pPr>
      <w:jc w:val="center"/>
    </w:pPr>
  </w:style>
  <w:style w:type="table" w:customStyle="1" w:styleId="TableGrid2">
    <w:name w:val="Table Grid2"/>
    <w:basedOn w:val="TableNormal"/>
    <w:next w:val="TableGrid"/>
    <w:uiPriority w:val="59"/>
    <w:rsid w:val="007F203B"/>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
    <w:uiPriority w:val="5"/>
    <w:qFormat/>
    <w:rsid w:val="007F203B"/>
    <w:pPr>
      <w:numPr>
        <w:numId w:val="20"/>
      </w:numPr>
      <w:tabs>
        <w:tab w:val="num" w:pos="360"/>
      </w:tabs>
      <w:ind w:left="357" w:hanging="357"/>
    </w:pPr>
  </w:style>
  <w:style w:type="table" w:customStyle="1" w:styleId="TableGrid5">
    <w:name w:val="Table Grid5"/>
    <w:basedOn w:val="TableNormal"/>
    <w:next w:val="TableGrid"/>
    <w:uiPriority w:val="59"/>
    <w:rsid w:val="007F203B"/>
    <w:rPr>
      <w:rFonts w:ascii="Candara" w:hAnsi="Candara"/>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Numbers">
    <w:name w:val="Table Numbers"/>
    <w:basedOn w:val="Normal"/>
    <w:uiPriority w:val="3"/>
    <w:qFormat/>
    <w:rsid w:val="007F203B"/>
    <w:pPr>
      <w:widowControl/>
      <w:numPr>
        <w:numId w:val="21"/>
      </w:numPr>
      <w:ind w:left="170" w:hanging="170"/>
    </w:pPr>
    <w:rPr>
      <w:rFonts w:ascii="Candara" w:eastAsia="SimSun" w:hAnsi="Candara" w:cs="Times New Roman"/>
      <w:snapToGrid/>
      <w:sz w:val="20"/>
      <w:szCs w:val="22"/>
      <w:lang w:bidi="en-US"/>
    </w:rPr>
  </w:style>
  <w:style w:type="table" w:customStyle="1" w:styleId="TableGrid6">
    <w:name w:val="Table Grid6"/>
    <w:basedOn w:val="TableNormal"/>
    <w:next w:val="TableGrid"/>
    <w:uiPriority w:val="59"/>
    <w:rsid w:val="007F203B"/>
    <w:rPr>
      <w:rFonts w:ascii="Candara" w:hAnsi="Candara"/>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1">
    <w:name w:val="Table Grid1"/>
    <w:basedOn w:val="TableNormal"/>
    <w:next w:val="TableGrid"/>
    <w:uiPriority w:val="59"/>
    <w:rsid w:val="00F27AD8"/>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FootnoteText">
    <w:name w:val="footnote text"/>
    <w:basedOn w:val="Normal"/>
    <w:link w:val="FootnoteTextChar"/>
    <w:uiPriority w:val="99"/>
    <w:semiHidden/>
    <w:unhideWhenUsed/>
    <w:rsid w:val="00B31ADF"/>
    <w:rPr>
      <w:sz w:val="20"/>
    </w:rPr>
  </w:style>
  <w:style w:type="character" w:customStyle="1" w:styleId="FootnoteTextChar">
    <w:name w:val="Footnote Text Char"/>
    <w:basedOn w:val="DefaultParagraphFont"/>
    <w:link w:val="FootnoteText"/>
    <w:uiPriority w:val="99"/>
    <w:semiHidden/>
    <w:rsid w:val="00B31ADF"/>
    <w:rPr>
      <w:rFonts w:ascii="Arial" w:eastAsia="Times New Roman" w:hAnsi="Arial" w:cs="Arial"/>
      <w:snapToGrid w:val="0"/>
      <w:lang w:eastAsia="en-US"/>
    </w:rPr>
  </w:style>
  <w:style w:type="character" w:styleId="FootnoteReference">
    <w:name w:val="footnote reference"/>
    <w:basedOn w:val="DefaultParagraphFont"/>
    <w:uiPriority w:val="99"/>
    <w:semiHidden/>
    <w:unhideWhenUsed/>
    <w:rsid w:val="00B31ADF"/>
    <w:rPr>
      <w:vertAlign w:val="superscript"/>
    </w:rPr>
  </w:style>
  <w:style w:type="character" w:customStyle="1" w:styleId="ListParagraphChar">
    <w:name w:val="List Paragraph Char"/>
    <w:basedOn w:val="DefaultParagraphFont"/>
    <w:link w:val="ListParagraph"/>
    <w:uiPriority w:val="72"/>
    <w:rsid w:val="000C63AF"/>
    <w:rPr>
      <w:rFonts w:ascii="Arial" w:eastAsia="Times New Roman"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96">
      <w:bodyDiv w:val="1"/>
      <w:marLeft w:val="0"/>
      <w:marRight w:val="0"/>
      <w:marTop w:val="0"/>
      <w:marBottom w:val="0"/>
      <w:divBdr>
        <w:top w:val="none" w:sz="0" w:space="0" w:color="auto"/>
        <w:left w:val="none" w:sz="0" w:space="0" w:color="auto"/>
        <w:bottom w:val="none" w:sz="0" w:space="0" w:color="auto"/>
        <w:right w:val="none" w:sz="0" w:space="0" w:color="auto"/>
      </w:divBdr>
    </w:div>
    <w:div w:id="2517059">
      <w:bodyDiv w:val="1"/>
      <w:marLeft w:val="0"/>
      <w:marRight w:val="0"/>
      <w:marTop w:val="0"/>
      <w:marBottom w:val="0"/>
      <w:divBdr>
        <w:top w:val="none" w:sz="0" w:space="0" w:color="auto"/>
        <w:left w:val="none" w:sz="0" w:space="0" w:color="auto"/>
        <w:bottom w:val="none" w:sz="0" w:space="0" w:color="auto"/>
        <w:right w:val="none" w:sz="0" w:space="0" w:color="auto"/>
      </w:divBdr>
    </w:div>
    <w:div w:id="7098728">
      <w:bodyDiv w:val="1"/>
      <w:marLeft w:val="0"/>
      <w:marRight w:val="0"/>
      <w:marTop w:val="0"/>
      <w:marBottom w:val="0"/>
      <w:divBdr>
        <w:top w:val="none" w:sz="0" w:space="0" w:color="auto"/>
        <w:left w:val="none" w:sz="0" w:space="0" w:color="auto"/>
        <w:bottom w:val="none" w:sz="0" w:space="0" w:color="auto"/>
        <w:right w:val="none" w:sz="0" w:space="0" w:color="auto"/>
      </w:divBdr>
    </w:div>
    <w:div w:id="7292331">
      <w:bodyDiv w:val="1"/>
      <w:marLeft w:val="0"/>
      <w:marRight w:val="0"/>
      <w:marTop w:val="0"/>
      <w:marBottom w:val="0"/>
      <w:divBdr>
        <w:top w:val="none" w:sz="0" w:space="0" w:color="auto"/>
        <w:left w:val="none" w:sz="0" w:space="0" w:color="auto"/>
        <w:bottom w:val="none" w:sz="0" w:space="0" w:color="auto"/>
        <w:right w:val="none" w:sz="0" w:space="0" w:color="auto"/>
      </w:divBdr>
    </w:div>
    <w:div w:id="10380011">
      <w:bodyDiv w:val="1"/>
      <w:marLeft w:val="0"/>
      <w:marRight w:val="0"/>
      <w:marTop w:val="0"/>
      <w:marBottom w:val="0"/>
      <w:divBdr>
        <w:top w:val="none" w:sz="0" w:space="0" w:color="auto"/>
        <w:left w:val="none" w:sz="0" w:space="0" w:color="auto"/>
        <w:bottom w:val="none" w:sz="0" w:space="0" w:color="auto"/>
        <w:right w:val="none" w:sz="0" w:space="0" w:color="auto"/>
      </w:divBdr>
    </w:div>
    <w:div w:id="12613964">
      <w:bodyDiv w:val="1"/>
      <w:marLeft w:val="0"/>
      <w:marRight w:val="0"/>
      <w:marTop w:val="0"/>
      <w:marBottom w:val="0"/>
      <w:divBdr>
        <w:top w:val="none" w:sz="0" w:space="0" w:color="auto"/>
        <w:left w:val="none" w:sz="0" w:space="0" w:color="auto"/>
        <w:bottom w:val="none" w:sz="0" w:space="0" w:color="auto"/>
        <w:right w:val="none" w:sz="0" w:space="0" w:color="auto"/>
      </w:divBdr>
    </w:div>
    <w:div w:id="16466493">
      <w:bodyDiv w:val="1"/>
      <w:marLeft w:val="0"/>
      <w:marRight w:val="0"/>
      <w:marTop w:val="0"/>
      <w:marBottom w:val="0"/>
      <w:divBdr>
        <w:top w:val="none" w:sz="0" w:space="0" w:color="auto"/>
        <w:left w:val="none" w:sz="0" w:space="0" w:color="auto"/>
        <w:bottom w:val="none" w:sz="0" w:space="0" w:color="auto"/>
        <w:right w:val="none" w:sz="0" w:space="0" w:color="auto"/>
      </w:divBdr>
    </w:div>
    <w:div w:id="41053881">
      <w:bodyDiv w:val="1"/>
      <w:marLeft w:val="0"/>
      <w:marRight w:val="0"/>
      <w:marTop w:val="0"/>
      <w:marBottom w:val="0"/>
      <w:divBdr>
        <w:top w:val="none" w:sz="0" w:space="0" w:color="auto"/>
        <w:left w:val="none" w:sz="0" w:space="0" w:color="auto"/>
        <w:bottom w:val="none" w:sz="0" w:space="0" w:color="auto"/>
        <w:right w:val="none" w:sz="0" w:space="0" w:color="auto"/>
      </w:divBdr>
    </w:div>
    <w:div w:id="50546752">
      <w:bodyDiv w:val="1"/>
      <w:marLeft w:val="0"/>
      <w:marRight w:val="0"/>
      <w:marTop w:val="0"/>
      <w:marBottom w:val="0"/>
      <w:divBdr>
        <w:top w:val="none" w:sz="0" w:space="0" w:color="auto"/>
        <w:left w:val="none" w:sz="0" w:space="0" w:color="auto"/>
        <w:bottom w:val="none" w:sz="0" w:space="0" w:color="auto"/>
        <w:right w:val="none" w:sz="0" w:space="0" w:color="auto"/>
      </w:divBdr>
    </w:div>
    <w:div w:id="53084483">
      <w:bodyDiv w:val="1"/>
      <w:marLeft w:val="0"/>
      <w:marRight w:val="0"/>
      <w:marTop w:val="0"/>
      <w:marBottom w:val="0"/>
      <w:divBdr>
        <w:top w:val="none" w:sz="0" w:space="0" w:color="auto"/>
        <w:left w:val="none" w:sz="0" w:space="0" w:color="auto"/>
        <w:bottom w:val="none" w:sz="0" w:space="0" w:color="auto"/>
        <w:right w:val="none" w:sz="0" w:space="0" w:color="auto"/>
      </w:divBdr>
    </w:div>
    <w:div w:id="55705632">
      <w:bodyDiv w:val="1"/>
      <w:marLeft w:val="0"/>
      <w:marRight w:val="0"/>
      <w:marTop w:val="0"/>
      <w:marBottom w:val="0"/>
      <w:divBdr>
        <w:top w:val="none" w:sz="0" w:space="0" w:color="auto"/>
        <w:left w:val="none" w:sz="0" w:space="0" w:color="auto"/>
        <w:bottom w:val="none" w:sz="0" w:space="0" w:color="auto"/>
        <w:right w:val="none" w:sz="0" w:space="0" w:color="auto"/>
      </w:divBdr>
    </w:div>
    <w:div w:id="61685081">
      <w:bodyDiv w:val="1"/>
      <w:marLeft w:val="0"/>
      <w:marRight w:val="0"/>
      <w:marTop w:val="0"/>
      <w:marBottom w:val="0"/>
      <w:divBdr>
        <w:top w:val="none" w:sz="0" w:space="0" w:color="auto"/>
        <w:left w:val="none" w:sz="0" w:space="0" w:color="auto"/>
        <w:bottom w:val="none" w:sz="0" w:space="0" w:color="auto"/>
        <w:right w:val="none" w:sz="0" w:space="0" w:color="auto"/>
      </w:divBdr>
    </w:div>
    <w:div w:id="64035014">
      <w:bodyDiv w:val="1"/>
      <w:marLeft w:val="0"/>
      <w:marRight w:val="0"/>
      <w:marTop w:val="0"/>
      <w:marBottom w:val="0"/>
      <w:divBdr>
        <w:top w:val="none" w:sz="0" w:space="0" w:color="auto"/>
        <w:left w:val="none" w:sz="0" w:space="0" w:color="auto"/>
        <w:bottom w:val="none" w:sz="0" w:space="0" w:color="auto"/>
        <w:right w:val="none" w:sz="0" w:space="0" w:color="auto"/>
      </w:divBdr>
    </w:div>
    <w:div w:id="64761744">
      <w:bodyDiv w:val="1"/>
      <w:marLeft w:val="0"/>
      <w:marRight w:val="0"/>
      <w:marTop w:val="0"/>
      <w:marBottom w:val="0"/>
      <w:divBdr>
        <w:top w:val="none" w:sz="0" w:space="0" w:color="auto"/>
        <w:left w:val="none" w:sz="0" w:space="0" w:color="auto"/>
        <w:bottom w:val="none" w:sz="0" w:space="0" w:color="auto"/>
        <w:right w:val="none" w:sz="0" w:space="0" w:color="auto"/>
      </w:divBdr>
    </w:div>
    <w:div w:id="65150316">
      <w:bodyDiv w:val="1"/>
      <w:marLeft w:val="0"/>
      <w:marRight w:val="0"/>
      <w:marTop w:val="0"/>
      <w:marBottom w:val="0"/>
      <w:divBdr>
        <w:top w:val="none" w:sz="0" w:space="0" w:color="auto"/>
        <w:left w:val="none" w:sz="0" w:space="0" w:color="auto"/>
        <w:bottom w:val="none" w:sz="0" w:space="0" w:color="auto"/>
        <w:right w:val="none" w:sz="0" w:space="0" w:color="auto"/>
      </w:divBdr>
    </w:div>
    <w:div w:id="70664882">
      <w:bodyDiv w:val="1"/>
      <w:marLeft w:val="0"/>
      <w:marRight w:val="0"/>
      <w:marTop w:val="0"/>
      <w:marBottom w:val="0"/>
      <w:divBdr>
        <w:top w:val="none" w:sz="0" w:space="0" w:color="auto"/>
        <w:left w:val="none" w:sz="0" w:space="0" w:color="auto"/>
        <w:bottom w:val="none" w:sz="0" w:space="0" w:color="auto"/>
        <w:right w:val="none" w:sz="0" w:space="0" w:color="auto"/>
      </w:divBdr>
    </w:div>
    <w:div w:id="80568419">
      <w:bodyDiv w:val="1"/>
      <w:marLeft w:val="0"/>
      <w:marRight w:val="0"/>
      <w:marTop w:val="0"/>
      <w:marBottom w:val="0"/>
      <w:divBdr>
        <w:top w:val="none" w:sz="0" w:space="0" w:color="auto"/>
        <w:left w:val="none" w:sz="0" w:space="0" w:color="auto"/>
        <w:bottom w:val="none" w:sz="0" w:space="0" w:color="auto"/>
        <w:right w:val="none" w:sz="0" w:space="0" w:color="auto"/>
      </w:divBdr>
    </w:div>
    <w:div w:id="81724413">
      <w:bodyDiv w:val="1"/>
      <w:marLeft w:val="0"/>
      <w:marRight w:val="0"/>
      <w:marTop w:val="0"/>
      <w:marBottom w:val="0"/>
      <w:divBdr>
        <w:top w:val="none" w:sz="0" w:space="0" w:color="auto"/>
        <w:left w:val="none" w:sz="0" w:space="0" w:color="auto"/>
        <w:bottom w:val="none" w:sz="0" w:space="0" w:color="auto"/>
        <w:right w:val="none" w:sz="0" w:space="0" w:color="auto"/>
      </w:divBdr>
    </w:div>
    <w:div w:id="84108554">
      <w:bodyDiv w:val="1"/>
      <w:marLeft w:val="0"/>
      <w:marRight w:val="0"/>
      <w:marTop w:val="0"/>
      <w:marBottom w:val="0"/>
      <w:divBdr>
        <w:top w:val="none" w:sz="0" w:space="0" w:color="auto"/>
        <w:left w:val="none" w:sz="0" w:space="0" w:color="auto"/>
        <w:bottom w:val="none" w:sz="0" w:space="0" w:color="auto"/>
        <w:right w:val="none" w:sz="0" w:space="0" w:color="auto"/>
      </w:divBdr>
    </w:div>
    <w:div w:id="90593648">
      <w:bodyDiv w:val="1"/>
      <w:marLeft w:val="0"/>
      <w:marRight w:val="0"/>
      <w:marTop w:val="0"/>
      <w:marBottom w:val="0"/>
      <w:divBdr>
        <w:top w:val="none" w:sz="0" w:space="0" w:color="auto"/>
        <w:left w:val="none" w:sz="0" w:space="0" w:color="auto"/>
        <w:bottom w:val="none" w:sz="0" w:space="0" w:color="auto"/>
        <w:right w:val="none" w:sz="0" w:space="0" w:color="auto"/>
      </w:divBdr>
    </w:div>
    <w:div w:id="106896390">
      <w:bodyDiv w:val="1"/>
      <w:marLeft w:val="0"/>
      <w:marRight w:val="0"/>
      <w:marTop w:val="0"/>
      <w:marBottom w:val="0"/>
      <w:divBdr>
        <w:top w:val="none" w:sz="0" w:space="0" w:color="auto"/>
        <w:left w:val="none" w:sz="0" w:space="0" w:color="auto"/>
        <w:bottom w:val="none" w:sz="0" w:space="0" w:color="auto"/>
        <w:right w:val="none" w:sz="0" w:space="0" w:color="auto"/>
      </w:divBdr>
    </w:div>
    <w:div w:id="108475346">
      <w:bodyDiv w:val="1"/>
      <w:marLeft w:val="0"/>
      <w:marRight w:val="0"/>
      <w:marTop w:val="0"/>
      <w:marBottom w:val="0"/>
      <w:divBdr>
        <w:top w:val="none" w:sz="0" w:space="0" w:color="auto"/>
        <w:left w:val="none" w:sz="0" w:space="0" w:color="auto"/>
        <w:bottom w:val="none" w:sz="0" w:space="0" w:color="auto"/>
        <w:right w:val="none" w:sz="0" w:space="0" w:color="auto"/>
      </w:divBdr>
    </w:div>
    <w:div w:id="116067661">
      <w:bodyDiv w:val="1"/>
      <w:marLeft w:val="0"/>
      <w:marRight w:val="0"/>
      <w:marTop w:val="0"/>
      <w:marBottom w:val="0"/>
      <w:divBdr>
        <w:top w:val="none" w:sz="0" w:space="0" w:color="auto"/>
        <w:left w:val="none" w:sz="0" w:space="0" w:color="auto"/>
        <w:bottom w:val="none" w:sz="0" w:space="0" w:color="auto"/>
        <w:right w:val="none" w:sz="0" w:space="0" w:color="auto"/>
      </w:divBdr>
    </w:div>
    <w:div w:id="118651535">
      <w:bodyDiv w:val="1"/>
      <w:marLeft w:val="0"/>
      <w:marRight w:val="0"/>
      <w:marTop w:val="0"/>
      <w:marBottom w:val="0"/>
      <w:divBdr>
        <w:top w:val="none" w:sz="0" w:space="0" w:color="auto"/>
        <w:left w:val="none" w:sz="0" w:space="0" w:color="auto"/>
        <w:bottom w:val="none" w:sz="0" w:space="0" w:color="auto"/>
        <w:right w:val="none" w:sz="0" w:space="0" w:color="auto"/>
      </w:divBdr>
    </w:div>
    <w:div w:id="119421997">
      <w:bodyDiv w:val="1"/>
      <w:marLeft w:val="0"/>
      <w:marRight w:val="0"/>
      <w:marTop w:val="0"/>
      <w:marBottom w:val="0"/>
      <w:divBdr>
        <w:top w:val="none" w:sz="0" w:space="0" w:color="auto"/>
        <w:left w:val="none" w:sz="0" w:space="0" w:color="auto"/>
        <w:bottom w:val="none" w:sz="0" w:space="0" w:color="auto"/>
        <w:right w:val="none" w:sz="0" w:space="0" w:color="auto"/>
      </w:divBdr>
    </w:div>
    <w:div w:id="120655819">
      <w:bodyDiv w:val="1"/>
      <w:marLeft w:val="0"/>
      <w:marRight w:val="0"/>
      <w:marTop w:val="0"/>
      <w:marBottom w:val="0"/>
      <w:divBdr>
        <w:top w:val="none" w:sz="0" w:space="0" w:color="auto"/>
        <w:left w:val="none" w:sz="0" w:space="0" w:color="auto"/>
        <w:bottom w:val="none" w:sz="0" w:space="0" w:color="auto"/>
        <w:right w:val="none" w:sz="0" w:space="0" w:color="auto"/>
      </w:divBdr>
    </w:div>
    <w:div w:id="121968698">
      <w:bodyDiv w:val="1"/>
      <w:marLeft w:val="0"/>
      <w:marRight w:val="0"/>
      <w:marTop w:val="0"/>
      <w:marBottom w:val="0"/>
      <w:divBdr>
        <w:top w:val="none" w:sz="0" w:space="0" w:color="auto"/>
        <w:left w:val="none" w:sz="0" w:space="0" w:color="auto"/>
        <w:bottom w:val="none" w:sz="0" w:space="0" w:color="auto"/>
        <w:right w:val="none" w:sz="0" w:space="0" w:color="auto"/>
      </w:divBdr>
    </w:div>
    <w:div w:id="124861154">
      <w:bodyDiv w:val="1"/>
      <w:marLeft w:val="0"/>
      <w:marRight w:val="0"/>
      <w:marTop w:val="0"/>
      <w:marBottom w:val="0"/>
      <w:divBdr>
        <w:top w:val="none" w:sz="0" w:space="0" w:color="auto"/>
        <w:left w:val="none" w:sz="0" w:space="0" w:color="auto"/>
        <w:bottom w:val="none" w:sz="0" w:space="0" w:color="auto"/>
        <w:right w:val="none" w:sz="0" w:space="0" w:color="auto"/>
      </w:divBdr>
    </w:div>
    <w:div w:id="125971708">
      <w:bodyDiv w:val="1"/>
      <w:marLeft w:val="0"/>
      <w:marRight w:val="0"/>
      <w:marTop w:val="0"/>
      <w:marBottom w:val="0"/>
      <w:divBdr>
        <w:top w:val="none" w:sz="0" w:space="0" w:color="auto"/>
        <w:left w:val="none" w:sz="0" w:space="0" w:color="auto"/>
        <w:bottom w:val="none" w:sz="0" w:space="0" w:color="auto"/>
        <w:right w:val="none" w:sz="0" w:space="0" w:color="auto"/>
      </w:divBdr>
    </w:div>
    <w:div w:id="128597309">
      <w:bodyDiv w:val="1"/>
      <w:marLeft w:val="0"/>
      <w:marRight w:val="0"/>
      <w:marTop w:val="0"/>
      <w:marBottom w:val="0"/>
      <w:divBdr>
        <w:top w:val="none" w:sz="0" w:space="0" w:color="auto"/>
        <w:left w:val="none" w:sz="0" w:space="0" w:color="auto"/>
        <w:bottom w:val="none" w:sz="0" w:space="0" w:color="auto"/>
        <w:right w:val="none" w:sz="0" w:space="0" w:color="auto"/>
      </w:divBdr>
    </w:div>
    <w:div w:id="134876742">
      <w:bodyDiv w:val="1"/>
      <w:marLeft w:val="0"/>
      <w:marRight w:val="0"/>
      <w:marTop w:val="0"/>
      <w:marBottom w:val="0"/>
      <w:divBdr>
        <w:top w:val="none" w:sz="0" w:space="0" w:color="auto"/>
        <w:left w:val="none" w:sz="0" w:space="0" w:color="auto"/>
        <w:bottom w:val="none" w:sz="0" w:space="0" w:color="auto"/>
        <w:right w:val="none" w:sz="0" w:space="0" w:color="auto"/>
      </w:divBdr>
    </w:div>
    <w:div w:id="140777096">
      <w:bodyDiv w:val="1"/>
      <w:marLeft w:val="0"/>
      <w:marRight w:val="0"/>
      <w:marTop w:val="0"/>
      <w:marBottom w:val="0"/>
      <w:divBdr>
        <w:top w:val="none" w:sz="0" w:space="0" w:color="auto"/>
        <w:left w:val="none" w:sz="0" w:space="0" w:color="auto"/>
        <w:bottom w:val="none" w:sz="0" w:space="0" w:color="auto"/>
        <w:right w:val="none" w:sz="0" w:space="0" w:color="auto"/>
      </w:divBdr>
    </w:div>
    <w:div w:id="143590990">
      <w:bodyDiv w:val="1"/>
      <w:marLeft w:val="0"/>
      <w:marRight w:val="0"/>
      <w:marTop w:val="0"/>
      <w:marBottom w:val="0"/>
      <w:divBdr>
        <w:top w:val="none" w:sz="0" w:space="0" w:color="auto"/>
        <w:left w:val="none" w:sz="0" w:space="0" w:color="auto"/>
        <w:bottom w:val="none" w:sz="0" w:space="0" w:color="auto"/>
        <w:right w:val="none" w:sz="0" w:space="0" w:color="auto"/>
      </w:divBdr>
    </w:div>
    <w:div w:id="150948008">
      <w:bodyDiv w:val="1"/>
      <w:marLeft w:val="0"/>
      <w:marRight w:val="0"/>
      <w:marTop w:val="0"/>
      <w:marBottom w:val="0"/>
      <w:divBdr>
        <w:top w:val="none" w:sz="0" w:space="0" w:color="auto"/>
        <w:left w:val="none" w:sz="0" w:space="0" w:color="auto"/>
        <w:bottom w:val="none" w:sz="0" w:space="0" w:color="auto"/>
        <w:right w:val="none" w:sz="0" w:space="0" w:color="auto"/>
      </w:divBdr>
    </w:div>
    <w:div w:id="155732387">
      <w:bodyDiv w:val="1"/>
      <w:marLeft w:val="0"/>
      <w:marRight w:val="0"/>
      <w:marTop w:val="0"/>
      <w:marBottom w:val="0"/>
      <w:divBdr>
        <w:top w:val="none" w:sz="0" w:space="0" w:color="auto"/>
        <w:left w:val="none" w:sz="0" w:space="0" w:color="auto"/>
        <w:bottom w:val="none" w:sz="0" w:space="0" w:color="auto"/>
        <w:right w:val="none" w:sz="0" w:space="0" w:color="auto"/>
      </w:divBdr>
    </w:div>
    <w:div w:id="158665302">
      <w:bodyDiv w:val="1"/>
      <w:marLeft w:val="0"/>
      <w:marRight w:val="0"/>
      <w:marTop w:val="0"/>
      <w:marBottom w:val="0"/>
      <w:divBdr>
        <w:top w:val="none" w:sz="0" w:space="0" w:color="auto"/>
        <w:left w:val="none" w:sz="0" w:space="0" w:color="auto"/>
        <w:bottom w:val="none" w:sz="0" w:space="0" w:color="auto"/>
        <w:right w:val="none" w:sz="0" w:space="0" w:color="auto"/>
      </w:divBdr>
    </w:div>
    <w:div w:id="176117238">
      <w:bodyDiv w:val="1"/>
      <w:marLeft w:val="0"/>
      <w:marRight w:val="0"/>
      <w:marTop w:val="0"/>
      <w:marBottom w:val="0"/>
      <w:divBdr>
        <w:top w:val="none" w:sz="0" w:space="0" w:color="auto"/>
        <w:left w:val="none" w:sz="0" w:space="0" w:color="auto"/>
        <w:bottom w:val="none" w:sz="0" w:space="0" w:color="auto"/>
        <w:right w:val="none" w:sz="0" w:space="0" w:color="auto"/>
      </w:divBdr>
    </w:div>
    <w:div w:id="176963499">
      <w:bodyDiv w:val="1"/>
      <w:marLeft w:val="0"/>
      <w:marRight w:val="0"/>
      <w:marTop w:val="0"/>
      <w:marBottom w:val="0"/>
      <w:divBdr>
        <w:top w:val="none" w:sz="0" w:space="0" w:color="auto"/>
        <w:left w:val="none" w:sz="0" w:space="0" w:color="auto"/>
        <w:bottom w:val="none" w:sz="0" w:space="0" w:color="auto"/>
        <w:right w:val="none" w:sz="0" w:space="0" w:color="auto"/>
      </w:divBdr>
    </w:div>
    <w:div w:id="178660217">
      <w:bodyDiv w:val="1"/>
      <w:marLeft w:val="0"/>
      <w:marRight w:val="0"/>
      <w:marTop w:val="0"/>
      <w:marBottom w:val="0"/>
      <w:divBdr>
        <w:top w:val="none" w:sz="0" w:space="0" w:color="auto"/>
        <w:left w:val="none" w:sz="0" w:space="0" w:color="auto"/>
        <w:bottom w:val="none" w:sz="0" w:space="0" w:color="auto"/>
        <w:right w:val="none" w:sz="0" w:space="0" w:color="auto"/>
      </w:divBdr>
    </w:div>
    <w:div w:id="178744456">
      <w:bodyDiv w:val="1"/>
      <w:marLeft w:val="0"/>
      <w:marRight w:val="0"/>
      <w:marTop w:val="0"/>
      <w:marBottom w:val="0"/>
      <w:divBdr>
        <w:top w:val="none" w:sz="0" w:space="0" w:color="auto"/>
        <w:left w:val="none" w:sz="0" w:space="0" w:color="auto"/>
        <w:bottom w:val="none" w:sz="0" w:space="0" w:color="auto"/>
        <w:right w:val="none" w:sz="0" w:space="0" w:color="auto"/>
      </w:divBdr>
    </w:div>
    <w:div w:id="183708318">
      <w:bodyDiv w:val="1"/>
      <w:marLeft w:val="0"/>
      <w:marRight w:val="0"/>
      <w:marTop w:val="0"/>
      <w:marBottom w:val="0"/>
      <w:divBdr>
        <w:top w:val="none" w:sz="0" w:space="0" w:color="auto"/>
        <w:left w:val="none" w:sz="0" w:space="0" w:color="auto"/>
        <w:bottom w:val="none" w:sz="0" w:space="0" w:color="auto"/>
        <w:right w:val="none" w:sz="0" w:space="0" w:color="auto"/>
      </w:divBdr>
    </w:div>
    <w:div w:id="185484323">
      <w:bodyDiv w:val="1"/>
      <w:marLeft w:val="0"/>
      <w:marRight w:val="0"/>
      <w:marTop w:val="0"/>
      <w:marBottom w:val="0"/>
      <w:divBdr>
        <w:top w:val="none" w:sz="0" w:space="0" w:color="auto"/>
        <w:left w:val="none" w:sz="0" w:space="0" w:color="auto"/>
        <w:bottom w:val="none" w:sz="0" w:space="0" w:color="auto"/>
        <w:right w:val="none" w:sz="0" w:space="0" w:color="auto"/>
      </w:divBdr>
    </w:div>
    <w:div w:id="193352059">
      <w:bodyDiv w:val="1"/>
      <w:marLeft w:val="0"/>
      <w:marRight w:val="0"/>
      <w:marTop w:val="0"/>
      <w:marBottom w:val="0"/>
      <w:divBdr>
        <w:top w:val="none" w:sz="0" w:space="0" w:color="auto"/>
        <w:left w:val="none" w:sz="0" w:space="0" w:color="auto"/>
        <w:bottom w:val="none" w:sz="0" w:space="0" w:color="auto"/>
        <w:right w:val="none" w:sz="0" w:space="0" w:color="auto"/>
      </w:divBdr>
    </w:div>
    <w:div w:id="193546465">
      <w:bodyDiv w:val="1"/>
      <w:marLeft w:val="0"/>
      <w:marRight w:val="0"/>
      <w:marTop w:val="0"/>
      <w:marBottom w:val="0"/>
      <w:divBdr>
        <w:top w:val="none" w:sz="0" w:space="0" w:color="auto"/>
        <w:left w:val="none" w:sz="0" w:space="0" w:color="auto"/>
        <w:bottom w:val="none" w:sz="0" w:space="0" w:color="auto"/>
        <w:right w:val="none" w:sz="0" w:space="0" w:color="auto"/>
      </w:divBdr>
    </w:div>
    <w:div w:id="199703577">
      <w:bodyDiv w:val="1"/>
      <w:marLeft w:val="0"/>
      <w:marRight w:val="0"/>
      <w:marTop w:val="0"/>
      <w:marBottom w:val="0"/>
      <w:divBdr>
        <w:top w:val="none" w:sz="0" w:space="0" w:color="auto"/>
        <w:left w:val="none" w:sz="0" w:space="0" w:color="auto"/>
        <w:bottom w:val="none" w:sz="0" w:space="0" w:color="auto"/>
        <w:right w:val="none" w:sz="0" w:space="0" w:color="auto"/>
      </w:divBdr>
    </w:div>
    <w:div w:id="199979095">
      <w:bodyDiv w:val="1"/>
      <w:marLeft w:val="0"/>
      <w:marRight w:val="0"/>
      <w:marTop w:val="0"/>
      <w:marBottom w:val="0"/>
      <w:divBdr>
        <w:top w:val="none" w:sz="0" w:space="0" w:color="auto"/>
        <w:left w:val="none" w:sz="0" w:space="0" w:color="auto"/>
        <w:bottom w:val="none" w:sz="0" w:space="0" w:color="auto"/>
        <w:right w:val="none" w:sz="0" w:space="0" w:color="auto"/>
      </w:divBdr>
    </w:div>
    <w:div w:id="213202455">
      <w:bodyDiv w:val="1"/>
      <w:marLeft w:val="0"/>
      <w:marRight w:val="0"/>
      <w:marTop w:val="0"/>
      <w:marBottom w:val="0"/>
      <w:divBdr>
        <w:top w:val="none" w:sz="0" w:space="0" w:color="auto"/>
        <w:left w:val="none" w:sz="0" w:space="0" w:color="auto"/>
        <w:bottom w:val="none" w:sz="0" w:space="0" w:color="auto"/>
        <w:right w:val="none" w:sz="0" w:space="0" w:color="auto"/>
      </w:divBdr>
    </w:div>
    <w:div w:id="223108821">
      <w:bodyDiv w:val="1"/>
      <w:marLeft w:val="0"/>
      <w:marRight w:val="0"/>
      <w:marTop w:val="0"/>
      <w:marBottom w:val="0"/>
      <w:divBdr>
        <w:top w:val="none" w:sz="0" w:space="0" w:color="auto"/>
        <w:left w:val="none" w:sz="0" w:space="0" w:color="auto"/>
        <w:bottom w:val="none" w:sz="0" w:space="0" w:color="auto"/>
        <w:right w:val="none" w:sz="0" w:space="0" w:color="auto"/>
      </w:divBdr>
    </w:div>
    <w:div w:id="226696397">
      <w:bodyDiv w:val="1"/>
      <w:marLeft w:val="0"/>
      <w:marRight w:val="0"/>
      <w:marTop w:val="0"/>
      <w:marBottom w:val="0"/>
      <w:divBdr>
        <w:top w:val="none" w:sz="0" w:space="0" w:color="auto"/>
        <w:left w:val="none" w:sz="0" w:space="0" w:color="auto"/>
        <w:bottom w:val="none" w:sz="0" w:space="0" w:color="auto"/>
        <w:right w:val="none" w:sz="0" w:space="0" w:color="auto"/>
      </w:divBdr>
    </w:div>
    <w:div w:id="228196498">
      <w:bodyDiv w:val="1"/>
      <w:marLeft w:val="0"/>
      <w:marRight w:val="0"/>
      <w:marTop w:val="0"/>
      <w:marBottom w:val="0"/>
      <w:divBdr>
        <w:top w:val="none" w:sz="0" w:space="0" w:color="auto"/>
        <w:left w:val="none" w:sz="0" w:space="0" w:color="auto"/>
        <w:bottom w:val="none" w:sz="0" w:space="0" w:color="auto"/>
        <w:right w:val="none" w:sz="0" w:space="0" w:color="auto"/>
      </w:divBdr>
    </w:div>
    <w:div w:id="228224720">
      <w:bodyDiv w:val="1"/>
      <w:marLeft w:val="0"/>
      <w:marRight w:val="0"/>
      <w:marTop w:val="0"/>
      <w:marBottom w:val="0"/>
      <w:divBdr>
        <w:top w:val="none" w:sz="0" w:space="0" w:color="auto"/>
        <w:left w:val="none" w:sz="0" w:space="0" w:color="auto"/>
        <w:bottom w:val="none" w:sz="0" w:space="0" w:color="auto"/>
        <w:right w:val="none" w:sz="0" w:space="0" w:color="auto"/>
      </w:divBdr>
    </w:div>
    <w:div w:id="240143941">
      <w:bodyDiv w:val="1"/>
      <w:marLeft w:val="0"/>
      <w:marRight w:val="0"/>
      <w:marTop w:val="0"/>
      <w:marBottom w:val="0"/>
      <w:divBdr>
        <w:top w:val="none" w:sz="0" w:space="0" w:color="auto"/>
        <w:left w:val="none" w:sz="0" w:space="0" w:color="auto"/>
        <w:bottom w:val="none" w:sz="0" w:space="0" w:color="auto"/>
        <w:right w:val="none" w:sz="0" w:space="0" w:color="auto"/>
      </w:divBdr>
    </w:div>
    <w:div w:id="240412481">
      <w:bodyDiv w:val="1"/>
      <w:marLeft w:val="0"/>
      <w:marRight w:val="0"/>
      <w:marTop w:val="0"/>
      <w:marBottom w:val="0"/>
      <w:divBdr>
        <w:top w:val="none" w:sz="0" w:space="0" w:color="auto"/>
        <w:left w:val="none" w:sz="0" w:space="0" w:color="auto"/>
        <w:bottom w:val="none" w:sz="0" w:space="0" w:color="auto"/>
        <w:right w:val="none" w:sz="0" w:space="0" w:color="auto"/>
      </w:divBdr>
    </w:div>
    <w:div w:id="249045376">
      <w:bodyDiv w:val="1"/>
      <w:marLeft w:val="0"/>
      <w:marRight w:val="0"/>
      <w:marTop w:val="0"/>
      <w:marBottom w:val="0"/>
      <w:divBdr>
        <w:top w:val="none" w:sz="0" w:space="0" w:color="auto"/>
        <w:left w:val="none" w:sz="0" w:space="0" w:color="auto"/>
        <w:bottom w:val="none" w:sz="0" w:space="0" w:color="auto"/>
        <w:right w:val="none" w:sz="0" w:space="0" w:color="auto"/>
      </w:divBdr>
    </w:div>
    <w:div w:id="254361585">
      <w:bodyDiv w:val="1"/>
      <w:marLeft w:val="0"/>
      <w:marRight w:val="0"/>
      <w:marTop w:val="0"/>
      <w:marBottom w:val="0"/>
      <w:divBdr>
        <w:top w:val="none" w:sz="0" w:space="0" w:color="auto"/>
        <w:left w:val="none" w:sz="0" w:space="0" w:color="auto"/>
        <w:bottom w:val="none" w:sz="0" w:space="0" w:color="auto"/>
        <w:right w:val="none" w:sz="0" w:space="0" w:color="auto"/>
      </w:divBdr>
    </w:div>
    <w:div w:id="255670043">
      <w:bodyDiv w:val="1"/>
      <w:marLeft w:val="0"/>
      <w:marRight w:val="0"/>
      <w:marTop w:val="0"/>
      <w:marBottom w:val="0"/>
      <w:divBdr>
        <w:top w:val="none" w:sz="0" w:space="0" w:color="auto"/>
        <w:left w:val="none" w:sz="0" w:space="0" w:color="auto"/>
        <w:bottom w:val="none" w:sz="0" w:space="0" w:color="auto"/>
        <w:right w:val="none" w:sz="0" w:space="0" w:color="auto"/>
      </w:divBdr>
    </w:div>
    <w:div w:id="265432621">
      <w:bodyDiv w:val="1"/>
      <w:marLeft w:val="0"/>
      <w:marRight w:val="0"/>
      <w:marTop w:val="0"/>
      <w:marBottom w:val="0"/>
      <w:divBdr>
        <w:top w:val="none" w:sz="0" w:space="0" w:color="auto"/>
        <w:left w:val="none" w:sz="0" w:space="0" w:color="auto"/>
        <w:bottom w:val="none" w:sz="0" w:space="0" w:color="auto"/>
        <w:right w:val="none" w:sz="0" w:space="0" w:color="auto"/>
      </w:divBdr>
    </w:div>
    <w:div w:id="266088613">
      <w:bodyDiv w:val="1"/>
      <w:marLeft w:val="0"/>
      <w:marRight w:val="0"/>
      <w:marTop w:val="0"/>
      <w:marBottom w:val="0"/>
      <w:divBdr>
        <w:top w:val="none" w:sz="0" w:space="0" w:color="auto"/>
        <w:left w:val="none" w:sz="0" w:space="0" w:color="auto"/>
        <w:bottom w:val="none" w:sz="0" w:space="0" w:color="auto"/>
        <w:right w:val="none" w:sz="0" w:space="0" w:color="auto"/>
      </w:divBdr>
    </w:div>
    <w:div w:id="279843959">
      <w:bodyDiv w:val="1"/>
      <w:marLeft w:val="0"/>
      <w:marRight w:val="0"/>
      <w:marTop w:val="0"/>
      <w:marBottom w:val="0"/>
      <w:divBdr>
        <w:top w:val="none" w:sz="0" w:space="0" w:color="auto"/>
        <w:left w:val="none" w:sz="0" w:space="0" w:color="auto"/>
        <w:bottom w:val="none" w:sz="0" w:space="0" w:color="auto"/>
        <w:right w:val="none" w:sz="0" w:space="0" w:color="auto"/>
      </w:divBdr>
    </w:div>
    <w:div w:id="282853820">
      <w:bodyDiv w:val="1"/>
      <w:marLeft w:val="0"/>
      <w:marRight w:val="0"/>
      <w:marTop w:val="0"/>
      <w:marBottom w:val="0"/>
      <w:divBdr>
        <w:top w:val="none" w:sz="0" w:space="0" w:color="auto"/>
        <w:left w:val="none" w:sz="0" w:space="0" w:color="auto"/>
        <w:bottom w:val="none" w:sz="0" w:space="0" w:color="auto"/>
        <w:right w:val="none" w:sz="0" w:space="0" w:color="auto"/>
      </w:divBdr>
    </w:div>
    <w:div w:id="286670695">
      <w:bodyDiv w:val="1"/>
      <w:marLeft w:val="0"/>
      <w:marRight w:val="0"/>
      <w:marTop w:val="0"/>
      <w:marBottom w:val="0"/>
      <w:divBdr>
        <w:top w:val="none" w:sz="0" w:space="0" w:color="auto"/>
        <w:left w:val="none" w:sz="0" w:space="0" w:color="auto"/>
        <w:bottom w:val="none" w:sz="0" w:space="0" w:color="auto"/>
        <w:right w:val="none" w:sz="0" w:space="0" w:color="auto"/>
      </w:divBdr>
    </w:div>
    <w:div w:id="289364661">
      <w:bodyDiv w:val="1"/>
      <w:marLeft w:val="0"/>
      <w:marRight w:val="0"/>
      <w:marTop w:val="0"/>
      <w:marBottom w:val="0"/>
      <w:divBdr>
        <w:top w:val="none" w:sz="0" w:space="0" w:color="auto"/>
        <w:left w:val="none" w:sz="0" w:space="0" w:color="auto"/>
        <w:bottom w:val="none" w:sz="0" w:space="0" w:color="auto"/>
        <w:right w:val="none" w:sz="0" w:space="0" w:color="auto"/>
      </w:divBdr>
    </w:div>
    <w:div w:id="295449390">
      <w:bodyDiv w:val="1"/>
      <w:marLeft w:val="0"/>
      <w:marRight w:val="0"/>
      <w:marTop w:val="0"/>
      <w:marBottom w:val="0"/>
      <w:divBdr>
        <w:top w:val="none" w:sz="0" w:space="0" w:color="auto"/>
        <w:left w:val="none" w:sz="0" w:space="0" w:color="auto"/>
        <w:bottom w:val="none" w:sz="0" w:space="0" w:color="auto"/>
        <w:right w:val="none" w:sz="0" w:space="0" w:color="auto"/>
      </w:divBdr>
    </w:div>
    <w:div w:id="301082066">
      <w:bodyDiv w:val="1"/>
      <w:marLeft w:val="0"/>
      <w:marRight w:val="0"/>
      <w:marTop w:val="0"/>
      <w:marBottom w:val="0"/>
      <w:divBdr>
        <w:top w:val="none" w:sz="0" w:space="0" w:color="auto"/>
        <w:left w:val="none" w:sz="0" w:space="0" w:color="auto"/>
        <w:bottom w:val="none" w:sz="0" w:space="0" w:color="auto"/>
        <w:right w:val="none" w:sz="0" w:space="0" w:color="auto"/>
      </w:divBdr>
    </w:div>
    <w:div w:id="306054190">
      <w:bodyDiv w:val="1"/>
      <w:marLeft w:val="0"/>
      <w:marRight w:val="0"/>
      <w:marTop w:val="0"/>
      <w:marBottom w:val="0"/>
      <w:divBdr>
        <w:top w:val="none" w:sz="0" w:space="0" w:color="auto"/>
        <w:left w:val="none" w:sz="0" w:space="0" w:color="auto"/>
        <w:bottom w:val="none" w:sz="0" w:space="0" w:color="auto"/>
        <w:right w:val="none" w:sz="0" w:space="0" w:color="auto"/>
      </w:divBdr>
    </w:div>
    <w:div w:id="311833289">
      <w:bodyDiv w:val="1"/>
      <w:marLeft w:val="0"/>
      <w:marRight w:val="0"/>
      <w:marTop w:val="0"/>
      <w:marBottom w:val="0"/>
      <w:divBdr>
        <w:top w:val="none" w:sz="0" w:space="0" w:color="auto"/>
        <w:left w:val="none" w:sz="0" w:space="0" w:color="auto"/>
        <w:bottom w:val="none" w:sz="0" w:space="0" w:color="auto"/>
        <w:right w:val="none" w:sz="0" w:space="0" w:color="auto"/>
      </w:divBdr>
    </w:div>
    <w:div w:id="315649222">
      <w:bodyDiv w:val="1"/>
      <w:marLeft w:val="0"/>
      <w:marRight w:val="0"/>
      <w:marTop w:val="0"/>
      <w:marBottom w:val="0"/>
      <w:divBdr>
        <w:top w:val="none" w:sz="0" w:space="0" w:color="auto"/>
        <w:left w:val="none" w:sz="0" w:space="0" w:color="auto"/>
        <w:bottom w:val="none" w:sz="0" w:space="0" w:color="auto"/>
        <w:right w:val="none" w:sz="0" w:space="0" w:color="auto"/>
      </w:divBdr>
    </w:div>
    <w:div w:id="317272301">
      <w:bodyDiv w:val="1"/>
      <w:marLeft w:val="0"/>
      <w:marRight w:val="0"/>
      <w:marTop w:val="0"/>
      <w:marBottom w:val="0"/>
      <w:divBdr>
        <w:top w:val="none" w:sz="0" w:space="0" w:color="auto"/>
        <w:left w:val="none" w:sz="0" w:space="0" w:color="auto"/>
        <w:bottom w:val="none" w:sz="0" w:space="0" w:color="auto"/>
        <w:right w:val="none" w:sz="0" w:space="0" w:color="auto"/>
      </w:divBdr>
    </w:div>
    <w:div w:id="320349260">
      <w:bodyDiv w:val="1"/>
      <w:marLeft w:val="0"/>
      <w:marRight w:val="0"/>
      <w:marTop w:val="0"/>
      <w:marBottom w:val="0"/>
      <w:divBdr>
        <w:top w:val="none" w:sz="0" w:space="0" w:color="auto"/>
        <w:left w:val="none" w:sz="0" w:space="0" w:color="auto"/>
        <w:bottom w:val="none" w:sz="0" w:space="0" w:color="auto"/>
        <w:right w:val="none" w:sz="0" w:space="0" w:color="auto"/>
      </w:divBdr>
    </w:div>
    <w:div w:id="321323752">
      <w:bodyDiv w:val="1"/>
      <w:marLeft w:val="0"/>
      <w:marRight w:val="0"/>
      <w:marTop w:val="0"/>
      <w:marBottom w:val="0"/>
      <w:divBdr>
        <w:top w:val="none" w:sz="0" w:space="0" w:color="auto"/>
        <w:left w:val="none" w:sz="0" w:space="0" w:color="auto"/>
        <w:bottom w:val="none" w:sz="0" w:space="0" w:color="auto"/>
        <w:right w:val="none" w:sz="0" w:space="0" w:color="auto"/>
      </w:divBdr>
    </w:div>
    <w:div w:id="326439770">
      <w:bodyDiv w:val="1"/>
      <w:marLeft w:val="0"/>
      <w:marRight w:val="0"/>
      <w:marTop w:val="0"/>
      <w:marBottom w:val="0"/>
      <w:divBdr>
        <w:top w:val="none" w:sz="0" w:space="0" w:color="auto"/>
        <w:left w:val="none" w:sz="0" w:space="0" w:color="auto"/>
        <w:bottom w:val="none" w:sz="0" w:space="0" w:color="auto"/>
        <w:right w:val="none" w:sz="0" w:space="0" w:color="auto"/>
      </w:divBdr>
    </w:div>
    <w:div w:id="333647360">
      <w:bodyDiv w:val="1"/>
      <w:marLeft w:val="0"/>
      <w:marRight w:val="0"/>
      <w:marTop w:val="0"/>
      <w:marBottom w:val="0"/>
      <w:divBdr>
        <w:top w:val="none" w:sz="0" w:space="0" w:color="auto"/>
        <w:left w:val="none" w:sz="0" w:space="0" w:color="auto"/>
        <w:bottom w:val="none" w:sz="0" w:space="0" w:color="auto"/>
        <w:right w:val="none" w:sz="0" w:space="0" w:color="auto"/>
      </w:divBdr>
    </w:div>
    <w:div w:id="337536430">
      <w:bodyDiv w:val="1"/>
      <w:marLeft w:val="0"/>
      <w:marRight w:val="0"/>
      <w:marTop w:val="0"/>
      <w:marBottom w:val="0"/>
      <w:divBdr>
        <w:top w:val="none" w:sz="0" w:space="0" w:color="auto"/>
        <w:left w:val="none" w:sz="0" w:space="0" w:color="auto"/>
        <w:bottom w:val="none" w:sz="0" w:space="0" w:color="auto"/>
        <w:right w:val="none" w:sz="0" w:space="0" w:color="auto"/>
      </w:divBdr>
    </w:div>
    <w:div w:id="339164397">
      <w:bodyDiv w:val="1"/>
      <w:marLeft w:val="0"/>
      <w:marRight w:val="0"/>
      <w:marTop w:val="0"/>
      <w:marBottom w:val="0"/>
      <w:divBdr>
        <w:top w:val="none" w:sz="0" w:space="0" w:color="auto"/>
        <w:left w:val="none" w:sz="0" w:space="0" w:color="auto"/>
        <w:bottom w:val="none" w:sz="0" w:space="0" w:color="auto"/>
        <w:right w:val="none" w:sz="0" w:space="0" w:color="auto"/>
      </w:divBdr>
    </w:div>
    <w:div w:id="339354393">
      <w:bodyDiv w:val="1"/>
      <w:marLeft w:val="0"/>
      <w:marRight w:val="0"/>
      <w:marTop w:val="0"/>
      <w:marBottom w:val="0"/>
      <w:divBdr>
        <w:top w:val="none" w:sz="0" w:space="0" w:color="auto"/>
        <w:left w:val="none" w:sz="0" w:space="0" w:color="auto"/>
        <w:bottom w:val="none" w:sz="0" w:space="0" w:color="auto"/>
        <w:right w:val="none" w:sz="0" w:space="0" w:color="auto"/>
      </w:divBdr>
    </w:div>
    <w:div w:id="351492202">
      <w:bodyDiv w:val="1"/>
      <w:marLeft w:val="0"/>
      <w:marRight w:val="0"/>
      <w:marTop w:val="0"/>
      <w:marBottom w:val="0"/>
      <w:divBdr>
        <w:top w:val="none" w:sz="0" w:space="0" w:color="auto"/>
        <w:left w:val="none" w:sz="0" w:space="0" w:color="auto"/>
        <w:bottom w:val="none" w:sz="0" w:space="0" w:color="auto"/>
        <w:right w:val="none" w:sz="0" w:space="0" w:color="auto"/>
      </w:divBdr>
    </w:div>
    <w:div w:id="361906900">
      <w:bodyDiv w:val="1"/>
      <w:marLeft w:val="0"/>
      <w:marRight w:val="0"/>
      <w:marTop w:val="0"/>
      <w:marBottom w:val="0"/>
      <w:divBdr>
        <w:top w:val="none" w:sz="0" w:space="0" w:color="auto"/>
        <w:left w:val="none" w:sz="0" w:space="0" w:color="auto"/>
        <w:bottom w:val="none" w:sz="0" w:space="0" w:color="auto"/>
        <w:right w:val="none" w:sz="0" w:space="0" w:color="auto"/>
      </w:divBdr>
    </w:div>
    <w:div w:id="364210959">
      <w:bodyDiv w:val="1"/>
      <w:marLeft w:val="0"/>
      <w:marRight w:val="0"/>
      <w:marTop w:val="0"/>
      <w:marBottom w:val="0"/>
      <w:divBdr>
        <w:top w:val="none" w:sz="0" w:space="0" w:color="auto"/>
        <w:left w:val="none" w:sz="0" w:space="0" w:color="auto"/>
        <w:bottom w:val="none" w:sz="0" w:space="0" w:color="auto"/>
        <w:right w:val="none" w:sz="0" w:space="0" w:color="auto"/>
      </w:divBdr>
    </w:div>
    <w:div w:id="367683681">
      <w:bodyDiv w:val="1"/>
      <w:marLeft w:val="0"/>
      <w:marRight w:val="0"/>
      <w:marTop w:val="0"/>
      <w:marBottom w:val="0"/>
      <w:divBdr>
        <w:top w:val="none" w:sz="0" w:space="0" w:color="auto"/>
        <w:left w:val="none" w:sz="0" w:space="0" w:color="auto"/>
        <w:bottom w:val="none" w:sz="0" w:space="0" w:color="auto"/>
        <w:right w:val="none" w:sz="0" w:space="0" w:color="auto"/>
      </w:divBdr>
    </w:div>
    <w:div w:id="367728574">
      <w:bodyDiv w:val="1"/>
      <w:marLeft w:val="0"/>
      <w:marRight w:val="0"/>
      <w:marTop w:val="0"/>
      <w:marBottom w:val="0"/>
      <w:divBdr>
        <w:top w:val="none" w:sz="0" w:space="0" w:color="auto"/>
        <w:left w:val="none" w:sz="0" w:space="0" w:color="auto"/>
        <w:bottom w:val="none" w:sz="0" w:space="0" w:color="auto"/>
        <w:right w:val="none" w:sz="0" w:space="0" w:color="auto"/>
      </w:divBdr>
    </w:div>
    <w:div w:id="373314302">
      <w:bodyDiv w:val="1"/>
      <w:marLeft w:val="0"/>
      <w:marRight w:val="0"/>
      <w:marTop w:val="0"/>
      <w:marBottom w:val="0"/>
      <w:divBdr>
        <w:top w:val="none" w:sz="0" w:space="0" w:color="auto"/>
        <w:left w:val="none" w:sz="0" w:space="0" w:color="auto"/>
        <w:bottom w:val="none" w:sz="0" w:space="0" w:color="auto"/>
        <w:right w:val="none" w:sz="0" w:space="0" w:color="auto"/>
      </w:divBdr>
    </w:div>
    <w:div w:id="375543742">
      <w:bodyDiv w:val="1"/>
      <w:marLeft w:val="0"/>
      <w:marRight w:val="0"/>
      <w:marTop w:val="0"/>
      <w:marBottom w:val="0"/>
      <w:divBdr>
        <w:top w:val="none" w:sz="0" w:space="0" w:color="auto"/>
        <w:left w:val="none" w:sz="0" w:space="0" w:color="auto"/>
        <w:bottom w:val="none" w:sz="0" w:space="0" w:color="auto"/>
        <w:right w:val="none" w:sz="0" w:space="0" w:color="auto"/>
      </w:divBdr>
    </w:div>
    <w:div w:id="377820757">
      <w:bodyDiv w:val="1"/>
      <w:marLeft w:val="0"/>
      <w:marRight w:val="0"/>
      <w:marTop w:val="0"/>
      <w:marBottom w:val="0"/>
      <w:divBdr>
        <w:top w:val="none" w:sz="0" w:space="0" w:color="auto"/>
        <w:left w:val="none" w:sz="0" w:space="0" w:color="auto"/>
        <w:bottom w:val="none" w:sz="0" w:space="0" w:color="auto"/>
        <w:right w:val="none" w:sz="0" w:space="0" w:color="auto"/>
      </w:divBdr>
    </w:div>
    <w:div w:id="380398971">
      <w:bodyDiv w:val="1"/>
      <w:marLeft w:val="0"/>
      <w:marRight w:val="0"/>
      <w:marTop w:val="0"/>
      <w:marBottom w:val="0"/>
      <w:divBdr>
        <w:top w:val="none" w:sz="0" w:space="0" w:color="auto"/>
        <w:left w:val="none" w:sz="0" w:space="0" w:color="auto"/>
        <w:bottom w:val="none" w:sz="0" w:space="0" w:color="auto"/>
        <w:right w:val="none" w:sz="0" w:space="0" w:color="auto"/>
      </w:divBdr>
    </w:div>
    <w:div w:id="382405733">
      <w:bodyDiv w:val="1"/>
      <w:marLeft w:val="0"/>
      <w:marRight w:val="0"/>
      <w:marTop w:val="0"/>
      <w:marBottom w:val="0"/>
      <w:divBdr>
        <w:top w:val="none" w:sz="0" w:space="0" w:color="auto"/>
        <w:left w:val="none" w:sz="0" w:space="0" w:color="auto"/>
        <w:bottom w:val="none" w:sz="0" w:space="0" w:color="auto"/>
        <w:right w:val="none" w:sz="0" w:space="0" w:color="auto"/>
      </w:divBdr>
    </w:div>
    <w:div w:id="382869803">
      <w:bodyDiv w:val="1"/>
      <w:marLeft w:val="0"/>
      <w:marRight w:val="0"/>
      <w:marTop w:val="0"/>
      <w:marBottom w:val="0"/>
      <w:divBdr>
        <w:top w:val="none" w:sz="0" w:space="0" w:color="auto"/>
        <w:left w:val="none" w:sz="0" w:space="0" w:color="auto"/>
        <w:bottom w:val="none" w:sz="0" w:space="0" w:color="auto"/>
        <w:right w:val="none" w:sz="0" w:space="0" w:color="auto"/>
      </w:divBdr>
    </w:div>
    <w:div w:id="385837418">
      <w:bodyDiv w:val="1"/>
      <w:marLeft w:val="0"/>
      <w:marRight w:val="0"/>
      <w:marTop w:val="0"/>
      <w:marBottom w:val="0"/>
      <w:divBdr>
        <w:top w:val="none" w:sz="0" w:space="0" w:color="auto"/>
        <w:left w:val="none" w:sz="0" w:space="0" w:color="auto"/>
        <w:bottom w:val="none" w:sz="0" w:space="0" w:color="auto"/>
        <w:right w:val="none" w:sz="0" w:space="0" w:color="auto"/>
      </w:divBdr>
    </w:div>
    <w:div w:id="391081208">
      <w:bodyDiv w:val="1"/>
      <w:marLeft w:val="0"/>
      <w:marRight w:val="0"/>
      <w:marTop w:val="0"/>
      <w:marBottom w:val="0"/>
      <w:divBdr>
        <w:top w:val="none" w:sz="0" w:space="0" w:color="auto"/>
        <w:left w:val="none" w:sz="0" w:space="0" w:color="auto"/>
        <w:bottom w:val="none" w:sz="0" w:space="0" w:color="auto"/>
        <w:right w:val="none" w:sz="0" w:space="0" w:color="auto"/>
      </w:divBdr>
    </w:div>
    <w:div w:id="397438101">
      <w:bodyDiv w:val="1"/>
      <w:marLeft w:val="0"/>
      <w:marRight w:val="0"/>
      <w:marTop w:val="0"/>
      <w:marBottom w:val="0"/>
      <w:divBdr>
        <w:top w:val="none" w:sz="0" w:space="0" w:color="auto"/>
        <w:left w:val="none" w:sz="0" w:space="0" w:color="auto"/>
        <w:bottom w:val="none" w:sz="0" w:space="0" w:color="auto"/>
        <w:right w:val="none" w:sz="0" w:space="0" w:color="auto"/>
      </w:divBdr>
    </w:div>
    <w:div w:id="398594172">
      <w:bodyDiv w:val="1"/>
      <w:marLeft w:val="0"/>
      <w:marRight w:val="0"/>
      <w:marTop w:val="0"/>
      <w:marBottom w:val="0"/>
      <w:divBdr>
        <w:top w:val="none" w:sz="0" w:space="0" w:color="auto"/>
        <w:left w:val="none" w:sz="0" w:space="0" w:color="auto"/>
        <w:bottom w:val="none" w:sz="0" w:space="0" w:color="auto"/>
        <w:right w:val="none" w:sz="0" w:space="0" w:color="auto"/>
      </w:divBdr>
    </w:div>
    <w:div w:id="400950478">
      <w:bodyDiv w:val="1"/>
      <w:marLeft w:val="0"/>
      <w:marRight w:val="0"/>
      <w:marTop w:val="0"/>
      <w:marBottom w:val="0"/>
      <w:divBdr>
        <w:top w:val="none" w:sz="0" w:space="0" w:color="auto"/>
        <w:left w:val="none" w:sz="0" w:space="0" w:color="auto"/>
        <w:bottom w:val="none" w:sz="0" w:space="0" w:color="auto"/>
        <w:right w:val="none" w:sz="0" w:space="0" w:color="auto"/>
      </w:divBdr>
    </w:div>
    <w:div w:id="403189585">
      <w:bodyDiv w:val="1"/>
      <w:marLeft w:val="0"/>
      <w:marRight w:val="0"/>
      <w:marTop w:val="0"/>
      <w:marBottom w:val="0"/>
      <w:divBdr>
        <w:top w:val="none" w:sz="0" w:space="0" w:color="auto"/>
        <w:left w:val="none" w:sz="0" w:space="0" w:color="auto"/>
        <w:bottom w:val="none" w:sz="0" w:space="0" w:color="auto"/>
        <w:right w:val="none" w:sz="0" w:space="0" w:color="auto"/>
      </w:divBdr>
    </w:div>
    <w:div w:id="408113848">
      <w:bodyDiv w:val="1"/>
      <w:marLeft w:val="0"/>
      <w:marRight w:val="0"/>
      <w:marTop w:val="0"/>
      <w:marBottom w:val="0"/>
      <w:divBdr>
        <w:top w:val="none" w:sz="0" w:space="0" w:color="auto"/>
        <w:left w:val="none" w:sz="0" w:space="0" w:color="auto"/>
        <w:bottom w:val="none" w:sz="0" w:space="0" w:color="auto"/>
        <w:right w:val="none" w:sz="0" w:space="0" w:color="auto"/>
      </w:divBdr>
    </w:div>
    <w:div w:id="416292754">
      <w:bodyDiv w:val="1"/>
      <w:marLeft w:val="0"/>
      <w:marRight w:val="0"/>
      <w:marTop w:val="0"/>
      <w:marBottom w:val="0"/>
      <w:divBdr>
        <w:top w:val="none" w:sz="0" w:space="0" w:color="auto"/>
        <w:left w:val="none" w:sz="0" w:space="0" w:color="auto"/>
        <w:bottom w:val="none" w:sz="0" w:space="0" w:color="auto"/>
        <w:right w:val="none" w:sz="0" w:space="0" w:color="auto"/>
      </w:divBdr>
    </w:div>
    <w:div w:id="431441092">
      <w:bodyDiv w:val="1"/>
      <w:marLeft w:val="0"/>
      <w:marRight w:val="0"/>
      <w:marTop w:val="0"/>
      <w:marBottom w:val="0"/>
      <w:divBdr>
        <w:top w:val="none" w:sz="0" w:space="0" w:color="auto"/>
        <w:left w:val="none" w:sz="0" w:space="0" w:color="auto"/>
        <w:bottom w:val="none" w:sz="0" w:space="0" w:color="auto"/>
        <w:right w:val="none" w:sz="0" w:space="0" w:color="auto"/>
      </w:divBdr>
    </w:div>
    <w:div w:id="433093713">
      <w:bodyDiv w:val="1"/>
      <w:marLeft w:val="0"/>
      <w:marRight w:val="0"/>
      <w:marTop w:val="0"/>
      <w:marBottom w:val="0"/>
      <w:divBdr>
        <w:top w:val="none" w:sz="0" w:space="0" w:color="auto"/>
        <w:left w:val="none" w:sz="0" w:space="0" w:color="auto"/>
        <w:bottom w:val="none" w:sz="0" w:space="0" w:color="auto"/>
        <w:right w:val="none" w:sz="0" w:space="0" w:color="auto"/>
      </w:divBdr>
    </w:div>
    <w:div w:id="444275699">
      <w:bodyDiv w:val="1"/>
      <w:marLeft w:val="0"/>
      <w:marRight w:val="0"/>
      <w:marTop w:val="0"/>
      <w:marBottom w:val="0"/>
      <w:divBdr>
        <w:top w:val="none" w:sz="0" w:space="0" w:color="auto"/>
        <w:left w:val="none" w:sz="0" w:space="0" w:color="auto"/>
        <w:bottom w:val="none" w:sz="0" w:space="0" w:color="auto"/>
        <w:right w:val="none" w:sz="0" w:space="0" w:color="auto"/>
      </w:divBdr>
    </w:div>
    <w:div w:id="449010845">
      <w:bodyDiv w:val="1"/>
      <w:marLeft w:val="0"/>
      <w:marRight w:val="0"/>
      <w:marTop w:val="0"/>
      <w:marBottom w:val="0"/>
      <w:divBdr>
        <w:top w:val="none" w:sz="0" w:space="0" w:color="auto"/>
        <w:left w:val="none" w:sz="0" w:space="0" w:color="auto"/>
        <w:bottom w:val="none" w:sz="0" w:space="0" w:color="auto"/>
        <w:right w:val="none" w:sz="0" w:space="0" w:color="auto"/>
      </w:divBdr>
    </w:div>
    <w:div w:id="453444176">
      <w:bodyDiv w:val="1"/>
      <w:marLeft w:val="0"/>
      <w:marRight w:val="0"/>
      <w:marTop w:val="0"/>
      <w:marBottom w:val="0"/>
      <w:divBdr>
        <w:top w:val="none" w:sz="0" w:space="0" w:color="auto"/>
        <w:left w:val="none" w:sz="0" w:space="0" w:color="auto"/>
        <w:bottom w:val="none" w:sz="0" w:space="0" w:color="auto"/>
        <w:right w:val="none" w:sz="0" w:space="0" w:color="auto"/>
      </w:divBdr>
    </w:div>
    <w:div w:id="453789914">
      <w:bodyDiv w:val="1"/>
      <w:marLeft w:val="0"/>
      <w:marRight w:val="0"/>
      <w:marTop w:val="0"/>
      <w:marBottom w:val="0"/>
      <w:divBdr>
        <w:top w:val="none" w:sz="0" w:space="0" w:color="auto"/>
        <w:left w:val="none" w:sz="0" w:space="0" w:color="auto"/>
        <w:bottom w:val="none" w:sz="0" w:space="0" w:color="auto"/>
        <w:right w:val="none" w:sz="0" w:space="0" w:color="auto"/>
      </w:divBdr>
    </w:div>
    <w:div w:id="455833980">
      <w:bodyDiv w:val="1"/>
      <w:marLeft w:val="0"/>
      <w:marRight w:val="0"/>
      <w:marTop w:val="0"/>
      <w:marBottom w:val="0"/>
      <w:divBdr>
        <w:top w:val="none" w:sz="0" w:space="0" w:color="auto"/>
        <w:left w:val="none" w:sz="0" w:space="0" w:color="auto"/>
        <w:bottom w:val="none" w:sz="0" w:space="0" w:color="auto"/>
        <w:right w:val="none" w:sz="0" w:space="0" w:color="auto"/>
      </w:divBdr>
    </w:div>
    <w:div w:id="456145687">
      <w:bodyDiv w:val="1"/>
      <w:marLeft w:val="0"/>
      <w:marRight w:val="0"/>
      <w:marTop w:val="0"/>
      <w:marBottom w:val="0"/>
      <w:divBdr>
        <w:top w:val="none" w:sz="0" w:space="0" w:color="auto"/>
        <w:left w:val="none" w:sz="0" w:space="0" w:color="auto"/>
        <w:bottom w:val="none" w:sz="0" w:space="0" w:color="auto"/>
        <w:right w:val="none" w:sz="0" w:space="0" w:color="auto"/>
      </w:divBdr>
    </w:div>
    <w:div w:id="462500168">
      <w:bodyDiv w:val="1"/>
      <w:marLeft w:val="0"/>
      <w:marRight w:val="0"/>
      <w:marTop w:val="0"/>
      <w:marBottom w:val="0"/>
      <w:divBdr>
        <w:top w:val="none" w:sz="0" w:space="0" w:color="auto"/>
        <w:left w:val="none" w:sz="0" w:space="0" w:color="auto"/>
        <w:bottom w:val="none" w:sz="0" w:space="0" w:color="auto"/>
        <w:right w:val="none" w:sz="0" w:space="0" w:color="auto"/>
      </w:divBdr>
    </w:div>
    <w:div w:id="464546924">
      <w:bodyDiv w:val="1"/>
      <w:marLeft w:val="0"/>
      <w:marRight w:val="0"/>
      <w:marTop w:val="0"/>
      <w:marBottom w:val="0"/>
      <w:divBdr>
        <w:top w:val="none" w:sz="0" w:space="0" w:color="auto"/>
        <w:left w:val="none" w:sz="0" w:space="0" w:color="auto"/>
        <w:bottom w:val="none" w:sz="0" w:space="0" w:color="auto"/>
        <w:right w:val="none" w:sz="0" w:space="0" w:color="auto"/>
      </w:divBdr>
    </w:div>
    <w:div w:id="474370771">
      <w:bodyDiv w:val="1"/>
      <w:marLeft w:val="0"/>
      <w:marRight w:val="0"/>
      <w:marTop w:val="0"/>
      <w:marBottom w:val="0"/>
      <w:divBdr>
        <w:top w:val="none" w:sz="0" w:space="0" w:color="auto"/>
        <w:left w:val="none" w:sz="0" w:space="0" w:color="auto"/>
        <w:bottom w:val="none" w:sz="0" w:space="0" w:color="auto"/>
        <w:right w:val="none" w:sz="0" w:space="0" w:color="auto"/>
      </w:divBdr>
    </w:div>
    <w:div w:id="479930313">
      <w:bodyDiv w:val="1"/>
      <w:marLeft w:val="0"/>
      <w:marRight w:val="0"/>
      <w:marTop w:val="0"/>
      <w:marBottom w:val="0"/>
      <w:divBdr>
        <w:top w:val="none" w:sz="0" w:space="0" w:color="auto"/>
        <w:left w:val="none" w:sz="0" w:space="0" w:color="auto"/>
        <w:bottom w:val="none" w:sz="0" w:space="0" w:color="auto"/>
        <w:right w:val="none" w:sz="0" w:space="0" w:color="auto"/>
      </w:divBdr>
    </w:div>
    <w:div w:id="484275344">
      <w:bodyDiv w:val="1"/>
      <w:marLeft w:val="0"/>
      <w:marRight w:val="0"/>
      <w:marTop w:val="0"/>
      <w:marBottom w:val="0"/>
      <w:divBdr>
        <w:top w:val="none" w:sz="0" w:space="0" w:color="auto"/>
        <w:left w:val="none" w:sz="0" w:space="0" w:color="auto"/>
        <w:bottom w:val="none" w:sz="0" w:space="0" w:color="auto"/>
        <w:right w:val="none" w:sz="0" w:space="0" w:color="auto"/>
      </w:divBdr>
    </w:div>
    <w:div w:id="485584797">
      <w:bodyDiv w:val="1"/>
      <w:marLeft w:val="0"/>
      <w:marRight w:val="0"/>
      <w:marTop w:val="0"/>
      <w:marBottom w:val="0"/>
      <w:divBdr>
        <w:top w:val="none" w:sz="0" w:space="0" w:color="auto"/>
        <w:left w:val="none" w:sz="0" w:space="0" w:color="auto"/>
        <w:bottom w:val="none" w:sz="0" w:space="0" w:color="auto"/>
        <w:right w:val="none" w:sz="0" w:space="0" w:color="auto"/>
      </w:divBdr>
    </w:div>
    <w:div w:id="488375598">
      <w:bodyDiv w:val="1"/>
      <w:marLeft w:val="0"/>
      <w:marRight w:val="0"/>
      <w:marTop w:val="0"/>
      <w:marBottom w:val="0"/>
      <w:divBdr>
        <w:top w:val="none" w:sz="0" w:space="0" w:color="auto"/>
        <w:left w:val="none" w:sz="0" w:space="0" w:color="auto"/>
        <w:bottom w:val="none" w:sz="0" w:space="0" w:color="auto"/>
        <w:right w:val="none" w:sz="0" w:space="0" w:color="auto"/>
      </w:divBdr>
    </w:div>
    <w:div w:id="491719229">
      <w:bodyDiv w:val="1"/>
      <w:marLeft w:val="0"/>
      <w:marRight w:val="0"/>
      <w:marTop w:val="0"/>
      <w:marBottom w:val="0"/>
      <w:divBdr>
        <w:top w:val="none" w:sz="0" w:space="0" w:color="auto"/>
        <w:left w:val="none" w:sz="0" w:space="0" w:color="auto"/>
        <w:bottom w:val="none" w:sz="0" w:space="0" w:color="auto"/>
        <w:right w:val="none" w:sz="0" w:space="0" w:color="auto"/>
      </w:divBdr>
    </w:div>
    <w:div w:id="496386161">
      <w:bodyDiv w:val="1"/>
      <w:marLeft w:val="0"/>
      <w:marRight w:val="0"/>
      <w:marTop w:val="0"/>
      <w:marBottom w:val="0"/>
      <w:divBdr>
        <w:top w:val="none" w:sz="0" w:space="0" w:color="auto"/>
        <w:left w:val="none" w:sz="0" w:space="0" w:color="auto"/>
        <w:bottom w:val="none" w:sz="0" w:space="0" w:color="auto"/>
        <w:right w:val="none" w:sz="0" w:space="0" w:color="auto"/>
      </w:divBdr>
    </w:div>
    <w:div w:id="497304893">
      <w:bodyDiv w:val="1"/>
      <w:marLeft w:val="0"/>
      <w:marRight w:val="0"/>
      <w:marTop w:val="0"/>
      <w:marBottom w:val="0"/>
      <w:divBdr>
        <w:top w:val="none" w:sz="0" w:space="0" w:color="auto"/>
        <w:left w:val="none" w:sz="0" w:space="0" w:color="auto"/>
        <w:bottom w:val="none" w:sz="0" w:space="0" w:color="auto"/>
        <w:right w:val="none" w:sz="0" w:space="0" w:color="auto"/>
      </w:divBdr>
    </w:div>
    <w:div w:id="499319973">
      <w:bodyDiv w:val="1"/>
      <w:marLeft w:val="0"/>
      <w:marRight w:val="0"/>
      <w:marTop w:val="0"/>
      <w:marBottom w:val="0"/>
      <w:divBdr>
        <w:top w:val="none" w:sz="0" w:space="0" w:color="auto"/>
        <w:left w:val="none" w:sz="0" w:space="0" w:color="auto"/>
        <w:bottom w:val="none" w:sz="0" w:space="0" w:color="auto"/>
        <w:right w:val="none" w:sz="0" w:space="0" w:color="auto"/>
      </w:divBdr>
    </w:div>
    <w:div w:id="504592740">
      <w:bodyDiv w:val="1"/>
      <w:marLeft w:val="0"/>
      <w:marRight w:val="0"/>
      <w:marTop w:val="0"/>
      <w:marBottom w:val="0"/>
      <w:divBdr>
        <w:top w:val="none" w:sz="0" w:space="0" w:color="auto"/>
        <w:left w:val="none" w:sz="0" w:space="0" w:color="auto"/>
        <w:bottom w:val="none" w:sz="0" w:space="0" w:color="auto"/>
        <w:right w:val="none" w:sz="0" w:space="0" w:color="auto"/>
      </w:divBdr>
    </w:div>
    <w:div w:id="509023359">
      <w:bodyDiv w:val="1"/>
      <w:marLeft w:val="0"/>
      <w:marRight w:val="0"/>
      <w:marTop w:val="0"/>
      <w:marBottom w:val="0"/>
      <w:divBdr>
        <w:top w:val="none" w:sz="0" w:space="0" w:color="auto"/>
        <w:left w:val="none" w:sz="0" w:space="0" w:color="auto"/>
        <w:bottom w:val="none" w:sz="0" w:space="0" w:color="auto"/>
        <w:right w:val="none" w:sz="0" w:space="0" w:color="auto"/>
      </w:divBdr>
    </w:div>
    <w:div w:id="510074719">
      <w:bodyDiv w:val="1"/>
      <w:marLeft w:val="0"/>
      <w:marRight w:val="0"/>
      <w:marTop w:val="0"/>
      <w:marBottom w:val="0"/>
      <w:divBdr>
        <w:top w:val="none" w:sz="0" w:space="0" w:color="auto"/>
        <w:left w:val="none" w:sz="0" w:space="0" w:color="auto"/>
        <w:bottom w:val="none" w:sz="0" w:space="0" w:color="auto"/>
        <w:right w:val="none" w:sz="0" w:space="0" w:color="auto"/>
      </w:divBdr>
    </w:div>
    <w:div w:id="510948151">
      <w:bodyDiv w:val="1"/>
      <w:marLeft w:val="0"/>
      <w:marRight w:val="0"/>
      <w:marTop w:val="0"/>
      <w:marBottom w:val="0"/>
      <w:divBdr>
        <w:top w:val="none" w:sz="0" w:space="0" w:color="auto"/>
        <w:left w:val="none" w:sz="0" w:space="0" w:color="auto"/>
        <w:bottom w:val="none" w:sz="0" w:space="0" w:color="auto"/>
        <w:right w:val="none" w:sz="0" w:space="0" w:color="auto"/>
      </w:divBdr>
    </w:div>
    <w:div w:id="513156319">
      <w:bodyDiv w:val="1"/>
      <w:marLeft w:val="0"/>
      <w:marRight w:val="0"/>
      <w:marTop w:val="0"/>
      <w:marBottom w:val="0"/>
      <w:divBdr>
        <w:top w:val="none" w:sz="0" w:space="0" w:color="auto"/>
        <w:left w:val="none" w:sz="0" w:space="0" w:color="auto"/>
        <w:bottom w:val="none" w:sz="0" w:space="0" w:color="auto"/>
        <w:right w:val="none" w:sz="0" w:space="0" w:color="auto"/>
      </w:divBdr>
    </w:div>
    <w:div w:id="515850058">
      <w:bodyDiv w:val="1"/>
      <w:marLeft w:val="0"/>
      <w:marRight w:val="0"/>
      <w:marTop w:val="0"/>
      <w:marBottom w:val="0"/>
      <w:divBdr>
        <w:top w:val="none" w:sz="0" w:space="0" w:color="auto"/>
        <w:left w:val="none" w:sz="0" w:space="0" w:color="auto"/>
        <w:bottom w:val="none" w:sz="0" w:space="0" w:color="auto"/>
        <w:right w:val="none" w:sz="0" w:space="0" w:color="auto"/>
      </w:divBdr>
    </w:div>
    <w:div w:id="516193428">
      <w:bodyDiv w:val="1"/>
      <w:marLeft w:val="0"/>
      <w:marRight w:val="0"/>
      <w:marTop w:val="0"/>
      <w:marBottom w:val="0"/>
      <w:divBdr>
        <w:top w:val="none" w:sz="0" w:space="0" w:color="auto"/>
        <w:left w:val="none" w:sz="0" w:space="0" w:color="auto"/>
        <w:bottom w:val="none" w:sz="0" w:space="0" w:color="auto"/>
        <w:right w:val="none" w:sz="0" w:space="0" w:color="auto"/>
      </w:divBdr>
    </w:div>
    <w:div w:id="525097328">
      <w:bodyDiv w:val="1"/>
      <w:marLeft w:val="0"/>
      <w:marRight w:val="0"/>
      <w:marTop w:val="0"/>
      <w:marBottom w:val="0"/>
      <w:divBdr>
        <w:top w:val="none" w:sz="0" w:space="0" w:color="auto"/>
        <w:left w:val="none" w:sz="0" w:space="0" w:color="auto"/>
        <w:bottom w:val="none" w:sz="0" w:space="0" w:color="auto"/>
        <w:right w:val="none" w:sz="0" w:space="0" w:color="auto"/>
      </w:divBdr>
    </w:div>
    <w:div w:id="526721401">
      <w:bodyDiv w:val="1"/>
      <w:marLeft w:val="0"/>
      <w:marRight w:val="0"/>
      <w:marTop w:val="0"/>
      <w:marBottom w:val="0"/>
      <w:divBdr>
        <w:top w:val="none" w:sz="0" w:space="0" w:color="auto"/>
        <w:left w:val="none" w:sz="0" w:space="0" w:color="auto"/>
        <w:bottom w:val="none" w:sz="0" w:space="0" w:color="auto"/>
        <w:right w:val="none" w:sz="0" w:space="0" w:color="auto"/>
      </w:divBdr>
    </w:div>
    <w:div w:id="532379458">
      <w:bodyDiv w:val="1"/>
      <w:marLeft w:val="0"/>
      <w:marRight w:val="0"/>
      <w:marTop w:val="0"/>
      <w:marBottom w:val="0"/>
      <w:divBdr>
        <w:top w:val="none" w:sz="0" w:space="0" w:color="auto"/>
        <w:left w:val="none" w:sz="0" w:space="0" w:color="auto"/>
        <w:bottom w:val="none" w:sz="0" w:space="0" w:color="auto"/>
        <w:right w:val="none" w:sz="0" w:space="0" w:color="auto"/>
      </w:divBdr>
    </w:div>
    <w:div w:id="534462577">
      <w:bodyDiv w:val="1"/>
      <w:marLeft w:val="0"/>
      <w:marRight w:val="0"/>
      <w:marTop w:val="0"/>
      <w:marBottom w:val="0"/>
      <w:divBdr>
        <w:top w:val="none" w:sz="0" w:space="0" w:color="auto"/>
        <w:left w:val="none" w:sz="0" w:space="0" w:color="auto"/>
        <w:bottom w:val="none" w:sz="0" w:space="0" w:color="auto"/>
        <w:right w:val="none" w:sz="0" w:space="0" w:color="auto"/>
      </w:divBdr>
    </w:div>
    <w:div w:id="536360014">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587568">
      <w:bodyDiv w:val="1"/>
      <w:marLeft w:val="0"/>
      <w:marRight w:val="0"/>
      <w:marTop w:val="0"/>
      <w:marBottom w:val="0"/>
      <w:divBdr>
        <w:top w:val="none" w:sz="0" w:space="0" w:color="auto"/>
        <w:left w:val="none" w:sz="0" w:space="0" w:color="auto"/>
        <w:bottom w:val="none" w:sz="0" w:space="0" w:color="auto"/>
        <w:right w:val="none" w:sz="0" w:space="0" w:color="auto"/>
      </w:divBdr>
    </w:div>
    <w:div w:id="544563822">
      <w:bodyDiv w:val="1"/>
      <w:marLeft w:val="0"/>
      <w:marRight w:val="0"/>
      <w:marTop w:val="0"/>
      <w:marBottom w:val="0"/>
      <w:divBdr>
        <w:top w:val="none" w:sz="0" w:space="0" w:color="auto"/>
        <w:left w:val="none" w:sz="0" w:space="0" w:color="auto"/>
        <w:bottom w:val="none" w:sz="0" w:space="0" w:color="auto"/>
        <w:right w:val="none" w:sz="0" w:space="0" w:color="auto"/>
      </w:divBdr>
    </w:div>
    <w:div w:id="546842949">
      <w:bodyDiv w:val="1"/>
      <w:marLeft w:val="0"/>
      <w:marRight w:val="0"/>
      <w:marTop w:val="0"/>
      <w:marBottom w:val="0"/>
      <w:divBdr>
        <w:top w:val="none" w:sz="0" w:space="0" w:color="auto"/>
        <w:left w:val="none" w:sz="0" w:space="0" w:color="auto"/>
        <w:bottom w:val="none" w:sz="0" w:space="0" w:color="auto"/>
        <w:right w:val="none" w:sz="0" w:space="0" w:color="auto"/>
      </w:divBdr>
    </w:div>
    <w:div w:id="554633063">
      <w:bodyDiv w:val="1"/>
      <w:marLeft w:val="0"/>
      <w:marRight w:val="0"/>
      <w:marTop w:val="0"/>
      <w:marBottom w:val="0"/>
      <w:divBdr>
        <w:top w:val="none" w:sz="0" w:space="0" w:color="auto"/>
        <w:left w:val="none" w:sz="0" w:space="0" w:color="auto"/>
        <w:bottom w:val="none" w:sz="0" w:space="0" w:color="auto"/>
        <w:right w:val="none" w:sz="0" w:space="0" w:color="auto"/>
      </w:divBdr>
    </w:div>
    <w:div w:id="561058133">
      <w:bodyDiv w:val="1"/>
      <w:marLeft w:val="0"/>
      <w:marRight w:val="0"/>
      <w:marTop w:val="0"/>
      <w:marBottom w:val="0"/>
      <w:divBdr>
        <w:top w:val="none" w:sz="0" w:space="0" w:color="auto"/>
        <w:left w:val="none" w:sz="0" w:space="0" w:color="auto"/>
        <w:bottom w:val="none" w:sz="0" w:space="0" w:color="auto"/>
        <w:right w:val="none" w:sz="0" w:space="0" w:color="auto"/>
      </w:divBdr>
    </w:div>
    <w:div w:id="563881671">
      <w:bodyDiv w:val="1"/>
      <w:marLeft w:val="0"/>
      <w:marRight w:val="0"/>
      <w:marTop w:val="0"/>
      <w:marBottom w:val="0"/>
      <w:divBdr>
        <w:top w:val="none" w:sz="0" w:space="0" w:color="auto"/>
        <w:left w:val="none" w:sz="0" w:space="0" w:color="auto"/>
        <w:bottom w:val="none" w:sz="0" w:space="0" w:color="auto"/>
        <w:right w:val="none" w:sz="0" w:space="0" w:color="auto"/>
      </w:divBdr>
    </w:div>
    <w:div w:id="564026153">
      <w:bodyDiv w:val="1"/>
      <w:marLeft w:val="0"/>
      <w:marRight w:val="0"/>
      <w:marTop w:val="0"/>
      <w:marBottom w:val="0"/>
      <w:divBdr>
        <w:top w:val="none" w:sz="0" w:space="0" w:color="auto"/>
        <w:left w:val="none" w:sz="0" w:space="0" w:color="auto"/>
        <w:bottom w:val="none" w:sz="0" w:space="0" w:color="auto"/>
        <w:right w:val="none" w:sz="0" w:space="0" w:color="auto"/>
      </w:divBdr>
    </w:div>
    <w:div w:id="567155171">
      <w:bodyDiv w:val="1"/>
      <w:marLeft w:val="0"/>
      <w:marRight w:val="0"/>
      <w:marTop w:val="0"/>
      <w:marBottom w:val="0"/>
      <w:divBdr>
        <w:top w:val="none" w:sz="0" w:space="0" w:color="auto"/>
        <w:left w:val="none" w:sz="0" w:space="0" w:color="auto"/>
        <w:bottom w:val="none" w:sz="0" w:space="0" w:color="auto"/>
        <w:right w:val="none" w:sz="0" w:space="0" w:color="auto"/>
      </w:divBdr>
    </w:div>
    <w:div w:id="574557447">
      <w:bodyDiv w:val="1"/>
      <w:marLeft w:val="0"/>
      <w:marRight w:val="0"/>
      <w:marTop w:val="0"/>
      <w:marBottom w:val="0"/>
      <w:divBdr>
        <w:top w:val="none" w:sz="0" w:space="0" w:color="auto"/>
        <w:left w:val="none" w:sz="0" w:space="0" w:color="auto"/>
        <w:bottom w:val="none" w:sz="0" w:space="0" w:color="auto"/>
        <w:right w:val="none" w:sz="0" w:space="0" w:color="auto"/>
      </w:divBdr>
    </w:div>
    <w:div w:id="592934429">
      <w:bodyDiv w:val="1"/>
      <w:marLeft w:val="0"/>
      <w:marRight w:val="0"/>
      <w:marTop w:val="0"/>
      <w:marBottom w:val="0"/>
      <w:divBdr>
        <w:top w:val="none" w:sz="0" w:space="0" w:color="auto"/>
        <w:left w:val="none" w:sz="0" w:space="0" w:color="auto"/>
        <w:bottom w:val="none" w:sz="0" w:space="0" w:color="auto"/>
        <w:right w:val="none" w:sz="0" w:space="0" w:color="auto"/>
      </w:divBdr>
    </w:div>
    <w:div w:id="598175748">
      <w:bodyDiv w:val="1"/>
      <w:marLeft w:val="0"/>
      <w:marRight w:val="0"/>
      <w:marTop w:val="0"/>
      <w:marBottom w:val="0"/>
      <w:divBdr>
        <w:top w:val="none" w:sz="0" w:space="0" w:color="auto"/>
        <w:left w:val="none" w:sz="0" w:space="0" w:color="auto"/>
        <w:bottom w:val="none" w:sz="0" w:space="0" w:color="auto"/>
        <w:right w:val="none" w:sz="0" w:space="0" w:color="auto"/>
      </w:divBdr>
    </w:div>
    <w:div w:id="598490004">
      <w:bodyDiv w:val="1"/>
      <w:marLeft w:val="0"/>
      <w:marRight w:val="0"/>
      <w:marTop w:val="0"/>
      <w:marBottom w:val="0"/>
      <w:divBdr>
        <w:top w:val="none" w:sz="0" w:space="0" w:color="auto"/>
        <w:left w:val="none" w:sz="0" w:space="0" w:color="auto"/>
        <w:bottom w:val="none" w:sz="0" w:space="0" w:color="auto"/>
        <w:right w:val="none" w:sz="0" w:space="0" w:color="auto"/>
      </w:divBdr>
    </w:div>
    <w:div w:id="599870645">
      <w:bodyDiv w:val="1"/>
      <w:marLeft w:val="0"/>
      <w:marRight w:val="0"/>
      <w:marTop w:val="0"/>
      <w:marBottom w:val="0"/>
      <w:divBdr>
        <w:top w:val="none" w:sz="0" w:space="0" w:color="auto"/>
        <w:left w:val="none" w:sz="0" w:space="0" w:color="auto"/>
        <w:bottom w:val="none" w:sz="0" w:space="0" w:color="auto"/>
        <w:right w:val="none" w:sz="0" w:space="0" w:color="auto"/>
      </w:divBdr>
    </w:div>
    <w:div w:id="599995666">
      <w:bodyDiv w:val="1"/>
      <w:marLeft w:val="0"/>
      <w:marRight w:val="0"/>
      <w:marTop w:val="0"/>
      <w:marBottom w:val="0"/>
      <w:divBdr>
        <w:top w:val="none" w:sz="0" w:space="0" w:color="auto"/>
        <w:left w:val="none" w:sz="0" w:space="0" w:color="auto"/>
        <w:bottom w:val="none" w:sz="0" w:space="0" w:color="auto"/>
        <w:right w:val="none" w:sz="0" w:space="0" w:color="auto"/>
      </w:divBdr>
    </w:div>
    <w:div w:id="606082273">
      <w:bodyDiv w:val="1"/>
      <w:marLeft w:val="0"/>
      <w:marRight w:val="0"/>
      <w:marTop w:val="0"/>
      <w:marBottom w:val="0"/>
      <w:divBdr>
        <w:top w:val="none" w:sz="0" w:space="0" w:color="auto"/>
        <w:left w:val="none" w:sz="0" w:space="0" w:color="auto"/>
        <w:bottom w:val="none" w:sz="0" w:space="0" w:color="auto"/>
        <w:right w:val="none" w:sz="0" w:space="0" w:color="auto"/>
      </w:divBdr>
    </w:div>
    <w:div w:id="611322558">
      <w:bodyDiv w:val="1"/>
      <w:marLeft w:val="0"/>
      <w:marRight w:val="0"/>
      <w:marTop w:val="0"/>
      <w:marBottom w:val="0"/>
      <w:divBdr>
        <w:top w:val="none" w:sz="0" w:space="0" w:color="auto"/>
        <w:left w:val="none" w:sz="0" w:space="0" w:color="auto"/>
        <w:bottom w:val="none" w:sz="0" w:space="0" w:color="auto"/>
        <w:right w:val="none" w:sz="0" w:space="0" w:color="auto"/>
      </w:divBdr>
    </w:div>
    <w:div w:id="618948181">
      <w:bodyDiv w:val="1"/>
      <w:marLeft w:val="0"/>
      <w:marRight w:val="0"/>
      <w:marTop w:val="0"/>
      <w:marBottom w:val="0"/>
      <w:divBdr>
        <w:top w:val="none" w:sz="0" w:space="0" w:color="auto"/>
        <w:left w:val="none" w:sz="0" w:space="0" w:color="auto"/>
        <w:bottom w:val="none" w:sz="0" w:space="0" w:color="auto"/>
        <w:right w:val="none" w:sz="0" w:space="0" w:color="auto"/>
      </w:divBdr>
    </w:div>
    <w:div w:id="619605310">
      <w:bodyDiv w:val="1"/>
      <w:marLeft w:val="0"/>
      <w:marRight w:val="0"/>
      <w:marTop w:val="0"/>
      <w:marBottom w:val="0"/>
      <w:divBdr>
        <w:top w:val="none" w:sz="0" w:space="0" w:color="auto"/>
        <w:left w:val="none" w:sz="0" w:space="0" w:color="auto"/>
        <w:bottom w:val="none" w:sz="0" w:space="0" w:color="auto"/>
        <w:right w:val="none" w:sz="0" w:space="0" w:color="auto"/>
      </w:divBdr>
    </w:div>
    <w:div w:id="625937754">
      <w:bodyDiv w:val="1"/>
      <w:marLeft w:val="0"/>
      <w:marRight w:val="0"/>
      <w:marTop w:val="0"/>
      <w:marBottom w:val="0"/>
      <w:divBdr>
        <w:top w:val="none" w:sz="0" w:space="0" w:color="auto"/>
        <w:left w:val="none" w:sz="0" w:space="0" w:color="auto"/>
        <w:bottom w:val="none" w:sz="0" w:space="0" w:color="auto"/>
        <w:right w:val="none" w:sz="0" w:space="0" w:color="auto"/>
      </w:divBdr>
    </w:div>
    <w:div w:id="628511748">
      <w:bodyDiv w:val="1"/>
      <w:marLeft w:val="0"/>
      <w:marRight w:val="0"/>
      <w:marTop w:val="0"/>
      <w:marBottom w:val="0"/>
      <w:divBdr>
        <w:top w:val="none" w:sz="0" w:space="0" w:color="auto"/>
        <w:left w:val="none" w:sz="0" w:space="0" w:color="auto"/>
        <w:bottom w:val="none" w:sz="0" w:space="0" w:color="auto"/>
        <w:right w:val="none" w:sz="0" w:space="0" w:color="auto"/>
      </w:divBdr>
    </w:div>
    <w:div w:id="632908965">
      <w:bodyDiv w:val="1"/>
      <w:marLeft w:val="0"/>
      <w:marRight w:val="0"/>
      <w:marTop w:val="0"/>
      <w:marBottom w:val="0"/>
      <w:divBdr>
        <w:top w:val="none" w:sz="0" w:space="0" w:color="auto"/>
        <w:left w:val="none" w:sz="0" w:space="0" w:color="auto"/>
        <w:bottom w:val="none" w:sz="0" w:space="0" w:color="auto"/>
        <w:right w:val="none" w:sz="0" w:space="0" w:color="auto"/>
      </w:divBdr>
    </w:div>
    <w:div w:id="634987583">
      <w:bodyDiv w:val="1"/>
      <w:marLeft w:val="0"/>
      <w:marRight w:val="0"/>
      <w:marTop w:val="0"/>
      <w:marBottom w:val="0"/>
      <w:divBdr>
        <w:top w:val="none" w:sz="0" w:space="0" w:color="auto"/>
        <w:left w:val="none" w:sz="0" w:space="0" w:color="auto"/>
        <w:bottom w:val="none" w:sz="0" w:space="0" w:color="auto"/>
        <w:right w:val="none" w:sz="0" w:space="0" w:color="auto"/>
      </w:divBdr>
    </w:div>
    <w:div w:id="646788538">
      <w:bodyDiv w:val="1"/>
      <w:marLeft w:val="0"/>
      <w:marRight w:val="0"/>
      <w:marTop w:val="0"/>
      <w:marBottom w:val="0"/>
      <w:divBdr>
        <w:top w:val="none" w:sz="0" w:space="0" w:color="auto"/>
        <w:left w:val="none" w:sz="0" w:space="0" w:color="auto"/>
        <w:bottom w:val="none" w:sz="0" w:space="0" w:color="auto"/>
        <w:right w:val="none" w:sz="0" w:space="0" w:color="auto"/>
      </w:divBdr>
    </w:div>
    <w:div w:id="657155260">
      <w:bodyDiv w:val="1"/>
      <w:marLeft w:val="0"/>
      <w:marRight w:val="0"/>
      <w:marTop w:val="0"/>
      <w:marBottom w:val="0"/>
      <w:divBdr>
        <w:top w:val="none" w:sz="0" w:space="0" w:color="auto"/>
        <w:left w:val="none" w:sz="0" w:space="0" w:color="auto"/>
        <w:bottom w:val="none" w:sz="0" w:space="0" w:color="auto"/>
        <w:right w:val="none" w:sz="0" w:space="0" w:color="auto"/>
      </w:divBdr>
    </w:div>
    <w:div w:id="658508802">
      <w:bodyDiv w:val="1"/>
      <w:marLeft w:val="0"/>
      <w:marRight w:val="0"/>
      <w:marTop w:val="0"/>
      <w:marBottom w:val="0"/>
      <w:divBdr>
        <w:top w:val="none" w:sz="0" w:space="0" w:color="auto"/>
        <w:left w:val="none" w:sz="0" w:space="0" w:color="auto"/>
        <w:bottom w:val="none" w:sz="0" w:space="0" w:color="auto"/>
        <w:right w:val="none" w:sz="0" w:space="0" w:color="auto"/>
      </w:divBdr>
    </w:div>
    <w:div w:id="658660371">
      <w:bodyDiv w:val="1"/>
      <w:marLeft w:val="0"/>
      <w:marRight w:val="0"/>
      <w:marTop w:val="0"/>
      <w:marBottom w:val="0"/>
      <w:divBdr>
        <w:top w:val="none" w:sz="0" w:space="0" w:color="auto"/>
        <w:left w:val="none" w:sz="0" w:space="0" w:color="auto"/>
        <w:bottom w:val="none" w:sz="0" w:space="0" w:color="auto"/>
        <w:right w:val="none" w:sz="0" w:space="0" w:color="auto"/>
      </w:divBdr>
    </w:div>
    <w:div w:id="672149911">
      <w:bodyDiv w:val="1"/>
      <w:marLeft w:val="0"/>
      <w:marRight w:val="0"/>
      <w:marTop w:val="0"/>
      <w:marBottom w:val="0"/>
      <w:divBdr>
        <w:top w:val="none" w:sz="0" w:space="0" w:color="auto"/>
        <w:left w:val="none" w:sz="0" w:space="0" w:color="auto"/>
        <w:bottom w:val="none" w:sz="0" w:space="0" w:color="auto"/>
        <w:right w:val="none" w:sz="0" w:space="0" w:color="auto"/>
      </w:divBdr>
    </w:div>
    <w:div w:id="674185299">
      <w:bodyDiv w:val="1"/>
      <w:marLeft w:val="0"/>
      <w:marRight w:val="0"/>
      <w:marTop w:val="0"/>
      <w:marBottom w:val="0"/>
      <w:divBdr>
        <w:top w:val="none" w:sz="0" w:space="0" w:color="auto"/>
        <w:left w:val="none" w:sz="0" w:space="0" w:color="auto"/>
        <w:bottom w:val="none" w:sz="0" w:space="0" w:color="auto"/>
        <w:right w:val="none" w:sz="0" w:space="0" w:color="auto"/>
      </w:divBdr>
    </w:div>
    <w:div w:id="681395668">
      <w:bodyDiv w:val="1"/>
      <w:marLeft w:val="0"/>
      <w:marRight w:val="0"/>
      <w:marTop w:val="0"/>
      <w:marBottom w:val="0"/>
      <w:divBdr>
        <w:top w:val="none" w:sz="0" w:space="0" w:color="auto"/>
        <w:left w:val="none" w:sz="0" w:space="0" w:color="auto"/>
        <w:bottom w:val="none" w:sz="0" w:space="0" w:color="auto"/>
        <w:right w:val="none" w:sz="0" w:space="0" w:color="auto"/>
      </w:divBdr>
    </w:div>
    <w:div w:id="684751357">
      <w:bodyDiv w:val="1"/>
      <w:marLeft w:val="0"/>
      <w:marRight w:val="0"/>
      <w:marTop w:val="0"/>
      <w:marBottom w:val="0"/>
      <w:divBdr>
        <w:top w:val="none" w:sz="0" w:space="0" w:color="auto"/>
        <w:left w:val="none" w:sz="0" w:space="0" w:color="auto"/>
        <w:bottom w:val="none" w:sz="0" w:space="0" w:color="auto"/>
        <w:right w:val="none" w:sz="0" w:space="0" w:color="auto"/>
      </w:divBdr>
    </w:div>
    <w:div w:id="685907344">
      <w:bodyDiv w:val="1"/>
      <w:marLeft w:val="0"/>
      <w:marRight w:val="0"/>
      <w:marTop w:val="0"/>
      <w:marBottom w:val="0"/>
      <w:divBdr>
        <w:top w:val="none" w:sz="0" w:space="0" w:color="auto"/>
        <w:left w:val="none" w:sz="0" w:space="0" w:color="auto"/>
        <w:bottom w:val="none" w:sz="0" w:space="0" w:color="auto"/>
        <w:right w:val="none" w:sz="0" w:space="0" w:color="auto"/>
      </w:divBdr>
    </w:div>
    <w:div w:id="687752411">
      <w:bodyDiv w:val="1"/>
      <w:marLeft w:val="0"/>
      <w:marRight w:val="0"/>
      <w:marTop w:val="0"/>
      <w:marBottom w:val="0"/>
      <w:divBdr>
        <w:top w:val="none" w:sz="0" w:space="0" w:color="auto"/>
        <w:left w:val="none" w:sz="0" w:space="0" w:color="auto"/>
        <w:bottom w:val="none" w:sz="0" w:space="0" w:color="auto"/>
        <w:right w:val="none" w:sz="0" w:space="0" w:color="auto"/>
      </w:divBdr>
    </w:div>
    <w:div w:id="696934315">
      <w:bodyDiv w:val="1"/>
      <w:marLeft w:val="0"/>
      <w:marRight w:val="0"/>
      <w:marTop w:val="0"/>
      <w:marBottom w:val="0"/>
      <w:divBdr>
        <w:top w:val="none" w:sz="0" w:space="0" w:color="auto"/>
        <w:left w:val="none" w:sz="0" w:space="0" w:color="auto"/>
        <w:bottom w:val="none" w:sz="0" w:space="0" w:color="auto"/>
        <w:right w:val="none" w:sz="0" w:space="0" w:color="auto"/>
      </w:divBdr>
    </w:div>
    <w:div w:id="697899963">
      <w:bodyDiv w:val="1"/>
      <w:marLeft w:val="0"/>
      <w:marRight w:val="0"/>
      <w:marTop w:val="0"/>
      <w:marBottom w:val="0"/>
      <w:divBdr>
        <w:top w:val="none" w:sz="0" w:space="0" w:color="auto"/>
        <w:left w:val="none" w:sz="0" w:space="0" w:color="auto"/>
        <w:bottom w:val="none" w:sz="0" w:space="0" w:color="auto"/>
        <w:right w:val="none" w:sz="0" w:space="0" w:color="auto"/>
      </w:divBdr>
    </w:div>
    <w:div w:id="705108605">
      <w:bodyDiv w:val="1"/>
      <w:marLeft w:val="0"/>
      <w:marRight w:val="0"/>
      <w:marTop w:val="0"/>
      <w:marBottom w:val="0"/>
      <w:divBdr>
        <w:top w:val="none" w:sz="0" w:space="0" w:color="auto"/>
        <w:left w:val="none" w:sz="0" w:space="0" w:color="auto"/>
        <w:bottom w:val="none" w:sz="0" w:space="0" w:color="auto"/>
        <w:right w:val="none" w:sz="0" w:space="0" w:color="auto"/>
      </w:divBdr>
    </w:div>
    <w:div w:id="706024236">
      <w:bodyDiv w:val="1"/>
      <w:marLeft w:val="0"/>
      <w:marRight w:val="0"/>
      <w:marTop w:val="0"/>
      <w:marBottom w:val="0"/>
      <w:divBdr>
        <w:top w:val="none" w:sz="0" w:space="0" w:color="auto"/>
        <w:left w:val="none" w:sz="0" w:space="0" w:color="auto"/>
        <w:bottom w:val="none" w:sz="0" w:space="0" w:color="auto"/>
        <w:right w:val="none" w:sz="0" w:space="0" w:color="auto"/>
      </w:divBdr>
    </w:div>
    <w:div w:id="706488053">
      <w:bodyDiv w:val="1"/>
      <w:marLeft w:val="0"/>
      <w:marRight w:val="0"/>
      <w:marTop w:val="0"/>
      <w:marBottom w:val="0"/>
      <w:divBdr>
        <w:top w:val="none" w:sz="0" w:space="0" w:color="auto"/>
        <w:left w:val="none" w:sz="0" w:space="0" w:color="auto"/>
        <w:bottom w:val="none" w:sz="0" w:space="0" w:color="auto"/>
        <w:right w:val="none" w:sz="0" w:space="0" w:color="auto"/>
      </w:divBdr>
    </w:div>
    <w:div w:id="712849738">
      <w:bodyDiv w:val="1"/>
      <w:marLeft w:val="0"/>
      <w:marRight w:val="0"/>
      <w:marTop w:val="0"/>
      <w:marBottom w:val="0"/>
      <w:divBdr>
        <w:top w:val="none" w:sz="0" w:space="0" w:color="auto"/>
        <w:left w:val="none" w:sz="0" w:space="0" w:color="auto"/>
        <w:bottom w:val="none" w:sz="0" w:space="0" w:color="auto"/>
        <w:right w:val="none" w:sz="0" w:space="0" w:color="auto"/>
      </w:divBdr>
    </w:div>
    <w:div w:id="718672707">
      <w:bodyDiv w:val="1"/>
      <w:marLeft w:val="0"/>
      <w:marRight w:val="0"/>
      <w:marTop w:val="0"/>
      <w:marBottom w:val="0"/>
      <w:divBdr>
        <w:top w:val="none" w:sz="0" w:space="0" w:color="auto"/>
        <w:left w:val="none" w:sz="0" w:space="0" w:color="auto"/>
        <w:bottom w:val="none" w:sz="0" w:space="0" w:color="auto"/>
        <w:right w:val="none" w:sz="0" w:space="0" w:color="auto"/>
      </w:divBdr>
    </w:div>
    <w:div w:id="725295396">
      <w:bodyDiv w:val="1"/>
      <w:marLeft w:val="0"/>
      <w:marRight w:val="0"/>
      <w:marTop w:val="0"/>
      <w:marBottom w:val="0"/>
      <w:divBdr>
        <w:top w:val="none" w:sz="0" w:space="0" w:color="auto"/>
        <w:left w:val="none" w:sz="0" w:space="0" w:color="auto"/>
        <w:bottom w:val="none" w:sz="0" w:space="0" w:color="auto"/>
        <w:right w:val="none" w:sz="0" w:space="0" w:color="auto"/>
      </w:divBdr>
    </w:div>
    <w:div w:id="732122275">
      <w:bodyDiv w:val="1"/>
      <w:marLeft w:val="0"/>
      <w:marRight w:val="0"/>
      <w:marTop w:val="0"/>
      <w:marBottom w:val="0"/>
      <w:divBdr>
        <w:top w:val="none" w:sz="0" w:space="0" w:color="auto"/>
        <w:left w:val="none" w:sz="0" w:space="0" w:color="auto"/>
        <w:bottom w:val="none" w:sz="0" w:space="0" w:color="auto"/>
        <w:right w:val="none" w:sz="0" w:space="0" w:color="auto"/>
      </w:divBdr>
    </w:div>
    <w:div w:id="733626839">
      <w:bodyDiv w:val="1"/>
      <w:marLeft w:val="0"/>
      <w:marRight w:val="0"/>
      <w:marTop w:val="0"/>
      <w:marBottom w:val="0"/>
      <w:divBdr>
        <w:top w:val="none" w:sz="0" w:space="0" w:color="auto"/>
        <w:left w:val="none" w:sz="0" w:space="0" w:color="auto"/>
        <w:bottom w:val="none" w:sz="0" w:space="0" w:color="auto"/>
        <w:right w:val="none" w:sz="0" w:space="0" w:color="auto"/>
      </w:divBdr>
    </w:div>
    <w:div w:id="743340165">
      <w:bodyDiv w:val="1"/>
      <w:marLeft w:val="0"/>
      <w:marRight w:val="0"/>
      <w:marTop w:val="0"/>
      <w:marBottom w:val="0"/>
      <w:divBdr>
        <w:top w:val="none" w:sz="0" w:space="0" w:color="auto"/>
        <w:left w:val="none" w:sz="0" w:space="0" w:color="auto"/>
        <w:bottom w:val="none" w:sz="0" w:space="0" w:color="auto"/>
        <w:right w:val="none" w:sz="0" w:space="0" w:color="auto"/>
      </w:divBdr>
    </w:div>
    <w:div w:id="748622175">
      <w:bodyDiv w:val="1"/>
      <w:marLeft w:val="0"/>
      <w:marRight w:val="0"/>
      <w:marTop w:val="0"/>
      <w:marBottom w:val="0"/>
      <w:divBdr>
        <w:top w:val="none" w:sz="0" w:space="0" w:color="auto"/>
        <w:left w:val="none" w:sz="0" w:space="0" w:color="auto"/>
        <w:bottom w:val="none" w:sz="0" w:space="0" w:color="auto"/>
        <w:right w:val="none" w:sz="0" w:space="0" w:color="auto"/>
      </w:divBdr>
    </w:div>
    <w:div w:id="752702959">
      <w:bodyDiv w:val="1"/>
      <w:marLeft w:val="0"/>
      <w:marRight w:val="0"/>
      <w:marTop w:val="0"/>
      <w:marBottom w:val="0"/>
      <w:divBdr>
        <w:top w:val="none" w:sz="0" w:space="0" w:color="auto"/>
        <w:left w:val="none" w:sz="0" w:space="0" w:color="auto"/>
        <w:bottom w:val="none" w:sz="0" w:space="0" w:color="auto"/>
        <w:right w:val="none" w:sz="0" w:space="0" w:color="auto"/>
      </w:divBdr>
    </w:div>
    <w:div w:id="759832520">
      <w:bodyDiv w:val="1"/>
      <w:marLeft w:val="0"/>
      <w:marRight w:val="0"/>
      <w:marTop w:val="0"/>
      <w:marBottom w:val="0"/>
      <w:divBdr>
        <w:top w:val="none" w:sz="0" w:space="0" w:color="auto"/>
        <w:left w:val="none" w:sz="0" w:space="0" w:color="auto"/>
        <w:bottom w:val="none" w:sz="0" w:space="0" w:color="auto"/>
        <w:right w:val="none" w:sz="0" w:space="0" w:color="auto"/>
      </w:divBdr>
    </w:div>
    <w:div w:id="764494284">
      <w:bodyDiv w:val="1"/>
      <w:marLeft w:val="0"/>
      <w:marRight w:val="0"/>
      <w:marTop w:val="0"/>
      <w:marBottom w:val="0"/>
      <w:divBdr>
        <w:top w:val="none" w:sz="0" w:space="0" w:color="auto"/>
        <w:left w:val="none" w:sz="0" w:space="0" w:color="auto"/>
        <w:bottom w:val="none" w:sz="0" w:space="0" w:color="auto"/>
        <w:right w:val="none" w:sz="0" w:space="0" w:color="auto"/>
      </w:divBdr>
    </w:div>
    <w:div w:id="765267363">
      <w:bodyDiv w:val="1"/>
      <w:marLeft w:val="0"/>
      <w:marRight w:val="0"/>
      <w:marTop w:val="0"/>
      <w:marBottom w:val="0"/>
      <w:divBdr>
        <w:top w:val="none" w:sz="0" w:space="0" w:color="auto"/>
        <w:left w:val="none" w:sz="0" w:space="0" w:color="auto"/>
        <w:bottom w:val="none" w:sz="0" w:space="0" w:color="auto"/>
        <w:right w:val="none" w:sz="0" w:space="0" w:color="auto"/>
      </w:divBdr>
    </w:div>
    <w:div w:id="766343895">
      <w:bodyDiv w:val="1"/>
      <w:marLeft w:val="0"/>
      <w:marRight w:val="0"/>
      <w:marTop w:val="0"/>
      <w:marBottom w:val="0"/>
      <w:divBdr>
        <w:top w:val="none" w:sz="0" w:space="0" w:color="auto"/>
        <w:left w:val="none" w:sz="0" w:space="0" w:color="auto"/>
        <w:bottom w:val="none" w:sz="0" w:space="0" w:color="auto"/>
        <w:right w:val="none" w:sz="0" w:space="0" w:color="auto"/>
      </w:divBdr>
    </w:div>
    <w:div w:id="773284776">
      <w:bodyDiv w:val="1"/>
      <w:marLeft w:val="0"/>
      <w:marRight w:val="0"/>
      <w:marTop w:val="0"/>
      <w:marBottom w:val="0"/>
      <w:divBdr>
        <w:top w:val="none" w:sz="0" w:space="0" w:color="auto"/>
        <w:left w:val="none" w:sz="0" w:space="0" w:color="auto"/>
        <w:bottom w:val="none" w:sz="0" w:space="0" w:color="auto"/>
        <w:right w:val="none" w:sz="0" w:space="0" w:color="auto"/>
      </w:divBdr>
    </w:div>
    <w:div w:id="788083869">
      <w:bodyDiv w:val="1"/>
      <w:marLeft w:val="0"/>
      <w:marRight w:val="0"/>
      <w:marTop w:val="0"/>
      <w:marBottom w:val="0"/>
      <w:divBdr>
        <w:top w:val="none" w:sz="0" w:space="0" w:color="auto"/>
        <w:left w:val="none" w:sz="0" w:space="0" w:color="auto"/>
        <w:bottom w:val="none" w:sz="0" w:space="0" w:color="auto"/>
        <w:right w:val="none" w:sz="0" w:space="0" w:color="auto"/>
      </w:divBdr>
    </w:div>
    <w:div w:id="800804817">
      <w:bodyDiv w:val="1"/>
      <w:marLeft w:val="0"/>
      <w:marRight w:val="0"/>
      <w:marTop w:val="0"/>
      <w:marBottom w:val="0"/>
      <w:divBdr>
        <w:top w:val="none" w:sz="0" w:space="0" w:color="auto"/>
        <w:left w:val="none" w:sz="0" w:space="0" w:color="auto"/>
        <w:bottom w:val="none" w:sz="0" w:space="0" w:color="auto"/>
        <w:right w:val="none" w:sz="0" w:space="0" w:color="auto"/>
      </w:divBdr>
    </w:div>
    <w:div w:id="801077139">
      <w:bodyDiv w:val="1"/>
      <w:marLeft w:val="0"/>
      <w:marRight w:val="0"/>
      <w:marTop w:val="0"/>
      <w:marBottom w:val="0"/>
      <w:divBdr>
        <w:top w:val="none" w:sz="0" w:space="0" w:color="auto"/>
        <w:left w:val="none" w:sz="0" w:space="0" w:color="auto"/>
        <w:bottom w:val="none" w:sz="0" w:space="0" w:color="auto"/>
        <w:right w:val="none" w:sz="0" w:space="0" w:color="auto"/>
      </w:divBdr>
    </w:div>
    <w:div w:id="801922653">
      <w:bodyDiv w:val="1"/>
      <w:marLeft w:val="0"/>
      <w:marRight w:val="0"/>
      <w:marTop w:val="0"/>
      <w:marBottom w:val="0"/>
      <w:divBdr>
        <w:top w:val="none" w:sz="0" w:space="0" w:color="auto"/>
        <w:left w:val="none" w:sz="0" w:space="0" w:color="auto"/>
        <w:bottom w:val="none" w:sz="0" w:space="0" w:color="auto"/>
        <w:right w:val="none" w:sz="0" w:space="0" w:color="auto"/>
      </w:divBdr>
    </w:div>
    <w:div w:id="804735713">
      <w:bodyDiv w:val="1"/>
      <w:marLeft w:val="0"/>
      <w:marRight w:val="0"/>
      <w:marTop w:val="0"/>
      <w:marBottom w:val="0"/>
      <w:divBdr>
        <w:top w:val="none" w:sz="0" w:space="0" w:color="auto"/>
        <w:left w:val="none" w:sz="0" w:space="0" w:color="auto"/>
        <w:bottom w:val="none" w:sz="0" w:space="0" w:color="auto"/>
        <w:right w:val="none" w:sz="0" w:space="0" w:color="auto"/>
      </w:divBdr>
    </w:div>
    <w:div w:id="811410072">
      <w:bodyDiv w:val="1"/>
      <w:marLeft w:val="0"/>
      <w:marRight w:val="0"/>
      <w:marTop w:val="0"/>
      <w:marBottom w:val="0"/>
      <w:divBdr>
        <w:top w:val="none" w:sz="0" w:space="0" w:color="auto"/>
        <w:left w:val="none" w:sz="0" w:space="0" w:color="auto"/>
        <w:bottom w:val="none" w:sz="0" w:space="0" w:color="auto"/>
        <w:right w:val="none" w:sz="0" w:space="0" w:color="auto"/>
      </w:divBdr>
    </w:div>
    <w:div w:id="814374067">
      <w:bodyDiv w:val="1"/>
      <w:marLeft w:val="0"/>
      <w:marRight w:val="0"/>
      <w:marTop w:val="0"/>
      <w:marBottom w:val="0"/>
      <w:divBdr>
        <w:top w:val="none" w:sz="0" w:space="0" w:color="auto"/>
        <w:left w:val="none" w:sz="0" w:space="0" w:color="auto"/>
        <w:bottom w:val="none" w:sz="0" w:space="0" w:color="auto"/>
        <w:right w:val="none" w:sz="0" w:space="0" w:color="auto"/>
      </w:divBdr>
    </w:div>
    <w:div w:id="824317494">
      <w:bodyDiv w:val="1"/>
      <w:marLeft w:val="0"/>
      <w:marRight w:val="0"/>
      <w:marTop w:val="0"/>
      <w:marBottom w:val="0"/>
      <w:divBdr>
        <w:top w:val="none" w:sz="0" w:space="0" w:color="auto"/>
        <w:left w:val="none" w:sz="0" w:space="0" w:color="auto"/>
        <w:bottom w:val="none" w:sz="0" w:space="0" w:color="auto"/>
        <w:right w:val="none" w:sz="0" w:space="0" w:color="auto"/>
      </w:divBdr>
    </w:div>
    <w:div w:id="828406186">
      <w:bodyDiv w:val="1"/>
      <w:marLeft w:val="0"/>
      <w:marRight w:val="0"/>
      <w:marTop w:val="0"/>
      <w:marBottom w:val="0"/>
      <w:divBdr>
        <w:top w:val="none" w:sz="0" w:space="0" w:color="auto"/>
        <w:left w:val="none" w:sz="0" w:space="0" w:color="auto"/>
        <w:bottom w:val="none" w:sz="0" w:space="0" w:color="auto"/>
        <w:right w:val="none" w:sz="0" w:space="0" w:color="auto"/>
      </w:divBdr>
    </w:div>
    <w:div w:id="831794450">
      <w:bodyDiv w:val="1"/>
      <w:marLeft w:val="0"/>
      <w:marRight w:val="0"/>
      <w:marTop w:val="0"/>
      <w:marBottom w:val="0"/>
      <w:divBdr>
        <w:top w:val="none" w:sz="0" w:space="0" w:color="auto"/>
        <w:left w:val="none" w:sz="0" w:space="0" w:color="auto"/>
        <w:bottom w:val="none" w:sz="0" w:space="0" w:color="auto"/>
        <w:right w:val="none" w:sz="0" w:space="0" w:color="auto"/>
      </w:divBdr>
    </w:div>
    <w:div w:id="845369052">
      <w:bodyDiv w:val="1"/>
      <w:marLeft w:val="0"/>
      <w:marRight w:val="0"/>
      <w:marTop w:val="0"/>
      <w:marBottom w:val="0"/>
      <w:divBdr>
        <w:top w:val="none" w:sz="0" w:space="0" w:color="auto"/>
        <w:left w:val="none" w:sz="0" w:space="0" w:color="auto"/>
        <w:bottom w:val="none" w:sz="0" w:space="0" w:color="auto"/>
        <w:right w:val="none" w:sz="0" w:space="0" w:color="auto"/>
      </w:divBdr>
    </w:div>
    <w:div w:id="849488063">
      <w:bodyDiv w:val="1"/>
      <w:marLeft w:val="0"/>
      <w:marRight w:val="0"/>
      <w:marTop w:val="0"/>
      <w:marBottom w:val="0"/>
      <w:divBdr>
        <w:top w:val="none" w:sz="0" w:space="0" w:color="auto"/>
        <w:left w:val="none" w:sz="0" w:space="0" w:color="auto"/>
        <w:bottom w:val="none" w:sz="0" w:space="0" w:color="auto"/>
        <w:right w:val="none" w:sz="0" w:space="0" w:color="auto"/>
      </w:divBdr>
    </w:div>
    <w:div w:id="852690193">
      <w:bodyDiv w:val="1"/>
      <w:marLeft w:val="0"/>
      <w:marRight w:val="0"/>
      <w:marTop w:val="0"/>
      <w:marBottom w:val="0"/>
      <w:divBdr>
        <w:top w:val="none" w:sz="0" w:space="0" w:color="auto"/>
        <w:left w:val="none" w:sz="0" w:space="0" w:color="auto"/>
        <w:bottom w:val="none" w:sz="0" w:space="0" w:color="auto"/>
        <w:right w:val="none" w:sz="0" w:space="0" w:color="auto"/>
      </w:divBdr>
    </w:div>
    <w:div w:id="862204378">
      <w:bodyDiv w:val="1"/>
      <w:marLeft w:val="0"/>
      <w:marRight w:val="0"/>
      <w:marTop w:val="0"/>
      <w:marBottom w:val="0"/>
      <w:divBdr>
        <w:top w:val="none" w:sz="0" w:space="0" w:color="auto"/>
        <w:left w:val="none" w:sz="0" w:space="0" w:color="auto"/>
        <w:bottom w:val="none" w:sz="0" w:space="0" w:color="auto"/>
        <w:right w:val="none" w:sz="0" w:space="0" w:color="auto"/>
      </w:divBdr>
    </w:div>
    <w:div w:id="864438143">
      <w:bodyDiv w:val="1"/>
      <w:marLeft w:val="0"/>
      <w:marRight w:val="0"/>
      <w:marTop w:val="0"/>
      <w:marBottom w:val="0"/>
      <w:divBdr>
        <w:top w:val="none" w:sz="0" w:space="0" w:color="auto"/>
        <w:left w:val="none" w:sz="0" w:space="0" w:color="auto"/>
        <w:bottom w:val="none" w:sz="0" w:space="0" w:color="auto"/>
        <w:right w:val="none" w:sz="0" w:space="0" w:color="auto"/>
      </w:divBdr>
    </w:div>
    <w:div w:id="867178178">
      <w:bodyDiv w:val="1"/>
      <w:marLeft w:val="0"/>
      <w:marRight w:val="0"/>
      <w:marTop w:val="0"/>
      <w:marBottom w:val="0"/>
      <w:divBdr>
        <w:top w:val="none" w:sz="0" w:space="0" w:color="auto"/>
        <w:left w:val="none" w:sz="0" w:space="0" w:color="auto"/>
        <w:bottom w:val="none" w:sz="0" w:space="0" w:color="auto"/>
        <w:right w:val="none" w:sz="0" w:space="0" w:color="auto"/>
      </w:divBdr>
    </w:div>
    <w:div w:id="867261991">
      <w:bodyDiv w:val="1"/>
      <w:marLeft w:val="0"/>
      <w:marRight w:val="0"/>
      <w:marTop w:val="0"/>
      <w:marBottom w:val="0"/>
      <w:divBdr>
        <w:top w:val="none" w:sz="0" w:space="0" w:color="auto"/>
        <w:left w:val="none" w:sz="0" w:space="0" w:color="auto"/>
        <w:bottom w:val="none" w:sz="0" w:space="0" w:color="auto"/>
        <w:right w:val="none" w:sz="0" w:space="0" w:color="auto"/>
      </w:divBdr>
    </w:div>
    <w:div w:id="867791892">
      <w:bodyDiv w:val="1"/>
      <w:marLeft w:val="0"/>
      <w:marRight w:val="0"/>
      <w:marTop w:val="0"/>
      <w:marBottom w:val="0"/>
      <w:divBdr>
        <w:top w:val="none" w:sz="0" w:space="0" w:color="auto"/>
        <w:left w:val="none" w:sz="0" w:space="0" w:color="auto"/>
        <w:bottom w:val="none" w:sz="0" w:space="0" w:color="auto"/>
        <w:right w:val="none" w:sz="0" w:space="0" w:color="auto"/>
      </w:divBdr>
    </w:div>
    <w:div w:id="868496533">
      <w:bodyDiv w:val="1"/>
      <w:marLeft w:val="0"/>
      <w:marRight w:val="0"/>
      <w:marTop w:val="0"/>
      <w:marBottom w:val="0"/>
      <w:divBdr>
        <w:top w:val="none" w:sz="0" w:space="0" w:color="auto"/>
        <w:left w:val="none" w:sz="0" w:space="0" w:color="auto"/>
        <w:bottom w:val="none" w:sz="0" w:space="0" w:color="auto"/>
        <w:right w:val="none" w:sz="0" w:space="0" w:color="auto"/>
      </w:divBdr>
    </w:div>
    <w:div w:id="869688682">
      <w:bodyDiv w:val="1"/>
      <w:marLeft w:val="0"/>
      <w:marRight w:val="0"/>
      <w:marTop w:val="0"/>
      <w:marBottom w:val="0"/>
      <w:divBdr>
        <w:top w:val="none" w:sz="0" w:space="0" w:color="auto"/>
        <w:left w:val="none" w:sz="0" w:space="0" w:color="auto"/>
        <w:bottom w:val="none" w:sz="0" w:space="0" w:color="auto"/>
        <w:right w:val="none" w:sz="0" w:space="0" w:color="auto"/>
      </w:divBdr>
    </w:div>
    <w:div w:id="872035716">
      <w:bodyDiv w:val="1"/>
      <w:marLeft w:val="0"/>
      <w:marRight w:val="0"/>
      <w:marTop w:val="0"/>
      <w:marBottom w:val="0"/>
      <w:divBdr>
        <w:top w:val="none" w:sz="0" w:space="0" w:color="auto"/>
        <w:left w:val="none" w:sz="0" w:space="0" w:color="auto"/>
        <w:bottom w:val="none" w:sz="0" w:space="0" w:color="auto"/>
        <w:right w:val="none" w:sz="0" w:space="0" w:color="auto"/>
      </w:divBdr>
    </w:div>
    <w:div w:id="888033218">
      <w:bodyDiv w:val="1"/>
      <w:marLeft w:val="0"/>
      <w:marRight w:val="0"/>
      <w:marTop w:val="0"/>
      <w:marBottom w:val="0"/>
      <w:divBdr>
        <w:top w:val="none" w:sz="0" w:space="0" w:color="auto"/>
        <w:left w:val="none" w:sz="0" w:space="0" w:color="auto"/>
        <w:bottom w:val="none" w:sz="0" w:space="0" w:color="auto"/>
        <w:right w:val="none" w:sz="0" w:space="0" w:color="auto"/>
      </w:divBdr>
    </w:div>
    <w:div w:id="891692816">
      <w:bodyDiv w:val="1"/>
      <w:marLeft w:val="0"/>
      <w:marRight w:val="0"/>
      <w:marTop w:val="0"/>
      <w:marBottom w:val="0"/>
      <w:divBdr>
        <w:top w:val="none" w:sz="0" w:space="0" w:color="auto"/>
        <w:left w:val="none" w:sz="0" w:space="0" w:color="auto"/>
        <w:bottom w:val="none" w:sz="0" w:space="0" w:color="auto"/>
        <w:right w:val="none" w:sz="0" w:space="0" w:color="auto"/>
      </w:divBdr>
    </w:div>
    <w:div w:id="900409477">
      <w:bodyDiv w:val="1"/>
      <w:marLeft w:val="0"/>
      <w:marRight w:val="0"/>
      <w:marTop w:val="0"/>
      <w:marBottom w:val="0"/>
      <w:divBdr>
        <w:top w:val="none" w:sz="0" w:space="0" w:color="auto"/>
        <w:left w:val="none" w:sz="0" w:space="0" w:color="auto"/>
        <w:bottom w:val="none" w:sz="0" w:space="0" w:color="auto"/>
        <w:right w:val="none" w:sz="0" w:space="0" w:color="auto"/>
      </w:divBdr>
    </w:div>
    <w:div w:id="901597051">
      <w:bodyDiv w:val="1"/>
      <w:marLeft w:val="0"/>
      <w:marRight w:val="0"/>
      <w:marTop w:val="0"/>
      <w:marBottom w:val="0"/>
      <w:divBdr>
        <w:top w:val="none" w:sz="0" w:space="0" w:color="auto"/>
        <w:left w:val="none" w:sz="0" w:space="0" w:color="auto"/>
        <w:bottom w:val="none" w:sz="0" w:space="0" w:color="auto"/>
        <w:right w:val="none" w:sz="0" w:space="0" w:color="auto"/>
      </w:divBdr>
    </w:div>
    <w:div w:id="907809272">
      <w:bodyDiv w:val="1"/>
      <w:marLeft w:val="0"/>
      <w:marRight w:val="0"/>
      <w:marTop w:val="0"/>
      <w:marBottom w:val="0"/>
      <w:divBdr>
        <w:top w:val="none" w:sz="0" w:space="0" w:color="auto"/>
        <w:left w:val="none" w:sz="0" w:space="0" w:color="auto"/>
        <w:bottom w:val="none" w:sz="0" w:space="0" w:color="auto"/>
        <w:right w:val="none" w:sz="0" w:space="0" w:color="auto"/>
      </w:divBdr>
    </w:div>
    <w:div w:id="915749709">
      <w:bodyDiv w:val="1"/>
      <w:marLeft w:val="0"/>
      <w:marRight w:val="0"/>
      <w:marTop w:val="0"/>
      <w:marBottom w:val="0"/>
      <w:divBdr>
        <w:top w:val="none" w:sz="0" w:space="0" w:color="auto"/>
        <w:left w:val="none" w:sz="0" w:space="0" w:color="auto"/>
        <w:bottom w:val="none" w:sz="0" w:space="0" w:color="auto"/>
        <w:right w:val="none" w:sz="0" w:space="0" w:color="auto"/>
      </w:divBdr>
    </w:div>
    <w:div w:id="926966464">
      <w:bodyDiv w:val="1"/>
      <w:marLeft w:val="0"/>
      <w:marRight w:val="0"/>
      <w:marTop w:val="0"/>
      <w:marBottom w:val="0"/>
      <w:divBdr>
        <w:top w:val="none" w:sz="0" w:space="0" w:color="auto"/>
        <w:left w:val="none" w:sz="0" w:space="0" w:color="auto"/>
        <w:bottom w:val="none" w:sz="0" w:space="0" w:color="auto"/>
        <w:right w:val="none" w:sz="0" w:space="0" w:color="auto"/>
      </w:divBdr>
    </w:div>
    <w:div w:id="932132927">
      <w:bodyDiv w:val="1"/>
      <w:marLeft w:val="0"/>
      <w:marRight w:val="0"/>
      <w:marTop w:val="0"/>
      <w:marBottom w:val="0"/>
      <w:divBdr>
        <w:top w:val="none" w:sz="0" w:space="0" w:color="auto"/>
        <w:left w:val="none" w:sz="0" w:space="0" w:color="auto"/>
        <w:bottom w:val="none" w:sz="0" w:space="0" w:color="auto"/>
        <w:right w:val="none" w:sz="0" w:space="0" w:color="auto"/>
      </w:divBdr>
    </w:div>
    <w:div w:id="937374126">
      <w:bodyDiv w:val="1"/>
      <w:marLeft w:val="0"/>
      <w:marRight w:val="0"/>
      <w:marTop w:val="0"/>
      <w:marBottom w:val="0"/>
      <w:divBdr>
        <w:top w:val="none" w:sz="0" w:space="0" w:color="auto"/>
        <w:left w:val="none" w:sz="0" w:space="0" w:color="auto"/>
        <w:bottom w:val="none" w:sz="0" w:space="0" w:color="auto"/>
        <w:right w:val="none" w:sz="0" w:space="0" w:color="auto"/>
      </w:divBdr>
    </w:div>
    <w:div w:id="957640215">
      <w:bodyDiv w:val="1"/>
      <w:marLeft w:val="0"/>
      <w:marRight w:val="0"/>
      <w:marTop w:val="0"/>
      <w:marBottom w:val="0"/>
      <w:divBdr>
        <w:top w:val="none" w:sz="0" w:space="0" w:color="auto"/>
        <w:left w:val="none" w:sz="0" w:space="0" w:color="auto"/>
        <w:bottom w:val="none" w:sz="0" w:space="0" w:color="auto"/>
        <w:right w:val="none" w:sz="0" w:space="0" w:color="auto"/>
      </w:divBdr>
    </w:div>
    <w:div w:id="960305598">
      <w:bodyDiv w:val="1"/>
      <w:marLeft w:val="0"/>
      <w:marRight w:val="0"/>
      <w:marTop w:val="0"/>
      <w:marBottom w:val="0"/>
      <w:divBdr>
        <w:top w:val="none" w:sz="0" w:space="0" w:color="auto"/>
        <w:left w:val="none" w:sz="0" w:space="0" w:color="auto"/>
        <w:bottom w:val="none" w:sz="0" w:space="0" w:color="auto"/>
        <w:right w:val="none" w:sz="0" w:space="0" w:color="auto"/>
      </w:divBdr>
    </w:div>
    <w:div w:id="971401695">
      <w:bodyDiv w:val="1"/>
      <w:marLeft w:val="0"/>
      <w:marRight w:val="0"/>
      <w:marTop w:val="0"/>
      <w:marBottom w:val="0"/>
      <w:divBdr>
        <w:top w:val="none" w:sz="0" w:space="0" w:color="auto"/>
        <w:left w:val="none" w:sz="0" w:space="0" w:color="auto"/>
        <w:bottom w:val="none" w:sz="0" w:space="0" w:color="auto"/>
        <w:right w:val="none" w:sz="0" w:space="0" w:color="auto"/>
      </w:divBdr>
    </w:div>
    <w:div w:id="975838404">
      <w:bodyDiv w:val="1"/>
      <w:marLeft w:val="0"/>
      <w:marRight w:val="0"/>
      <w:marTop w:val="0"/>
      <w:marBottom w:val="0"/>
      <w:divBdr>
        <w:top w:val="none" w:sz="0" w:space="0" w:color="auto"/>
        <w:left w:val="none" w:sz="0" w:space="0" w:color="auto"/>
        <w:bottom w:val="none" w:sz="0" w:space="0" w:color="auto"/>
        <w:right w:val="none" w:sz="0" w:space="0" w:color="auto"/>
      </w:divBdr>
    </w:div>
    <w:div w:id="978801252">
      <w:bodyDiv w:val="1"/>
      <w:marLeft w:val="0"/>
      <w:marRight w:val="0"/>
      <w:marTop w:val="0"/>
      <w:marBottom w:val="0"/>
      <w:divBdr>
        <w:top w:val="none" w:sz="0" w:space="0" w:color="auto"/>
        <w:left w:val="none" w:sz="0" w:space="0" w:color="auto"/>
        <w:bottom w:val="none" w:sz="0" w:space="0" w:color="auto"/>
        <w:right w:val="none" w:sz="0" w:space="0" w:color="auto"/>
      </w:divBdr>
    </w:div>
    <w:div w:id="984048576">
      <w:bodyDiv w:val="1"/>
      <w:marLeft w:val="0"/>
      <w:marRight w:val="0"/>
      <w:marTop w:val="0"/>
      <w:marBottom w:val="0"/>
      <w:divBdr>
        <w:top w:val="none" w:sz="0" w:space="0" w:color="auto"/>
        <w:left w:val="none" w:sz="0" w:space="0" w:color="auto"/>
        <w:bottom w:val="none" w:sz="0" w:space="0" w:color="auto"/>
        <w:right w:val="none" w:sz="0" w:space="0" w:color="auto"/>
      </w:divBdr>
    </w:div>
    <w:div w:id="987784563">
      <w:bodyDiv w:val="1"/>
      <w:marLeft w:val="0"/>
      <w:marRight w:val="0"/>
      <w:marTop w:val="0"/>
      <w:marBottom w:val="0"/>
      <w:divBdr>
        <w:top w:val="none" w:sz="0" w:space="0" w:color="auto"/>
        <w:left w:val="none" w:sz="0" w:space="0" w:color="auto"/>
        <w:bottom w:val="none" w:sz="0" w:space="0" w:color="auto"/>
        <w:right w:val="none" w:sz="0" w:space="0" w:color="auto"/>
      </w:divBdr>
    </w:div>
    <w:div w:id="990868147">
      <w:bodyDiv w:val="1"/>
      <w:marLeft w:val="0"/>
      <w:marRight w:val="0"/>
      <w:marTop w:val="0"/>
      <w:marBottom w:val="0"/>
      <w:divBdr>
        <w:top w:val="none" w:sz="0" w:space="0" w:color="auto"/>
        <w:left w:val="none" w:sz="0" w:space="0" w:color="auto"/>
        <w:bottom w:val="none" w:sz="0" w:space="0" w:color="auto"/>
        <w:right w:val="none" w:sz="0" w:space="0" w:color="auto"/>
      </w:divBdr>
    </w:div>
    <w:div w:id="995691621">
      <w:bodyDiv w:val="1"/>
      <w:marLeft w:val="0"/>
      <w:marRight w:val="0"/>
      <w:marTop w:val="0"/>
      <w:marBottom w:val="0"/>
      <w:divBdr>
        <w:top w:val="none" w:sz="0" w:space="0" w:color="auto"/>
        <w:left w:val="none" w:sz="0" w:space="0" w:color="auto"/>
        <w:bottom w:val="none" w:sz="0" w:space="0" w:color="auto"/>
        <w:right w:val="none" w:sz="0" w:space="0" w:color="auto"/>
      </w:divBdr>
    </w:div>
    <w:div w:id="998071744">
      <w:bodyDiv w:val="1"/>
      <w:marLeft w:val="0"/>
      <w:marRight w:val="0"/>
      <w:marTop w:val="0"/>
      <w:marBottom w:val="0"/>
      <w:divBdr>
        <w:top w:val="none" w:sz="0" w:space="0" w:color="auto"/>
        <w:left w:val="none" w:sz="0" w:space="0" w:color="auto"/>
        <w:bottom w:val="none" w:sz="0" w:space="0" w:color="auto"/>
        <w:right w:val="none" w:sz="0" w:space="0" w:color="auto"/>
      </w:divBdr>
    </w:div>
    <w:div w:id="998339917">
      <w:bodyDiv w:val="1"/>
      <w:marLeft w:val="0"/>
      <w:marRight w:val="0"/>
      <w:marTop w:val="0"/>
      <w:marBottom w:val="0"/>
      <w:divBdr>
        <w:top w:val="none" w:sz="0" w:space="0" w:color="auto"/>
        <w:left w:val="none" w:sz="0" w:space="0" w:color="auto"/>
        <w:bottom w:val="none" w:sz="0" w:space="0" w:color="auto"/>
        <w:right w:val="none" w:sz="0" w:space="0" w:color="auto"/>
      </w:divBdr>
    </w:div>
    <w:div w:id="1011225362">
      <w:bodyDiv w:val="1"/>
      <w:marLeft w:val="0"/>
      <w:marRight w:val="0"/>
      <w:marTop w:val="0"/>
      <w:marBottom w:val="0"/>
      <w:divBdr>
        <w:top w:val="none" w:sz="0" w:space="0" w:color="auto"/>
        <w:left w:val="none" w:sz="0" w:space="0" w:color="auto"/>
        <w:bottom w:val="none" w:sz="0" w:space="0" w:color="auto"/>
        <w:right w:val="none" w:sz="0" w:space="0" w:color="auto"/>
      </w:divBdr>
    </w:div>
    <w:div w:id="1011446243">
      <w:bodyDiv w:val="1"/>
      <w:marLeft w:val="0"/>
      <w:marRight w:val="0"/>
      <w:marTop w:val="0"/>
      <w:marBottom w:val="0"/>
      <w:divBdr>
        <w:top w:val="none" w:sz="0" w:space="0" w:color="auto"/>
        <w:left w:val="none" w:sz="0" w:space="0" w:color="auto"/>
        <w:bottom w:val="none" w:sz="0" w:space="0" w:color="auto"/>
        <w:right w:val="none" w:sz="0" w:space="0" w:color="auto"/>
      </w:divBdr>
    </w:div>
    <w:div w:id="1013217710">
      <w:bodyDiv w:val="1"/>
      <w:marLeft w:val="0"/>
      <w:marRight w:val="0"/>
      <w:marTop w:val="0"/>
      <w:marBottom w:val="0"/>
      <w:divBdr>
        <w:top w:val="none" w:sz="0" w:space="0" w:color="auto"/>
        <w:left w:val="none" w:sz="0" w:space="0" w:color="auto"/>
        <w:bottom w:val="none" w:sz="0" w:space="0" w:color="auto"/>
        <w:right w:val="none" w:sz="0" w:space="0" w:color="auto"/>
      </w:divBdr>
    </w:div>
    <w:div w:id="1014309371">
      <w:bodyDiv w:val="1"/>
      <w:marLeft w:val="0"/>
      <w:marRight w:val="0"/>
      <w:marTop w:val="0"/>
      <w:marBottom w:val="0"/>
      <w:divBdr>
        <w:top w:val="none" w:sz="0" w:space="0" w:color="auto"/>
        <w:left w:val="none" w:sz="0" w:space="0" w:color="auto"/>
        <w:bottom w:val="none" w:sz="0" w:space="0" w:color="auto"/>
        <w:right w:val="none" w:sz="0" w:space="0" w:color="auto"/>
      </w:divBdr>
    </w:div>
    <w:div w:id="1021124746">
      <w:bodyDiv w:val="1"/>
      <w:marLeft w:val="0"/>
      <w:marRight w:val="0"/>
      <w:marTop w:val="0"/>
      <w:marBottom w:val="0"/>
      <w:divBdr>
        <w:top w:val="none" w:sz="0" w:space="0" w:color="auto"/>
        <w:left w:val="none" w:sz="0" w:space="0" w:color="auto"/>
        <w:bottom w:val="none" w:sz="0" w:space="0" w:color="auto"/>
        <w:right w:val="none" w:sz="0" w:space="0" w:color="auto"/>
      </w:divBdr>
    </w:div>
    <w:div w:id="1028603738">
      <w:bodyDiv w:val="1"/>
      <w:marLeft w:val="0"/>
      <w:marRight w:val="0"/>
      <w:marTop w:val="0"/>
      <w:marBottom w:val="0"/>
      <w:divBdr>
        <w:top w:val="none" w:sz="0" w:space="0" w:color="auto"/>
        <w:left w:val="none" w:sz="0" w:space="0" w:color="auto"/>
        <w:bottom w:val="none" w:sz="0" w:space="0" w:color="auto"/>
        <w:right w:val="none" w:sz="0" w:space="0" w:color="auto"/>
      </w:divBdr>
    </w:div>
    <w:div w:id="1031372286">
      <w:bodyDiv w:val="1"/>
      <w:marLeft w:val="0"/>
      <w:marRight w:val="0"/>
      <w:marTop w:val="0"/>
      <w:marBottom w:val="0"/>
      <w:divBdr>
        <w:top w:val="none" w:sz="0" w:space="0" w:color="auto"/>
        <w:left w:val="none" w:sz="0" w:space="0" w:color="auto"/>
        <w:bottom w:val="none" w:sz="0" w:space="0" w:color="auto"/>
        <w:right w:val="none" w:sz="0" w:space="0" w:color="auto"/>
      </w:divBdr>
    </w:div>
    <w:div w:id="1036614257">
      <w:bodyDiv w:val="1"/>
      <w:marLeft w:val="0"/>
      <w:marRight w:val="0"/>
      <w:marTop w:val="0"/>
      <w:marBottom w:val="0"/>
      <w:divBdr>
        <w:top w:val="none" w:sz="0" w:space="0" w:color="auto"/>
        <w:left w:val="none" w:sz="0" w:space="0" w:color="auto"/>
        <w:bottom w:val="none" w:sz="0" w:space="0" w:color="auto"/>
        <w:right w:val="none" w:sz="0" w:space="0" w:color="auto"/>
      </w:divBdr>
    </w:div>
    <w:div w:id="1052655455">
      <w:bodyDiv w:val="1"/>
      <w:marLeft w:val="0"/>
      <w:marRight w:val="0"/>
      <w:marTop w:val="0"/>
      <w:marBottom w:val="0"/>
      <w:divBdr>
        <w:top w:val="none" w:sz="0" w:space="0" w:color="auto"/>
        <w:left w:val="none" w:sz="0" w:space="0" w:color="auto"/>
        <w:bottom w:val="none" w:sz="0" w:space="0" w:color="auto"/>
        <w:right w:val="none" w:sz="0" w:space="0" w:color="auto"/>
      </w:divBdr>
    </w:div>
    <w:div w:id="1060128166">
      <w:bodyDiv w:val="1"/>
      <w:marLeft w:val="0"/>
      <w:marRight w:val="0"/>
      <w:marTop w:val="0"/>
      <w:marBottom w:val="0"/>
      <w:divBdr>
        <w:top w:val="none" w:sz="0" w:space="0" w:color="auto"/>
        <w:left w:val="none" w:sz="0" w:space="0" w:color="auto"/>
        <w:bottom w:val="none" w:sz="0" w:space="0" w:color="auto"/>
        <w:right w:val="none" w:sz="0" w:space="0" w:color="auto"/>
      </w:divBdr>
    </w:div>
    <w:div w:id="1061557666">
      <w:bodyDiv w:val="1"/>
      <w:marLeft w:val="0"/>
      <w:marRight w:val="0"/>
      <w:marTop w:val="0"/>
      <w:marBottom w:val="0"/>
      <w:divBdr>
        <w:top w:val="none" w:sz="0" w:space="0" w:color="auto"/>
        <w:left w:val="none" w:sz="0" w:space="0" w:color="auto"/>
        <w:bottom w:val="none" w:sz="0" w:space="0" w:color="auto"/>
        <w:right w:val="none" w:sz="0" w:space="0" w:color="auto"/>
      </w:divBdr>
    </w:div>
    <w:div w:id="1067727552">
      <w:bodyDiv w:val="1"/>
      <w:marLeft w:val="0"/>
      <w:marRight w:val="0"/>
      <w:marTop w:val="0"/>
      <w:marBottom w:val="0"/>
      <w:divBdr>
        <w:top w:val="none" w:sz="0" w:space="0" w:color="auto"/>
        <w:left w:val="none" w:sz="0" w:space="0" w:color="auto"/>
        <w:bottom w:val="none" w:sz="0" w:space="0" w:color="auto"/>
        <w:right w:val="none" w:sz="0" w:space="0" w:color="auto"/>
      </w:divBdr>
    </w:div>
    <w:div w:id="1069840792">
      <w:bodyDiv w:val="1"/>
      <w:marLeft w:val="0"/>
      <w:marRight w:val="0"/>
      <w:marTop w:val="0"/>
      <w:marBottom w:val="0"/>
      <w:divBdr>
        <w:top w:val="none" w:sz="0" w:space="0" w:color="auto"/>
        <w:left w:val="none" w:sz="0" w:space="0" w:color="auto"/>
        <w:bottom w:val="none" w:sz="0" w:space="0" w:color="auto"/>
        <w:right w:val="none" w:sz="0" w:space="0" w:color="auto"/>
      </w:divBdr>
    </w:div>
    <w:div w:id="1072700365">
      <w:bodyDiv w:val="1"/>
      <w:marLeft w:val="0"/>
      <w:marRight w:val="0"/>
      <w:marTop w:val="0"/>
      <w:marBottom w:val="0"/>
      <w:divBdr>
        <w:top w:val="none" w:sz="0" w:space="0" w:color="auto"/>
        <w:left w:val="none" w:sz="0" w:space="0" w:color="auto"/>
        <w:bottom w:val="none" w:sz="0" w:space="0" w:color="auto"/>
        <w:right w:val="none" w:sz="0" w:space="0" w:color="auto"/>
      </w:divBdr>
    </w:div>
    <w:div w:id="1075736148">
      <w:bodyDiv w:val="1"/>
      <w:marLeft w:val="0"/>
      <w:marRight w:val="0"/>
      <w:marTop w:val="0"/>
      <w:marBottom w:val="0"/>
      <w:divBdr>
        <w:top w:val="none" w:sz="0" w:space="0" w:color="auto"/>
        <w:left w:val="none" w:sz="0" w:space="0" w:color="auto"/>
        <w:bottom w:val="none" w:sz="0" w:space="0" w:color="auto"/>
        <w:right w:val="none" w:sz="0" w:space="0" w:color="auto"/>
      </w:divBdr>
    </w:div>
    <w:div w:id="1076128061">
      <w:bodyDiv w:val="1"/>
      <w:marLeft w:val="0"/>
      <w:marRight w:val="0"/>
      <w:marTop w:val="0"/>
      <w:marBottom w:val="0"/>
      <w:divBdr>
        <w:top w:val="none" w:sz="0" w:space="0" w:color="auto"/>
        <w:left w:val="none" w:sz="0" w:space="0" w:color="auto"/>
        <w:bottom w:val="none" w:sz="0" w:space="0" w:color="auto"/>
        <w:right w:val="none" w:sz="0" w:space="0" w:color="auto"/>
      </w:divBdr>
    </w:div>
    <w:div w:id="1084377490">
      <w:bodyDiv w:val="1"/>
      <w:marLeft w:val="0"/>
      <w:marRight w:val="0"/>
      <w:marTop w:val="0"/>
      <w:marBottom w:val="0"/>
      <w:divBdr>
        <w:top w:val="none" w:sz="0" w:space="0" w:color="auto"/>
        <w:left w:val="none" w:sz="0" w:space="0" w:color="auto"/>
        <w:bottom w:val="none" w:sz="0" w:space="0" w:color="auto"/>
        <w:right w:val="none" w:sz="0" w:space="0" w:color="auto"/>
      </w:divBdr>
    </w:div>
    <w:div w:id="1086222236">
      <w:bodyDiv w:val="1"/>
      <w:marLeft w:val="0"/>
      <w:marRight w:val="0"/>
      <w:marTop w:val="0"/>
      <w:marBottom w:val="0"/>
      <w:divBdr>
        <w:top w:val="none" w:sz="0" w:space="0" w:color="auto"/>
        <w:left w:val="none" w:sz="0" w:space="0" w:color="auto"/>
        <w:bottom w:val="none" w:sz="0" w:space="0" w:color="auto"/>
        <w:right w:val="none" w:sz="0" w:space="0" w:color="auto"/>
      </w:divBdr>
    </w:div>
    <w:div w:id="1086998509">
      <w:bodyDiv w:val="1"/>
      <w:marLeft w:val="0"/>
      <w:marRight w:val="0"/>
      <w:marTop w:val="0"/>
      <w:marBottom w:val="0"/>
      <w:divBdr>
        <w:top w:val="none" w:sz="0" w:space="0" w:color="auto"/>
        <w:left w:val="none" w:sz="0" w:space="0" w:color="auto"/>
        <w:bottom w:val="none" w:sz="0" w:space="0" w:color="auto"/>
        <w:right w:val="none" w:sz="0" w:space="0" w:color="auto"/>
      </w:divBdr>
    </w:div>
    <w:div w:id="1088191511">
      <w:bodyDiv w:val="1"/>
      <w:marLeft w:val="0"/>
      <w:marRight w:val="0"/>
      <w:marTop w:val="0"/>
      <w:marBottom w:val="0"/>
      <w:divBdr>
        <w:top w:val="none" w:sz="0" w:space="0" w:color="auto"/>
        <w:left w:val="none" w:sz="0" w:space="0" w:color="auto"/>
        <w:bottom w:val="none" w:sz="0" w:space="0" w:color="auto"/>
        <w:right w:val="none" w:sz="0" w:space="0" w:color="auto"/>
      </w:divBdr>
    </w:div>
    <w:div w:id="1108307453">
      <w:bodyDiv w:val="1"/>
      <w:marLeft w:val="0"/>
      <w:marRight w:val="0"/>
      <w:marTop w:val="0"/>
      <w:marBottom w:val="0"/>
      <w:divBdr>
        <w:top w:val="none" w:sz="0" w:space="0" w:color="auto"/>
        <w:left w:val="none" w:sz="0" w:space="0" w:color="auto"/>
        <w:bottom w:val="none" w:sz="0" w:space="0" w:color="auto"/>
        <w:right w:val="none" w:sz="0" w:space="0" w:color="auto"/>
      </w:divBdr>
    </w:div>
    <w:div w:id="1117331382">
      <w:bodyDiv w:val="1"/>
      <w:marLeft w:val="0"/>
      <w:marRight w:val="0"/>
      <w:marTop w:val="0"/>
      <w:marBottom w:val="0"/>
      <w:divBdr>
        <w:top w:val="none" w:sz="0" w:space="0" w:color="auto"/>
        <w:left w:val="none" w:sz="0" w:space="0" w:color="auto"/>
        <w:bottom w:val="none" w:sz="0" w:space="0" w:color="auto"/>
        <w:right w:val="none" w:sz="0" w:space="0" w:color="auto"/>
      </w:divBdr>
    </w:div>
    <w:div w:id="1123307592">
      <w:bodyDiv w:val="1"/>
      <w:marLeft w:val="0"/>
      <w:marRight w:val="0"/>
      <w:marTop w:val="0"/>
      <w:marBottom w:val="0"/>
      <w:divBdr>
        <w:top w:val="none" w:sz="0" w:space="0" w:color="auto"/>
        <w:left w:val="none" w:sz="0" w:space="0" w:color="auto"/>
        <w:bottom w:val="none" w:sz="0" w:space="0" w:color="auto"/>
        <w:right w:val="none" w:sz="0" w:space="0" w:color="auto"/>
      </w:divBdr>
    </w:div>
    <w:div w:id="1124738974">
      <w:bodyDiv w:val="1"/>
      <w:marLeft w:val="0"/>
      <w:marRight w:val="0"/>
      <w:marTop w:val="0"/>
      <w:marBottom w:val="0"/>
      <w:divBdr>
        <w:top w:val="none" w:sz="0" w:space="0" w:color="auto"/>
        <w:left w:val="none" w:sz="0" w:space="0" w:color="auto"/>
        <w:bottom w:val="none" w:sz="0" w:space="0" w:color="auto"/>
        <w:right w:val="none" w:sz="0" w:space="0" w:color="auto"/>
      </w:divBdr>
    </w:div>
    <w:div w:id="1130972868">
      <w:bodyDiv w:val="1"/>
      <w:marLeft w:val="0"/>
      <w:marRight w:val="0"/>
      <w:marTop w:val="0"/>
      <w:marBottom w:val="0"/>
      <w:divBdr>
        <w:top w:val="none" w:sz="0" w:space="0" w:color="auto"/>
        <w:left w:val="none" w:sz="0" w:space="0" w:color="auto"/>
        <w:bottom w:val="none" w:sz="0" w:space="0" w:color="auto"/>
        <w:right w:val="none" w:sz="0" w:space="0" w:color="auto"/>
      </w:divBdr>
    </w:div>
    <w:div w:id="1135294266">
      <w:bodyDiv w:val="1"/>
      <w:marLeft w:val="0"/>
      <w:marRight w:val="0"/>
      <w:marTop w:val="0"/>
      <w:marBottom w:val="0"/>
      <w:divBdr>
        <w:top w:val="none" w:sz="0" w:space="0" w:color="auto"/>
        <w:left w:val="none" w:sz="0" w:space="0" w:color="auto"/>
        <w:bottom w:val="none" w:sz="0" w:space="0" w:color="auto"/>
        <w:right w:val="none" w:sz="0" w:space="0" w:color="auto"/>
      </w:divBdr>
    </w:div>
    <w:div w:id="1136067378">
      <w:bodyDiv w:val="1"/>
      <w:marLeft w:val="0"/>
      <w:marRight w:val="0"/>
      <w:marTop w:val="0"/>
      <w:marBottom w:val="0"/>
      <w:divBdr>
        <w:top w:val="none" w:sz="0" w:space="0" w:color="auto"/>
        <w:left w:val="none" w:sz="0" w:space="0" w:color="auto"/>
        <w:bottom w:val="none" w:sz="0" w:space="0" w:color="auto"/>
        <w:right w:val="none" w:sz="0" w:space="0" w:color="auto"/>
      </w:divBdr>
    </w:div>
    <w:div w:id="1137724208">
      <w:bodyDiv w:val="1"/>
      <w:marLeft w:val="0"/>
      <w:marRight w:val="0"/>
      <w:marTop w:val="0"/>
      <w:marBottom w:val="0"/>
      <w:divBdr>
        <w:top w:val="none" w:sz="0" w:space="0" w:color="auto"/>
        <w:left w:val="none" w:sz="0" w:space="0" w:color="auto"/>
        <w:bottom w:val="none" w:sz="0" w:space="0" w:color="auto"/>
        <w:right w:val="none" w:sz="0" w:space="0" w:color="auto"/>
      </w:divBdr>
    </w:div>
    <w:div w:id="1144734979">
      <w:bodyDiv w:val="1"/>
      <w:marLeft w:val="0"/>
      <w:marRight w:val="0"/>
      <w:marTop w:val="0"/>
      <w:marBottom w:val="0"/>
      <w:divBdr>
        <w:top w:val="none" w:sz="0" w:space="0" w:color="auto"/>
        <w:left w:val="none" w:sz="0" w:space="0" w:color="auto"/>
        <w:bottom w:val="none" w:sz="0" w:space="0" w:color="auto"/>
        <w:right w:val="none" w:sz="0" w:space="0" w:color="auto"/>
      </w:divBdr>
    </w:div>
    <w:div w:id="1145858913">
      <w:bodyDiv w:val="1"/>
      <w:marLeft w:val="0"/>
      <w:marRight w:val="0"/>
      <w:marTop w:val="0"/>
      <w:marBottom w:val="0"/>
      <w:divBdr>
        <w:top w:val="none" w:sz="0" w:space="0" w:color="auto"/>
        <w:left w:val="none" w:sz="0" w:space="0" w:color="auto"/>
        <w:bottom w:val="none" w:sz="0" w:space="0" w:color="auto"/>
        <w:right w:val="none" w:sz="0" w:space="0" w:color="auto"/>
      </w:divBdr>
    </w:div>
    <w:div w:id="1146698563">
      <w:bodyDiv w:val="1"/>
      <w:marLeft w:val="0"/>
      <w:marRight w:val="0"/>
      <w:marTop w:val="0"/>
      <w:marBottom w:val="0"/>
      <w:divBdr>
        <w:top w:val="none" w:sz="0" w:space="0" w:color="auto"/>
        <w:left w:val="none" w:sz="0" w:space="0" w:color="auto"/>
        <w:bottom w:val="none" w:sz="0" w:space="0" w:color="auto"/>
        <w:right w:val="none" w:sz="0" w:space="0" w:color="auto"/>
      </w:divBdr>
    </w:div>
    <w:div w:id="1158501467">
      <w:bodyDiv w:val="1"/>
      <w:marLeft w:val="0"/>
      <w:marRight w:val="0"/>
      <w:marTop w:val="0"/>
      <w:marBottom w:val="0"/>
      <w:divBdr>
        <w:top w:val="none" w:sz="0" w:space="0" w:color="auto"/>
        <w:left w:val="none" w:sz="0" w:space="0" w:color="auto"/>
        <w:bottom w:val="none" w:sz="0" w:space="0" w:color="auto"/>
        <w:right w:val="none" w:sz="0" w:space="0" w:color="auto"/>
      </w:divBdr>
    </w:div>
    <w:div w:id="1163472057">
      <w:bodyDiv w:val="1"/>
      <w:marLeft w:val="0"/>
      <w:marRight w:val="0"/>
      <w:marTop w:val="0"/>
      <w:marBottom w:val="0"/>
      <w:divBdr>
        <w:top w:val="none" w:sz="0" w:space="0" w:color="auto"/>
        <w:left w:val="none" w:sz="0" w:space="0" w:color="auto"/>
        <w:bottom w:val="none" w:sz="0" w:space="0" w:color="auto"/>
        <w:right w:val="none" w:sz="0" w:space="0" w:color="auto"/>
      </w:divBdr>
    </w:div>
    <w:div w:id="1170101143">
      <w:bodyDiv w:val="1"/>
      <w:marLeft w:val="0"/>
      <w:marRight w:val="0"/>
      <w:marTop w:val="0"/>
      <w:marBottom w:val="0"/>
      <w:divBdr>
        <w:top w:val="none" w:sz="0" w:space="0" w:color="auto"/>
        <w:left w:val="none" w:sz="0" w:space="0" w:color="auto"/>
        <w:bottom w:val="none" w:sz="0" w:space="0" w:color="auto"/>
        <w:right w:val="none" w:sz="0" w:space="0" w:color="auto"/>
      </w:divBdr>
    </w:div>
    <w:div w:id="1170827261">
      <w:bodyDiv w:val="1"/>
      <w:marLeft w:val="0"/>
      <w:marRight w:val="0"/>
      <w:marTop w:val="0"/>
      <w:marBottom w:val="0"/>
      <w:divBdr>
        <w:top w:val="none" w:sz="0" w:space="0" w:color="auto"/>
        <w:left w:val="none" w:sz="0" w:space="0" w:color="auto"/>
        <w:bottom w:val="none" w:sz="0" w:space="0" w:color="auto"/>
        <w:right w:val="none" w:sz="0" w:space="0" w:color="auto"/>
      </w:divBdr>
    </w:div>
    <w:div w:id="1174224331">
      <w:bodyDiv w:val="1"/>
      <w:marLeft w:val="0"/>
      <w:marRight w:val="0"/>
      <w:marTop w:val="0"/>
      <w:marBottom w:val="0"/>
      <w:divBdr>
        <w:top w:val="none" w:sz="0" w:space="0" w:color="auto"/>
        <w:left w:val="none" w:sz="0" w:space="0" w:color="auto"/>
        <w:bottom w:val="none" w:sz="0" w:space="0" w:color="auto"/>
        <w:right w:val="none" w:sz="0" w:space="0" w:color="auto"/>
      </w:divBdr>
    </w:div>
    <w:div w:id="1174881495">
      <w:bodyDiv w:val="1"/>
      <w:marLeft w:val="0"/>
      <w:marRight w:val="0"/>
      <w:marTop w:val="0"/>
      <w:marBottom w:val="0"/>
      <w:divBdr>
        <w:top w:val="none" w:sz="0" w:space="0" w:color="auto"/>
        <w:left w:val="none" w:sz="0" w:space="0" w:color="auto"/>
        <w:bottom w:val="none" w:sz="0" w:space="0" w:color="auto"/>
        <w:right w:val="none" w:sz="0" w:space="0" w:color="auto"/>
      </w:divBdr>
    </w:div>
    <w:div w:id="1190294740">
      <w:bodyDiv w:val="1"/>
      <w:marLeft w:val="0"/>
      <w:marRight w:val="0"/>
      <w:marTop w:val="0"/>
      <w:marBottom w:val="0"/>
      <w:divBdr>
        <w:top w:val="none" w:sz="0" w:space="0" w:color="auto"/>
        <w:left w:val="none" w:sz="0" w:space="0" w:color="auto"/>
        <w:bottom w:val="none" w:sz="0" w:space="0" w:color="auto"/>
        <w:right w:val="none" w:sz="0" w:space="0" w:color="auto"/>
      </w:divBdr>
    </w:div>
    <w:div w:id="1193152153">
      <w:bodyDiv w:val="1"/>
      <w:marLeft w:val="0"/>
      <w:marRight w:val="0"/>
      <w:marTop w:val="0"/>
      <w:marBottom w:val="0"/>
      <w:divBdr>
        <w:top w:val="none" w:sz="0" w:space="0" w:color="auto"/>
        <w:left w:val="none" w:sz="0" w:space="0" w:color="auto"/>
        <w:bottom w:val="none" w:sz="0" w:space="0" w:color="auto"/>
        <w:right w:val="none" w:sz="0" w:space="0" w:color="auto"/>
      </w:divBdr>
    </w:div>
    <w:div w:id="1201940058">
      <w:bodyDiv w:val="1"/>
      <w:marLeft w:val="0"/>
      <w:marRight w:val="0"/>
      <w:marTop w:val="0"/>
      <w:marBottom w:val="0"/>
      <w:divBdr>
        <w:top w:val="none" w:sz="0" w:space="0" w:color="auto"/>
        <w:left w:val="none" w:sz="0" w:space="0" w:color="auto"/>
        <w:bottom w:val="none" w:sz="0" w:space="0" w:color="auto"/>
        <w:right w:val="none" w:sz="0" w:space="0" w:color="auto"/>
      </w:divBdr>
    </w:div>
    <w:div w:id="1217161362">
      <w:bodyDiv w:val="1"/>
      <w:marLeft w:val="0"/>
      <w:marRight w:val="0"/>
      <w:marTop w:val="0"/>
      <w:marBottom w:val="0"/>
      <w:divBdr>
        <w:top w:val="none" w:sz="0" w:space="0" w:color="auto"/>
        <w:left w:val="none" w:sz="0" w:space="0" w:color="auto"/>
        <w:bottom w:val="none" w:sz="0" w:space="0" w:color="auto"/>
        <w:right w:val="none" w:sz="0" w:space="0" w:color="auto"/>
      </w:divBdr>
    </w:div>
    <w:div w:id="1217667307">
      <w:bodyDiv w:val="1"/>
      <w:marLeft w:val="0"/>
      <w:marRight w:val="0"/>
      <w:marTop w:val="0"/>
      <w:marBottom w:val="0"/>
      <w:divBdr>
        <w:top w:val="none" w:sz="0" w:space="0" w:color="auto"/>
        <w:left w:val="none" w:sz="0" w:space="0" w:color="auto"/>
        <w:bottom w:val="none" w:sz="0" w:space="0" w:color="auto"/>
        <w:right w:val="none" w:sz="0" w:space="0" w:color="auto"/>
      </w:divBdr>
    </w:div>
    <w:div w:id="1233658971">
      <w:bodyDiv w:val="1"/>
      <w:marLeft w:val="0"/>
      <w:marRight w:val="0"/>
      <w:marTop w:val="0"/>
      <w:marBottom w:val="0"/>
      <w:divBdr>
        <w:top w:val="none" w:sz="0" w:space="0" w:color="auto"/>
        <w:left w:val="none" w:sz="0" w:space="0" w:color="auto"/>
        <w:bottom w:val="none" w:sz="0" w:space="0" w:color="auto"/>
        <w:right w:val="none" w:sz="0" w:space="0" w:color="auto"/>
      </w:divBdr>
    </w:div>
    <w:div w:id="1234854371">
      <w:bodyDiv w:val="1"/>
      <w:marLeft w:val="0"/>
      <w:marRight w:val="0"/>
      <w:marTop w:val="0"/>
      <w:marBottom w:val="0"/>
      <w:divBdr>
        <w:top w:val="none" w:sz="0" w:space="0" w:color="auto"/>
        <w:left w:val="none" w:sz="0" w:space="0" w:color="auto"/>
        <w:bottom w:val="none" w:sz="0" w:space="0" w:color="auto"/>
        <w:right w:val="none" w:sz="0" w:space="0" w:color="auto"/>
      </w:divBdr>
    </w:div>
    <w:div w:id="1235896251">
      <w:bodyDiv w:val="1"/>
      <w:marLeft w:val="0"/>
      <w:marRight w:val="0"/>
      <w:marTop w:val="0"/>
      <w:marBottom w:val="0"/>
      <w:divBdr>
        <w:top w:val="none" w:sz="0" w:space="0" w:color="auto"/>
        <w:left w:val="none" w:sz="0" w:space="0" w:color="auto"/>
        <w:bottom w:val="none" w:sz="0" w:space="0" w:color="auto"/>
        <w:right w:val="none" w:sz="0" w:space="0" w:color="auto"/>
      </w:divBdr>
    </w:div>
    <w:div w:id="1237741262">
      <w:bodyDiv w:val="1"/>
      <w:marLeft w:val="0"/>
      <w:marRight w:val="0"/>
      <w:marTop w:val="0"/>
      <w:marBottom w:val="0"/>
      <w:divBdr>
        <w:top w:val="none" w:sz="0" w:space="0" w:color="auto"/>
        <w:left w:val="none" w:sz="0" w:space="0" w:color="auto"/>
        <w:bottom w:val="none" w:sz="0" w:space="0" w:color="auto"/>
        <w:right w:val="none" w:sz="0" w:space="0" w:color="auto"/>
      </w:divBdr>
    </w:div>
    <w:div w:id="1243836208">
      <w:bodyDiv w:val="1"/>
      <w:marLeft w:val="0"/>
      <w:marRight w:val="0"/>
      <w:marTop w:val="0"/>
      <w:marBottom w:val="0"/>
      <w:divBdr>
        <w:top w:val="none" w:sz="0" w:space="0" w:color="auto"/>
        <w:left w:val="none" w:sz="0" w:space="0" w:color="auto"/>
        <w:bottom w:val="none" w:sz="0" w:space="0" w:color="auto"/>
        <w:right w:val="none" w:sz="0" w:space="0" w:color="auto"/>
      </w:divBdr>
    </w:div>
    <w:div w:id="1244680195">
      <w:bodyDiv w:val="1"/>
      <w:marLeft w:val="0"/>
      <w:marRight w:val="0"/>
      <w:marTop w:val="0"/>
      <w:marBottom w:val="0"/>
      <w:divBdr>
        <w:top w:val="none" w:sz="0" w:space="0" w:color="auto"/>
        <w:left w:val="none" w:sz="0" w:space="0" w:color="auto"/>
        <w:bottom w:val="none" w:sz="0" w:space="0" w:color="auto"/>
        <w:right w:val="none" w:sz="0" w:space="0" w:color="auto"/>
      </w:divBdr>
    </w:div>
    <w:div w:id="1244686922">
      <w:bodyDiv w:val="1"/>
      <w:marLeft w:val="0"/>
      <w:marRight w:val="0"/>
      <w:marTop w:val="0"/>
      <w:marBottom w:val="0"/>
      <w:divBdr>
        <w:top w:val="none" w:sz="0" w:space="0" w:color="auto"/>
        <w:left w:val="none" w:sz="0" w:space="0" w:color="auto"/>
        <w:bottom w:val="none" w:sz="0" w:space="0" w:color="auto"/>
        <w:right w:val="none" w:sz="0" w:space="0" w:color="auto"/>
      </w:divBdr>
    </w:div>
    <w:div w:id="1244799493">
      <w:bodyDiv w:val="1"/>
      <w:marLeft w:val="0"/>
      <w:marRight w:val="0"/>
      <w:marTop w:val="0"/>
      <w:marBottom w:val="0"/>
      <w:divBdr>
        <w:top w:val="none" w:sz="0" w:space="0" w:color="auto"/>
        <w:left w:val="none" w:sz="0" w:space="0" w:color="auto"/>
        <w:bottom w:val="none" w:sz="0" w:space="0" w:color="auto"/>
        <w:right w:val="none" w:sz="0" w:space="0" w:color="auto"/>
      </w:divBdr>
    </w:div>
    <w:div w:id="1248077226">
      <w:bodyDiv w:val="1"/>
      <w:marLeft w:val="0"/>
      <w:marRight w:val="0"/>
      <w:marTop w:val="0"/>
      <w:marBottom w:val="0"/>
      <w:divBdr>
        <w:top w:val="none" w:sz="0" w:space="0" w:color="auto"/>
        <w:left w:val="none" w:sz="0" w:space="0" w:color="auto"/>
        <w:bottom w:val="none" w:sz="0" w:space="0" w:color="auto"/>
        <w:right w:val="none" w:sz="0" w:space="0" w:color="auto"/>
      </w:divBdr>
    </w:div>
    <w:div w:id="1254389350">
      <w:bodyDiv w:val="1"/>
      <w:marLeft w:val="0"/>
      <w:marRight w:val="0"/>
      <w:marTop w:val="0"/>
      <w:marBottom w:val="0"/>
      <w:divBdr>
        <w:top w:val="none" w:sz="0" w:space="0" w:color="auto"/>
        <w:left w:val="none" w:sz="0" w:space="0" w:color="auto"/>
        <w:bottom w:val="none" w:sz="0" w:space="0" w:color="auto"/>
        <w:right w:val="none" w:sz="0" w:space="0" w:color="auto"/>
      </w:divBdr>
    </w:div>
    <w:div w:id="1255822623">
      <w:bodyDiv w:val="1"/>
      <w:marLeft w:val="0"/>
      <w:marRight w:val="0"/>
      <w:marTop w:val="0"/>
      <w:marBottom w:val="0"/>
      <w:divBdr>
        <w:top w:val="none" w:sz="0" w:space="0" w:color="auto"/>
        <w:left w:val="none" w:sz="0" w:space="0" w:color="auto"/>
        <w:bottom w:val="none" w:sz="0" w:space="0" w:color="auto"/>
        <w:right w:val="none" w:sz="0" w:space="0" w:color="auto"/>
      </w:divBdr>
    </w:div>
    <w:div w:id="1256129544">
      <w:bodyDiv w:val="1"/>
      <w:marLeft w:val="0"/>
      <w:marRight w:val="0"/>
      <w:marTop w:val="0"/>
      <w:marBottom w:val="0"/>
      <w:divBdr>
        <w:top w:val="none" w:sz="0" w:space="0" w:color="auto"/>
        <w:left w:val="none" w:sz="0" w:space="0" w:color="auto"/>
        <w:bottom w:val="none" w:sz="0" w:space="0" w:color="auto"/>
        <w:right w:val="none" w:sz="0" w:space="0" w:color="auto"/>
      </w:divBdr>
    </w:div>
    <w:div w:id="1257248135">
      <w:bodyDiv w:val="1"/>
      <w:marLeft w:val="0"/>
      <w:marRight w:val="0"/>
      <w:marTop w:val="0"/>
      <w:marBottom w:val="0"/>
      <w:divBdr>
        <w:top w:val="none" w:sz="0" w:space="0" w:color="auto"/>
        <w:left w:val="none" w:sz="0" w:space="0" w:color="auto"/>
        <w:bottom w:val="none" w:sz="0" w:space="0" w:color="auto"/>
        <w:right w:val="none" w:sz="0" w:space="0" w:color="auto"/>
      </w:divBdr>
    </w:div>
    <w:div w:id="1267735705">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74552085">
      <w:bodyDiv w:val="1"/>
      <w:marLeft w:val="0"/>
      <w:marRight w:val="0"/>
      <w:marTop w:val="0"/>
      <w:marBottom w:val="0"/>
      <w:divBdr>
        <w:top w:val="none" w:sz="0" w:space="0" w:color="auto"/>
        <w:left w:val="none" w:sz="0" w:space="0" w:color="auto"/>
        <w:bottom w:val="none" w:sz="0" w:space="0" w:color="auto"/>
        <w:right w:val="none" w:sz="0" w:space="0" w:color="auto"/>
      </w:divBdr>
    </w:div>
    <w:div w:id="1275089665">
      <w:bodyDiv w:val="1"/>
      <w:marLeft w:val="0"/>
      <w:marRight w:val="0"/>
      <w:marTop w:val="0"/>
      <w:marBottom w:val="0"/>
      <w:divBdr>
        <w:top w:val="none" w:sz="0" w:space="0" w:color="auto"/>
        <w:left w:val="none" w:sz="0" w:space="0" w:color="auto"/>
        <w:bottom w:val="none" w:sz="0" w:space="0" w:color="auto"/>
        <w:right w:val="none" w:sz="0" w:space="0" w:color="auto"/>
      </w:divBdr>
    </w:div>
    <w:div w:id="1276905432">
      <w:bodyDiv w:val="1"/>
      <w:marLeft w:val="0"/>
      <w:marRight w:val="0"/>
      <w:marTop w:val="0"/>
      <w:marBottom w:val="0"/>
      <w:divBdr>
        <w:top w:val="none" w:sz="0" w:space="0" w:color="auto"/>
        <w:left w:val="none" w:sz="0" w:space="0" w:color="auto"/>
        <w:bottom w:val="none" w:sz="0" w:space="0" w:color="auto"/>
        <w:right w:val="none" w:sz="0" w:space="0" w:color="auto"/>
      </w:divBdr>
    </w:div>
    <w:div w:id="1287543072">
      <w:bodyDiv w:val="1"/>
      <w:marLeft w:val="0"/>
      <w:marRight w:val="0"/>
      <w:marTop w:val="0"/>
      <w:marBottom w:val="0"/>
      <w:divBdr>
        <w:top w:val="none" w:sz="0" w:space="0" w:color="auto"/>
        <w:left w:val="none" w:sz="0" w:space="0" w:color="auto"/>
        <w:bottom w:val="none" w:sz="0" w:space="0" w:color="auto"/>
        <w:right w:val="none" w:sz="0" w:space="0" w:color="auto"/>
      </w:divBdr>
    </w:div>
    <w:div w:id="1292907340">
      <w:bodyDiv w:val="1"/>
      <w:marLeft w:val="0"/>
      <w:marRight w:val="0"/>
      <w:marTop w:val="0"/>
      <w:marBottom w:val="0"/>
      <w:divBdr>
        <w:top w:val="none" w:sz="0" w:space="0" w:color="auto"/>
        <w:left w:val="none" w:sz="0" w:space="0" w:color="auto"/>
        <w:bottom w:val="none" w:sz="0" w:space="0" w:color="auto"/>
        <w:right w:val="none" w:sz="0" w:space="0" w:color="auto"/>
      </w:divBdr>
    </w:div>
    <w:div w:id="1298997817">
      <w:bodyDiv w:val="1"/>
      <w:marLeft w:val="0"/>
      <w:marRight w:val="0"/>
      <w:marTop w:val="0"/>
      <w:marBottom w:val="0"/>
      <w:divBdr>
        <w:top w:val="none" w:sz="0" w:space="0" w:color="auto"/>
        <w:left w:val="none" w:sz="0" w:space="0" w:color="auto"/>
        <w:bottom w:val="none" w:sz="0" w:space="0" w:color="auto"/>
        <w:right w:val="none" w:sz="0" w:space="0" w:color="auto"/>
      </w:divBdr>
    </w:div>
    <w:div w:id="1307197960">
      <w:bodyDiv w:val="1"/>
      <w:marLeft w:val="0"/>
      <w:marRight w:val="0"/>
      <w:marTop w:val="0"/>
      <w:marBottom w:val="0"/>
      <w:divBdr>
        <w:top w:val="none" w:sz="0" w:space="0" w:color="auto"/>
        <w:left w:val="none" w:sz="0" w:space="0" w:color="auto"/>
        <w:bottom w:val="none" w:sz="0" w:space="0" w:color="auto"/>
        <w:right w:val="none" w:sz="0" w:space="0" w:color="auto"/>
      </w:divBdr>
    </w:div>
    <w:div w:id="1309020554">
      <w:bodyDiv w:val="1"/>
      <w:marLeft w:val="0"/>
      <w:marRight w:val="0"/>
      <w:marTop w:val="0"/>
      <w:marBottom w:val="0"/>
      <w:divBdr>
        <w:top w:val="none" w:sz="0" w:space="0" w:color="auto"/>
        <w:left w:val="none" w:sz="0" w:space="0" w:color="auto"/>
        <w:bottom w:val="none" w:sz="0" w:space="0" w:color="auto"/>
        <w:right w:val="none" w:sz="0" w:space="0" w:color="auto"/>
      </w:divBdr>
    </w:div>
    <w:div w:id="1312828419">
      <w:bodyDiv w:val="1"/>
      <w:marLeft w:val="0"/>
      <w:marRight w:val="0"/>
      <w:marTop w:val="0"/>
      <w:marBottom w:val="0"/>
      <w:divBdr>
        <w:top w:val="none" w:sz="0" w:space="0" w:color="auto"/>
        <w:left w:val="none" w:sz="0" w:space="0" w:color="auto"/>
        <w:bottom w:val="none" w:sz="0" w:space="0" w:color="auto"/>
        <w:right w:val="none" w:sz="0" w:space="0" w:color="auto"/>
      </w:divBdr>
    </w:div>
    <w:div w:id="1318803449">
      <w:bodyDiv w:val="1"/>
      <w:marLeft w:val="0"/>
      <w:marRight w:val="0"/>
      <w:marTop w:val="0"/>
      <w:marBottom w:val="0"/>
      <w:divBdr>
        <w:top w:val="none" w:sz="0" w:space="0" w:color="auto"/>
        <w:left w:val="none" w:sz="0" w:space="0" w:color="auto"/>
        <w:bottom w:val="none" w:sz="0" w:space="0" w:color="auto"/>
        <w:right w:val="none" w:sz="0" w:space="0" w:color="auto"/>
      </w:divBdr>
    </w:div>
    <w:div w:id="1320426002">
      <w:bodyDiv w:val="1"/>
      <w:marLeft w:val="0"/>
      <w:marRight w:val="0"/>
      <w:marTop w:val="0"/>
      <w:marBottom w:val="0"/>
      <w:divBdr>
        <w:top w:val="none" w:sz="0" w:space="0" w:color="auto"/>
        <w:left w:val="none" w:sz="0" w:space="0" w:color="auto"/>
        <w:bottom w:val="none" w:sz="0" w:space="0" w:color="auto"/>
        <w:right w:val="none" w:sz="0" w:space="0" w:color="auto"/>
      </w:divBdr>
    </w:div>
    <w:div w:id="1325818865">
      <w:bodyDiv w:val="1"/>
      <w:marLeft w:val="0"/>
      <w:marRight w:val="0"/>
      <w:marTop w:val="0"/>
      <w:marBottom w:val="0"/>
      <w:divBdr>
        <w:top w:val="none" w:sz="0" w:space="0" w:color="auto"/>
        <w:left w:val="none" w:sz="0" w:space="0" w:color="auto"/>
        <w:bottom w:val="none" w:sz="0" w:space="0" w:color="auto"/>
        <w:right w:val="none" w:sz="0" w:space="0" w:color="auto"/>
      </w:divBdr>
    </w:div>
    <w:div w:id="1326938961">
      <w:bodyDiv w:val="1"/>
      <w:marLeft w:val="0"/>
      <w:marRight w:val="0"/>
      <w:marTop w:val="0"/>
      <w:marBottom w:val="0"/>
      <w:divBdr>
        <w:top w:val="none" w:sz="0" w:space="0" w:color="auto"/>
        <w:left w:val="none" w:sz="0" w:space="0" w:color="auto"/>
        <w:bottom w:val="none" w:sz="0" w:space="0" w:color="auto"/>
        <w:right w:val="none" w:sz="0" w:space="0" w:color="auto"/>
      </w:divBdr>
    </w:div>
    <w:div w:id="1333800858">
      <w:bodyDiv w:val="1"/>
      <w:marLeft w:val="0"/>
      <w:marRight w:val="0"/>
      <w:marTop w:val="0"/>
      <w:marBottom w:val="0"/>
      <w:divBdr>
        <w:top w:val="none" w:sz="0" w:space="0" w:color="auto"/>
        <w:left w:val="none" w:sz="0" w:space="0" w:color="auto"/>
        <w:bottom w:val="none" w:sz="0" w:space="0" w:color="auto"/>
        <w:right w:val="none" w:sz="0" w:space="0" w:color="auto"/>
      </w:divBdr>
    </w:div>
    <w:div w:id="1336491122">
      <w:bodyDiv w:val="1"/>
      <w:marLeft w:val="0"/>
      <w:marRight w:val="0"/>
      <w:marTop w:val="0"/>
      <w:marBottom w:val="0"/>
      <w:divBdr>
        <w:top w:val="none" w:sz="0" w:space="0" w:color="auto"/>
        <w:left w:val="none" w:sz="0" w:space="0" w:color="auto"/>
        <w:bottom w:val="none" w:sz="0" w:space="0" w:color="auto"/>
        <w:right w:val="none" w:sz="0" w:space="0" w:color="auto"/>
      </w:divBdr>
    </w:div>
    <w:div w:id="1341157902">
      <w:bodyDiv w:val="1"/>
      <w:marLeft w:val="0"/>
      <w:marRight w:val="0"/>
      <w:marTop w:val="0"/>
      <w:marBottom w:val="0"/>
      <w:divBdr>
        <w:top w:val="none" w:sz="0" w:space="0" w:color="auto"/>
        <w:left w:val="none" w:sz="0" w:space="0" w:color="auto"/>
        <w:bottom w:val="none" w:sz="0" w:space="0" w:color="auto"/>
        <w:right w:val="none" w:sz="0" w:space="0" w:color="auto"/>
      </w:divBdr>
    </w:div>
    <w:div w:id="1347905828">
      <w:bodyDiv w:val="1"/>
      <w:marLeft w:val="0"/>
      <w:marRight w:val="0"/>
      <w:marTop w:val="0"/>
      <w:marBottom w:val="0"/>
      <w:divBdr>
        <w:top w:val="none" w:sz="0" w:space="0" w:color="auto"/>
        <w:left w:val="none" w:sz="0" w:space="0" w:color="auto"/>
        <w:bottom w:val="none" w:sz="0" w:space="0" w:color="auto"/>
        <w:right w:val="none" w:sz="0" w:space="0" w:color="auto"/>
      </w:divBdr>
    </w:div>
    <w:div w:id="1355763326">
      <w:bodyDiv w:val="1"/>
      <w:marLeft w:val="0"/>
      <w:marRight w:val="0"/>
      <w:marTop w:val="0"/>
      <w:marBottom w:val="0"/>
      <w:divBdr>
        <w:top w:val="none" w:sz="0" w:space="0" w:color="auto"/>
        <w:left w:val="none" w:sz="0" w:space="0" w:color="auto"/>
        <w:bottom w:val="none" w:sz="0" w:space="0" w:color="auto"/>
        <w:right w:val="none" w:sz="0" w:space="0" w:color="auto"/>
      </w:divBdr>
    </w:div>
    <w:div w:id="1360004851">
      <w:bodyDiv w:val="1"/>
      <w:marLeft w:val="0"/>
      <w:marRight w:val="0"/>
      <w:marTop w:val="0"/>
      <w:marBottom w:val="0"/>
      <w:divBdr>
        <w:top w:val="none" w:sz="0" w:space="0" w:color="auto"/>
        <w:left w:val="none" w:sz="0" w:space="0" w:color="auto"/>
        <w:bottom w:val="none" w:sz="0" w:space="0" w:color="auto"/>
        <w:right w:val="none" w:sz="0" w:space="0" w:color="auto"/>
      </w:divBdr>
    </w:div>
    <w:div w:id="1360086033">
      <w:bodyDiv w:val="1"/>
      <w:marLeft w:val="0"/>
      <w:marRight w:val="0"/>
      <w:marTop w:val="0"/>
      <w:marBottom w:val="0"/>
      <w:divBdr>
        <w:top w:val="none" w:sz="0" w:space="0" w:color="auto"/>
        <w:left w:val="none" w:sz="0" w:space="0" w:color="auto"/>
        <w:bottom w:val="none" w:sz="0" w:space="0" w:color="auto"/>
        <w:right w:val="none" w:sz="0" w:space="0" w:color="auto"/>
      </w:divBdr>
    </w:div>
    <w:div w:id="1360353673">
      <w:bodyDiv w:val="1"/>
      <w:marLeft w:val="0"/>
      <w:marRight w:val="0"/>
      <w:marTop w:val="0"/>
      <w:marBottom w:val="0"/>
      <w:divBdr>
        <w:top w:val="none" w:sz="0" w:space="0" w:color="auto"/>
        <w:left w:val="none" w:sz="0" w:space="0" w:color="auto"/>
        <w:bottom w:val="none" w:sz="0" w:space="0" w:color="auto"/>
        <w:right w:val="none" w:sz="0" w:space="0" w:color="auto"/>
      </w:divBdr>
    </w:div>
    <w:div w:id="1370255385">
      <w:bodyDiv w:val="1"/>
      <w:marLeft w:val="0"/>
      <w:marRight w:val="0"/>
      <w:marTop w:val="0"/>
      <w:marBottom w:val="0"/>
      <w:divBdr>
        <w:top w:val="none" w:sz="0" w:space="0" w:color="auto"/>
        <w:left w:val="none" w:sz="0" w:space="0" w:color="auto"/>
        <w:bottom w:val="none" w:sz="0" w:space="0" w:color="auto"/>
        <w:right w:val="none" w:sz="0" w:space="0" w:color="auto"/>
      </w:divBdr>
    </w:div>
    <w:div w:id="1373920296">
      <w:bodyDiv w:val="1"/>
      <w:marLeft w:val="0"/>
      <w:marRight w:val="0"/>
      <w:marTop w:val="0"/>
      <w:marBottom w:val="0"/>
      <w:divBdr>
        <w:top w:val="none" w:sz="0" w:space="0" w:color="auto"/>
        <w:left w:val="none" w:sz="0" w:space="0" w:color="auto"/>
        <w:bottom w:val="none" w:sz="0" w:space="0" w:color="auto"/>
        <w:right w:val="none" w:sz="0" w:space="0" w:color="auto"/>
      </w:divBdr>
    </w:div>
    <w:div w:id="1381397931">
      <w:bodyDiv w:val="1"/>
      <w:marLeft w:val="0"/>
      <w:marRight w:val="0"/>
      <w:marTop w:val="0"/>
      <w:marBottom w:val="0"/>
      <w:divBdr>
        <w:top w:val="none" w:sz="0" w:space="0" w:color="auto"/>
        <w:left w:val="none" w:sz="0" w:space="0" w:color="auto"/>
        <w:bottom w:val="none" w:sz="0" w:space="0" w:color="auto"/>
        <w:right w:val="none" w:sz="0" w:space="0" w:color="auto"/>
      </w:divBdr>
    </w:div>
    <w:div w:id="1388869718">
      <w:bodyDiv w:val="1"/>
      <w:marLeft w:val="0"/>
      <w:marRight w:val="0"/>
      <w:marTop w:val="0"/>
      <w:marBottom w:val="0"/>
      <w:divBdr>
        <w:top w:val="none" w:sz="0" w:space="0" w:color="auto"/>
        <w:left w:val="none" w:sz="0" w:space="0" w:color="auto"/>
        <w:bottom w:val="none" w:sz="0" w:space="0" w:color="auto"/>
        <w:right w:val="none" w:sz="0" w:space="0" w:color="auto"/>
      </w:divBdr>
    </w:div>
    <w:div w:id="1396246750">
      <w:bodyDiv w:val="1"/>
      <w:marLeft w:val="0"/>
      <w:marRight w:val="0"/>
      <w:marTop w:val="0"/>
      <w:marBottom w:val="0"/>
      <w:divBdr>
        <w:top w:val="none" w:sz="0" w:space="0" w:color="auto"/>
        <w:left w:val="none" w:sz="0" w:space="0" w:color="auto"/>
        <w:bottom w:val="none" w:sz="0" w:space="0" w:color="auto"/>
        <w:right w:val="none" w:sz="0" w:space="0" w:color="auto"/>
      </w:divBdr>
    </w:div>
    <w:div w:id="1408457077">
      <w:bodyDiv w:val="1"/>
      <w:marLeft w:val="0"/>
      <w:marRight w:val="0"/>
      <w:marTop w:val="0"/>
      <w:marBottom w:val="0"/>
      <w:divBdr>
        <w:top w:val="none" w:sz="0" w:space="0" w:color="auto"/>
        <w:left w:val="none" w:sz="0" w:space="0" w:color="auto"/>
        <w:bottom w:val="none" w:sz="0" w:space="0" w:color="auto"/>
        <w:right w:val="none" w:sz="0" w:space="0" w:color="auto"/>
      </w:divBdr>
    </w:div>
    <w:div w:id="1408963036">
      <w:bodyDiv w:val="1"/>
      <w:marLeft w:val="0"/>
      <w:marRight w:val="0"/>
      <w:marTop w:val="0"/>
      <w:marBottom w:val="0"/>
      <w:divBdr>
        <w:top w:val="none" w:sz="0" w:space="0" w:color="auto"/>
        <w:left w:val="none" w:sz="0" w:space="0" w:color="auto"/>
        <w:bottom w:val="none" w:sz="0" w:space="0" w:color="auto"/>
        <w:right w:val="none" w:sz="0" w:space="0" w:color="auto"/>
      </w:divBdr>
    </w:div>
    <w:div w:id="1410928469">
      <w:bodyDiv w:val="1"/>
      <w:marLeft w:val="0"/>
      <w:marRight w:val="0"/>
      <w:marTop w:val="0"/>
      <w:marBottom w:val="0"/>
      <w:divBdr>
        <w:top w:val="none" w:sz="0" w:space="0" w:color="auto"/>
        <w:left w:val="none" w:sz="0" w:space="0" w:color="auto"/>
        <w:bottom w:val="none" w:sz="0" w:space="0" w:color="auto"/>
        <w:right w:val="none" w:sz="0" w:space="0" w:color="auto"/>
      </w:divBdr>
    </w:div>
    <w:div w:id="1411737545">
      <w:bodyDiv w:val="1"/>
      <w:marLeft w:val="0"/>
      <w:marRight w:val="0"/>
      <w:marTop w:val="0"/>
      <w:marBottom w:val="0"/>
      <w:divBdr>
        <w:top w:val="none" w:sz="0" w:space="0" w:color="auto"/>
        <w:left w:val="none" w:sz="0" w:space="0" w:color="auto"/>
        <w:bottom w:val="none" w:sz="0" w:space="0" w:color="auto"/>
        <w:right w:val="none" w:sz="0" w:space="0" w:color="auto"/>
      </w:divBdr>
    </w:div>
    <w:div w:id="1421098296">
      <w:bodyDiv w:val="1"/>
      <w:marLeft w:val="0"/>
      <w:marRight w:val="0"/>
      <w:marTop w:val="0"/>
      <w:marBottom w:val="0"/>
      <w:divBdr>
        <w:top w:val="none" w:sz="0" w:space="0" w:color="auto"/>
        <w:left w:val="none" w:sz="0" w:space="0" w:color="auto"/>
        <w:bottom w:val="none" w:sz="0" w:space="0" w:color="auto"/>
        <w:right w:val="none" w:sz="0" w:space="0" w:color="auto"/>
      </w:divBdr>
    </w:div>
    <w:div w:id="1425540671">
      <w:bodyDiv w:val="1"/>
      <w:marLeft w:val="0"/>
      <w:marRight w:val="0"/>
      <w:marTop w:val="0"/>
      <w:marBottom w:val="0"/>
      <w:divBdr>
        <w:top w:val="none" w:sz="0" w:space="0" w:color="auto"/>
        <w:left w:val="none" w:sz="0" w:space="0" w:color="auto"/>
        <w:bottom w:val="none" w:sz="0" w:space="0" w:color="auto"/>
        <w:right w:val="none" w:sz="0" w:space="0" w:color="auto"/>
      </w:divBdr>
    </w:div>
    <w:div w:id="1434008041">
      <w:bodyDiv w:val="1"/>
      <w:marLeft w:val="0"/>
      <w:marRight w:val="0"/>
      <w:marTop w:val="0"/>
      <w:marBottom w:val="0"/>
      <w:divBdr>
        <w:top w:val="none" w:sz="0" w:space="0" w:color="auto"/>
        <w:left w:val="none" w:sz="0" w:space="0" w:color="auto"/>
        <w:bottom w:val="none" w:sz="0" w:space="0" w:color="auto"/>
        <w:right w:val="none" w:sz="0" w:space="0" w:color="auto"/>
      </w:divBdr>
    </w:div>
    <w:div w:id="1434398762">
      <w:bodyDiv w:val="1"/>
      <w:marLeft w:val="0"/>
      <w:marRight w:val="0"/>
      <w:marTop w:val="0"/>
      <w:marBottom w:val="0"/>
      <w:divBdr>
        <w:top w:val="none" w:sz="0" w:space="0" w:color="auto"/>
        <w:left w:val="none" w:sz="0" w:space="0" w:color="auto"/>
        <w:bottom w:val="none" w:sz="0" w:space="0" w:color="auto"/>
        <w:right w:val="none" w:sz="0" w:space="0" w:color="auto"/>
      </w:divBdr>
    </w:div>
    <w:div w:id="1440031801">
      <w:bodyDiv w:val="1"/>
      <w:marLeft w:val="0"/>
      <w:marRight w:val="0"/>
      <w:marTop w:val="0"/>
      <w:marBottom w:val="0"/>
      <w:divBdr>
        <w:top w:val="none" w:sz="0" w:space="0" w:color="auto"/>
        <w:left w:val="none" w:sz="0" w:space="0" w:color="auto"/>
        <w:bottom w:val="none" w:sz="0" w:space="0" w:color="auto"/>
        <w:right w:val="none" w:sz="0" w:space="0" w:color="auto"/>
      </w:divBdr>
    </w:div>
    <w:div w:id="1461066843">
      <w:bodyDiv w:val="1"/>
      <w:marLeft w:val="0"/>
      <w:marRight w:val="0"/>
      <w:marTop w:val="0"/>
      <w:marBottom w:val="0"/>
      <w:divBdr>
        <w:top w:val="none" w:sz="0" w:space="0" w:color="auto"/>
        <w:left w:val="none" w:sz="0" w:space="0" w:color="auto"/>
        <w:bottom w:val="none" w:sz="0" w:space="0" w:color="auto"/>
        <w:right w:val="none" w:sz="0" w:space="0" w:color="auto"/>
      </w:divBdr>
    </w:div>
    <w:div w:id="1466774303">
      <w:bodyDiv w:val="1"/>
      <w:marLeft w:val="0"/>
      <w:marRight w:val="0"/>
      <w:marTop w:val="0"/>
      <w:marBottom w:val="0"/>
      <w:divBdr>
        <w:top w:val="none" w:sz="0" w:space="0" w:color="auto"/>
        <w:left w:val="none" w:sz="0" w:space="0" w:color="auto"/>
        <w:bottom w:val="none" w:sz="0" w:space="0" w:color="auto"/>
        <w:right w:val="none" w:sz="0" w:space="0" w:color="auto"/>
      </w:divBdr>
    </w:div>
    <w:div w:id="1470320393">
      <w:bodyDiv w:val="1"/>
      <w:marLeft w:val="0"/>
      <w:marRight w:val="0"/>
      <w:marTop w:val="0"/>
      <w:marBottom w:val="0"/>
      <w:divBdr>
        <w:top w:val="none" w:sz="0" w:space="0" w:color="auto"/>
        <w:left w:val="none" w:sz="0" w:space="0" w:color="auto"/>
        <w:bottom w:val="none" w:sz="0" w:space="0" w:color="auto"/>
        <w:right w:val="none" w:sz="0" w:space="0" w:color="auto"/>
      </w:divBdr>
    </w:div>
    <w:div w:id="1473710318">
      <w:bodyDiv w:val="1"/>
      <w:marLeft w:val="0"/>
      <w:marRight w:val="0"/>
      <w:marTop w:val="0"/>
      <w:marBottom w:val="0"/>
      <w:divBdr>
        <w:top w:val="none" w:sz="0" w:space="0" w:color="auto"/>
        <w:left w:val="none" w:sz="0" w:space="0" w:color="auto"/>
        <w:bottom w:val="none" w:sz="0" w:space="0" w:color="auto"/>
        <w:right w:val="none" w:sz="0" w:space="0" w:color="auto"/>
      </w:divBdr>
    </w:div>
    <w:div w:id="1483766034">
      <w:bodyDiv w:val="1"/>
      <w:marLeft w:val="0"/>
      <w:marRight w:val="0"/>
      <w:marTop w:val="0"/>
      <w:marBottom w:val="0"/>
      <w:divBdr>
        <w:top w:val="none" w:sz="0" w:space="0" w:color="auto"/>
        <w:left w:val="none" w:sz="0" w:space="0" w:color="auto"/>
        <w:bottom w:val="none" w:sz="0" w:space="0" w:color="auto"/>
        <w:right w:val="none" w:sz="0" w:space="0" w:color="auto"/>
      </w:divBdr>
    </w:div>
    <w:div w:id="1485462723">
      <w:bodyDiv w:val="1"/>
      <w:marLeft w:val="0"/>
      <w:marRight w:val="0"/>
      <w:marTop w:val="0"/>
      <w:marBottom w:val="0"/>
      <w:divBdr>
        <w:top w:val="none" w:sz="0" w:space="0" w:color="auto"/>
        <w:left w:val="none" w:sz="0" w:space="0" w:color="auto"/>
        <w:bottom w:val="none" w:sz="0" w:space="0" w:color="auto"/>
        <w:right w:val="none" w:sz="0" w:space="0" w:color="auto"/>
      </w:divBdr>
    </w:div>
    <w:div w:id="1498880436">
      <w:bodyDiv w:val="1"/>
      <w:marLeft w:val="0"/>
      <w:marRight w:val="0"/>
      <w:marTop w:val="0"/>
      <w:marBottom w:val="0"/>
      <w:divBdr>
        <w:top w:val="none" w:sz="0" w:space="0" w:color="auto"/>
        <w:left w:val="none" w:sz="0" w:space="0" w:color="auto"/>
        <w:bottom w:val="none" w:sz="0" w:space="0" w:color="auto"/>
        <w:right w:val="none" w:sz="0" w:space="0" w:color="auto"/>
      </w:divBdr>
    </w:div>
    <w:div w:id="1499423506">
      <w:bodyDiv w:val="1"/>
      <w:marLeft w:val="0"/>
      <w:marRight w:val="0"/>
      <w:marTop w:val="0"/>
      <w:marBottom w:val="0"/>
      <w:divBdr>
        <w:top w:val="none" w:sz="0" w:space="0" w:color="auto"/>
        <w:left w:val="none" w:sz="0" w:space="0" w:color="auto"/>
        <w:bottom w:val="none" w:sz="0" w:space="0" w:color="auto"/>
        <w:right w:val="none" w:sz="0" w:space="0" w:color="auto"/>
      </w:divBdr>
    </w:div>
    <w:div w:id="1500583965">
      <w:bodyDiv w:val="1"/>
      <w:marLeft w:val="0"/>
      <w:marRight w:val="0"/>
      <w:marTop w:val="0"/>
      <w:marBottom w:val="0"/>
      <w:divBdr>
        <w:top w:val="none" w:sz="0" w:space="0" w:color="auto"/>
        <w:left w:val="none" w:sz="0" w:space="0" w:color="auto"/>
        <w:bottom w:val="none" w:sz="0" w:space="0" w:color="auto"/>
        <w:right w:val="none" w:sz="0" w:space="0" w:color="auto"/>
      </w:divBdr>
    </w:div>
    <w:div w:id="1504852131">
      <w:bodyDiv w:val="1"/>
      <w:marLeft w:val="0"/>
      <w:marRight w:val="0"/>
      <w:marTop w:val="0"/>
      <w:marBottom w:val="0"/>
      <w:divBdr>
        <w:top w:val="none" w:sz="0" w:space="0" w:color="auto"/>
        <w:left w:val="none" w:sz="0" w:space="0" w:color="auto"/>
        <w:bottom w:val="none" w:sz="0" w:space="0" w:color="auto"/>
        <w:right w:val="none" w:sz="0" w:space="0" w:color="auto"/>
      </w:divBdr>
    </w:div>
    <w:div w:id="1516767480">
      <w:bodyDiv w:val="1"/>
      <w:marLeft w:val="0"/>
      <w:marRight w:val="0"/>
      <w:marTop w:val="0"/>
      <w:marBottom w:val="0"/>
      <w:divBdr>
        <w:top w:val="none" w:sz="0" w:space="0" w:color="auto"/>
        <w:left w:val="none" w:sz="0" w:space="0" w:color="auto"/>
        <w:bottom w:val="none" w:sz="0" w:space="0" w:color="auto"/>
        <w:right w:val="none" w:sz="0" w:space="0" w:color="auto"/>
      </w:divBdr>
    </w:div>
    <w:div w:id="1524974951">
      <w:bodyDiv w:val="1"/>
      <w:marLeft w:val="0"/>
      <w:marRight w:val="0"/>
      <w:marTop w:val="0"/>
      <w:marBottom w:val="0"/>
      <w:divBdr>
        <w:top w:val="none" w:sz="0" w:space="0" w:color="auto"/>
        <w:left w:val="none" w:sz="0" w:space="0" w:color="auto"/>
        <w:bottom w:val="none" w:sz="0" w:space="0" w:color="auto"/>
        <w:right w:val="none" w:sz="0" w:space="0" w:color="auto"/>
      </w:divBdr>
    </w:div>
    <w:div w:id="1528719123">
      <w:bodyDiv w:val="1"/>
      <w:marLeft w:val="0"/>
      <w:marRight w:val="0"/>
      <w:marTop w:val="0"/>
      <w:marBottom w:val="0"/>
      <w:divBdr>
        <w:top w:val="none" w:sz="0" w:space="0" w:color="auto"/>
        <w:left w:val="none" w:sz="0" w:space="0" w:color="auto"/>
        <w:bottom w:val="none" w:sz="0" w:space="0" w:color="auto"/>
        <w:right w:val="none" w:sz="0" w:space="0" w:color="auto"/>
      </w:divBdr>
    </w:div>
    <w:div w:id="1530291995">
      <w:bodyDiv w:val="1"/>
      <w:marLeft w:val="0"/>
      <w:marRight w:val="0"/>
      <w:marTop w:val="0"/>
      <w:marBottom w:val="0"/>
      <w:divBdr>
        <w:top w:val="none" w:sz="0" w:space="0" w:color="auto"/>
        <w:left w:val="none" w:sz="0" w:space="0" w:color="auto"/>
        <w:bottom w:val="none" w:sz="0" w:space="0" w:color="auto"/>
        <w:right w:val="none" w:sz="0" w:space="0" w:color="auto"/>
      </w:divBdr>
    </w:div>
    <w:div w:id="1539245676">
      <w:bodyDiv w:val="1"/>
      <w:marLeft w:val="0"/>
      <w:marRight w:val="0"/>
      <w:marTop w:val="0"/>
      <w:marBottom w:val="0"/>
      <w:divBdr>
        <w:top w:val="none" w:sz="0" w:space="0" w:color="auto"/>
        <w:left w:val="none" w:sz="0" w:space="0" w:color="auto"/>
        <w:bottom w:val="none" w:sz="0" w:space="0" w:color="auto"/>
        <w:right w:val="none" w:sz="0" w:space="0" w:color="auto"/>
      </w:divBdr>
    </w:div>
    <w:div w:id="1540701305">
      <w:bodyDiv w:val="1"/>
      <w:marLeft w:val="0"/>
      <w:marRight w:val="0"/>
      <w:marTop w:val="0"/>
      <w:marBottom w:val="0"/>
      <w:divBdr>
        <w:top w:val="none" w:sz="0" w:space="0" w:color="auto"/>
        <w:left w:val="none" w:sz="0" w:space="0" w:color="auto"/>
        <w:bottom w:val="none" w:sz="0" w:space="0" w:color="auto"/>
        <w:right w:val="none" w:sz="0" w:space="0" w:color="auto"/>
      </w:divBdr>
    </w:div>
    <w:div w:id="1541939452">
      <w:bodyDiv w:val="1"/>
      <w:marLeft w:val="0"/>
      <w:marRight w:val="0"/>
      <w:marTop w:val="0"/>
      <w:marBottom w:val="0"/>
      <w:divBdr>
        <w:top w:val="none" w:sz="0" w:space="0" w:color="auto"/>
        <w:left w:val="none" w:sz="0" w:space="0" w:color="auto"/>
        <w:bottom w:val="none" w:sz="0" w:space="0" w:color="auto"/>
        <w:right w:val="none" w:sz="0" w:space="0" w:color="auto"/>
      </w:divBdr>
    </w:div>
    <w:div w:id="1544514597">
      <w:bodyDiv w:val="1"/>
      <w:marLeft w:val="0"/>
      <w:marRight w:val="0"/>
      <w:marTop w:val="0"/>
      <w:marBottom w:val="0"/>
      <w:divBdr>
        <w:top w:val="none" w:sz="0" w:space="0" w:color="auto"/>
        <w:left w:val="none" w:sz="0" w:space="0" w:color="auto"/>
        <w:bottom w:val="none" w:sz="0" w:space="0" w:color="auto"/>
        <w:right w:val="none" w:sz="0" w:space="0" w:color="auto"/>
      </w:divBdr>
    </w:div>
    <w:div w:id="1555434967">
      <w:bodyDiv w:val="1"/>
      <w:marLeft w:val="0"/>
      <w:marRight w:val="0"/>
      <w:marTop w:val="0"/>
      <w:marBottom w:val="0"/>
      <w:divBdr>
        <w:top w:val="none" w:sz="0" w:space="0" w:color="auto"/>
        <w:left w:val="none" w:sz="0" w:space="0" w:color="auto"/>
        <w:bottom w:val="none" w:sz="0" w:space="0" w:color="auto"/>
        <w:right w:val="none" w:sz="0" w:space="0" w:color="auto"/>
      </w:divBdr>
    </w:div>
    <w:div w:id="1559631901">
      <w:bodyDiv w:val="1"/>
      <w:marLeft w:val="0"/>
      <w:marRight w:val="0"/>
      <w:marTop w:val="0"/>
      <w:marBottom w:val="0"/>
      <w:divBdr>
        <w:top w:val="none" w:sz="0" w:space="0" w:color="auto"/>
        <w:left w:val="none" w:sz="0" w:space="0" w:color="auto"/>
        <w:bottom w:val="none" w:sz="0" w:space="0" w:color="auto"/>
        <w:right w:val="none" w:sz="0" w:space="0" w:color="auto"/>
      </w:divBdr>
    </w:div>
    <w:div w:id="1578247343">
      <w:bodyDiv w:val="1"/>
      <w:marLeft w:val="0"/>
      <w:marRight w:val="0"/>
      <w:marTop w:val="0"/>
      <w:marBottom w:val="0"/>
      <w:divBdr>
        <w:top w:val="none" w:sz="0" w:space="0" w:color="auto"/>
        <w:left w:val="none" w:sz="0" w:space="0" w:color="auto"/>
        <w:bottom w:val="none" w:sz="0" w:space="0" w:color="auto"/>
        <w:right w:val="none" w:sz="0" w:space="0" w:color="auto"/>
      </w:divBdr>
    </w:div>
    <w:div w:id="1579749880">
      <w:bodyDiv w:val="1"/>
      <w:marLeft w:val="0"/>
      <w:marRight w:val="0"/>
      <w:marTop w:val="0"/>
      <w:marBottom w:val="0"/>
      <w:divBdr>
        <w:top w:val="none" w:sz="0" w:space="0" w:color="auto"/>
        <w:left w:val="none" w:sz="0" w:space="0" w:color="auto"/>
        <w:bottom w:val="none" w:sz="0" w:space="0" w:color="auto"/>
        <w:right w:val="none" w:sz="0" w:space="0" w:color="auto"/>
      </w:divBdr>
    </w:div>
    <w:div w:id="1581672266">
      <w:bodyDiv w:val="1"/>
      <w:marLeft w:val="0"/>
      <w:marRight w:val="0"/>
      <w:marTop w:val="0"/>
      <w:marBottom w:val="0"/>
      <w:divBdr>
        <w:top w:val="none" w:sz="0" w:space="0" w:color="auto"/>
        <w:left w:val="none" w:sz="0" w:space="0" w:color="auto"/>
        <w:bottom w:val="none" w:sz="0" w:space="0" w:color="auto"/>
        <w:right w:val="none" w:sz="0" w:space="0" w:color="auto"/>
      </w:divBdr>
    </w:div>
    <w:div w:id="1584873262">
      <w:bodyDiv w:val="1"/>
      <w:marLeft w:val="0"/>
      <w:marRight w:val="0"/>
      <w:marTop w:val="0"/>
      <w:marBottom w:val="0"/>
      <w:divBdr>
        <w:top w:val="none" w:sz="0" w:space="0" w:color="auto"/>
        <w:left w:val="none" w:sz="0" w:space="0" w:color="auto"/>
        <w:bottom w:val="none" w:sz="0" w:space="0" w:color="auto"/>
        <w:right w:val="none" w:sz="0" w:space="0" w:color="auto"/>
      </w:divBdr>
    </w:div>
    <w:div w:id="1599823308">
      <w:bodyDiv w:val="1"/>
      <w:marLeft w:val="0"/>
      <w:marRight w:val="0"/>
      <w:marTop w:val="0"/>
      <w:marBottom w:val="0"/>
      <w:divBdr>
        <w:top w:val="none" w:sz="0" w:space="0" w:color="auto"/>
        <w:left w:val="none" w:sz="0" w:space="0" w:color="auto"/>
        <w:bottom w:val="none" w:sz="0" w:space="0" w:color="auto"/>
        <w:right w:val="none" w:sz="0" w:space="0" w:color="auto"/>
      </w:divBdr>
    </w:div>
    <w:div w:id="1599945687">
      <w:bodyDiv w:val="1"/>
      <w:marLeft w:val="0"/>
      <w:marRight w:val="0"/>
      <w:marTop w:val="0"/>
      <w:marBottom w:val="0"/>
      <w:divBdr>
        <w:top w:val="none" w:sz="0" w:space="0" w:color="auto"/>
        <w:left w:val="none" w:sz="0" w:space="0" w:color="auto"/>
        <w:bottom w:val="none" w:sz="0" w:space="0" w:color="auto"/>
        <w:right w:val="none" w:sz="0" w:space="0" w:color="auto"/>
      </w:divBdr>
    </w:div>
    <w:div w:id="1600673403">
      <w:bodyDiv w:val="1"/>
      <w:marLeft w:val="0"/>
      <w:marRight w:val="0"/>
      <w:marTop w:val="0"/>
      <w:marBottom w:val="0"/>
      <w:divBdr>
        <w:top w:val="none" w:sz="0" w:space="0" w:color="auto"/>
        <w:left w:val="none" w:sz="0" w:space="0" w:color="auto"/>
        <w:bottom w:val="none" w:sz="0" w:space="0" w:color="auto"/>
        <w:right w:val="none" w:sz="0" w:space="0" w:color="auto"/>
      </w:divBdr>
    </w:div>
    <w:div w:id="1601258110">
      <w:bodyDiv w:val="1"/>
      <w:marLeft w:val="0"/>
      <w:marRight w:val="0"/>
      <w:marTop w:val="0"/>
      <w:marBottom w:val="0"/>
      <w:divBdr>
        <w:top w:val="none" w:sz="0" w:space="0" w:color="auto"/>
        <w:left w:val="none" w:sz="0" w:space="0" w:color="auto"/>
        <w:bottom w:val="none" w:sz="0" w:space="0" w:color="auto"/>
        <w:right w:val="none" w:sz="0" w:space="0" w:color="auto"/>
      </w:divBdr>
    </w:div>
    <w:div w:id="1604610592">
      <w:bodyDiv w:val="1"/>
      <w:marLeft w:val="0"/>
      <w:marRight w:val="0"/>
      <w:marTop w:val="0"/>
      <w:marBottom w:val="0"/>
      <w:divBdr>
        <w:top w:val="none" w:sz="0" w:space="0" w:color="auto"/>
        <w:left w:val="none" w:sz="0" w:space="0" w:color="auto"/>
        <w:bottom w:val="none" w:sz="0" w:space="0" w:color="auto"/>
        <w:right w:val="none" w:sz="0" w:space="0" w:color="auto"/>
      </w:divBdr>
    </w:div>
    <w:div w:id="1606227288">
      <w:bodyDiv w:val="1"/>
      <w:marLeft w:val="0"/>
      <w:marRight w:val="0"/>
      <w:marTop w:val="0"/>
      <w:marBottom w:val="0"/>
      <w:divBdr>
        <w:top w:val="none" w:sz="0" w:space="0" w:color="auto"/>
        <w:left w:val="none" w:sz="0" w:space="0" w:color="auto"/>
        <w:bottom w:val="none" w:sz="0" w:space="0" w:color="auto"/>
        <w:right w:val="none" w:sz="0" w:space="0" w:color="auto"/>
      </w:divBdr>
    </w:div>
    <w:div w:id="1610625157">
      <w:bodyDiv w:val="1"/>
      <w:marLeft w:val="0"/>
      <w:marRight w:val="0"/>
      <w:marTop w:val="0"/>
      <w:marBottom w:val="0"/>
      <w:divBdr>
        <w:top w:val="none" w:sz="0" w:space="0" w:color="auto"/>
        <w:left w:val="none" w:sz="0" w:space="0" w:color="auto"/>
        <w:bottom w:val="none" w:sz="0" w:space="0" w:color="auto"/>
        <w:right w:val="none" w:sz="0" w:space="0" w:color="auto"/>
      </w:divBdr>
    </w:div>
    <w:div w:id="1622806757">
      <w:bodyDiv w:val="1"/>
      <w:marLeft w:val="0"/>
      <w:marRight w:val="0"/>
      <w:marTop w:val="0"/>
      <w:marBottom w:val="0"/>
      <w:divBdr>
        <w:top w:val="none" w:sz="0" w:space="0" w:color="auto"/>
        <w:left w:val="none" w:sz="0" w:space="0" w:color="auto"/>
        <w:bottom w:val="none" w:sz="0" w:space="0" w:color="auto"/>
        <w:right w:val="none" w:sz="0" w:space="0" w:color="auto"/>
      </w:divBdr>
    </w:div>
    <w:div w:id="1622807344">
      <w:bodyDiv w:val="1"/>
      <w:marLeft w:val="0"/>
      <w:marRight w:val="0"/>
      <w:marTop w:val="0"/>
      <w:marBottom w:val="0"/>
      <w:divBdr>
        <w:top w:val="none" w:sz="0" w:space="0" w:color="auto"/>
        <w:left w:val="none" w:sz="0" w:space="0" w:color="auto"/>
        <w:bottom w:val="none" w:sz="0" w:space="0" w:color="auto"/>
        <w:right w:val="none" w:sz="0" w:space="0" w:color="auto"/>
      </w:divBdr>
    </w:div>
    <w:div w:id="1632250874">
      <w:bodyDiv w:val="1"/>
      <w:marLeft w:val="0"/>
      <w:marRight w:val="0"/>
      <w:marTop w:val="0"/>
      <w:marBottom w:val="0"/>
      <w:divBdr>
        <w:top w:val="none" w:sz="0" w:space="0" w:color="auto"/>
        <w:left w:val="none" w:sz="0" w:space="0" w:color="auto"/>
        <w:bottom w:val="none" w:sz="0" w:space="0" w:color="auto"/>
        <w:right w:val="none" w:sz="0" w:space="0" w:color="auto"/>
      </w:divBdr>
    </w:div>
    <w:div w:id="1633829089">
      <w:bodyDiv w:val="1"/>
      <w:marLeft w:val="0"/>
      <w:marRight w:val="0"/>
      <w:marTop w:val="0"/>
      <w:marBottom w:val="0"/>
      <w:divBdr>
        <w:top w:val="none" w:sz="0" w:space="0" w:color="auto"/>
        <w:left w:val="none" w:sz="0" w:space="0" w:color="auto"/>
        <w:bottom w:val="none" w:sz="0" w:space="0" w:color="auto"/>
        <w:right w:val="none" w:sz="0" w:space="0" w:color="auto"/>
      </w:divBdr>
    </w:div>
    <w:div w:id="1637879071">
      <w:bodyDiv w:val="1"/>
      <w:marLeft w:val="0"/>
      <w:marRight w:val="0"/>
      <w:marTop w:val="0"/>
      <w:marBottom w:val="0"/>
      <w:divBdr>
        <w:top w:val="none" w:sz="0" w:space="0" w:color="auto"/>
        <w:left w:val="none" w:sz="0" w:space="0" w:color="auto"/>
        <w:bottom w:val="none" w:sz="0" w:space="0" w:color="auto"/>
        <w:right w:val="none" w:sz="0" w:space="0" w:color="auto"/>
      </w:divBdr>
    </w:div>
    <w:div w:id="1639608039">
      <w:bodyDiv w:val="1"/>
      <w:marLeft w:val="0"/>
      <w:marRight w:val="0"/>
      <w:marTop w:val="0"/>
      <w:marBottom w:val="0"/>
      <w:divBdr>
        <w:top w:val="none" w:sz="0" w:space="0" w:color="auto"/>
        <w:left w:val="none" w:sz="0" w:space="0" w:color="auto"/>
        <w:bottom w:val="none" w:sz="0" w:space="0" w:color="auto"/>
        <w:right w:val="none" w:sz="0" w:space="0" w:color="auto"/>
      </w:divBdr>
    </w:div>
    <w:div w:id="1643147110">
      <w:bodyDiv w:val="1"/>
      <w:marLeft w:val="0"/>
      <w:marRight w:val="0"/>
      <w:marTop w:val="0"/>
      <w:marBottom w:val="0"/>
      <w:divBdr>
        <w:top w:val="none" w:sz="0" w:space="0" w:color="auto"/>
        <w:left w:val="none" w:sz="0" w:space="0" w:color="auto"/>
        <w:bottom w:val="none" w:sz="0" w:space="0" w:color="auto"/>
        <w:right w:val="none" w:sz="0" w:space="0" w:color="auto"/>
      </w:divBdr>
    </w:div>
    <w:div w:id="1648240793">
      <w:bodyDiv w:val="1"/>
      <w:marLeft w:val="0"/>
      <w:marRight w:val="0"/>
      <w:marTop w:val="0"/>
      <w:marBottom w:val="0"/>
      <w:divBdr>
        <w:top w:val="none" w:sz="0" w:space="0" w:color="auto"/>
        <w:left w:val="none" w:sz="0" w:space="0" w:color="auto"/>
        <w:bottom w:val="none" w:sz="0" w:space="0" w:color="auto"/>
        <w:right w:val="none" w:sz="0" w:space="0" w:color="auto"/>
      </w:divBdr>
    </w:div>
    <w:div w:id="1652902464">
      <w:bodyDiv w:val="1"/>
      <w:marLeft w:val="0"/>
      <w:marRight w:val="0"/>
      <w:marTop w:val="0"/>
      <w:marBottom w:val="0"/>
      <w:divBdr>
        <w:top w:val="none" w:sz="0" w:space="0" w:color="auto"/>
        <w:left w:val="none" w:sz="0" w:space="0" w:color="auto"/>
        <w:bottom w:val="none" w:sz="0" w:space="0" w:color="auto"/>
        <w:right w:val="none" w:sz="0" w:space="0" w:color="auto"/>
      </w:divBdr>
    </w:div>
    <w:div w:id="1658731615">
      <w:bodyDiv w:val="1"/>
      <w:marLeft w:val="0"/>
      <w:marRight w:val="0"/>
      <w:marTop w:val="0"/>
      <w:marBottom w:val="0"/>
      <w:divBdr>
        <w:top w:val="none" w:sz="0" w:space="0" w:color="auto"/>
        <w:left w:val="none" w:sz="0" w:space="0" w:color="auto"/>
        <w:bottom w:val="none" w:sz="0" w:space="0" w:color="auto"/>
        <w:right w:val="none" w:sz="0" w:space="0" w:color="auto"/>
      </w:divBdr>
    </w:div>
    <w:div w:id="1659651959">
      <w:bodyDiv w:val="1"/>
      <w:marLeft w:val="0"/>
      <w:marRight w:val="0"/>
      <w:marTop w:val="0"/>
      <w:marBottom w:val="0"/>
      <w:divBdr>
        <w:top w:val="none" w:sz="0" w:space="0" w:color="auto"/>
        <w:left w:val="none" w:sz="0" w:space="0" w:color="auto"/>
        <w:bottom w:val="none" w:sz="0" w:space="0" w:color="auto"/>
        <w:right w:val="none" w:sz="0" w:space="0" w:color="auto"/>
      </w:divBdr>
    </w:div>
    <w:div w:id="1663390943">
      <w:bodyDiv w:val="1"/>
      <w:marLeft w:val="0"/>
      <w:marRight w:val="0"/>
      <w:marTop w:val="0"/>
      <w:marBottom w:val="0"/>
      <w:divBdr>
        <w:top w:val="none" w:sz="0" w:space="0" w:color="auto"/>
        <w:left w:val="none" w:sz="0" w:space="0" w:color="auto"/>
        <w:bottom w:val="none" w:sz="0" w:space="0" w:color="auto"/>
        <w:right w:val="none" w:sz="0" w:space="0" w:color="auto"/>
      </w:divBdr>
    </w:div>
    <w:div w:id="1678072030">
      <w:bodyDiv w:val="1"/>
      <w:marLeft w:val="0"/>
      <w:marRight w:val="0"/>
      <w:marTop w:val="0"/>
      <w:marBottom w:val="0"/>
      <w:divBdr>
        <w:top w:val="none" w:sz="0" w:space="0" w:color="auto"/>
        <w:left w:val="none" w:sz="0" w:space="0" w:color="auto"/>
        <w:bottom w:val="none" w:sz="0" w:space="0" w:color="auto"/>
        <w:right w:val="none" w:sz="0" w:space="0" w:color="auto"/>
      </w:divBdr>
    </w:div>
    <w:div w:id="1678145068">
      <w:bodyDiv w:val="1"/>
      <w:marLeft w:val="0"/>
      <w:marRight w:val="0"/>
      <w:marTop w:val="0"/>
      <w:marBottom w:val="0"/>
      <w:divBdr>
        <w:top w:val="none" w:sz="0" w:space="0" w:color="auto"/>
        <w:left w:val="none" w:sz="0" w:space="0" w:color="auto"/>
        <w:bottom w:val="none" w:sz="0" w:space="0" w:color="auto"/>
        <w:right w:val="none" w:sz="0" w:space="0" w:color="auto"/>
      </w:divBdr>
    </w:div>
    <w:div w:id="1705017221">
      <w:bodyDiv w:val="1"/>
      <w:marLeft w:val="0"/>
      <w:marRight w:val="0"/>
      <w:marTop w:val="0"/>
      <w:marBottom w:val="0"/>
      <w:divBdr>
        <w:top w:val="none" w:sz="0" w:space="0" w:color="auto"/>
        <w:left w:val="none" w:sz="0" w:space="0" w:color="auto"/>
        <w:bottom w:val="none" w:sz="0" w:space="0" w:color="auto"/>
        <w:right w:val="none" w:sz="0" w:space="0" w:color="auto"/>
      </w:divBdr>
    </w:div>
    <w:div w:id="1705711187">
      <w:bodyDiv w:val="1"/>
      <w:marLeft w:val="0"/>
      <w:marRight w:val="0"/>
      <w:marTop w:val="0"/>
      <w:marBottom w:val="0"/>
      <w:divBdr>
        <w:top w:val="none" w:sz="0" w:space="0" w:color="auto"/>
        <w:left w:val="none" w:sz="0" w:space="0" w:color="auto"/>
        <w:bottom w:val="none" w:sz="0" w:space="0" w:color="auto"/>
        <w:right w:val="none" w:sz="0" w:space="0" w:color="auto"/>
      </w:divBdr>
    </w:div>
    <w:div w:id="1707944550">
      <w:bodyDiv w:val="1"/>
      <w:marLeft w:val="0"/>
      <w:marRight w:val="0"/>
      <w:marTop w:val="0"/>
      <w:marBottom w:val="0"/>
      <w:divBdr>
        <w:top w:val="none" w:sz="0" w:space="0" w:color="auto"/>
        <w:left w:val="none" w:sz="0" w:space="0" w:color="auto"/>
        <w:bottom w:val="none" w:sz="0" w:space="0" w:color="auto"/>
        <w:right w:val="none" w:sz="0" w:space="0" w:color="auto"/>
      </w:divBdr>
    </w:div>
    <w:div w:id="1713728957">
      <w:bodyDiv w:val="1"/>
      <w:marLeft w:val="0"/>
      <w:marRight w:val="0"/>
      <w:marTop w:val="0"/>
      <w:marBottom w:val="0"/>
      <w:divBdr>
        <w:top w:val="none" w:sz="0" w:space="0" w:color="auto"/>
        <w:left w:val="none" w:sz="0" w:space="0" w:color="auto"/>
        <w:bottom w:val="none" w:sz="0" w:space="0" w:color="auto"/>
        <w:right w:val="none" w:sz="0" w:space="0" w:color="auto"/>
      </w:divBdr>
    </w:div>
    <w:div w:id="1715813048">
      <w:bodyDiv w:val="1"/>
      <w:marLeft w:val="0"/>
      <w:marRight w:val="0"/>
      <w:marTop w:val="0"/>
      <w:marBottom w:val="0"/>
      <w:divBdr>
        <w:top w:val="none" w:sz="0" w:space="0" w:color="auto"/>
        <w:left w:val="none" w:sz="0" w:space="0" w:color="auto"/>
        <w:bottom w:val="none" w:sz="0" w:space="0" w:color="auto"/>
        <w:right w:val="none" w:sz="0" w:space="0" w:color="auto"/>
      </w:divBdr>
    </w:div>
    <w:div w:id="1719283487">
      <w:bodyDiv w:val="1"/>
      <w:marLeft w:val="0"/>
      <w:marRight w:val="0"/>
      <w:marTop w:val="0"/>
      <w:marBottom w:val="0"/>
      <w:divBdr>
        <w:top w:val="none" w:sz="0" w:space="0" w:color="auto"/>
        <w:left w:val="none" w:sz="0" w:space="0" w:color="auto"/>
        <w:bottom w:val="none" w:sz="0" w:space="0" w:color="auto"/>
        <w:right w:val="none" w:sz="0" w:space="0" w:color="auto"/>
      </w:divBdr>
    </w:div>
    <w:div w:id="1727145947">
      <w:bodyDiv w:val="1"/>
      <w:marLeft w:val="0"/>
      <w:marRight w:val="0"/>
      <w:marTop w:val="0"/>
      <w:marBottom w:val="0"/>
      <w:divBdr>
        <w:top w:val="none" w:sz="0" w:space="0" w:color="auto"/>
        <w:left w:val="none" w:sz="0" w:space="0" w:color="auto"/>
        <w:bottom w:val="none" w:sz="0" w:space="0" w:color="auto"/>
        <w:right w:val="none" w:sz="0" w:space="0" w:color="auto"/>
      </w:divBdr>
    </w:div>
    <w:div w:id="1727756642">
      <w:bodyDiv w:val="1"/>
      <w:marLeft w:val="0"/>
      <w:marRight w:val="0"/>
      <w:marTop w:val="0"/>
      <w:marBottom w:val="0"/>
      <w:divBdr>
        <w:top w:val="none" w:sz="0" w:space="0" w:color="auto"/>
        <w:left w:val="none" w:sz="0" w:space="0" w:color="auto"/>
        <w:bottom w:val="none" w:sz="0" w:space="0" w:color="auto"/>
        <w:right w:val="none" w:sz="0" w:space="0" w:color="auto"/>
      </w:divBdr>
    </w:div>
    <w:div w:id="1728602652">
      <w:bodyDiv w:val="1"/>
      <w:marLeft w:val="0"/>
      <w:marRight w:val="0"/>
      <w:marTop w:val="0"/>
      <w:marBottom w:val="0"/>
      <w:divBdr>
        <w:top w:val="none" w:sz="0" w:space="0" w:color="auto"/>
        <w:left w:val="none" w:sz="0" w:space="0" w:color="auto"/>
        <w:bottom w:val="none" w:sz="0" w:space="0" w:color="auto"/>
        <w:right w:val="none" w:sz="0" w:space="0" w:color="auto"/>
      </w:divBdr>
    </w:div>
    <w:div w:id="1740204025">
      <w:bodyDiv w:val="1"/>
      <w:marLeft w:val="0"/>
      <w:marRight w:val="0"/>
      <w:marTop w:val="0"/>
      <w:marBottom w:val="0"/>
      <w:divBdr>
        <w:top w:val="none" w:sz="0" w:space="0" w:color="auto"/>
        <w:left w:val="none" w:sz="0" w:space="0" w:color="auto"/>
        <w:bottom w:val="none" w:sz="0" w:space="0" w:color="auto"/>
        <w:right w:val="none" w:sz="0" w:space="0" w:color="auto"/>
      </w:divBdr>
    </w:div>
    <w:div w:id="1740860377">
      <w:bodyDiv w:val="1"/>
      <w:marLeft w:val="0"/>
      <w:marRight w:val="0"/>
      <w:marTop w:val="0"/>
      <w:marBottom w:val="0"/>
      <w:divBdr>
        <w:top w:val="none" w:sz="0" w:space="0" w:color="auto"/>
        <w:left w:val="none" w:sz="0" w:space="0" w:color="auto"/>
        <w:bottom w:val="none" w:sz="0" w:space="0" w:color="auto"/>
        <w:right w:val="none" w:sz="0" w:space="0" w:color="auto"/>
      </w:divBdr>
    </w:div>
    <w:div w:id="1746301874">
      <w:bodyDiv w:val="1"/>
      <w:marLeft w:val="0"/>
      <w:marRight w:val="0"/>
      <w:marTop w:val="0"/>
      <w:marBottom w:val="0"/>
      <w:divBdr>
        <w:top w:val="none" w:sz="0" w:space="0" w:color="auto"/>
        <w:left w:val="none" w:sz="0" w:space="0" w:color="auto"/>
        <w:bottom w:val="none" w:sz="0" w:space="0" w:color="auto"/>
        <w:right w:val="none" w:sz="0" w:space="0" w:color="auto"/>
      </w:divBdr>
    </w:div>
    <w:div w:id="1750888526">
      <w:bodyDiv w:val="1"/>
      <w:marLeft w:val="0"/>
      <w:marRight w:val="0"/>
      <w:marTop w:val="0"/>
      <w:marBottom w:val="0"/>
      <w:divBdr>
        <w:top w:val="none" w:sz="0" w:space="0" w:color="auto"/>
        <w:left w:val="none" w:sz="0" w:space="0" w:color="auto"/>
        <w:bottom w:val="none" w:sz="0" w:space="0" w:color="auto"/>
        <w:right w:val="none" w:sz="0" w:space="0" w:color="auto"/>
      </w:divBdr>
    </w:div>
    <w:div w:id="1751778823">
      <w:bodyDiv w:val="1"/>
      <w:marLeft w:val="0"/>
      <w:marRight w:val="0"/>
      <w:marTop w:val="0"/>
      <w:marBottom w:val="0"/>
      <w:divBdr>
        <w:top w:val="none" w:sz="0" w:space="0" w:color="auto"/>
        <w:left w:val="none" w:sz="0" w:space="0" w:color="auto"/>
        <w:bottom w:val="none" w:sz="0" w:space="0" w:color="auto"/>
        <w:right w:val="none" w:sz="0" w:space="0" w:color="auto"/>
      </w:divBdr>
    </w:div>
    <w:div w:id="1758091452">
      <w:bodyDiv w:val="1"/>
      <w:marLeft w:val="0"/>
      <w:marRight w:val="0"/>
      <w:marTop w:val="0"/>
      <w:marBottom w:val="0"/>
      <w:divBdr>
        <w:top w:val="none" w:sz="0" w:space="0" w:color="auto"/>
        <w:left w:val="none" w:sz="0" w:space="0" w:color="auto"/>
        <w:bottom w:val="none" w:sz="0" w:space="0" w:color="auto"/>
        <w:right w:val="none" w:sz="0" w:space="0" w:color="auto"/>
      </w:divBdr>
    </w:div>
    <w:div w:id="1758400927">
      <w:bodyDiv w:val="1"/>
      <w:marLeft w:val="0"/>
      <w:marRight w:val="0"/>
      <w:marTop w:val="0"/>
      <w:marBottom w:val="0"/>
      <w:divBdr>
        <w:top w:val="none" w:sz="0" w:space="0" w:color="auto"/>
        <w:left w:val="none" w:sz="0" w:space="0" w:color="auto"/>
        <w:bottom w:val="none" w:sz="0" w:space="0" w:color="auto"/>
        <w:right w:val="none" w:sz="0" w:space="0" w:color="auto"/>
      </w:divBdr>
    </w:div>
    <w:div w:id="1759249809">
      <w:bodyDiv w:val="1"/>
      <w:marLeft w:val="0"/>
      <w:marRight w:val="0"/>
      <w:marTop w:val="0"/>
      <w:marBottom w:val="0"/>
      <w:divBdr>
        <w:top w:val="none" w:sz="0" w:space="0" w:color="auto"/>
        <w:left w:val="none" w:sz="0" w:space="0" w:color="auto"/>
        <w:bottom w:val="none" w:sz="0" w:space="0" w:color="auto"/>
        <w:right w:val="none" w:sz="0" w:space="0" w:color="auto"/>
      </w:divBdr>
    </w:div>
    <w:div w:id="1775704368">
      <w:bodyDiv w:val="1"/>
      <w:marLeft w:val="0"/>
      <w:marRight w:val="0"/>
      <w:marTop w:val="0"/>
      <w:marBottom w:val="0"/>
      <w:divBdr>
        <w:top w:val="none" w:sz="0" w:space="0" w:color="auto"/>
        <w:left w:val="none" w:sz="0" w:space="0" w:color="auto"/>
        <w:bottom w:val="none" w:sz="0" w:space="0" w:color="auto"/>
        <w:right w:val="none" w:sz="0" w:space="0" w:color="auto"/>
      </w:divBdr>
    </w:div>
    <w:div w:id="1784836370">
      <w:bodyDiv w:val="1"/>
      <w:marLeft w:val="0"/>
      <w:marRight w:val="0"/>
      <w:marTop w:val="0"/>
      <w:marBottom w:val="0"/>
      <w:divBdr>
        <w:top w:val="none" w:sz="0" w:space="0" w:color="auto"/>
        <w:left w:val="none" w:sz="0" w:space="0" w:color="auto"/>
        <w:bottom w:val="none" w:sz="0" w:space="0" w:color="auto"/>
        <w:right w:val="none" w:sz="0" w:space="0" w:color="auto"/>
      </w:divBdr>
    </w:div>
    <w:div w:id="1788425939">
      <w:bodyDiv w:val="1"/>
      <w:marLeft w:val="0"/>
      <w:marRight w:val="0"/>
      <w:marTop w:val="0"/>
      <w:marBottom w:val="0"/>
      <w:divBdr>
        <w:top w:val="none" w:sz="0" w:space="0" w:color="auto"/>
        <w:left w:val="none" w:sz="0" w:space="0" w:color="auto"/>
        <w:bottom w:val="none" w:sz="0" w:space="0" w:color="auto"/>
        <w:right w:val="none" w:sz="0" w:space="0" w:color="auto"/>
      </w:divBdr>
    </w:div>
    <w:div w:id="1799254936">
      <w:bodyDiv w:val="1"/>
      <w:marLeft w:val="0"/>
      <w:marRight w:val="0"/>
      <w:marTop w:val="0"/>
      <w:marBottom w:val="0"/>
      <w:divBdr>
        <w:top w:val="none" w:sz="0" w:space="0" w:color="auto"/>
        <w:left w:val="none" w:sz="0" w:space="0" w:color="auto"/>
        <w:bottom w:val="none" w:sz="0" w:space="0" w:color="auto"/>
        <w:right w:val="none" w:sz="0" w:space="0" w:color="auto"/>
      </w:divBdr>
    </w:div>
    <w:div w:id="1800224292">
      <w:bodyDiv w:val="1"/>
      <w:marLeft w:val="0"/>
      <w:marRight w:val="0"/>
      <w:marTop w:val="0"/>
      <w:marBottom w:val="0"/>
      <w:divBdr>
        <w:top w:val="none" w:sz="0" w:space="0" w:color="auto"/>
        <w:left w:val="none" w:sz="0" w:space="0" w:color="auto"/>
        <w:bottom w:val="none" w:sz="0" w:space="0" w:color="auto"/>
        <w:right w:val="none" w:sz="0" w:space="0" w:color="auto"/>
      </w:divBdr>
    </w:div>
    <w:div w:id="1803574738">
      <w:bodyDiv w:val="1"/>
      <w:marLeft w:val="0"/>
      <w:marRight w:val="0"/>
      <w:marTop w:val="0"/>
      <w:marBottom w:val="0"/>
      <w:divBdr>
        <w:top w:val="none" w:sz="0" w:space="0" w:color="auto"/>
        <w:left w:val="none" w:sz="0" w:space="0" w:color="auto"/>
        <w:bottom w:val="none" w:sz="0" w:space="0" w:color="auto"/>
        <w:right w:val="none" w:sz="0" w:space="0" w:color="auto"/>
      </w:divBdr>
    </w:div>
    <w:div w:id="1804542422">
      <w:bodyDiv w:val="1"/>
      <w:marLeft w:val="0"/>
      <w:marRight w:val="0"/>
      <w:marTop w:val="0"/>
      <w:marBottom w:val="0"/>
      <w:divBdr>
        <w:top w:val="none" w:sz="0" w:space="0" w:color="auto"/>
        <w:left w:val="none" w:sz="0" w:space="0" w:color="auto"/>
        <w:bottom w:val="none" w:sz="0" w:space="0" w:color="auto"/>
        <w:right w:val="none" w:sz="0" w:space="0" w:color="auto"/>
      </w:divBdr>
    </w:div>
    <w:div w:id="1807356201">
      <w:bodyDiv w:val="1"/>
      <w:marLeft w:val="0"/>
      <w:marRight w:val="0"/>
      <w:marTop w:val="0"/>
      <w:marBottom w:val="0"/>
      <w:divBdr>
        <w:top w:val="none" w:sz="0" w:space="0" w:color="auto"/>
        <w:left w:val="none" w:sz="0" w:space="0" w:color="auto"/>
        <w:bottom w:val="none" w:sz="0" w:space="0" w:color="auto"/>
        <w:right w:val="none" w:sz="0" w:space="0" w:color="auto"/>
      </w:divBdr>
    </w:div>
    <w:div w:id="1807894709">
      <w:bodyDiv w:val="1"/>
      <w:marLeft w:val="0"/>
      <w:marRight w:val="0"/>
      <w:marTop w:val="0"/>
      <w:marBottom w:val="0"/>
      <w:divBdr>
        <w:top w:val="none" w:sz="0" w:space="0" w:color="auto"/>
        <w:left w:val="none" w:sz="0" w:space="0" w:color="auto"/>
        <w:bottom w:val="none" w:sz="0" w:space="0" w:color="auto"/>
        <w:right w:val="none" w:sz="0" w:space="0" w:color="auto"/>
      </w:divBdr>
    </w:div>
    <w:div w:id="1811358510">
      <w:bodyDiv w:val="1"/>
      <w:marLeft w:val="0"/>
      <w:marRight w:val="0"/>
      <w:marTop w:val="0"/>
      <w:marBottom w:val="0"/>
      <w:divBdr>
        <w:top w:val="none" w:sz="0" w:space="0" w:color="auto"/>
        <w:left w:val="none" w:sz="0" w:space="0" w:color="auto"/>
        <w:bottom w:val="none" w:sz="0" w:space="0" w:color="auto"/>
        <w:right w:val="none" w:sz="0" w:space="0" w:color="auto"/>
      </w:divBdr>
    </w:div>
    <w:div w:id="1813135270">
      <w:bodyDiv w:val="1"/>
      <w:marLeft w:val="0"/>
      <w:marRight w:val="0"/>
      <w:marTop w:val="0"/>
      <w:marBottom w:val="0"/>
      <w:divBdr>
        <w:top w:val="none" w:sz="0" w:space="0" w:color="auto"/>
        <w:left w:val="none" w:sz="0" w:space="0" w:color="auto"/>
        <w:bottom w:val="none" w:sz="0" w:space="0" w:color="auto"/>
        <w:right w:val="none" w:sz="0" w:space="0" w:color="auto"/>
      </w:divBdr>
    </w:div>
    <w:div w:id="1818641465">
      <w:bodyDiv w:val="1"/>
      <w:marLeft w:val="0"/>
      <w:marRight w:val="0"/>
      <w:marTop w:val="0"/>
      <w:marBottom w:val="0"/>
      <w:divBdr>
        <w:top w:val="none" w:sz="0" w:space="0" w:color="auto"/>
        <w:left w:val="none" w:sz="0" w:space="0" w:color="auto"/>
        <w:bottom w:val="none" w:sz="0" w:space="0" w:color="auto"/>
        <w:right w:val="none" w:sz="0" w:space="0" w:color="auto"/>
      </w:divBdr>
    </w:div>
    <w:div w:id="1833525562">
      <w:bodyDiv w:val="1"/>
      <w:marLeft w:val="0"/>
      <w:marRight w:val="0"/>
      <w:marTop w:val="0"/>
      <w:marBottom w:val="0"/>
      <w:divBdr>
        <w:top w:val="none" w:sz="0" w:space="0" w:color="auto"/>
        <w:left w:val="none" w:sz="0" w:space="0" w:color="auto"/>
        <w:bottom w:val="none" w:sz="0" w:space="0" w:color="auto"/>
        <w:right w:val="none" w:sz="0" w:space="0" w:color="auto"/>
      </w:divBdr>
    </w:div>
    <w:div w:id="1834760373">
      <w:bodyDiv w:val="1"/>
      <w:marLeft w:val="0"/>
      <w:marRight w:val="0"/>
      <w:marTop w:val="0"/>
      <w:marBottom w:val="0"/>
      <w:divBdr>
        <w:top w:val="none" w:sz="0" w:space="0" w:color="auto"/>
        <w:left w:val="none" w:sz="0" w:space="0" w:color="auto"/>
        <w:bottom w:val="none" w:sz="0" w:space="0" w:color="auto"/>
        <w:right w:val="none" w:sz="0" w:space="0" w:color="auto"/>
      </w:divBdr>
    </w:div>
    <w:div w:id="1838760786">
      <w:bodyDiv w:val="1"/>
      <w:marLeft w:val="0"/>
      <w:marRight w:val="0"/>
      <w:marTop w:val="0"/>
      <w:marBottom w:val="0"/>
      <w:divBdr>
        <w:top w:val="none" w:sz="0" w:space="0" w:color="auto"/>
        <w:left w:val="none" w:sz="0" w:space="0" w:color="auto"/>
        <w:bottom w:val="none" w:sz="0" w:space="0" w:color="auto"/>
        <w:right w:val="none" w:sz="0" w:space="0" w:color="auto"/>
      </w:divBdr>
    </w:div>
    <w:div w:id="1846481217">
      <w:bodyDiv w:val="1"/>
      <w:marLeft w:val="0"/>
      <w:marRight w:val="0"/>
      <w:marTop w:val="0"/>
      <w:marBottom w:val="0"/>
      <w:divBdr>
        <w:top w:val="none" w:sz="0" w:space="0" w:color="auto"/>
        <w:left w:val="none" w:sz="0" w:space="0" w:color="auto"/>
        <w:bottom w:val="none" w:sz="0" w:space="0" w:color="auto"/>
        <w:right w:val="none" w:sz="0" w:space="0" w:color="auto"/>
      </w:divBdr>
    </w:div>
    <w:div w:id="1848132214">
      <w:bodyDiv w:val="1"/>
      <w:marLeft w:val="0"/>
      <w:marRight w:val="0"/>
      <w:marTop w:val="0"/>
      <w:marBottom w:val="0"/>
      <w:divBdr>
        <w:top w:val="none" w:sz="0" w:space="0" w:color="auto"/>
        <w:left w:val="none" w:sz="0" w:space="0" w:color="auto"/>
        <w:bottom w:val="none" w:sz="0" w:space="0" w:color="auto"/>
        <w:right w:val="none" w:sz="0" w:space="0" w:color="auto"/>
      </w:divBdr>
    </w:div>
    <w:div w:id="1852984952">
      <w:bodyDiv w:val="1"/>
      <w:marLeft w:val="0"/>
      <w:marRight w:val="0"/>
      <w:marTop w:val="0"/>
      <w:marBottom w:val="0"/>
      <w:divBdr>
        <w:top w:val="none" w:sz="0" w:space="0" w:color="auto"/>
        <w:left w:val="none" w:sz="0" w:space="0" w:color="auto"/>
        <w:bottom w:val="none" w:sz="0" w:space="0" w:color="auto"/>
        <w:right w:val="none" w:sz="0" w:space="0" w:color="auto"/>
      </w:divBdr>
    </w:div>
    <w:div w:id="1856456084">
      <w:bodyDiv w:val="1"/>
      <w:marLeft w:val="0"/>
      <w:marRight w:val="0"/>
      <w:marTop w:val="0"/>
      <w:marBottom w:val="0"/>
      <w:divBdr>
        <w:top w:val="none" w:sz="0" w:space="0" w:color="auto"/>
        <w:left w:val="none" w:sz="0" w:space="0" w:color="auto"/>
        <w:bottom w:val="none" w:sz="0" w:space="0" w:color="auto"/>
        <w:right w:val="none" w:sz="0" w:space="0" w:color="auto"/>
      </w:divBdr>
    </w:div>
    <w:div w:id="1856729753">
      <w:bodyDiv w:val="1"/>
      <w:marLeft w:val="0"/>
      <w:marRight w:val="0"/>
      <w:marTop w:val="0"/>
      <w:marBottom w:val="0"/>
      <w:divBdr>
        <w:top w:val="none" w:sz="0" w:space="0" w:color="auto"/>
        <w:left w:val="none" w:sz="0" w:space="0" w:color="auto"/>
        <w:bottom w:val="none" w:sz="0" w:space="0" w:color="auto"/>
        <w:right w:val="none" w:sz="0" w:space="0" w:color="auto"/>
      </w:divBdr>
    </w:div>
    <w:div w:id="1865290285">
      <w:bodyDiv w:val="1"/>
      <w:marLeft w:val="0"/>
      <w:marRight w:val="0"/>
      <w:marTop w:val="0"/>
      <w:marBottom w:val="0"/>
      <w:divBdr>
        <w:top w:val="none" w:sz="0" w:space="0" w:color="auto"/>
        <w:left w:val="none" w:sz="0" w:space="0" w:color="auto"/>
        <w:bottom w:val="none" w:sz="0" w:space="0" w:color="auto"/>
        <w:right w:val="none" w:sz="0" w:space="0" w:color="auto"/>
      </w:divBdr>
    </w:div>
    <w:div w:id="1868132247">
      <w:bodyDiv w:val="1"/>
      <w:marLeft w:val="0"/>
      <w:marRight w:val="0"/>
      <w:marTop w:val="0"/>
      <w:marBottom w:val="0"/>
      <w:divBdr>
        <w:top w:val="none" w:sz="0" w:space="0" w:color="auto"/>
        <w:left w:val="none" w:sz="0" w:space="0" w:color="auto"/>
        <w:bottom w:val="none" w:sz="0" w:space="0" w:color="auto"/>
        <w:right w:val="none" w:sz="0" w:space="0" w:color="auto"/>
      </w:divBdr>
    </w:div>
    <w:div w:id="1882595299">
      <w:bodyDiv w:val="1"/>
      <w:marLeft w:val="0"/>
      <w:marRight w:val="0"/>
      <w:marTop w:val="0"/>
      <w:marBottom w:val="0"/>
      <w:divBdr>
        <w:top w:val="none" w:sz="0" w:space="0" w:color="auto"/>
        <w:left w:val="none" w:sz="0" w:space="0" w:color="auto"/>
        <w:bottom w:val="none" w:sz="0" w:space="0" w:color="auto"/>
        <w:right w:val="none" w:sz="0" w:space="0" w:color="auto"/>
      </w:divBdr>
    </w:div>
    <w:div w:id="1885288354">
      <w:bodyDiv w:val="1"/>
      <w:marLeft w:val="0"/>
      <w:marRight w:val="0"/>
      <w:marTop w:val="0"/>
      <w:marBottom w:val="0"/>
      <w:divBdr>
        <w:top w:val="none" w:sz="0" w:space="0" w:color="auto"/>
        <w:left w:val="none" w:sz="0" w:space="0" w:color="auto"/>
        <w:bottom w:val="none" w:sz="0" w:space="0" w:color="auto"/>
        <w:right w:val="none" w:sz="0" w:space="0" w:color="auto"/>
      </w:divBdr>
    </w:div>
    <w:div w:id="1889338057">
      <w:bodyDiv w:val="1"/>
      <w:marLeft w:val="0"/>
      <w:marRight w:val="0"/>
      <w:marTop w:val="0"/>
      <w:marBottom w:val="0"/>
      <w:divBdr>
        <w:top w:val="none" w:sz="0" w:space="0" w:color="auto"/>
        <w:left w:val="none" w:sz="0" w:space="0" w:color="auto"/>
        <w:bottom w:val="none" w:sz="0" w:space="0" w:color="auto"/>
        <w:right w:val="none" w:sz="0" w:space="0" w:color="auto"/>
      </w:divBdr>
    </w:div>
    <w:div w:id="1895307660">
      <w:bodyDiv w:val="1"/>
      <w:marLeft w:val="0"/>
      <w:marRight w:val="0"/>
      <w:marTop w:val="0"/>
      <w:marBottom w:val="0"/>
      <w:divBdr>
        <w:top w:val="none" w:sz="0" w:space="0" w:color="auto"/>
        <w:left w:val="none" w:sz="0" w:space="0" w:color="auto"/>
        <w:bottom w:val="none" w:sz="0" w:space="0" w:color="auto"/>
        <w:right w:val="none" w:sz="0" w:space="0" w:color="auto"/>
      </w:divBdr>
    </w:div>
    <w:div w:id="1901473702">
      <w:bodyDiv w:val="1"/>
      <w:marLeft w:val="0"/>
      <w:marRight w:val="0"/>
      <w:marTop w:val="0"/>
      <w:marBottom w:val="0"/>
      <w:divBdr>
        <w:top w:val="none" w:sz="0" w:space="0" w:color="auto"/>
        <w:left w:val="none" w:sz="0" w:space="0" w:color="auto"/>
        <w:bottom w:val="none" w:sz="0" w:space="0" w:color="auto"/>
        <w:right w:val="none" w:sz="0" w:space="0" w:color="auto"/>
      </w:divBdr>
    </w:div>
    <w:div w:id="1906988007">
      <w:bodyDiv w:val="1"/>
      <w:marLeft w:val="0"/>
      <w:marRight w:val="0"/>
      <w:marTop w:val="0"/>
      <w:marBottom w:val="0"/>
      <w:divBdr>
        <w:top w:val="none" w:sz="0" w:space="0" w:color="auto"/>
        <w:left w:val="none" w:sz="0" w:space="0" w:color="auto"/>
        <w:bottom w:val="none" w:sz="0" w:space="0" w:color="auto"/>
        <w:right w:val="none" w:sz="0" w:space="0" w:color="auto"/>
      </w:divBdr>
    </w:div>
    <w:div w:id="1912277073">
      <w:bodyDiv w:val="1"/>
      <w:marLeft w:val="0"/>
      <w:marRight w:val="0"/>
      <w:marTop w:val="0"/>
      <w:marBottom w:val="0"/>
      <w:divBdr>
        <w:top w:val="none" w:sz="0" w:space="0" w:color="auto"/>
        <w:left w:val="none" w:sz="0" w:space="0" w:color="auto"/>
        <w:bottom w:val="none" w:sz="0" w:space="0" w:color="auto"/>
        <w:right w:val="none" w:sz="0" w:space="0" w:color="auto"/>
      </w:divBdr>
    </w:div>
    <w:div w:id="1916163849">
      <w:bodyDiv w:val="1"/>
      <w:marLeft w:val="0"/>
      <w:marRight w:val="0"/>
      <w:marTop w:val="0"/>
      <w:marBottom w:val="0"/>
      <w:divBdr>
        <w:top w:val="none" w:sz="0" w:space="0" w:color="auto"/>
        <w:left w:val="none" w:sz="0" w:space="0" w:color="auto"/>
        <w:bottom w:val="none" w:sz="0" w:space="0" w:color="auto"/>
        <w:right w:val="none" w:sz="0" w:space="0" w:color="auto"/>
      </w:divBdr>
    </w:div>
    <w:div w:id="1919244325">
      <w:bodyDiv w:val="1"/>
      <w:marLeft w:val="0"/>
      <w:marRight w:val="0"/>
      <w:marTop w:val="0"/>
      <w:marBottom w:val="0"/>
      <w:divBdr>
        <w:top w:val="none" w:sz="0" w:space="0" w:color="auto"/>
        <w:left w:val="none" w:sz="0" w:space="0" w:color="auto"/>
        <w:bottom w:val="none" w:sz="0" w:space="0" w:color="auto"/>
        <w:right w:val="none" w:sz="0" w:space="0" w:color="auto"/>
      </w:divBdr>
    </w:div>
    <w:div w:id="1930310271">
      <w:bodyDiv w:val="1"/>
      <w:marLeft w:val="0"/>
      <w:marRight w:val="0"/>
      <w:marTop w:val="0"/>
      <w:marBottom w:val="0"/>
      <w:divBdr>
        <w:top w:val="none" w:sz="0" w:space="0" w:color="auto"/>
        <w:left w:val="none" w:sz="0" w:space="0" w:color="auto"/>
        <w:bottom w:val="none" w:sz="0" w:space="0" w:color="auto"/>
        <w:right w:val="none" w:sz="0" w:space="0" w:color="auto"/>
      </w:divBdr>
    </w:div>
    <w:div w:id="1934047119">
      <w:bodyDiv w:val="1"/>
      <w:marLeft w:val="0"/>
      <w:marRight w:val="0"/>
      <w:marTop w:val="0"/>
      <w:marBottom w:val="0"/>
      <w:divBdr>
        <w:top w:val="none" w:sz="0" w:space="0" w:color="auto"/>
        <w:left w:val="none" w:sz="0" w:space="0" w:color="auto"/>
        <w:bottom w:val="none" w:sz="0" w:space="0" w:color="auto"/>
        <w:right w:val="none" w:sz="0" w:space="0" w:color="auto"/>
      </w:divBdr>
    </w:div>
    <w:div w:id="1946110727">
      <w:bodyDiv w:val="1"/>
      <w:marLeft w:val="0"/>
      <w:marRight w:val="0"/>
      <w:marTop w:val="0"/>
      <w:marBottom w:val="0"/>
      <w:divBdr>
        <w:top w:val="none" w:sz="0" w:space="0" w:color="auto"/>
        <w:left w:val="none" w:sz="0" w:space="0" w:color="auto"/>
        <w:bottom w:val="none" w:sz="0" w:space="0" w:color="auto"/>
        <w:right w:val="none" w:sz="0" w:space="0" w:color="auto"/>
      </w:divBdr>
    </w:div>
    <w:div w:id="1946837842">
      <w:bodyDiv w:val="1"/>
      <w:marLeft w:val="0"/>
      <w:marRight w:val="0"/>
      <w:marTop w:val="0"/>
      <w:marBottom w:val="0"/>
      <w:divBdr>
        <w:top w:val="none" w:sz="0" w:space="0" w:color="auto"/>
        <w:left w:val="none" w:sz="0" w:space="0" w:color="auto"/>
        <w:bottom w:val="none" w:sz="0" w:space="0" w:color="auto"/>
        <w:right w:val="none" w:sz="0" w:space="0" w:color="auto"/>
      </w:divBdr>
    </w:div>
    <w:div w:id="1956599426">
      <w:bodyDiv w:val="1"/>
      <w:marLeft w:val="0"/>
      <w:marRight w:val="0"/>
      <w:marTop w:val="0"/>
      <w:marBottom w:val="0"/>
      <w:divBdr>
        <w:top w:val="none" w:sz="0" w:space="0" w:color="auto"/>
        <w:left w:val="none" w:sz="0" w:space="0" w:color="auto"/>
        <w:bottom w:val="none" w:sz="0" w:space="0" w:color="auto"/>
        <w:right w:val="none" w:sz="0" w:space="0" w:color="auto"/>
      </w:divBdr>
    </w:div>
    <w:div w:id="1959871180">
      <w:bodyDiv w:val="1"/>
      <w:marLeft w:val="0"/>
      <w:marRight w:val="0"/>
      <w:marTop w:val="0"/>
      <w:marBottom w:val="0"/>
      <w:divBdr>
        <w:top w:val="none" w:sz="0" w:space="0" w:color="auto"/>
        <w:left w:val="none" w:sz="0" w:space="0" w:color="auto"/>
        <w:bottom w:val="none" w:sz="0" w:space="0" w:color="auto"/>
        <w:right w:val="none" w:sz="0" w:space="0" w:color="auto"/>
      </w:divBdr>
    </w:div>
    <w:div w:id="1960722327">
      <w:bodyDiv w:val="1"/>
      <w:marLeft w:val="0"/>
      <w:marRight w:val="0"/>
      <w:marTop w:val="0"/>
      <w:marBottom w:val="0"/>
      <w:divBdr>
        <w:top w:val="none" w:sz="0" w:space="0" w:color="auto"/>
        <w:left w:val="none" w:sz="0" w:space="0" w:color="auto"/>
        <w:bottom w:val="none" w:sz="0" w:space="0" w:color="auto"/>
        <w:right w:val="none" w:sz="0" w:space="0" w:color="auto"/>
      </w:divBdr>
    </w:div>
    <w:div w:id="1961573650">
      <w:bodyDiv w:val="1"/>
      <w:marLeft w:val="0"/>
      <w:marRight w:val="0"/>
      <w:marTop w:val="0"/>
      <w:marBottom w:val="0"/>
      <w:divBdr>
        <w:top w:val="none" w:sz="0" w:space="0" w:color="auto"/>
        <w:left w:val="none" w:sz="0" w:space="0" w:color="auto"/>
        <w:bottom w:val="none" w:sz="0" w:space="0" w:color="auto"/>
        <w:right w:val="none" w:sz="0" w:space="0" w:color="auto"/>
      </w:divBdr>
    </w:div>
    <w:div w:id="1964538097">
      <w:bodyDiv w:val="1"/>
      <w:marLeft w:val="0"/>
      <w:marRight w:val="0"/>
      <w:marTop w:val="0"/>
      <w:marBottom w:val="0"/>
      <w:divBdr>
        <w:top w:val="none" w:sz="0" w:space="0" w:color="auto"/>
        <w:left w:val="none" w:sz="0" w:space="0" w:color="auto"/>
        <w:bottom w:val="none" w:sz="0" w:space="0" w:color="auto"/>
        <w:right w:val="none" w:sz="0" w:space="0" w:color="auto"/>
      </w:divBdr>
    </w:div>
    <w:div w:id="1965454928">
      <w:bodyDiv w:val="1"/>
      <w:marLeft w:val="0"/>
      <w:marRight w:val="0"/>
      <w:marTop w:val="0"/>
      <w:marBottom w:val="0"/>
      <w:divBdr>
        <w:top w:val="none" w:sz="0" w:space="0" w:color="auto"/>
        <w:left w:val="none" w:sz="0" w:space="0" w:color="auto"/>
        <w:bottom w:val="none" w:sz="0" w:space="0" w:color="auto"/>
        <w:right w:val="none" w:sz="0" w:space="0" w:color="auto"/>
      </w:divBdr>
    </w:div>
    <w:div w:id="1968775657">
      <w:bodyDiv w:val="1"/>
      <w:marLeft w:val="0"/>
      <w:marRight w:val="0"/>
      <w:marTop w:val="0"/>
      <w:marBottom w:val="0"/>
      <w:divBdr>
        <w:top w:val="none" w:sz="0" w:space="0" w:color="auto"/>
        <w:left w:val="none" w:sz="0" w:space="0" w:color="auto"/>
        <w:bottom w:val="none" w:sz="0" w:space="0" w:color="auto"/>
        <w:right w:val="none" w:sz="0" w:space="0" w:color="auto"/>
      </w:divBdr>
    </w:div>
    <w:div w:id="1970285860">
      <w:bodyDiv w:val="1"/>
      <w:marLeft w:val="0"/>
      <w:marRight w:val="0"/>
      <w:marTop w:val="0"/>
      <w:marBottom w:val="0"/>
      <w:divBdr>
        <w:top w:val="none" w:sz="0" w:space="0" w:color="auto"/>
        <w:left w:val="none" w:sz="0" w:space="0" w:color="auto"/>
        <w:bottom w:val="none" w:sz="0" w:space="0" w:color="auto"/>
        <w:right w:val="none" w:sz="0" w:space="0" w:color="auto"/>
      </w:divBdr>
    </w:div>
    <w:div w:id="1970822831">
      <w:bodyDiv w:val="1"/>
      <w:marLeft w:val="0"/>
      <w:marRight w:val="0"/>
      <w:marTop w:val="0"/>
      <w:marBottom w:val="0"/>
      <w:divBdr>
        <w:top w:val="none" w:sz="0" w:space="0" w:color="auto"/>
        <w:left w:val="none" w:sz="0" w:space="0" w:color="auto"/>
        <w:bottom w:val="none" w:sz="0" w:space="0" w:color="auto"/>
        <w:right w:val="none" w:sz="0" w:space="0" w:color="auto"/>
      </w:divBdr>
    </w:div>
    <w:div w:id="1978490718">
      <w:bodyDiv w:val="1"/>
      <w:marLeft w:val="0"/>
      <w:marRight w:val="0"/>
      <w:marTop w:val="0"/>
      <w:marBottom w:val="0"/>
      <w:divBdr>
        <w:top w:val="none" w:sz="0" w:space="0" w:color="auto"/>
        <w:left w:val="none" w:sz="0" w:space="0" w:color="auto"/>
        <w:bottom w:val="none" w:sz="0" w:space="0" w:color="auto"/>
        <w:right w:val="none" w:sz="0" w:space="0" w:color="auto"/>
      </w:divBdr>
    </w:div>
    <w:div w:id="1986274743">
      <w:bodyDiv w:val="1"/>
      <w:marLeft w:val="0"/>
      <w:marRight w:val="0"/>
      <w:marTop w:val="0"/>
      <w:marBottom w:val="0"/>
      <w:divBdr>
        <w:top w:val="none" w:sz="0" w:space="0" w:color="auto"/>
        <w:left w:val="none" w:sz="0" w:space="0" w:color="auto"/>
        <w:bottom w:val="none" w:sz="0" w:space="0" w:color="auto"/>
        <w:right w:val="none" w:sz="0" w:space="0" w:color="auto"/>
      </w:divBdr>
    </w:div>
    <w:div w:id="1995182434">
      <w:bodyDiv w:val="1"/>
      <w:marLeft w:val="0"/>
      <w:marRight w:val="0"/>
      <w:marTop w:val="0"/>
      <w:marBottom w:val="0"/>
      <w:divBdr>
        <w:top w:val="none" w:sz="0" w:space="0" w:color="auto"/>
        <w:left w:val="none" w:sz="0" w:space="0" w:color="auto"/>
        <w:bottom w:val="none" w:sz="0" w:space="0" w:color="auto"/>
        <w:right w:val="none" w:sz="0" w:space="0" w:color="auto"/>
      </w:divBdr>
    </w:div>
    <w:div w:id="1996254182">
      <w:bodyDiv w:val="1"/>
      <w:marLeft w:val="0"/>
      <w:marRight w:val="0"/>
      <w:marTop w:val="0"/>
      <w:marBottom w:val="0"/>
      <w:divBdr>
        <w:top w:val="none" w:sz="0" w:space="0" w:color="auto"/>
        <w:left w:val="none" w:sz="0" w:space="0" w:color="auto"/>
        <w:bottom w:val="none" w:sz="0" w:space="0" w:color="auto"/>
        <w:right w:val="none" w:sz="0" w:space="0" w:color="auto"/>
      </w:divBdr>
    </w:div>
    <w:div w:id="2003506698">
      <w:bodyDiv w:val="1"/>
      <w:marLeft w:val="0"/>
      <w:marRight w:val="0"/>
      <w:marTop w:val="0"/>
      <w:marBottom w:val="0"/>
      <w:divBdr>
        <w:top w:val="none" w:sz="0" w:space="0" w:color="auto"/>
        <w:left w:val="none" w:sz="0" w:space="0" w:color="auto"/>
        <w:bottom w:val="none" w:sz="0" w:space="0" w:color="auto"/>
        <w:right w:val="none" w:sz="0" w:space="0" w:color="auto"/>
      </w:divBdr>
    </w:div>
    <w:div w:id="2005012957">
      <w:bodyDiv w:val="1"/>
      <w:marLeft w:val="0"/>
      <w:marRight w:val="0"/>
      <w:marTop w:val="0"/>
      <w:marBottom w:val="0"/>
      <w:divBdr>
        <w:top w:val="none" w:sz="0" w:space="0" w:color="auto"/>
        <w:left w:val="none" w:sz="0" w:space="0" w:color="auto"/>
        <w:bottom w:val="none" w:sz="0" w:space="0" w:color="auto"/>
        <w:right w:val="none" w:sz="0" w:space="0" w:color="auto"/>
      </w:divBdr>
    </w:div>
    <w:div w:id="2006472298">
      <w:bodyDiv w:val="1"/>
      <w:marLeft w:val="0"/>
      <w:marRight w:val="0"/>
      <w:marTop w:val="0"/>
      <w:marBottom w:val="0"/>
      <w:divBdr>
        <w:top w:val="none" w:sz="0" w:space="0" w:color="auto"/>
        <w:left w:val="none" w:sz="0" w:space="0" w:color="auto"/>
        <w:bottom w:val="none" w:sz="0" w:space="0" w:color="auto"/>
        <w:right w:val="none" w:sz="0" w:space="0" w:color="auto"/>
      </w:divBdr>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
    <w:div w:id="2028560589">
      <w:bodyDiv w:val="1"/>
      <w:marLeft w:val="0"/>
      <w:marRight w:val="0"/>
      <w:marTop w:val="0"/>
      <w:marBottom w:val="0"/>
      <w:divBdr>
        <w:top w:val="none" w:sz="0" w:space="0" w:color="auto"/>
        <w:left w:val="none" w:sz="0" w:space="0" w:color="auto"/>
        <w:bottom w:val="none" w:sz="0" w:space="0" w:color="auto"/>
        <w:right w:val="none" w:sz="0" w:space="0" w:color="auto"/>
      </w:divBdr>
    </w:div>
    <w:div w:id="2031368547">
      <w:bodyDiv w:val="1"/>
      <w:marLeft w:val="0"/>
      <w:marRight w:val="0"/>
      <w:marTop w:val="0"/>
      <w:marBottom w:val="0"/>
      <w:divBdr>
        <w:top w:val="none" w:sz="0" w:space="0" w:color="auto"/>
        <w:left w:val="none" w:sz="0" w:space="0" w:color="auto"/>
        <w:bottom w:val="none" w:sz="0" w:space="0" w:color="auto"/>
        <w:right w:val="none" w:sz="0" w:space="0" w:color="auto"/>
      </w:divBdr>
    </w:div>
    <w:div w:id="2043508532">
      <w:bodyDiv w:val="1"/>
      <w:marLeft w:val="0"/>
      <w:marRight w:val="0"/>
      <w:marTop w:val="0"/>
      <w:marBottom w:val="0"/>
      <w:divBdr>
        <w:top w:val="none" w:sz="0" w:space="0" w:color="auto"/>
        <w:left w:val="none" w:sz="0" w:space="0" w:color="auto"/>
        <w:bottom w:val="none" w:sz="0" w:space="0" w:color="auto"/>
        <w:right w:val="none" w:sz="0" w:space="0" w:color="auto"/>
      </w:divBdr>
    </w:div>
    <w:div w:id="2048213642">
      <w:bodyDiv w:val="1"/>
      <w:marLeft w:val="0"/>
      <w:marRight w:val="0"/>
      <w:marTop w:val="0"/>
      <w:marBottom w:val="0"/>
      <w:divBdr>
        <w:top w:val="none" w:sz="0" w:space="0" w:color="auto"/>
        <w:left w:val="none" w:sz="0" w:space="0" w:color="auto"/>
        <w:bottom w:val="none" w:sz="0" w:space="0" w:color="auto"/>
        <w:right w:val="none" w:sz="0" w:space="0" w:color="auto"/>
      </w:divBdr>
    </w:div>
    <w:div w:id="2051375032">
      <w:bodyDiv w:val="1"/>
      <w:marLeft w:val="0"/>
      <w:marRight w:val="0"/>
      <w:marTop w:val="0"/>
      <w:marBottom w:val="0"/>
      <w:divBdr>
        <w:top w:val="none" w:sz="0" w:space="0" w:color="auto"/>
        <w:left w:val="none" w:sz="0" w:space="0" w:color="auto"/>
        <w:bottom w:val="none" w:sz="0" w:space="0" w:color="auto"/>
        <w:right w:val="none" w:sz="0" w:space="0" w:color="auto"/>
      </w:divBdr>
    </w:div>
    <w:div w:id="2066559288">
      <w:bodyDiv w:val="1"/>
      <w:marLeft w:val="0"/>
      <w:marRight w:val="0"/>
      <w:marTop w:val="0"/>
      <w:marBottom w:val="0"/>
      <w:divBdr>
        <w:top w:val="none" w:sz="0" w:space="0" w:color="auto"/>
        <w:left w:val="none" w:sz="0" w:space="0" w:color="auto"/>
        <w:bottom w:val="none" w:sz="0" w:space="0" w:color="auto"/>
        <w:right w:val="none" w:sz="0" w:space="0" w:color="auto"/>
      </w:divBdr>
    </w:div>
    <w:div w:id="2105954864">
      <w:bodyDiv w:val="1"/>
      <w:marLeft w:val="0"/>
      <w:marRight w:val="0"/>
      <w:marTop w:val="0"/>
      <w:marBottom w:val="0"/>
      <w:divBdr>
        <w:top w:val="none" w:sz="0" w:space="0" w:color="auto"/>
        <w:left w:val="none" w:sz="0" w:space="0" w:color="auto"/>
        <w:bottom w:val="none" w:sz="0" w:space="0" w:color="auto"/>
        <w:right w:val="none" w:sz="0" w:space="0" w:color="auto"/>
      </w:divBdr>
    </w:div>
    <w:div w:id="2124643005">
      <w:bodyDiv w:val="1"/>
      <w:marLeft w:val="0"/>
      <w:marRight w:val="0"/>
      <w:marTop w:val="0"/>
      <w:marBottom w:val="0"/>
      <w:divBdr>
        <w:top w:val="none" w:sz="0" w:space="0" w:color="auto"/>
        <w:left w:val="none" w:sz="0" w:space="0" w:color="auto"/>
        <w:bottom w:val="none" w:sz="0" w:space="0" w:color="auto"/>
        <w:right w:val="none" w:sz="0" w:space="0" w:color="auto"/>
      </w:divBdr>
    </w:div>
    <w:div w:id="2129468391">
      <w:bodyDiv w:val="1"/>
      <w:marLeft w:val="0"/>
      <w:marRight w:val="0"/>
      <w:marTop w:val="0"/>
      <w:marBottom w:val="0"/>
      <w:divBdr>
        <w:top w:val="none" w:sz="0" w:space="0" w:color="auto"/>
        <w:left w:val="none" w:sz="0" w:space="0" w:color="auto"/>
        <w:bottom w:val="none" w:sz="0" w:space="0" w:color="auto"/>
        <w:right w:val="none" w:sz="0" w:space="0" w:color="auto"/>
      </w:divBdr>
    </w:div>
    <w:div w:id="2129933035">
      <w:bodyDiv w:val="1"/>
      <w:marLeft w:val="0"/>
      <w:marRight w:val="0"/>
      <w:marTop w:val="0"/>
      <w:marBottom w:val="0"/>
      <w:divBdr>
        <w:top w:val="none" w:sz="0" w:space="0" w:color="auto"/>
        <w:left w:val="none" w:sz="0" w:space="0" w:color="auto"/>
        <w:bottom w:val="none" w:sz="0" w:space="0" w:color="auto"/>
        <w:right w:val="none" w:sz="0" w:space="0" w:color="auto"/>
      </w:divBdr>
    </w:div>
    <w:div w:id="21329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Gos12</b:Tag>
    <b:SourceType>JournalArticle</b:SourceType>
    <b:Guid>{AE0493C8-874D-4493-8026-240E9FD5EC65}</b:Guid>
    <b:Title>European League Against Rheumatism recommendations for the management of psoriatic arthritis with pharmacological therapies.</b:Title>
    <b:Year>2012</b:Year>
    <b:Pages>71(1):4-12.</b:Pages>
    <b:Author>
      <b:Author>
        <b:NameList>
          <b:Person>
            <b:Last>Gossec</b:Last>
            <b:First>L</b:First>
          </b:Person>
          <b:Person>
            <b:Last>Smolen</b:Last>
            <b:First>JS</b:First>
          </b:Person>
          <b:Person>
            <b:Last>Gaujoux-Viala</b:Last>
            <b:First>C</b:First>
          </b:Person>
          <b:Person>
            <b:Last>Ash</b:Last>
            <b:First>Z</b:First>
          </b:Person>
          <b:Person>
            <b:Last>Marzo-Ortega</b:Last>
            <b:First>H</b:First>
          </b:Person>
          <b:Person>
            <b:Last>van der Heijde</b:Last>
            <b:First>D</b:First>
          </b:Person>
          <b:Person>
            <b:Last>FitzGerald</b:Last>
            <b:First>O</b:First>
          </b:Person>
          <b:Person>
            <b:Last>Aletaha</b:Last>
            <b:First>D</b:First>
          </b:Person>
          <b:Person>
            <b:Last>Balint</b:Last>
            <b:First>P</b:First>
          </b:Person>
          <b:Person>
            <b:Last>Boumpas</b:Last>
            <b:First>D</b:First>
          </b:Person>
          <b:Person>
            <b:Last>P</b:Last>
            <b:First>Emery</b:First>
          </b:Person>
          <b:Person>
            <b:Last>Rheumatism.</b:Last>
            <b:First>European</b:First>
            <b:Middle>League Against</b:Middle>
          </b:Person>
        </b:NameList>
      </b:Author>
    </b:Author>
    <b:JournalName>Ann Rheum Dis</b:JournalName>
    <b:RefOrder>18</b:RefOrder>
  </b:Source>
</b:Sources>
</file>

<file path=customXml/itemProps1.xml><?xml version="1.0" encoding="utf-8"?>
<ds:datastoreItem xmlns:ds="http://schemas.openxmlformats.org/officeDocument/2006/customXml" ds:itemID="{F958A734-5DE0-4548-BAA4-2A80AC82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2015-02-27T00:44:00Z</dcterms:created>
  <dcterms:modified xsi:type="dcterms:W3CDTF">2015-03-03T03:31:00Z</dcterms:modified>
</cp:coreProperties>
</file>