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4C" w:rsidRDefault="00B331FF" w:rsidP="00B331FF">
      <w:pPr>
        <w:ind w:left="720" w:hanging="720"/>
        <w:rPr>
          <w:rFonts w:ascii="Arial" w:hAnsi="Arial"/>
          <w:b/>
          <w:sz w:val="28"/>
          <w:szCs w:val="28"/>
        </w:rPr>
      </w:pPr>
      <w:bookmarkStart w:id="0" w:name="_GoBack"/>
      <w:bookmarkEnd w:id="0"/>
      <w:r>
        <w:rPr>
          <w:rFonts w:ascii="Arial" w:hAnsi="Arial"/>
          <w:b/>
          <w:sz w:val="28"/>
          <w:szCs w:val="28"/>
        </w:rPr>
        <w:t>6.4</w:t>
      </w:r>
      <w:r w:rsidR="007C0F57" w:rsidRPr="006D6EC7">
        <w:rPr>
          <w:rFonts w:ascii="Arial" w:hAnsi="Arial"/>
          <w:b/>
          <w:sz w:val="28"/>
          <w:szCs w:val="28"/>
        </w:rPr>
        <w:tab/>
      </w:r>
      <w:r>
        <w:rPr>
          <w:rFonts w:ascii="Arial" w:hAnsi="Arial"/>
          <w:b/>
          <w:sz w:val="28"/>
          <w:szCs w:val="28"/>
        </w:rPr>
        <w:t>CETUXIMAB</w:t>
      </w:r>
    </w:p>
    <w:p w:rsidR="00EC2D4C" w:rsidRDefault="00B331FF" w:rsidP="00EC2D4C">
      <w:pPr>
        <w:ind w:left="720"/>
        <w:rPr>
          <w:rFonts w:ascii="Arial" w:hAnsi="Arial"/>
          <w:b/>
          <w:sz w:val="28"/>
          <w:szCs w:val="28"/>
        </w:rPr>
      </w:pPr>
      <w:r w:rsidRPr="00B331FF">
        <w:rPr>
          <w:rFonts w:ascii="Arial" w:hAnsi="Arial"/>
          <w:b/>
          <w:sz w:val="28"/>
          <w:szCs w:val="28"/>
        </w:rPr>
        <w:t>solutio</w:t>
      </w:r>
      <w:r w:rsidR="00F3502F">
        <w:rPr>
          <w:rFonts w:ascii="Arial" w:hAnsi="Arial"/>
          <w:b/>
          <w:sz w:val="28"/>
          <w:szCs w:val="28"/>
        </w:rPr>
        <w:t>n for intravenous (IV) infusion;</w:t>
      </w:r>
      <w:r w:rsidRPr="00B331FF">
        <w:rPr>
          <w:rFonts w:ascii="Arial" w:hAnsi="Arial"/>
          <w:b/>
          <w:sz w:val="28"/>
          <w:szCs w:val="28"/>
        </w:rPr>
        <w:t xml:space="preserve"> </w:t>
      </w:r>
    </w:p>
    <w:p w:rsidR="00EC2D4C" w:rsidRDefault="00B331FF" w:rsidP="00EC2D4C">
      <w:pPr>
        <w:ind w:left="720"/>
        <w:rPr>
          <w:rFonts w:ascii="Arial" w:hAnsi="Arial"/>
          <w:b/>
          <w:sz w:val="28"/>
          <w:szCs w:val="28"/>
        </w:rPr>
      </w:pPr>
      <w:r w:rsidRPr="00B331FF">
        <w:rPr>
          <w:rFonts w:ascii="Arial" w:hAnsi="Arial"/>
          <w:b/>
          <w:sz w:val="28"/>
          <w:szCs w:val="28"/>
        </w:rPr>
        <w:t>100</w:t>
      </w:r>
      <w:r w:rsidR="00F3502F">
        <w:rPr>
          <w:rFonts w:ascii="Arial" w:hAnsi="Arial"/>
          <w:b/>
          <w:sz w:val="28"/>
          <w:szCs w:val="28"/>
        </w:rPr>
        <w:t xml:space="preserve"> mg in 20 mL &amp; 500 mg in 100 mL;</w:t>
      </w:r>
      <w:r w:rsidRPr="00B331FF">
        <w:rPr>
          <w:rFonts w:ascii="Arial" w:hAnsi="Arial"/>
          <w:b/>
          <w:sz w:val="28"/>
          <w:szCs w:val="28"/>
        </w:rPr>
        <w:t xml:space="preserve"> </w:t>
      </w:r>
    </w:p>
    <w:p w:rsidR="00D3280C" w:rsidRPr="006D6EC7" w:rsidRDefault="00B331FF" w:rsidP="00EC2D4C">
      <w:pPr>
        <w:ind w:left="720"/>
        <w:rPr>
          <w:rFonts w:ascii="Arial" w:hAnsi="Arial"/>
          <w:b/>
          <w:sz w:val="28"/>
          <w:szCs w:val="28"/>
        </w:rPr>
      </w:pPr>
      <w:r w:rsidRPr="00B331FF">
        <w:rPr>
          <w:rFonts w:ascii="Arial" w:hAnsi="Arial"/>
          <w:b/>
          <w:sz w:val="28"/>
          <w:szCs w:val="28"/>
        </w:rPr>
        <w:t>Erbitux</w:t>
      </w:r>
      <w:r w:rsidRPr="00B331FF">
        <w:rPr>
          <w:rFonts w:ascii="Arial" w:hAnsi="Arial"/>
          <w:b/>
          <w:sz w:val="28"/>
          <w:szCs w:val="28"/>
          <w:vertAlign w:val="superscript"/>
        </w:rPr>
        <w:t>®</w:t>
      </w:r>
      <w:r w:rsidR="00F3502F">
        <w:rPr>
          <w:rFonts w:ascii="Arial" w:hAnsi="Arial"/>
          <w:b/>
          <w:sz w:val="28"/>
          <w:szCs w:val="28"/>
        </w:rPr>
        <w:t>;</w:t>
      </w:r>
      <w:r w:rsidRPr="00B331FF">
        <w:rPr>
          <w:rFonts w:ascii="Arial" w:hAnsi="Arial"/>
          <w:b/>
          <w:sz w:val="28"/>
          <w:szCs w:val="28"/>
        </w:rPr>
        <w:t xml:space="preserve"> Merck Serono Pty Ltd.</w:t>
      </w:r>
    </w:p>
    <w:p w:rsidR="00CE10C4" w:rsidRDefault="00CE10C4" w:rsidP="00A5273B">
      <w:pPr>
        <w:rPr>
          <w:rFonts w:ascii="Arial" w:hAnsi="Arial"/>
        </w:rPr>
      </w:pPr>
    </w:p>
    <w:p w:rsidR="000E6901" w:rsidRPr="000E6901" w:rsidRDefault="000E6901" w:rsidP="00A5273B">
      <w:pPr>
        <w:rPr>
          <w:rFonts w:ascii="Arial" w:hAnsi="Arial"/>
        </w:rPr>
      </w:pPr>
    </w:p>
    <w:p w:rsidR="00CE10C4" w:rsidRPr="00882085" w:rsidRDefault="00CE10C4" w:rsidP="00D479CB">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E16910" w:rsidRPr="00882085" w:rsidRDefault="00CB49D2" w:rsidP="00882085">
      <w:pPr>
        <w:pStyle w:val="ListParagraph"/>
        <w:numPr>
          <w:ilvl w:val="1"/>
          <w:numId w:val="25"/>
        </w:numPr>
        <w:jc w:val="both"/>
        <w:rPr>
          <w:rFonts w:ascii="Arial" w:hAnsi="Arial"/>
          <w:sz w:val="22"/>
          <w:szCs w:val="22"/>
        </w:rPr>
      </w:pPr>
      <w:r w:rsidRPr="00CB49D2">
        <w:rPr>
          <w:rFonts w:ascii="Arial" w:hAnsi="Arial" w:cs="Arial"/>
          <w:sz w:val="22"/>
          <w:szCs w:val="22"/>
        </w:rPr>
        <w:t xml:space="preserve">To request Section 100 Authority Required listing of cetuximab as a first-line treatment in combination with chemotherapy for patients with metastatic colorectal cancer (mCRC) whose tumours have RAS </w:t>
      </w:r>
      <w:r w:rsidR="00BD1D5A">
        <w:rPr>
          <w:rFonts w:ascii="Arial" w:hAnsi="Arial" w:cs="Arial"/>
          <w:sz w:val="22"/>
          <w:szCs w:val="22"/>
        </w:rPr>
        <w:t>wild-type (</w:t>
      </w:r>
      <w:r w:rsidRPr="00CB49D2">
        <w:rPr>
          <w:rFonts w:ascii="Arial" w:hAnsi="Arial" w:cs="Arial"/>
          <w:sz w:val="22"/>
          <w:szCs w:val="22"/>
        </w:rPr>
        <w:t>WT</w:t>
      </w:r>
      <w:r w:rsidR="00BD1D5A">
        <w:rPr>
          <w:rFonts w:ascii="Arial" w:hAnsi="Arial" w:cs="Arial"/>
          <w:sz w:val="22"/>
          <w:szCs w:val="22"/>
        </w:rPr>
        <w:t>)</w:t>
      </w:r>
      <w:r w:rsidRPr="00CB49D2">
        <w:rPr>
          <w:rFonts w:ascii="Arial" w:hAnsi="Arial" w:cs="Arial"/>
          <w:sz w:val="22"/>
          <w:szCs w:val="22"/>
        </w:rPr>
        <w:t xml:space="preserve"> status</w:t>
      </w:r>
      <w:r>
        <w:t>.</w:t>
      </w:r>
    </w:p>
    <w:p w:rsidR="006A12A5" w:rsidRDefault="006A12A5" w:rsidP="00882085">
      <w:pPr>
        <w:jc w:val="both"/>
        <w:rPr>
          <w:rFonts w:ascii="Arial" w:hAnsi="Arial"/>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2B1AE6" w:rsidRPr="00CB49D2" w:rsidRDefault="002B1AE6" w:rsidP="00CB49D2">
      <w:pPr>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276"/>
        <w:gridCol w:w="1701"/>
        <w:gridCol w:w="1134"/>
        <w:gridCol w:w="709"/>
        <w:gridCol w:w="1559"/>
        <w:gridCol w:w="2126"/>
      </w:tblGrid>
      <w:tr w:rsidR="00F3502F" w:rsidRPr="005B1A2D" w:rsidTr="00F3502F">
        <w:trPr>
          <w:cantSplit/>
          <w:trHeight w:val="471"/>
        </w:trPr>
        <w:tc>
          <w:tcPr>
            <w:tcW w:w="2977" w:type="dxa"/>
            <w:gridSpan w:val="2"/>
            <w:tcBorders>
              <w:bottom w:val="single" w:sz="4" w:space="0" w:color="auto"/>
            </w:tcBorders>
          </w:tcPr>
          <w:p w:rsidR="00F3502F" w:rsidRPr="005B1A2D" w:rsidRDefault="00F3502F" w:rsidP="00CB49D2">
            <w:pPr>
              <w:keepNext/>
              <w:ind w:left="-108"/>
              <w:jc w:val="both"/>
              <w:rPr>
                <w:rFonts w:ascii="Arial Narrow" w:hAnsi="Arial Narrow" w:cs="Arial"/>
                <w:sz w:val="20"/>
                <w:szCs w:val="20"/>
              </w:rPr>
            </w:pPr>
            <w:r w:rsidRPr="005B1A2D">
              <w:rPr>
                <w:rFonts w:ascii="Arial Narrow" w:hAnsi="Arial Narrow" w:cs="Arial"/>
                <w:sz w:val="20"/>
                <w:szCs w:val="20"/>
              </w:rPr>
              <w:t>Name, Restriction,</w:t>
            </w:r>
          </w:p>
          <w:p w:rsidR="00F3502F" w:rsidRPr="005B1A2D" w:rsidRDefault="00F3502F" w:rsidP="00CB49D2">
            <w:pPr>
              <w:keepNext/>
              <w:ind w:left="-108"/>
              <w:jc w:val="both"/>
              <w:rPr>
                <w:rFonts w:ascii="Arial Narrow" w:hAnsi="Arial Narrow" w:cs="Arial"/>
                <w:sz w:val="20"/>
                <w:szCs w:val="20"/>
              </w:rPr>
            </w:pPr>
            <w:r w:rsidRPr="005B1A2D">
              <w:rPr>
                <w:rFonts w:ascii="Arial Narrow" w:hAnsi="Arial Narrow" w:cs="Arial"/>
                <w:sz w:val="20"/>
                <w:szCs w:val="20"/>
              </w:rPr>
              <w:t>Manner of administration and form</w:t>
            </w:r>
          </w:p>
        </w:tc>
        <w:tc>
          <w:tcPr>
            <w:tcW w:w="1134" w:type="dxa"/>
            <w:tcBorders>
              <w:bottom w:val="single" w:sz="4" w:space="0" w:color="auto"/>
            </w:tcBorders>
          </w:tcPr>
          <w:p w:rsidR="00F3502F" w:rsidRPr="005B1A2D" w:rsidRDefault="00F3502F" w:rsidP="00CB49D2">
            <w:pPr>
              <w:keepNext/>
              <w:ind w:left="-108"/>
              <w:jc w:val="both"/>
              <w:rPr>
                <w:rFonts w:ascii="Arial Narrow" w:hAnsi="Arial Narrow" w:cs="Arial"/>
                <w:sz w:val="20"/>
                <w:szCs w:val="20"/>
              </w:rPr>
            </w:pPr>
            <w:r w:rsidRPr="005B1A2D">
              <w:rPr>
                <w:rFonts w:ascii="Arial Narrow" w:hAnsi="Arial Narrow" w:cs="Arial"/>
                <w:sz w:val="20"/>
                <w:szCs w:val="20"/>
              </w:rPr>
              <w:t>Max.</w:t>
            </w:r>
          </w:p>
          <w:p w:rsidR="00F3502F" w:rsidRPr="005B1A2D" w:rsidRDefault="00F3502F" w:rsidP="00CB49D2">
            <w:pPr>
              <w:keepNext/>
              <w:ind w:left="-108"/>
              <w:jc w:val="both"/>
              <w:rPr>
                <w:rFonts w:ascii="Arial Narrow" w:hAnsi="Arial Narrow" w:cs="Arial"/>
                <w:sz w:val="20"/>
                <w:szCs w:val="20"/>
              </w:rPr>
            </w:pPr>
            <w:r w:rsidRPr="005B1A2D">
              <w:rPr>
                <w:rFonts w:ascii="Arial Narrow" w:hAnsi="Arial Narrow" w:cs="Arial"/>
                <w:sz w:val="20"/>
                <w:szCs w:val="20"/>
              </w:rPr>
              <w:t>Qty</w:t>
            </w:r>
          </w:p>
        </w:tc>
        <w:tc>
          <w:tcPr>
            <w:tcW w:w="709" w:type="dxa"/>
            <w:tcBorders>
              <w:bottom w:val="single" w:sz="4" w:space="0" w:color="auto"/>
            </w:tcBorders>
          </w:tcPr>
          <w:p w:rsidR="00F3502F" w:rsidRPr="005B1A2D" w:rsidRDefault="00F3502F" w:rsidP="00CB49D2">
            <w:pPr>
              <w:keepNext/>
              <w:ind w:left="-108"/>
              <w:jc w:val="both"/>
              <w:rPr>
                <w:rFonts w:ascii="Arial Narrow" w:hAnsi="Arial Narrow" w:cs="Arial"/>
                <w:sz w:val="20"/>
                <w:szCs w:val="20"/>
              </w:rPr>
            </w:pPr>
            <w:r w:rsidRPr="005B1A2D">
              <w:rPr>
                <w:rFonts w:ascii="Arial Narrow" w:hAnsi="Arial Narrow" w:cs="Arial"/>
                <w:sz w:val="20"/>
                <w:szCs w:val="20"/>
              </w:rPr>
              <w:t>№.of</w:t>
            </w:r>
          </w:p>
          <w:p w:rsidR="00F3502F" w:rsidRPr="005B1A2D" w:rsidRDefault="00F3502F" w:rsidP="00CB49D2">
            <w:pPr>
              <w:keepNext/>
              <w:ind w:left="-108"/>
              <w:jc w:val="both"/>
              <w:rPr>
                <w:rFonts w:ascii="Arial Narrow" w:hAnsi="Arial Narrow" w:cs="Arial"/>
                <w:sz w:val="20"/>
                <w:szCs w:val="20"/>
              </w:rPr>
            </w:pPr>
            <w:r w:rsidRPr="005B1A2D">
              <w:rPr>
                <w:rFonts w:ascii="Arial Narrow" w:hAnsi="Arial Narrow" w:cs="Arial"/>
                <w:sz w:val="20"/>
                <w:szCs w:val="20"/>
              </w:rPr>
              <w:t>Rpts</w:t>
            </w:r>
          </w:p>
        </w:tc>
        <w:tc>
          <w:tcPr>
            <w:tcW w:w="3685" w:type="dxa"/>
            <w:gridSpan w:val="2"/>
            <w:tcBorders>
              <w:bottom w:val="single" w:sz="4" w:space="0" w:color="auto"/>
            </w:tcBorders>
          </w:tcPr>
          <w:p w:rsidR="00F3502F" w:rsidRPr="005B1A2D" w:rsidRDefault="00F3502F" w:rsidP="00CB49D2">
            <w:pPr>
              <w:keepNext/>
              <w:jc w:val="both"/>
              <w:rPr>
                <w:rFonts w:ascii="Arial Narrow" w:hAnsi="Arial Narrow" w:cs="Arial"/>
                <w:sz w:val="20"/>
                <w:szCs w:val="20"/>
                <w:lang w:val="fr-FR"/>
              </w:rPr>
            </w:pPr>
            <w:r w:rsidRPr="005B1A2D">
              <w:rPr>
                <w:rFonts w:ascii="Arial Narrow" w:hAnsi="Arial Narrow" w:cs="Arial"/>
                <w:sz w:val="20"/>
                <w:szCs w:val="20"/>
              </w:rPr>
              <w:t>Proprietary Name and Manufacturer</w:t>
            </w:r>
          </w:p>
        </w:tc>
      </w:tr>
      <w:tr w:rsidR="00F3502F" w:rsidRPr="005B1A2D" w:rsidTr="00F3502F">
        <w:trPr>
          <w:cantSplit/>
          <w:trHeight w:val="577"/>
        </w:trPr>
        <w:tc>
          <w:tcPr>
            <w:tcW w:w="2977" w:type="dxa"/>
            <w:gridSpan w:val="2"/>
          </w:tcPr>
          <w:p w:rsidR="00F3502F" w:rsidRPr="005B1A2D" w:rsidRDefault="00F3502F" w:rsidP="00CB49D2">
            <w:pPr>
              <w:keepNext/>
              <w:ind w:left="-108"/>
              <w:jc w:val="both"/>
              <w:rPr>
                <w:rFonts w:ascii="Arial Narrow" w:hAnsi="Arial Narrow" w:cs="Arial"/>
                <w:sz w:val="20"/>
                <w:szCs w:val="20"/>
              </w:rPr>
            </w:pPr>
            <w:r w:rsidRPr="005B1A2D">
              <w:rPr>
                <w:rFonts w:ascii="Arial Narrow" w:hAnsi="Arial Narrow" w:cs="Arial"/>
                <w:smallCaps/>
                <w:sz w:val="20"/>
                <w:szCs w:val="20"/>
              </w:rPr>
              <w:t>CETUXIMAB</w:t>
            </w:r>
          </w:p>
          <w:p w:rsidR="00F3502F" w:rsidRPr="005B1A2D" w:rsidRDefault="00F3502F" w:rsidP="00CB49D2">
            <w:pPr>
              <w:keepNext/>
              <w:ind w:left="-108"/>
              <w:jc w:val="both"/>
              <w:rPr>
                <w:rFonts w:ascii="Arial Narrow" w:hAnsi="Arial Narrow" w:cs="Arial"/>
                <w:sz w:val="20"/>
                <w:szCs w:val="20"/>
              </w:rPr>
            </w:pPr>
            <w:r w:rsidRPr="005B1A2D">
              <w:rPr>
                <w:rFonts w:ascii="Arial Narrow" w:hAnsi="Arial Narrow" w:cs="Arial"/>
                <w:sz w:val="20"/>
                <w:szCs w:val="20"/>
              </w:rPr>
              <w:t>Injection, 100 mg/20 mL</w:t>
            </w:r>
          </w:p>
          <w:p w:rsidR="00F3502F" w:rsidRPr="005B1A2D" w:rsidRDefault="00F3502F" w:rsidP="000E6901">
            <w:pPr>
              <w:keepNext/>
              <w:ind w:left="-108"/>
              <w:jc w:val="both"/>
              <w:rPr>
                <w:rFonts w:ascii="Arial Narrow" w:hAnsi="Arial Narrow" w:cs="Arial"/>
                <w:sz w:val="20"/>
                <w:szCs w:val="20"/>
              </w:rPr>
            </w:pPr>
            <w:r w:rsidRPr="005B1A2D">
              <w:rPr>
                <w:rFonts w:ascii="Arial Narrow" w:hAnsi="Arial Narrow" w:cs="Arial"/>
                <w:sz w:val="20"/>
                <w:szCs w:val="20"/>
              </w:rPr>
              <w:t>Injection, 500 mg/100 mL</w:t>
            </w:r>
          </w:p>
        </w:tc>
        <w:tc>
          <w:tcPr>
            <w:tcW w:w="1134" w:type="dxa"/>
          </w:tcPr>
          <w:p w:rsidR="00F3502F" w:rsidRPr="005B1A2D" w:rsidRDefault="00F3502F" w:rsidP="00CB49D2">
            <w:pPr>
              <w:keepNext/>
              <w:jc w:val="both"/>
              <w:rPr>
                <w:rFonts w:ascii="Arial Narrow" w:hAnsi="Arial Narrow" w:cs="Arial"/>
                <w:sz w:val="20"/>
                <w:szCs w:val="20"/>
              </w:rPr>
            </w:pPr>
          </w:p>
          <w:p w:rsidR="00F3502F" w:rsidRPr="005B1A2D" w:rsidRDefault="00F3502F" w:rsidP="00CB49D2">
            <w:pPr>
              <w:keepNext/>
              <w:jc w:val="both"/>
              <w:rPr>
                <w:rFonts w:ascii="Arial Narrow" w:hAnsi="Arial Narrow" w:cs="Arial"/>
                <w:sz w:val="20"/>
                <w:szCs w:val="20"/>
              </w:rPr>
            </w:pPr>
            <w:r w:rsidRPr="005B1A2D">
              <w:rPr>
                <w:rFonts w:ascii="Arial Narrow" w:hAnsi="Arial Narrow" w:cs="Arial"/>
                <w:sz w:val="20"/>
                <w:szCs w:val="20"/>
              </w:rPr>
              <w:t>880 mg</w:t>
            </w:r>
          </w:p>
        </w:tc>
        <w:tc>
          <w:tcPr>
            <w:tcW w:w="709" w:type="dxa"/>
          </w:tcPr>
          <w:p w:rsidR="00F3502F" w:rsidRPr="005B1A2D" w:rsidRDefault="00F3502F" w:rsidP="00CB49D2">
            <w:pPr>
              <w:keepNext/>
              <w:ind w:left="-108"/>
              <w:jc w:val="both"/>
              <w:rPr>
                <w:rFonts w:ascii="Arial Narrow" w:hAnsi="Arial Narrow" w:cs="Arial"/>
                <w:sz w:val="20"/>
                <w:szCs w:val="20"/>
              </w:rPr>
            </w:pPr>
          </w:p>
          <w:p w:rsidR="00F3502F" w:rsidRPr="005B1A2D" w:rsidRDefault="00F3502F" w:rsidP="00CB49D2">
            <w:pPr>
              <w:keepNext/>
              <w:ind w:left="-108"/>
              <w:jc w:val="both"/>
              <w:rPr>
                <w:rFonts w:ascii="Arial Narrow" w:hAnsi="Arial Narrow" w:cs="Arial"/>
                <w:sz w:val="20"/>
                <w:szCs w:val="20"/>
              </w:rPr>
            </w:pPr>
            <w:r w:rsidRPr="005B1A2D">
              <w:rPr>
                <w:rFonts w:ascii="Arial Narrow" w:hAnsi="Arial Narrow" w:cs="Arial"/>
                <w:sz w:val="20"/>
                <w:szCs w:val="20"/>
              </w:rPr>
              <w:t>0</w:t>
            </w:r>
          </w:p>
        </w:tc>
        <w:tc>
          <w:tcPr>
            <w:tcW w:w="1559" w:type="dxa"/>
          </w:tcPr>
          <w:p w:rsidR="00F3502F" w:rsidRPr="005B1A2D" w:rsidRDefault="00F3502F" w:rsidP="00CB49D2">
            <w:pPr>
              <w:keepNext/>
              <w:jc w:val="both"/>
              <w:rPr>
                <w:rFonts w:ascii="Arial Narrow" w:hAnsi="Arial Narrow" w:cs="Arial"/>
                <w:sz w:val="20"/>
                <w:szCs w:val="20"/>
              </w:rPr>
            </w:pPr>
          </w:p>
          <w:p w:rsidR="00F3502F" w:rsidRPr="005B1A2D" w:rsidRDefault="00F3502F" w:rsidP="00CB49D2">
            <w:pPr>
              <w:keepNext/>
              <w:jc w:val="both"/>
              <w:rPr>
                <w:rFonts w:ascii="Arial Narrow" w:hAnsi="Arial Narrow" w:cs="Arial"/>
                <w:sz w:val="20"/>
                <w:szCs w:val="20"/>
              </w:rPr>
            </w:pPr>
            <w:r w:rsidRPr="005B1A2D">
              <w:rPr>
                <w:rFonts w:ascii="Arial Narrow" w:hAnsi="Arial Narrow" w:cs="Arial"/>
                <w:sz w:val="20"/>
                <w:szCs w:val="20"/>
              </w:rPr>
              <w:t>Erbitux</w:t>
            </w:r>
          </w:p>
        </w:tc>
        <w:tc>
          <w:tcPr>
            <w:tcW w:w="2126" w:type="dxa"/>
          </w:tcPr>
          <w:p w:rsidR="00F3502F" w:rsidRPr="005B1A2D" w:rsidRDefault="00F3502F" w:rsidP="00CB49D2">
            <w:pPr>
              <w:keepNext/>
              <w:jc w:val="both"/>
              <w:rPr>
                <w:rFonts w:ascii="Arial Narrow" w:hAnsi="Arial Narrow" w:cs="Arial"/>
                <w:sz w:val="20"/>
                <w:szCs w:val="20"/>
              </w:rPr>
            </w:pPr>
          </w:p>
          <w:p w:rsidR="00F3502F" w:rsidRPr="005B1A2D" w:rsidRDefault="00F3502F" w:rsidP="00CB49D2">
            <w:pPr>
              <w:keepNext/>
              <w:jc w:val="both"/>
              <w:rPr>
                <w:rFonts w:ascii="Arial Narrow" w:hAnsi="Arial Narrow" w:cs="Arial"/>
                <w:sz w:val="20"/>
                <w:szCs w:val="20"/>
              </w:rPr>
            </w:pPr>
            <w:r w:rsidRPr="005B1A2D">
              <w:rPr>
                <w:rFonts w:ascii="Arial Narrow" w:hAnsi="Arial Narrow" w:cs="Arial"/>
                <w:sz w:val="20"/>
                <w:szCs w:val="20"/>
              </w:rPr>
              <w:t>SG</w:t>
            </w:r>
          </w:p>
        </w:tc>
      </w:tr>
      <w:tr w:rsidR="00CB49D2" w:rsidRPr="005B1A2D" w:rsidTr="005B1A2D">
        <w:trPr>
          <w:cantSplit/>
          <w:trHeight w:val="360"/>
        </w:trPr>
        <w:tc>
          <w:tcPr>
            <w:tcW w:w="8505" w:type="dxa"/>
            <w:gridSpan w:val="6"/>
            <w:tcBorders>
              <w:bottom w:val="single" w:sz="4" w:space="0" w:color="auto"/>
            </w:tcBorders>
          </w:tcPr>
          <w:p w:rsidR="00CB49D2" w:rsidRPr="005B1A2D" w:rsidRDefault="00CB49D2" w:rsidP="00CB49D2">
            <w:pPr>
              <w:jc w:val="both"/>
              <w:rPr>
                <w:rFonts w:ascii="Arial Narrow" w:hAnsi="Arial Narrow" w:cs="Arial"/>
                <w:sz w:val="20"/>
                <w:szCs w:val="20"/>
              </w:rPr>
            </w:pP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Category / Program</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Section 100 (Efficient Funding of Chemotherapy (EFC – Private Hospital)</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Section 100 (Efficient Funding of Chemotherapy (EFC – Public hospital)</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Prescriber type</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Check1"/>
                  <w:enabled/>
                  <w:calcOnExit w:val="0"/>
                  <w:checkBox>
                    <w:sizeAuto/>
                    <w:default w:val="0"/>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 xml:space="preserve">Dental  </w:t>
            </w:r>
            <w:r w:rsidRPr="005B1A2D">
              <w:rPr>
                <w:rFonts w:ascii="Arial Narrow" w:hAnsi="Arial Narrow" w:cs="Arial"/>
                <w:sz w:val="20"/>
                <w:szCs w:val="20"/>
              </w:rPr>
              <w:fldChar w:fldCharType="begin">
                <w:ffData>
                  <w:name w:val=""/>
                  <w:enabled/>
                  <w:calcOnExit w:val="0"/>
                  <w:checkBox>
                    <w:sizeAuto/>
                    <w:default w:val="1"/>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 xml:space="preserve">Medical Practitioners  </w:t>
            </w:r>
            <w:r w:rsidRPr="005B1A2D">
              <w:rPr>
                <w:rFonts w:ascii="Arial Narrow" w:hAnsi="Arial Narrow" w:cs="Arial"/>
                <w:sz w:val="20"/>
                <w:szCs w:val="20"/>
              </w:rPr>
              <w:fldChar w:fldCharType="begin">
                <w:ffData>
                  <w:name w:val="Check3"/>
                  <w:enabled/>
                  <w:calcOnExit w:val="0"/>
                  <w:checkBox>
                    <w:sizeAuto/>
                    <w:default w:val="0"/>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 xml:space="preserve">Nurse practitioners  </w:t>
            </w:r>
            <w:r w:rsidRPr="005B1A2D">
              <w:rPr>
                <w:rFonts w:ascii="Arial Narrow" w:hAnsi="Arial Narrow" w:cs="Arial"/>
                <w:sz w:val="20"/>
                <w:szCs w:val="20"/>
              </w:rPr>
              <w:fldChar w:fldCharType="begin">
                <w:ffData>
                  <w:name w:val=""/>
                  <w:enabled/>
                  <w:calcOnExit w:val="0"/>
                  <w:checkBox>
                    <w:sizeAuto/>
                    <w:default w:val="0"/>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Optometrists</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Check5"/>
                  <w:enabled/>
                  <w:calcOnExit w:val="0"/>
                  <w:checkBox>
                    <w:sizeAuto/>
                    <w:default w:val="0"/>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Midwives</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Episodicity:</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Severity:</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Metastatic</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Condition:</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colorectal cancer</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PBS indication:</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Metastatic colorectal cancer</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i/>
                <w:sz w:val="20"/>
                <w:szCs w:val="20"/>
              </w:rPr>
            </w:pPr>
            <w:r w:rsidRPr="005B1A2D">
              <w:rPr>
                <w:rFonts w:ascii="Arial Narrow" w:hAnsi="Arial Narrow" w:cs="Arial"/>
                <w:b/>
                <w:sz w:val="20"/>
                <w:szCs w:val="20"/>
              </w:rPr>
              <w:t>Treatment phase:</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Initial treatment</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sz w:val="20"/>
                <w:szCs w:val="20"/>
              </w:rPr>
            </w:pPr>
            <w:r w:rsidRPr="005B1A2D">
              <w:rPr>
                <w:rFonts w:ascii="Arial Narrow" w:hAnsi="Arial Narrow" w:cs="Arial"/>
                <w:b/>
                <w:sz w:val="20"/>
                <w:szCs w:val="20"/>
              </w:rPr>
              <w:t>Restriction level / method:</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Check1"/>
                  <w:enabled/>
                  <w:calcOnExit w:val="0"/>
                  <w:checkBox>
                    <w:sizeAuto/>
                    <w:default w:val="0"/>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Restricted benefit</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
                  <w:enabled/>
                  <w:calcOnExit w:val="0"/>
                  <w:checkBox>
                    <w:sizeAuto/>
                    <w:default w:val="1"/>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Authority Required - In Writing</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Check3"/>
                  <w:enabled/>
                  <w:calcOnExit w:val="0"/>
                  <w:checkBox>
                    <w:sizeAuto/>
                    <w:default w:val="1"/>
                  </w:checkBox>
                </w:ffData>
              </w:fldChar>
            </w:r>
            <w:bookmarkStart w:id="1" w:name="Check3"/>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bookmarkEnd w:id="1"/>
            <w:r w:rsidRPr="005B1A2D">
              <w:rPr>
                <w:rFonts w:ascii="Arial Narrow" w:hAnsi="Arial Narrow" w:cs="Arial"/>
                <w:sz w:val="20"/>
                <w:szCs w:val="20"/>
              </w:rPr>
              <w:t>Authority Required - Telephone</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
                  <w:enabled/>
                  <w:calcOnExit w:val="0"/>
                  <w:checkBox>
                    <w:sizeAuto/>
                    <w:default w:val="1"/>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Authority Required – Emergency</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
                  <w:enabled/>
                  <w:calcOnExit w:val="0"/>
                  <w:checkBox>
                    <w:sizeAuto/>
                    <w:default w:val="1"/>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Authority Required - Electronic</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Check5"/>
                  <w:enabled/>
                  <w:calcOnExit w:val="0"/>
                  <w:checkBox>
                    <w:sizeAuto/>
                    <w:default w:val="1"/>
                  </w:checkBox>
                </w:ffData>
              </w:fldChar>
            </w:r>
            <w:bookmarkStart w:id="2" w:name="Check5"/>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bookmarkEnd w:id="2"/>
            <w:r w:rsidRPr="005B1A2D">
              <w:rPr>
                <w:rFonts w:ascii="Arial Narrow" w:hAnsi="Arial Narrow" w:cs="Arial"/>
                <w:sz w:val="20"/>
                <w:szCs w:val="20"/>
              </w:rPr>
              <w:t>Streamlined (PUBLIC HOSPITAL ONLY)</w:t>
            </w:r>
          </w:p>
          <w:p w:rsidR="00CB49D2" w:rsidRPr="005B1A2D" w:rsidRDefault="00CB49D2" w:rsidP="00CB49D2">
            <w:pPr>
              <w:rPr>
                <w:rFonts w:ascii="Arial Narrow" w:hAnsi="Arial Narrow" w:cs="Arial"/>
                <w:sz w:val="20"/>
                <w:szCs w:val="20"/>
              </w:rPr>
            </w:pP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b/>
                <w:sz w:val="20"/>
                <w:szCs w:val="20"/>
              </w:rPr>
              <w:lastRenderedPageBreak/>
              <w:t>Clinical criteria:</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Patient must have RAS wild-type metastatic colorectal cancer</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AND</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i/>
                <w:sz w:val="20"/>
                <w:szCs w:val="20"/>
              </w:rPr>
            </w:pPr>
            <w:r w:rsidRPr="005B1A2D">
              <w:rPr>
                <w:rFonts w:ascii="Arial Narrow" w:hAnsi="Arial Narrow" w:cs="Arial"/>
                <w:sz w:val="20"/>
                <w:szCs w:val="20"/>
              </w:rPr>
              <w:t>Patient must have a WHO performance status of 2 or less</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 xml:space="preserve">AND </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The condition</w:t>
            </w:r>
            <w:r w:rsidRPr="005B1A2D">
              <w:rPr>
                <w:rFonts w:ascii="Arial Narrow" w:hAnsi="Arial Narrow" w:cs="Arial"/>
                <w:i/>
                <w:sz w:val="20"/>
                <w:szCs w:val="20"/>
              </w:rPr>
              <w:t xml:space="preserve"> </w:t>
            </w:r>
            <w:r w:rsidRPr="005B1A2D">
              <w:rPr>
                <w:rFonts w:ascii="Arial Narrow" w:hAnsi="Arial Narrow" w:cs="Arial"/>
                <w:sz w:val="20"/>
                <w:szCs w:val="20"/>
              </w:rPr>
              <w:t>must be previously untreated</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AND</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The treatment must be in combination with first-line chemotherapy.</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i/>
                <w:sz w:val="20"/>
                <w:szCs w:val="20"/>
              </w:rPr>
            </w:pPr>
            <w:r w:rsidRPr="005B1A2D">
              <w:rPr>
                <w:rFonts w:ascii="Arial Narrow" w:hAnsi="Arial Narrow" w:cs="Arial"/>
                <w:b/>
                <w:sz w:val="20"/>
                <w:szCs w:val="20"/>
              </w:rPr>
              <w:t>Administrative advice</w:t>
            </w:r>
          </w:p>
        </w:tc>
        <w:tc>
          <w:tcPr>
            <w:tcW w:w="7229" w:type="dxa"/>
            <w:gridSpan w:val="5"/>
            <w:tcBorders>
              <w:top w:val="single" w:sz="4" w:space="0" w:color="auto"/>
              <w:left w:val="single" w:sz="4" w:space="0" w:color="auto"/>
              <w:bottom w:val="single" w:sz="4" w:space="0" w:color="auto"/>
              <w:right w:val="single" w:sz="4" w:space="0" w:color="auto"/>
            </w:tcBorders>
          </w:tcPr>
          <w:p w:rsidR="00CB49D2" w:rsidRPr="005B1A2D" w:rsidRDefault="00CB49D2" w:rsidP="000B57F1">
            <w:pPr>
              <w:rPr>
                <w:rFonts w:ascii="Arial Narrow" w:hAnsi="Arial Narrow" w:cs="Arial"/>
                <w:sz w:val="20"/>
                <w:szCs w:val="20"/>
              </w:rPr>
            </w:pPr>
            <w:r w:rsidRPr="005B1A2D">
              <w:rPr>
                <w:rFonts w:ascii="Arial Narrow" w:hAnsi="Arial Narrow" w:cs="Arial"/>
                <w:sz w:val="20"/>
                <w:szCs w:val="20"/>
              </w:rPr>
              <w:t>Special Pricing Arrangements apply.</w:t>
            </w:r>
          </w:p>
        </w:tc>
      </w:tr>
    </w:tbl>
    <w:p w:rsidR="00923082" w:rsidRDefault="00923082" w:rsidP="00FC349F">
      <w:pPr>
        <w:jc w:val="both"/>
        <w:rPr>
          <w:rFonts w:ascii="Arial" w:hAnsi="Arial"/>
          <w:sz w:val="22"/>
          <w:szCs w:val="22"/>
        </w:rPr>
      </w:pPr>
    </w:p>
    <w:p w:rsidR="004465BD" w:rsidRPr="00FC349F" w:rsidRDefault="004465BD" w:rsidP="00FC349F">
      <w:pPr>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276"/>
        <w:gridCol w:w="1276"/>
        <w:gridCol w:w="992"/>
        <w:gridCol w:w="709"/>
        <w:gridCol w:w="1417"/>
        <w:gridCol w:w="1559"/>
        <w:gridCol w:w="1276"/>
      </w:tblGrid>
      <w:tr w:rsidR="00CB49D2" w:rsidRPr="005B1A2D" w:rsidTr="005B1A2D">
        <w:trPr>
          <w:cantSplit/>
          <w:trHeight w:val="471"/>
        </w:trPr>
        <w:tc>
          <w:tcPr>
            <w:tcW w:w="2552" w:type="dxa"/>
            <w:gridSpan w:val="2"/>
            <w:tcBorders>
              <w:bottom w:val="single" w:sz="4" w:space="0" w:color="auto"/>
            </w:tcBorders>
          </w:tcPr>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z w:val="20"/>
                <w:szCs w:val="20"/>
              </w:rPr>
              <w:t>Name, Restriction,</w:t>
            </w:r>
          </w:p>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z w:val="20"/>
                <w:szCs w:val="20"/>
              </w:rPr>
              <w:t>Manner of administration and form</w:t>
            </w:r>
          </w:p>
        </w:tc>
        <w:tc>
          <w:tcPr>
            <w:tcW w:w="992" w:type="dxa"/>
            <w:tcBorders>
              <w:bottom w:val="single" w:sz="4" w:space="0" w:color="auto"/>
            </w:tcBorders>
          </w:tcPr>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z w:val="20"/>
                <w:szCs w:val="20"/>
              </w:rPr>
              <w:t>Max.</w:t>
            </w:r>
          </w:p>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z w:val="20"/>
                <w:szCs w:val="20"/>
              </w:rPr>
              <w:t>Qty</w:t>
            </w:r>
          </w:p>
        </w:tc>
        <w:tc>
          <w:tcPr>
            <w:tcW w:w="709" w:type="dxa"/>
            <w:tcBorders>
              <w:bottom w:val="single" w:sz="4" w:space="0" w:color="auto"/>
            </w:tcBorders>
          </w:tcPr>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z w:val="20"/>
                <w:szCs w:val="20"/>
              </w:rPr>
              <w:t>№.of</w:t>
            </w:r>
          </w:p>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z w:val="20"/>
                <w:szCs w:val="20"/>
              </w:rPr>
              <w:t>Rpts</w:t>
            </w:r>
          </w:p>
        </w:tc>
        <w:tc>
          <w:tcPr>
            <w:tcW w:w="1417" w:type="dxa"/>
            <w:tcBorders>
              <w:bottom w:val="single" w:sz="4" w:space="0" w:color="auto"/>
            </w:tcBorders>
          </w:tcPr>
          <w:p w:rsidR="00CB49D2" w:rsidRPr="005B1A2D" w:rsidRDefault="00CB49D2" w:rsidP="00CB49D2">
            <w:pPr>
              <w:keepNext/>
              <w:ind w:left="-108"/>
              <w:jc w:val="both"/>
              <w:rPr>
                <w:rFonts w:ascii="Arial Narrow" w:hAnsi="Arial Narrow" w:cs="Arial"/>
                <w:sz w:val="20"/>
                <w:szCs w:val="20"/>
              </w:rPr>
            </w:pPr>
          </w:p>
        </w:tc>
        <w:tc>
          <w:tcPr>
            <w:tcW w:w="2835" w:type="dxa"/>
            <w:gridSpan w:val="2"/>
            <w:tcBorders>
              <w:bottom w:val="single" w:sz="4" w:space="0" w:color="auto"/>
            </w:tcBorders>
          </w:tcPr>
          <w:p w:rsidR="00CB49D2" w:rsidRPr="005B1A2D" w:rsidRDefault="00CB49D2" w:rsidP="00CB49D2">
            <w:pPr>
              <w:keepNext/>
              <w:jc w:val="both"/>
              <w:rPr>
                <w:rFonts w:ascii="Arial Narrow" w:hAnsi="Arial Narrow" w:cs="Arial"/>
                <w:sz w:val="20"/>
                <w:szCs w:val="20"/>
                <w:lang w:val="fr-FR"/>
              </w:rPr>
            </w:pPr>
            <w:r w:rsidRPr="005B1A2D">
              <w:rPr>
                <w:rFonts w:ascii="Arial Narrow" w:hAnsi="Arial Narrow" w:cs="Arial"/>
                <w:sz w:val="20"/>
                <w:szCs w:val="20"/>
              </w:rPr>
              <w:t>Proprietary Name and Manufacturer</w:t>
            </w:r>
          </w:p>
        </w:tc>
      </w:tr>
      <w:tr w:rsidR="00CB49D2" w:rsidRPr="005B1A2D" w:rsidTr="005B1A2D">
        <w:trPr>
          <w:cantSplit/>
          <w:trHeight w:val="577"/>
        </w:trPr>
        <w:tc>
          <w:tcPr>
            <w:tcW w:w="2552" w:type="dxa"/>
            <w:gridSpan w:val="2"/>
          </w:tcPr>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mallCaps/>
                <w:sz w:val="20"/>
                <w:szCs w:val="20"/>
              </w:rPr>
              <w:t>CETUXIMAB</w:t>
            </w:r>
          </w:p>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z w:val="20"/>
                <w:szCs w:val="20"/>
              </w:rPr>
              <w:t>Injection,100 mg/20mL</w:t>
            </w:r>
          </w:p>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z w:val="20"/>
                <w:szCs w:val="20"/>
              </w:rPr>
              <w:t>Injection, 500 mg/ 100 mL</w:t>
            </w:r>
          </w:p>
        </w:tc>
        <w:tc>
          <w:tcPr>
            <w:tcW w:w="992" w:type="dxa"/>
          </w:tcPr>
          <w:p w:rsidR="00CB49D2" w:rsidRPr="005B1A2D" w:rsidRDefault="00CB49D2" w:rsidP="00CB49D2">
            <w:pPr>
              <w:keepNext/>
              <w:jc w:val="both"/>
              <w:rPr>
                <w:rFonts w:ascii="Arial Narrow" w:hAnsi="Arial Narrow" w:cs="Arial"/>
                <w:sz w:val="20"/>
                <w:szCs w:val="20"/>
              </w:rPr>
            </w:pPr>
          </w:p>
          <w:p w:rsidR="00CB49D2" w:rsidRPr="005B1A2D" w:rsidRDefault="00CB49D2" w:rsidP="00CB49D2">
            <w:pPr>
              <w:keepNext/>
              <w:jc w:val="both"/>
              <w:rPr>
                <w:rFonts w:ascii="Arial Narrow" w:hAnsi="Arial Narrow" w:cs="Arial"/>
                <w:sz w:val="20"/>
                <w:szCs w:val="20"/>
              </w:rPr>
            </w:pPr>
            <w:r w:rsidRPr="005B1A2D">
              <w:rPr>
                <w:rFonts w:ascii="Arial Narrow" w:hAnsi="Arial Narrow" w:cs="Arial"/>
                <w:sz w:val="20"/>
                <w:szCs w:val="20"/>
              </w:rPr>
              <w:t>550 mg</w:t>
            </w:r>
          </w:p>
        </w:tc>
        <w:tc>
          <w:tcPr>
            <w:tcW w:w="709" w:type="dxa"/>
          </w:tcPr>
          <w:p w:rsidR="00CB49D2" w:rsidRPr="005B1A2D" w:rsidRDefault="00CB49D2" w:rsidP="00CB49D2">
            <w:pPr>
              <w:keepNext/>
              <w:ind w:left="-108"/>
              <w:jc w:val="both"/>
              <w:rPr>
                <w:rFonts w:ascii="Arial Narrow" w:hAnsi="Arial Narrow" w:cs="Arial"/>
                <w:sz w:val="20"/>
                <w:szCs w:val="20"/>
              </w:rPr>
            </w:pPr>
          </w:p>
          <w:p w:rsidR="00CB49D2" w:rsidRPr="005B1A2D" w:rsidRDefault="00CB49D2" w:rsidP="00CB49D2">
            <w:pPr>
              <w:keepNext/>
              <w:ind w:left="-108"/>
              <w:jc w:val="both"/>
              <w:rPr>
                <w:rFonts w:ascii="Arial Narrow" w:hAnsi="Arial Narrow" w:cs="Arial"/>
                <w:sz w:val="20"/>
                <w:szCs w:val="20"/>
              </w:rPr>
            </w:pPr>
            <w:r w:rsidRPr="005B1A2D">
              <w:rPr>
                <w:rFonts w:ascii="Arial Narrow" w:hAnsi="Arial Narrow" w:cs="Arial"/>
                <w:sz w:val="20"/>
                <w:szCs w:val="20"/>
              </w:rPr>
              <w:t>18</w:t>
            </w:r>
          </w:p>
        </w:tc>
        <w:tc>
          <w:tcPr>
            <w:tcW w:w="1417" w:type="dxa"/>
          </w:tcPr>
          <w:p w:rsidR="00CB49D2" w:rsidRPr="005B1A2D" w:rsidRDefault="00CB49D2" w:rsidP="00CB49D2">
            <w:pPr>
              <w:keepNext/>
              <w:ind w:left="-108"/>
              <w:jc w:val="both"/>
              <w:rPr>
                <w:rFonts w:ascii="Arial Narrow" w:hAnsi="Arial Narrow" w:cs="Arial"/>
                <w:sz w:val="20"/>
                <w:szCs w:val="20"/>
              </w:rPr>
            </w:pPr>
          </w:p>
          <w:p w:rsidR="00CB49D2" w:rsidRPr="005B1A2D" w:rsidRDefault="00CB49D2" w:rsidP="00CB49D2">
            <w:pPr>
              <w:keepNext/>
              <w:ind w:left="-108"/>
              <w:jc w:val="both"/>
              <w:rPr>
                <w:rFonts w:ascii="Arial Narrow" w:hAnsi="Arial Narrow" w:cs="Arial"/>
                <w:sz w:val="20"/>
                <w:szCs w:val="20"/>
              </w:rPr>
            </w:pPr>
          </w:p>
        </w:tc>
        <w:tc>
          <w:tcPr>
            <w:tcW w:w="1559" w:type="dxa"/>
          </w:tcPr>
          <w:p w:rsidR="00CB49D2" w:rsidRPr="005B1A2D" w:rsidRDefault="00CB49D2" w:rsidP="00CB49D2">
            <w:pPr>
              <w:keepNext/>
              <w:jc w:val="both"/>
              <w:rPr>
                <w:rFonts w:ascii="Arial Narrow" w:hAnsi="Arial Narrow" w:cs="Arial"/>
                <w:sz w:val="20"/>
                <w:szCs w:val="20"/>
              </w:rPr>
            </w:pPr>
            <w:r w:rsidRPr="005B1A2D">
              <w:rPr>
                <w:rFonts w:ascii="Arial Narrow" w:hAnsi="Arial Narrow" w:cs="Arial"/>
                <w:sz w:val="20"/>
                <w:szCs w:val="20"/>
              </w:rPr>
              <w:t>Erbitux</w:t>
            </w:r>
          </w:p>
        </w:tc>
        <w:tc>
          <w:tcPr>
            <w:tcW w:w="1276" w:type="dxa"/>
          </w:tcPr>
          <w:p w:rsidR="00CB49D2" w:rsidRPr="005B1A2D" w:rsidRDefault="00CB49D2" w:rsidP="00CB49D2">
            <w:pPr>
              <w:keepNext/>
              <w:jc w:val="both"/>
              <w:rPr>
                <w:rFonts w:ascii="Arial Narrow" w:hAnsi="Arial Narrow" w:cs="Arial"/>
                <w:sz w:val="20"/>
                <w:szCs w:val="20"/>
              </w:rPr>
            </w:pPr>
            <w:r w:rsidRPr="005B1A2D">
              <w:rPr>
                <w:rFonts w:ascii="Arial Narrow" w:hAnsi="Arial Narrow" w:cs="Arial"/>
                <w:sz w:val="20"/>
                <w:szCs w:val="20"/>
              </w:rPr>
              <w:t>SG</w:t>
            </w:r>
          </w:p>
        </w:tc>
      </w:tr>
      <w:tr w:rsidR="00CB49D2" w:rsidRPr="005B1A2D" w:rsidTr="005B1A2D">
        <w:trPr>
          <w:cantSplit/>
          <w:trHeight w:val="360"/>
        </w:trPr>
        <w:tc>
          <w:tcPr>
            <w:tcW w:w="8505" w:type="dxa"/>
            <w:gridSpan w:val="7"/>
            <w:tcBorders>
              <w:bottom w:val="single" w:sz="4" w:space="0" w:color="auto"/>
            </w:tcBorders>
          </w:tcPr>
          <w:p w:rsidR="00CB49D2" w:rsidRPr="005B1A2D" w:rsidRDefault="00CB49D2" w:rsidP="00CB49D2">
            <w:pPr>
              <w:jc w:val="both"/>
              <w:rPr>
                <w:rFonts w:ascii="Arial Narrow" w:hAnsi="Arial Narrow" w:cs="Arial"/>
                <w:sz w:val="20"/>
                <w:szCs w:val="20"/>
              </w:rPr>
            </w:pP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Category / Program</w:t>
            </w:r>
          </w:p>
        </w:tc>
        <w:tc>
          <w:tcPr>
            <w:tcW w:w="7229" w:type="dxa"/>
            <w:gridSpan w:val="6"/>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Section 100 (Efficient Funding of Chemotherapy (EFC – Private Hospital)</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Section 100 (Efficient Funding of Chemotherapy (EFC – Public hospital)</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Prescriber type</w:t>
            </w:r>
          </w:p>
        </w:tc>
        <w:tc>
          <w:tcPr>
            <w:tcW w:w="7229" w:type="dxa"/>
            <w:gridSpan w:val="6"/>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Check1"/>
                  <w:enabled/>
                  <w:calcOnExit w:val="0"/>
                  <w:checkBox>
                    <w:sizeAuto/>
                    <w:default w:val="0"/>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 xml:space="preserve">Dental  </w:t>
            </w:r>
            <w:r w:rsidRPr="005B1A2D">
              <w:rPr>
                <w:rFonts w:ascii="Arial Narrow" w:hAnsi="Arial Narrow" w:cs="Arial"/>
                <w:sz w:val="20"/>
                <w:szCs w:val="20"/>
              </w:rPr>
              <w:fldChar w:fldCharType="begin">
                <w:ffData>
                  <w:name w:val=""/>
                  <w:enabled/>
                  <w:calcOnExit w:val="0"/>
                  <w:checkBox>
                    <w:sizeAuto/>
                    <w:default w:val="1"/>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 xml:space="preserve">Medical Practitioners  </w:t>
            </w:r>
            <w:r w:rsidRPr="005B1A2D">
              <w:rPr>
                <w:rFonts w:ascii="Arial Narrow" w:hAnsi="Arial Narrow" w:cs="Arial"/>
                <w:sz w:val="20"/>
                <w:szCs w:val="20"/>
              </w:rPr>
              <w:fldChar w:fldCharType="begin">
                <w:ffData>
                  <w:name w:val="Check3"/>
                  <w:enabled/>
                  <w:calcOnExit w:val="0"/>
                  <w:checkBox>
                    <w:sizeAuto/>
                    <w:default w:val="0"/>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 xml:space="preserve">Nurse practitioners  </w:t>
            </w:r>
            <w:r w:rsidRPr="005B1A2D">
              <w:rPr>
                <w:rFonts w:ascii="Arial Narrow" w:hAnsi="Arial Narrow" w:cs="Arial"/>
                <w:sz w:val="20"/>
                <w:szCs w:val="20"/>
              </w:rPr>
              <w:fldChar w:fldCharType="begin">
                <w:ffData>
                  <w:name w:val=""/>
                  <w:enabled/>
                  <w:calcOnExit w:val="0"/>
                  <w:checkBox>
                    <w:sizeAuto/>
                    <w:default w:val="0"/>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Optometrists</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fldChar w:fldCharType="begin">
                <w:ffData>
                  <w:name w:val="Check5"/>
                  <w:enabled/>
                  <w:calcOnExit w:val="0"/>
                  <w:checkBox>
                    <w:sizeAuto/>
                    <w:default w:val="0"/>
                  </w:checkBox>
                </w:ffData>
              </w:fldChar>
            </w:r>
            <w:r w:rsidRPr="005B1A2D">
              <w:rPr>
                <w:rFonts w:ascii="Arial Narrow" w:hAnsi="Arial Narrow" w:cs="Arial"/>
                <w:sz w:val="20"/>
                <w:szCs w:val="20"/>
              </w:rPr>
              <w:instrText xml:space="preserve"> FORMCHECKBOX </w:instrText>
            </w:r>
            <w:r w:rsidR="00DB2A91">
              <w:rPr>
                <w:rFonts w:ascii="Arial Narrow" w:hAnsi="Arial Narrow" w:cs="Arial"/>
                <w:sz w:val="20"/>
                <w:szCs w:val="20"/>
              </w:rPr>
            </w:r>
            <w:r w:rsidR="00DB2A91">
              <w:rPr>
                <w:rFonts w:ascii="Arial Narrow" w:hAnsi="Arial Narrow" w:cs="Arial"/>
                <w:sz w:val="20"/>
                <w:szCs w:val="20"/>
              </w:rPr>
              <w:fldChar w:fldCharType="separate"/>
            </w:r>
            <w:r w:rsidRPr="005B1A2D">
              <w:rPr>
                <w:rFonts w:ascii="Arial Narrow" w:hAnsi="Arial Narrow" w:cs="Arial"/>
                <w:sz w:val="20"/>
                <w:szCs w:val="20"/>
              </w:rPr>
              <w:fldChar w:fldCharType="end"/>
            </w:r>
            <w:r w:rsidRPr="005B1A2D">
              <w:rPr>
                <w:rFonts w:ascii="Arial Narrow" w:hAnsi="Arial Narrow" w:cs="Arial"/>
                <w:sz w:val="20"/>
                <w:szCs w:val="20"/>
              </w:rPr>
              <w:t>Midwives</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Episodicity:</w:t>
            </w:r>
          </w:p>
        </w:tc>
        <w:tc>
          <w:tcPr>
            <w:tcW w:w="7229" w:type="dxa"/>
            <w:gridSpan w:val="6"/>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Severity:</w:t>
            </w:r>
          </w:p>
        </w:tc>
        <w:tc>
          <w:tcPr>
            <w:tcW w:w="7229" w:type="dxa"/>
            <w:gridSpan w:val="6"/>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Metastatic</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b/>
                <w:sz w:val="20"/>
                <w:szCs w:val="20"/>
              </w:rPr>
            </w:pPr>
            <w:r w:rsidRPr="005B1A2D">
              <w:rPr>
                <w:rFonts w:ascii="Arial Narrow" w:hAnsi="Arial Narrow" w:cs="Arial"/>
                <w:b/>
                <w:sz w:val="20"/>
                <w:szCs w:val="20"/>
              </w:rPr>
              <w:t>Condition:</w:t>
            </w:r>
          </w:p>
        </w:tc>
        <w:tc>
          <w:tcPr>
            <w:tcW w:w="7229" w:type="dxa"/>
            <w:gridSpan w:val="6"/>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Colorectal cancer</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i/>
                <w:sz w:val="20"/>
                <w:szCs w:val="20"/>
              </w:rPr>
            </w:pPr>
            <w:r w:rsidRPr="005B1A2D">
              <w:rPr>
                <w:rFonts w:ascii="Arial Narrow" w:hAnsi="Arial Narrow" w:cs="Arial"/>
                <w:b/>
                <w:sz w:val="20"/>
                <w:szCs w:val="20"/>
              </w:rPr>
              <w:t>Treatment phase:</w:t>
            </w:r>
          </w:p>
        </w:tc>
        <w:tc>
          <w:tcPr>
            <w:tcW w:w="7229" w:type="dxa"/>
            <w:gridSpan w:val="6"/>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Continuing treatment</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sz w:val="20"/>
                <w:szCs w:val="20"/>
              </w:rPr>
            </w:pPr>
            <w:r w:rsidRPr="005B1A2D">
              <w:rPr>
                <w:rFonts w:ascii="Arial Narrow" w:hAnsi="Arial Narrow" w:cs="Arial"/>
                <w:b/>
                <w:sz w:val="20"/>
                <w:szCs w:val="20"/>
              </w:rPr>
              <w:t>Restriction:</w:t>
            </w:r>
          </w:p>
        </w:tc>
        <w:tc>
          <w:tcPr>
            <w:tcW w:w="7229" w:type="dxa"/>
            <w:gridSpan w:val="6"/>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Section 100 (Efficient Funding of Chemotherapy (EFC))</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Private Hospital/Private Clinic Authority Required</w:t>
            </w: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Public Hospital Authority Required (STREAMLINED)</w:t>
            </w:r>
          </w:p>
          <w:p w:rsidR="00CB49D2" w:rsidRPr="005B1A2D" w:rsidRDefault="00CB49D2" w:rsidP="00CB49D2">
            <w:pPr>
              <w:rPr>
                <w:rFonts w:ascii="Arial Narrow" w:hAnsi="Arial Narrow" w:cs="Arial"/>
                <w:sz w:val="20"/>
                <w:szCs w:val="20"/>
              </w:rPr>
            </w:pP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b/>
                <w:sz w:val="20"/>
                <w:szCs w:val="20"/>
              </w:rPr>
              <w:t>Clinical criteria:</w:t>
            </w:r>
          </w:p>
        </w:tc>
        <w:tc>
          <w:tcPr>
            <w:tcW w:w="7229" w:type="dxa"/>
            <w:gridSpan w:val="6"/>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Patient must have RAS wild-type metastatic colorectal cancer</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i/>
                <w:sz w:val="20"/>
                <w:szCs w:val="20"/>
              </w:rPr>
            </w:pPr>
            <w:r w:rsidRPr="005B1A2D">
              <w:rPr>
                <w:rFonts w:ascii="Arial Narrow" w:hAnsi="Arial Narrow" w:cs="Arial"/>
                <w:sz w:val="20"/>
                <w:szCs w:val="20"/>
              </w:rPr>
              <w:t>Patient must have previously received PBS-subsidised treatment with</w:t>
            </w:r>
            <w:r w:rsidRPr="005B1A2D">
              <w:rPr>
                <w:rFonts w:ascii="Arial Narrow" w:hAnsi="Arial Narrow" w:cs="Arial"/>
                <w:i/>
                <w:sz w:val="20"/>
                <w:szCs w:val="20"/>
              </w:rPr>
              <w:t xml:space="preserve"> </w:t>
            </w:r>
            <w:r w:rsidRPr="005B1A2D">
              <w:rPr>
                <w:rFonts w:ascii="Arial Narrow" w:hAnsi="Arial Narrow" w:cs="Arial"/>
                <w:sz w:val="20"/>
                <w:szCs w:val="20"/>
              </w:rPr>
              <w:t>this drug for this condition</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AND</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Patient must not have progressive disease</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AND</w:t>
            </w:r>
          </w:p>
          <w:p w:rsidR="00CB49D2" w:rsidRPr="005B1A2D" w:rsidRDefault="00CB49D2" w:rsidP="00CB49D2">
            <w:pPr>
              <w:rPr>
                <w:rFonts w:ascii="Arial Narrow" w:hAnsi="Arial Narrow" w:cs="Arial"/>
                <w:sz w:val="20"/>
                <w:szCs w:val="20"/>
              </w:rPr>
            </w:pPr>
          </w:p>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The treatment must be in combination with first-line chemotherapy.</w:t>
            </w:r>
          </w:p>
        </w:tc>
      </w:tr>
      <w:tr w:rsidR="00CB49D2" w:rsidRPr="005B1A2D" w:rsidTr="005B1A2D">
        <w:trPr>
          <w:cantSplit/>
          <w:trHeight w:val="360"/>
        </w:trPr>
        <w:tc>
          <w:tcPr>
            <w:tcW w:w="1276" w:type="dxa"/>
            <w:tcBorders>
              <w:top w:val="single" w:sz="4" w:space="0" w:color="auto"/>
              <w:left w:val="single" w:sz="4" w:space="0" w:color="auto"/>
              <w:bottom w:val="single" w:sz="4" w:space="0" w:color="auto"/>
              <w:right w:val="single" w:sz="4" w:space="0" w:color="auto"/>
            </w:tcBorders>
          </w:tcPr>
          <w:p w:rsidR="00CB49D2" w:rsidRPr="005B1A2D" w:rsidRDefault="00CB49D2" w:rsidP="00CB49D2">
            <w:pPr>
              <w:jc w:val="both"/>
              <w:rPr>
                <w:rFonts w:ascii="Arial Narrow" w:hAnsi="Arial Narrow" w:cs="Arial"/>
                <w:i/>
                <w:sz w:val="20"/>
                <w:szCs w:val="20"/>
              </w:rPr>
            </w:pPr>
            <w:r w:rsidRPr="005B1A2D">
              <w:rPr>
                <w:rFonts w:ascii="Arial Narrow" w:hAnsi="Arial Narrow" w:cs="Arial"/>
                <w:b/>
                <w:sz w:val="20"/>
                <w:szCs w:val="20"/>
              </w:rPr>
              <w:t>Administrative advice</w:t>
            </w:r>
          </w:p>
        </w:tc>
        <w:tc>
          <w:tcPr>
            <w:tcW w:w="7229" w:type="dxa"/>
            <w:gridSpan w:val="6"/>
            <w:tcBorders>
              <w:top w:val="single" w:sz="4" w:space="0" w:color="auto"/>
              <w:left w:val="single" w:sz="4" w:space="0" w:color="auto"/>
              <w:bottom w:val="single" w:sz="4" w:space="0" w:color="auto"/>
              <w:right w:val="single" w:sz="4" w:space="0" w:color="auto"/>
            </w:tcBorders>
          </w:tcPr>
          <w:p w:rsidR="00CB49D2" w:rsidRPr="005B1A2D" w:rsidRDefault="00CB49D2" w:rsidP="00CB49D2">
            <w:pPr>
              <w:rPr>
                <w:rFonts w:ascii="Arial Narrow" w:hAnsi="Arial Narrow" w:cs="Arial"/>
                <w:sz w:val="20"/>
                <w:szCs w:val="20"/>
              </w:rPr>
            </w:pPr>
            <w:r w:rsidRPr="005B1A2D">
              <w:rPr>
                <w:rFonts w:ascii="Arial Narrow" w:hAnsi="Arial Narrow" w:cs="Arial"/>
                <w:sz w:val="20"/>
                <w:szCs w:val="20"/>
              </w:rPr>
              <w:t>Special Pricing Arrangements apply.</w:t>
            </w:r>
          </w:p>
        </w:tc>
      </w:tr>
    </w:tbl>
    <w:p w:rsidR="004465BD" w:rsidRPr="004465BD" w:rsidRDefault="004465BD" w:rsidP="004465BD">
      <w:pPr>
        <w:jc w:val="both"/>
        <w:rPr>
          <w:rFonts w:ascii="Arial" w:hAnsi="Arial"/>
          <w:sz w:val="22"/>
          <w:szCs w:val="22"/>
        </w:rPr>
      </w:pPr>
    </w:p>
    <w:p w:rsidR="00196307" w:rsidRDefault="00CB49D2" w:rsidP="00882085">
      <w:pPr>
        <w:pStyle w:val="ListParagraph"/>
        <w:numPr>
          <w:ilvl w:val="1"/>
          <w:numId w:val="25"/>
        </w:numPr>
        <w:jc w:val="both"/>
        <w:rPr>
          <w:rFonts w:ascii="Arial" w:hAnsi="Arial"/>
          <w:sz w:val="22"/>
          <w:szCs w:val="22"/>
        </w:rPr>
      </w:pPr>
      <w:r w:rsidRPr="00CB49D2">
        <w:rPr>
          <w:rFonts w:ascii="Arial" w:hAnsi="Arial"/>
          <w:sz w:val="22"/>
          <w:szCs w:val="22"/>
        </w:rPr>
        <w:t>The basis for the requested listing is a cost-minimisation analysis of cetuximab + FOLFIRI compared with bevacizumab + FOLFIRI in the proposed population</w:t>
      </w:r>
      <w:r w:rsidR="002B1AE6" w:rsidRPr="00882085">
        <w:rPr>
          <w:rFonts w:ascii="Arial" w:hAnsi="Arial"/>
          <w:sz w:val="22"/>
          <w:szCs w:val="22"/>
        </w:rPr>
        <w:t>.</w:t>
      </w:r>
    </w:p>
    <w:p w:rsidR="001D7154" w:rsidRPr="000E6901" w:rsidRDefault="001D7154" w:rsidP="001D7154">
      <w:pPr>
        <w:jc w:val="both"/>
        <w:rPr>
          <w:rFonts w:ascii="Arial" w:hAnsi="Arial"/>
          <w:sz w:val="22"/>
          <w:szCs w:val="22"/>
        </w:rPr>
      </w:pPr>
    </w:p>
    <w:p w:rsidR="001D7154" w:rsidRDefault="001D7154" w:rsidP="00882085">
      <w:pPr>
        <w:pStyle w:val="ListParagraph"/>
        <w:numPr>
          <w:ilvl w:val="1"/>
          <w:numId w:val="25"/>
        </w:numPr>
        <w:jc w:val="both"/>
        <w:rPr>
          <w:rFonts w:ascii="Arial" w:hAnsi="Arial"/>
          <w:sz w:val="22"/>
          <w:szCs w:val="22"/>
        </w:rPr>
      </w:pPr>
      <w:r w:rsidRPr="001D7154">
        <w:rPr>
          <w:rFonts w:ascii="Arial" w:hAnsi="Arial"/>
          <w:sz w:val="22"/>
          <w:szCs w:val="22"/>
        </w:rPr>
        <w:t>The key difference between this resubmission and previous submissions is that cetuximab has been requested for mCRC patients who</w:t>
      </w:r>
      <w:r w:rsidR="0091569E">
        <w:rPr>
          <w:rFonts w:ascii="Arial" w:hAnsi="Arial"/>
          <w:sz w:val="22"/>
          <w:szCs w:val="22"/>
        </w:rPr>
        <w:t>se</w:t>
      </w:r>
      <w:r w:rsidRPr="001D7154">
        <w:rPr>
          <w:rFonts w:ascii="Arial" w:hAnsi="Arial"/>
          <w:sz w:val="22"/>
          <w:szCs w:val="22"/>
        </w:rPr>
        <w:t xml:space="preserve"> tumours have RAS WT status rather than KRAS WT status. This is consistent with recent changes in approvals by the TGA and the European Medicines Agency (EMA). The ESC noted that the resubmission also requested to amend KRAS WT to RAS WT status in the current second-line PBS restriction of cetuximab for the treatment of mCRC.</w:t>
      </w:r>
      <w:r w:rsidR="004769EB">
        <w:rPr>
          <w:rFonts w:ascii="Arial" w:hAnsi="Arial"/>
          <w:sz w:val="22"/>
          <w:szCs w:val="22"/>
        </w:rPr>
        <w:t xml:space="preserve"> The PBAC recalled that it had already recommended this change to the current second-line restriction of cetuximab at its July 2014 meeting</w:t>
      </w:r>
      <w:r w:rsidR="00BF7773">
        <w:rPr>
          <w:rFonts w:ascii="Arial" w:hAnsi="Arial"/>
          <w:sz w:val="22"/>
          <w:szCs w:val="22"/>
        </w:rPr>
        <w:t xml:space="preserve"> as a flow-on change from its consideration of panitumumab</w:t>
      </w:r>
      <w:r w:rsidR="004769EB">
        <w:rPr>
          <w:rFonts w:ascii="Arial" w:hAnsi="Arial"/>
          <w:sz w:val="22"/>
          <w:szCs w:val="22"/>
        </w:rPr>
        <w:t>.</w:t>
      </w:r>
    </w:p>
    <w:p w:rsidR="001D7154" w:rsidRPr="000E6901" w:rsidRDefault="001D7154" w:rsidP="001D7154">
      <w:pPr>
        <w:rPr>
          <w:rFonts w:ascii="Arial" w:hAnsi="Arial"/>
          <w:sz w:val="22"/>
          <w:szCs w:val="22"/>
        </w:rPr>
      </w:pPr>
    </w:p>
    <w:p w:rsidR="001D7154" w:rsidRPr="001D7154" w:rsidRDefault="001D7154" w:rsidP="00882085">
      <w:pPr>
        <w:pStyle w:val="ListParagraph"/>
        <w:numPr>
          <w:ilvl w:val="1"/>
          <w:numId w:val="25"/>
        </w:numPr>
        <w:jc w:val="both"/>
        <w:rPr>
          <w:rFonts w:ascii="Arial" w:hAnsi="Arial"/>
          <w:sz w:val="22"/>
          <w:szCs w:val="22"/>
        </w:rPr>
      </w:pPr>
      <w:r w:rsidRPr="001D7154">
        <w:rPr>
          <w:rFonts w:ascii="Arial" w:hAnsi="Arial"/>
          <w:sz w:val="22"/>
          <w:szCs w:val="22"/>
        </w:rPr>
        <w:t xml:space="preserve">The proposed restriction specifies that patients should have a WHO performance status of 0 to 2. The proportion of patients enrolled in the FIRE-3 trial with a performance status of 2 was low (11/259 (2%)). In addition, the ESC noted that that continuing treatment does specify the WHO performance status. </w:t>
      </w:r>
      <w:r w:rsidRPr="001D7154">
        <w:rPr>
          <w:rFonts w:ascii="Arial" w:hAnsi="Arial"/>
          <w:iCs/>
          <w:sz w:val="22"/>
          <w:szCs w:val="22"/>
        </w:rPr>
        <w:t>The Product Information (PI) for cetuximab recommends that special attention should be given to the use of cetuximab in patients with reduced performance status.</w:t>
      </w:r>
      <w:r w:rsidRPr="001D7154">
        <w:rPr>
          <w:rFonts w:ascii="Arial" w:hAnsi="Arial"/>
          <w:sz w:val="22"/>
          <w:szCs w:val="22"/>
        </w:rPr>
        <w:t xml:space="preserve"> The ESC noted that PSCR (p1) states that the sponsor is willing to limit cetuximab to patients with WHO 0 or 1.</w:t>
      </w:r>
    </w:p>
    <w:p w:rsidR="007D641D" w:rsidRPr="000E6901" w:rsidRDefault="007D641D" w:rsidP="007D641D">
      <w:pPr>
        <w:jc w:val="both"/>
        <w:rPr>
          <w:rFonts w:ascii="Arial" w:hAnsi="Arial"/>
          <w:sz w:val="22"/>
          <w:szCs w:val="22"/>
        </w:rPr>
      </w:pPr>
    </w:p>
    <w:p w:rsidR="00522796" w:rsidRPr="00882085" w:rsidRDefault="00522796" w:rsidP="00882085">
      <w:pPr>
        <w:pStyle w:val="ListParagraph"/>
        <w:numPr>
          <w:ilvl w:val="1"/>
          <w:numId w:val="25"/>
        </w:numPr>
        <w:jc w:val="both"/>
        <w:rPr>
          <w:rFonts w:ascii="Arial" w:hAnsi="Arial"/>
          <w:sz w:val="22"/>
          <w:szCs w:val="22"/>
        </w:rPr>
      </w:pPr>
      <w:r>
        <w:rPr>
          <w:rFonts w:ascii="Arial" w:hAnsi="Arial"/>
          <w:sz w:val="22"/>
          <w:szCs w:val="22"/>
        </w:rPr>
        <w:t xml:space="preserve">The PBAC </w:t>
      </w:r>
      <w:r w:rsidR="001D7154">
        <w:rPr>
          <w:rFonts w:ascii="Arial" w:hAnsi="Arial"/>
          <w:sz w:val="22"/>
          <w:szCs w:val="22"/>
        </w:rPr>
        <w:t xml:space="preserve">considered that the </w:t>
      </w:r>
      <w:r w:rsidR="007D641D">
        <w:rPr>
          <w:rFonts w:ascii="Arial" w:hAnsi="Arial"/>
          <w:sz w:val="22"/>
          <w:szCs w:val="22"/>
        </w:rPr>
        <w:t>amend</w:t>
      </w:r>
      <w:r w:rsidR="001D7154">
        <w:rPr>
          <w:rFonts w:ascii="Arial" w:hAnsi="Arial"/>
          <w:sz w:val="22"/>
          <w:szCs w:val="22"/>
        </w:rPr>
        <w:t xml:space="preserve">ment of </w:t>
      </w:r>
      <w:r w:rsidR="007D641D">
        <w:rPr>
          <w:rFonts w:ascii="Arial" w:hAnsi="Arial"/>
          <w:sz w:val="22"/>
          <w:szCs w:val="22"/>
        </w:rPr>
        <w:t>the restriction to patients with WHO performance status of 1 or less</w:t>
      </w:r>
      <w:r w:rsidR="001D7154">
        <w:rPr>
          <w:rFonts w:ascii="Arial" w:hAnsi="Arial"/>
          <w:sz w:val="22"/>
          <w:szCs w:val="22"/>
        </w:rPr>
        <w:t xml:space="preserve"> is appropriate</w:t>
      </w:r>
      <w:r w:rsidR="007D641D">
        <w:rPr>
          <w:rFonts w:ascii="Arial" w:hAnsi="Arial"/>
          <w:sz w:val="22"/>
          <w:szCs w:val="22"/>
        </w:rPr>
        <w:t>.</w:t>
      </w:r>
    </w:p>
    <w:p w:rsidR="00614159" w:rsidRPr="000E6901" w:rsidRDefault="00614159"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sz w:val="22"/>
          <w:szCs w:val="22"/>
        </w:rPr>
      </w:pPr>
    </w:p>
    <w:p w:rsidR="000E6901" w:rsidRPr="000E6901" w:rsidRDefault="000E6901" w:rsidP="00882085">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6B0D94" w:rsidRPr="00882085" w:rsidRDefault="00301259" w:rsidP="00301259">
      <w:pPr>
        <w:pStyle w:val="ListParagraph"/>
        <w:numPr>
          <w:ilvl w:val="1"/>
          <w:numId w:val="25"/>
        </w:numPr>
        <w:jc w:val="both"/>
        <w:rPr>
          <w:rFonts w:ascii="Arial" w:hAnsi="Arial"/>
          <w:sz w:val="22"/>
          <w:szCs w:val="22"/>
        </w:rPr>
      </w:pPr>
      <w:r>
        <w:rPr>
          <w:rFonts w:ascii="Arial" w:hAnsi="Arial"/>
          <w:sz w:val="22"/>
          <w:szCs w:val="22"/>
        </w:rPr>
        <w:t xml:space="preserve">Cetuximab </w:t>
      </w:r>
      <w:r w:rsidR="000E6901">
        <w:rPr>
          <w:rFonts w:ascii="Arial" w:hAnsi="Arial"/>
          <w:sz w:val="22"/>
          <w:szCs w:val="22"/>
        </w:rPr>
        <w:t xml:space="preserve">is currently TGA </w:t>
      </w:r>
      <w:r w:rsidR="005B0FF3" w:rsidRPr="005B0FF3">
        <w:rPr>
          <w:rFonts w:ascii="Arial" w:hAnsi="Arial"/>
          <w:sz w:val="22"/>
          <w:szCs w:val="22"/>
        </w:rPr>
        <w:t>registered for the treatment of RAS WT mCRC, including as first-line treatment in combination with FOLFOX, and 5-fluorouracil/folinic acid plus irinotecan</w:t>
      </w:r>
      <w:r w:rsidR="005B0FF3">
        <w:rPr>
          <w:rFonts w:ascii="Arial" w:hAnsi="Arial"/>
          <w:i/>
          <w:sz w:val="22"/>
          <w:szCs w:val="22"/>
        </w:rPr>
        <w:t>.</w:t>
      </w:r>
    </w:p>
    <w:p w:rsidR="006B0D94" w:rsidRPr="000E6901" w:rsidRDefault="006B0D94" w:rsidP="00882085">
      <w:pPr>
        <w:jc w:val="both"/>
        <w:rPr>
          <w:rFonts w:ascii="Arial" w:hAnsi="Arial"/>
          <w:sz w:val="22"/>
          <w:szCs w:val="22"/>
        </w:rPr>
      </w:pPr>
    </w:p>
    <w:p w:rsidR="00326E79" w:rsidRDefault="005B0FF3" w:rsidP="00882085">
      <w:pPr>
        <w:pStyle w:val="ListParagraph"/>
        <w:numPr>
          <w:ilvl w:val="1"/>
          <w:numId w:val="25"/>
        </w:numPr>
        <w:jc w:val="both"/>
        <w:rPr>
          <w:rFonts w:ascii="Arial" w:hAnsi="Arial"/>
          <w:sz w:val="22"/>
          <w:szCs w:val="22"/>
        </w:rPr>
      </w:pPr>
      <w:r w:rsidRPr="005B0FF3">
        <w:rPr>
          <w:rFonts w:ascii="Arial" w:hAnsi="Arial"/>
          <w:sz w:val="22"/>
          <w:szCs w:val="22"/>
        </w:rPr>
        <w:t>This is the third submission to the PBAC for cetuximab to be considered as a first-line treatment for mCRC</w:t>
      </w:r>
      <w:r>
        <w:rPr>
          <w:rFonts w:ascii="Arial" w:hAnsi="Arial"/>
          <w:sz w:val="22"/>
          <w:szCs w:val="22"/>
        </w:rPr>
        <w:t>.</w:t>
      </w:r>
    </w:p>
    <w:p w:rsidR="005B0FF3" w:rsidRPr="000E6901" w:rsidRDefault="005B0FF3" w:rsidP="005B0FF3">
      <w:pPr>
        <w:rPr>
          <w:rFonts w:ascii="Arial" w:hAnsi="Arial"/>
          <w:sz w:val="22"/>
          <w:szCs w:val="22"/>
        </w:rPr>
      </w:pPr>
    </w:p>
    <w:p w:rsidR="005B0FF3" w:rsidRPr="00882085" w:rsidRDefault="005B0FF3" w:rsidP="00882085">
      <w:pPr>
        <w:pStyle w:val="ListParagraph"/>
        <w:numPr>
          <w:ilvl w:val="1"/>
          <w:numId w:val="25"/>
        </w:numPr>
        <w:jc w:val="both"/>
        <w:rPr>
          <w:rFonts w:ascii="Arial" w:hAnsi="Arial"/>
          <w:sz w:val="22"/>
          <w:szCs w:val="22"/>
        </w:rPr>
      </w:pPr>
      <w:r w:rsidRPr="005B0FF3">
        <w:rPr>
          <w:rFonts w:ascii="Arial" w:hAnsi="Arial"/>
          <w:sz w:val="22"/>
          <w:szCs w:val="22"/>
        </w:rPr>
        <w:t>In March 2010, the PBAC rejected a submission for first-line cetuximab treatment of KRAS WT mCRC on the basis that bevacizumab was not the appropriate comparator (the suggested comparator was chemotherapy alone). It was unlikely that cetuximab would substitute for bevacizumab because at the time the K-RAS status of most mCRC patients was unknown when treatment commenced. The submission was also rejected on the basis of uncertainty regarding the indirect comparison</w:t>
      </w:r>
      <w:r>
        <w:rPr>
          <w:rFonts w:ascii="Arial" w:hAnsi="Arial"/>
          <w:sz w:val="22"/>
          <w:szCs w:val="22"/>
        </w:rPr>
        <w:t>.</w:t>
      </w:r>
    </w:p>
    <w:p w:rsidR="006A12A5" w:rsidRPr="000E6901" w:rsidRDefault="006A12A5" w:rsidP="00882085">
      <w:pPr>
        <w:jc w:val="both"/>
        <w:rPr>
          <w:rFonts w:ascii="Arial" w:hAnsi="Arial"/>
          <w:sz w:val="22"/>
          <w:szCs w:val="22"/>
        </w:rPr>
      </w:pPr>
    </w:p>
    <w:p w:rsidR="00BB7EC3" w:rsidRPr="005A3223" w:rsidRDefault="005B0FF3" w:rsidP="005A3223">
      <w:pPr>
        <w:pStyle w:val="ListParagraph"/>
        <w:numPr>
          <w:ilvl w:val="1"/>
          <w:numId w:val="25"/>
        </w:numPr>
        <w:jc w:val="both"/>
        <w:rPr>
          <w:rFonts w:ascii="Arial" w:hAnsi="Arial"/>
          <w:sz w:val="22"/>
          <w:szCs w:val="22"/>
        </w:rPr>
      </w:pPr>
      <w:r w:rsidRPr="005B0FF3">
        <w:rPr>
          <w:rFonts w:ascii="Arial" w:hAnsi="Arial"/>
          <w:sz w:val="22"/>
          <w:szCs w:val="22"/>
        </w:rPr>
        <w:t>In November 2013, the second submission of cetuximab for first-line treatment of KRAS WT mCRC was withdrawn. The PBAC noted with concern the emerging data regarding a reduced treatment effect associated with the use of cetuximab (and panitumumab) on tumours with a broader range of RAS mutations than the exon 2 mutations detected with KRAS testing</w:t>
      </w:r>
      <w:r>
        <w:rPr>
          <w:rFonts w:ascii="Arial" w:hAnsi="Arial"/>
          <w:sz w:val="22"/>
          <w:szCs w:val="22"/>
        </w:rPr>
        <w:t>.</w:t>
      </w:r>
    </w:p>
    <w:p w:rsidR="00BB7EC3" w:rsidRDefault="00BB7EC3" w:rsidP="00882085">
      <w:pPr>
        <w:jc w:val="both"/>
        <w:rPr>
          <w:rFonts w:ascii="Arial" w:hAnsi="Arial"/>
          <w:sz w:val="22"/>
          <w:szCs w:val="22"/>
        </w:rPr>
      </w:pPr>
    </w:p>
    <w:p w:rsidR="00DC27A9" w:rsidRDefault="00DC27A9">
      <w:pPr>
        <w:rPr>
          <w:rFonts w:ascii="Arial" w:hAnsi="Arial"/>
          <w:sz w:val="22"/>
          <w:szCs w:val="22"/>
        </w:rPr>
      </w:pPr>
      <w:r>
        <w:rPr>
          <w:rFonts w:ascii="Arial" w:hAnsi="Arial"/>
          <w:sz w:val="22"/>
          <w:szCs w:val="22"/>
        </w:rPr>
        <w:br w:type="page"/>
      </w: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lastRenderedPageBreak/>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6A12A5" w:rsidRPr="00882085" w:rsidRDefault="005B0FF3" w:rsidP="00882085">
      <w:pPr>
        <w:pStyle w:val="ListParagraph"/>
        <w:numPr>
          <w:ilvl w:val="1"/>
          <w:numId w:val="25"/>
        </w:numPr>
        <w:jc w:val="both"/>
        <w:rPr>
          <w:rFonts w:ascii="Arial" w:hAnsi="Arial"/>
          <w:sz w:val="22"/>
          <w:szCs w:val="22"/>
        </w:rPr>
      </w:pPr>
      <w:r w:rsidRPr="005B0FF3">
        <w:rPr>
          <w:rFonts w:ascii="Arial" w:hAnsi="Arial"/>
          <w:sz w:val="22"/>
          <w:szCs w:val="22"/>
        </w:rPr>
        <w:t>Bowel cancer is the second most common cancer in Australia with 15,840 cases in 2012. In 2010, it was the second leading cause of cancer death in Australia, with 3,982 deaths. The average life expectancy of a patient with mCRC is less than 3 years</w:t>
      </w:r>
      <w:r>
        <w:rPr>
          <w:rFonts w:ascii="Arial" w:hAnsi="Arial"/>
          <w:sz w:val="22"/>
          <w:szCs w:val="22"/>
        </w:rPr>
        <w:t>.</w:t>
      </w:r>
    </w:p>
    <w:p w:rsidR="00C35996" w:rsidRPr="000E6901" w:rsidRDefault="00C35996" w:rsidP="00882085">
      <w:pPr>
        <w:jc w:val="both"/>
        <w:rPr>
          <w:rFonts w:ascii="Arial" w:hAnsi="Arial"/>
          <w:sz w:val="22"/>
          <w:szCs w:val="22"/>
        </w:rPr>
      </w:pPr>
    </w:p>
    <w:p w:rsidR="007D641D" w:rsidRDefault="005B0FF3" w:rsidP="00882085">
      <w:pPr>
        <w:pStyle w:val="ListParagraph"/>
        <w:numPr>
          <w:ilvl w:val="1"/>
          <w:numId w:val="25"/>
        </w:numPr>
        <w:jc w:val="both"/>
        <w:rPr>
          <w:rFonts w:ascii="Arial" w:hAnsi="Arial"/>
          <w:sz w:val="22"/>
          <w:szCs w:val="22"/>
        </w:rPr>
      </w:pPr>
      <w:r w:rsidRPr="005B0FF3">
        <w:rPr>
          <w:rFonts w:ascii="Arial" w:hAnsi="Arial"/>
          <w:sz w:val="22"/>
          <w:szCs w:val="22"/>
        </w:rPr>
        <w:t>Current treatment options for first-line treatment of mCRC are chemotherapy alone (e.g. FOLFIRI or FOLFOX) or chemotherapy plus bevacizumab. Bevacizumab is not PBS-subsidised for later-line treatment</w:t>
      </w:r>
      <w:r>
        <w:rPr>
          <w:rFonts w:ascii="Arial" w:hAnsi="Arial"/>
          <w:sz w:val="22"/>
          <w:szCs w:val="22"/>
        </w:rPr>
        <w:t>.</w:t>
      </w:r>
    </w:p>
    <w:p w:rsidR="007D641D" w:rsidRPr="000E6901" w:rsidRDefault="007D641D" w:rsidP="007D641D">
      <w:pPr>
        <w:rPr>
          <w:rFonts w:ascii="Arial" w:hAnsi="Arial"/>
          <w:sz w:val="22"/>
          <w:szCs w:val="22"/>
        </w:rPr>
      </w:pPr>
    </w:p>
    <w:p w:rsidR="006A12A5" w:rsidRPr="00882085" w:rsidRDefault="007D641D" w:rsidP="00882085">
      <w:pPr>
        <w:pStyle w:val="ListParagraph"/>
        <w:numPr>
          <w:ilvl w:val="1"/>
          <w:numId w:val="25"/>
        </w:numPr>
        <w:jc w:val="both"/>
        <w:rPr>
          <w:rFonts w:ascii="Arial" w:hAnsi="Arial"/>
          <w:sz w:val="22"/>
          <w:szCs w:val="22"/>
        </w:rPr>
      </w:pPr>
      <w:r>
        <w:rPr>
          <w:rFonts w:ascii="Arial" w:hAnsi="Arial"/>
          <w:sz w:val="22"/>
          <w:szCs w:val="22"/>
        </w:rPr>
        <w:t xml:space="preserve">The PBAC noted </w:t>
      </w:r>
      <w:r w:rsidR="000E6901">
        <w:rPr>
          <w:rFonts w:ascii="Arial" w:hAnsi="Arial"/>
          <w:sz w:val="22"/>
          <w:szCs w:val="22"/>
        </w:rPr>
        <w:t xml:space="preserve">that the </w:t>
      </w:r>
      <w:r>
        <w:rPr>
          <w:rFonts w:ascii="Arial" w:hAnsi="Arial"/>
          <w:sz w:val="22"/>
          <w:szCs w:val="22"/>
        </w:rPr>
        <w:t xml:space="preserve">clinical need </w:t>
      </w:r>
      <w:r w:rsidR="000E6901">
        <w:rPr>
          <w:rFonts w:ascii="Arial" w:hAnsi="Arial"/>
          <w:sz w:val="22"/>
          <w:szCs w:val="22"/>
        </w:rPr>
        <w:t>for</w:t>
      </w:r>
      <w:r>
        <w:rPr>
          <w:rFonts w:ascii="Arial" w:hAnsi="Arial"/>
          <w:sz w:val="22"/>
          <w:szCs w:val="22"/>
        </w:rPr>
        <w:t xml:space="preserve"> </w:t>
      </w:r>
      <w:r w:rsidR="00C902B8">
        <w:rPr>
          <w:rFonts w:ascii="Arial" w:hAnsi="Arial"/>
          <w:sz w:val="22"/>
          <w:szCs w:val="22"/>
        </w:rPr>
        <w:t>first</w:t>
      </w:r>
      <w:r w:rsidR="000E6901">
        <w:rPr>
          <w:rFonts w:ascii="Arial" w:hAnsi="Arial"/>
          <w:sz w:val="22"/>
          <w:szCs w:val="22"/>
        </w:rPr>
        <w:t>-</w:t>
      </w:r>
      <w:r w:rsidR="00C902B8">
        <w:rPr>
          <w:rFonts w:ascii="Arial" w:hAnsi="Arial"/>
          <w:sz w:val="22"/>
          <w:szCs w:val="22"/>
        </w:rPr>
        <w:t xml:space="preserve">line cetuximab therapy is low because both bevacizumab and anti-EGFR antibodies (cetuximab and panitumumab) are already PBS subsidised. The </w:t>
      </w:r>
      <w:r w:rsidR="0073381B">
        <w:rPr>
          <w:rFonts w:ascii="Arial" w:hAnsi="Arial"/>
          <w:sz w:val="22"/>
          <w:szCs w:val="22"/>
        </w:rPr>
        <w:t xml:space="preserve">current PBS </w:t>
      </w:r>
      <w:r w:rsidR="00C902B8">
        <w:rPr>
          <w:rFonts w:ascii="Arial" w:hAnsi="Arial"/>
          <w:sz w:val="22"/>
          <w:szCs w:val="22"/>
        </w:rPr>
        <w:t>restriction</w:t>
      </w:r>
      <w:r w:rsidR="0073381B">
        <w:rPr>
          <w:rFonts w:ascii="Arial" w:hAnsi="Arial"/>
          <w:sz w:val="22"/>
          <w:szCs w:val="22"/>
        </w:rPr>
        <w:t>s</w:t>
      </w:r>
      <w:r w:rsidR="00C902B8">
        <w:rPr>
          <w:rFonts w:ascii="Arial" w:hAnsi="Arial"/>
          <w:sz w:val="22"/>
          <w:szCs w:val="22"/>
        </w:rPr>
        <w:t xml:space="preserve"> </w:t>
      </w:r>
      <w:r w:rsidR="0073381B">
        <w:rPr>
          <w:rFonts w:ascii="Arial" w:hAnsi="Arial"/>
          <w:sz w:val="22"/>
          <w:szCs w:val="22"/>
        </w:rPr>
        <w:t>are</w:t>
      </w:r>
      <w:r w:rsidR="00C902B8">
        <w:rPr>
          <w:rFonts w:ascii="Arial" w:hAnsi="Arial"/>
          <w:sz w:val="22"/>
          <w:szCs w:val="22"/>
        </w:rPr>
        <w:t xml:space="preserve"> that bevacizumab needs to b</w:t>
      </w:r>
      <w:r w:rsidR="00573ADB">
        <w:rPr>
          <w:rFonts w:ascii="Arial" w:hAnsi="Arial"/>
          <w:sz w:val="22"/>
          <w:szCs w:val="22"/>
        </w:rPr>
        <w:t>e used first line</w:t>
      </w:r>
      <w:r w:rsidR="00BF7773">
        <w:rPr>
          <w:rFonts w:ascii="Arial" w:hAnsi="Arial"/>
          <w:sz w:val="22"/>
          <w:szCs w:val="22"/>
        </w:rPr>
        <w:t xml:space="preserve"> (</w:t>
      </w:r>
      <w:r w:rsidR="00573ADB">
        <w:rPr>
          <w:rFonts w:ascii="Arial" w:hAnsi="Arial"/>
          <w:sz w:val="22"/>
          <w:szCs w:val="22"/>
        </w:rPr>
        <w:t>i</w:t>
      </w:r>
      <w:r w:rsidR="00BF7773">
        <w:rPr>
          <w:rFonts w:ascii="Arial" w:hAnsi="Arial"/>
          <w:sz w:val="22"/>
          <w:szCs w:val="22"/>
        </w:rPr>
        <w:t>.</w:t>
      </w:r>
      <w:r w:rsidR="00573ADB">
        <w:rPr>
          <w:rFonts w:ascii="Arial" w:hAnsi="Arial"/>
          <w:sz w:val="22"/>
          <w:szCs w:val="22"/>
        </w:rPr>
        <w:t>e</w:t>
      </w:r>
      <w:r w:rsidR="00BF7773">
        <w:rPr>
          <w:rFonts w:ascii="Arial" w:hAnsi="Arial"/>
          <w:sz w:val="22"/>
          <w:szCs w:val="22"/>
        </w:rPr>
        <w:t>.</w:t>
      </w:r>
      <w:r w:rsidR="00573ADB">
        <w:rPr>
          <w:rFonts w:ascii="Arial" w:hAnsi="Arial"/>
          <w:sz w:val="22"/>
          <w:szCs w:val="22"/>
        </w:rPr>
        <w:t xml:space="preserve"> before </w:t>
      </w:r>
      <w:r w:rsidR="001512FE">
        <w:rPr>
          <w:rFonts w:ascii="Arial" w:hAnsi="Arial"/>
          <w:sz w:val="22"/>
          <w:szCs w:val="22"/>
        </w:rPr>
        <w:t xml:space="preserve">an </w:t>
      </w:r>
      <w:r w:rsidR="00573ADB">
        <w:rPr>
          <w:rFonts w:ascii="Arial" w:hAnsi="Arial"/>
          <w:sz w:val="22"/>
          <w:szCs w:val="22"/>
        </w:rPr>
        <w:t>anti</w:t>
      </w:r>
      <w:r w:rsidR="00C902B8">
        <w:rPr>
          <w:rFonts w:ascii="Arial" w:hAnsi="Arial"/>
          <w:sz w:val="22"/>
          <w:szCs w:val="22"/>
        </w:rPr>
        <w:t>-EGFR antibod</w:t>
      </w:r>
      <w:r w:rsidR="0073381B">
        <w:rPr>
          <w:rFonts w:ascii="Arial" w:hAnsi="Arial"/>
          <w:sz w:val="22"/>
          <w:szCs w:val="22"/>
        </w:rPr>
        <w:t>y</w:t>
      </w:r>
      <w:r w:rsidR="00BF7773">
        <w:rPr>
          <w:rFonts w:ascii="Arial" w:hAnsi="Arial"/>
          <w:sz w:val="22"/>
          <w:szCs w:val="22"/>
        </w:rPr>
        <w:t>)</w:t>
      </w:r>
      <w:r w:rsidR="0073381B">
        <w:rPr>
          <w:rFonts w:ascii="Arial" w:hAnsi="Arial"/>
          <w:sz w:val="22"/>
          <w:szCs w:val="22"/>
        </w:rPr>
        <w:t>, and the anti-EGFR antibod</w:t>
      </w:r>
      <w:r w:rsidR="00BF7773">
        <w:rPr>
          <w:rFonts w:ascii="Arial" w:hAnsi="Arial"/>
          <w:sz w:val="22"/>
          <w:szCs w:val="22"/>
        </w:rPr>
        <w:t>y</w:t>
      </w:r>
      <w:r w:rsidR="0073381B">
        <w:rPr>
          <w:rFonts w:ascii="Arial" w:hAnsi="Arial"/>
          <w:sz w:val="22"/>
          <w:szCs w:val="22"/>
        </w:rPr>
        <w:t xml:space="preserve"> need</w:t>
      </w:r>
      <w:r w:rsidR="00BF7773">
        <w:rPr>
          <w:rFonts w:ascii="Arial" w:hAnsi="Arial"/>
          <w:sz w:val="22"/>
          <w:szCs w:val="22"/>
        </w:rPr>
        <w:t>s</w:t>
      </w:r>
      <w:r w:rsidR="0073381B">
        <w:rPr>
          <w:rFonts w:ascii="Arial" w:hAnsi="Arial"/>
          <w:sz w:val="22"/>
          <w:szCs w:val="22"/>
        </w:rPr>
        <w:t xml:space="preserve"> to be used </w:t>
      </w:r>
      <w:r w:rsidR="00BF7773">
        <w:rPr>
          <w:rFonts w:ascii="Arial" w:hAnsi="Arial"/>
          <w:sz w:val="22"/>
          <w:szCs w:val="22"/>
        </w:rPr>
        <w:t xml:space="preserve">in </w:t>
      </w:r>
      <w:r w:rsidR="0073381B">
        <w:rPr>
          <w:rFonts w:ascii="Arial" w:hAnsi="Arial"/>
          <w:sz w:val="22"/>
          <w:szCs w:val="22"/>
        </w:rPr>
        <w:t>later</w:t>
      </w:r>
      <w:r w:rsidR="00BF7773">
        <w:rPr>
          <w:rFonts w:ascii="Arial" w:hAnsi="Arial"/>
          <w:sz w:val="22"/>
          <w:szCs w:val="22"/>
        </w:rPr>
        <w:t>-</w:t>
      </w:r>
      <w:r w:rsidR="0073381B">
        <w:rPr>
          <w:rFonts w:ascii="Arial" w:hAnsi="Arial"/>
          <w:sz w:val="22"/>
          <w:szCs w:val="22"/>
        </w:rPr>
        <w:t>line</w:t>
      </w:r>
      <w:r w:rsidR="00BF7773">
        <w:rPr>
          <w:rFonts w:ascii="Arial" w:hAnsi="Arial"/>
          <w:sz w:val="22"/>
          <w:szCs w:val="22"/>
        </w:rPr>
        <w:t xml:space="preserve"> treatment</w:t>
      </w:r>
      <w:r w:rsidR="00C902B8">
        <w:rPr>
          <w:rFonts w:ascii="Arial" w:hAnsi="Arial"/>
          <w:sz w:val="22"/>
          <w:szCs w:val="22"/>
        </w:rPr>
        <w:t>.</w:t>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0E6901" w:rsidRPr="00882085" w:rsidRDefault="000E6901"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0E6901" w:rsidRDefault="005A3173" w:rsidP="00882085">
      <w:pPr>
        <w:pStyle w:val="Header"/>
        <w:tabs>
          <w:tab w:val="clear" w:pos="4153"/>
          <w:tab w:val="clear" w:pos="8306"/>
        </w:tabs>
        <w:jc w:val="both"/>
        <w:rPr>
          <w:rFonts w:ascii="Arial" w:hAnsi="Arial"/>
          <w:sz w:val="22"/>
          <w:szCs w:val="22"/>
        </w:rPr>
      </w:pPr>
    </w:p>
    <w:p w:rsidR="00C35996" w:rsidRDefault="00B87F39" w:rsidP="00882085">
      <w:pPr>
        <w:pStyle w:val="ListParagraph"/>
        <w:numPr>
          <w:ilvl w:val="1"/>
          <w:numId w:val="25"/>
        </w:numPr>
        <w:jc w:val="both"/>
        <w:rPr>
          <w:rFonts w:ascii="Arial" w:hAnsi="Arial"/>
          <w:sz w:val="22"/>
          <w:szCs w:val="22"/>
        </w:rPr>
      </w:pPr>
      <w:r w:rsidRPr="00B87F39">
        <w:rPr>
          <w:rFonts w:ascii="Arial" w:hAnsi="Arial"/>
          <w:sz w:val="22"/>
          <w:szCs w:val="22"/>
        </w:rPr>
        <w:t>The resubmission nominates bevacizumab as the only comparator</w:t>
      </w:r>
      <w:r w:rsidR="005A3173" w:rsidRPr="00882085">
        <w:rPr>
          <w:rFonts w:ascii="Arial" w:hAnsi="Arial"/>
          <w:sz w:val="22"/>
          <w:szCs w:val="22"/>
        </w:rPr>
        <w:t>.</w:t>
      </w:r>
      <w:r w:rsidR="008B735F" w:rsidRPr="008B735F">
        <w:rPr>
          <w:rFonts w:ascii="Arial" w:hAnsi="Arial"/>
          <w:sz w:val="22"/>
          <w:szCs w:val="22"/>
        </w:rPr>
        <w:t xml:space="preserve"> </w:t>
      </w:r>
      <w:r w:rsidR="008B735F" w:rsidRPr="00B87F39">
        <w:rPr>
          <w:rFonts w:ascii="Arial" w:hAnsi="Arial"/>
          <w:sz w:val="22"/>
          <w:szCs w:val="22"/>
        </w:rPr>
        <w:t>Chemotherapy alone is also an additional comparator as</w:t>
      </w:r>
      <w:r w:rsidR="008B735F" w:rsidRPr="00B87F39">
        <w:rPr>
          <w:rFonts w:ascii="Arial" w:hAnsi="Arial"/>
          <w:i/>
          <w:sz w:val="22"/>
          <w:szCs w:val="22"/>
        </w:rPr>
        <w:t xml:space="preserve"> </w:t>
      </w:r>
      <w:r w:rsidR="008B735F" w:rsidRPr="00B87F39">
        <w:rPr>
          <w:rFonts w:ascii="Arial" w:hAnsi="Arial"/>
          <w:sz w:val="22"/>
          <w:szCs w:val="22"/>
        </w:rPr>
        <w:t>eligibility for monoclonal antibodies on the PBS also requires suitability for chemotherapy</w:t>
      </w:r>
      <w:r w:rsidR="008B735F">
        <w:rPr>
          <w:rFonts w:ascii="Arial" w:hAnsi="Arial"/>
          <w:sz w:val="22"/>
          <w:szCs w:val="22"/>
        </w:rPr>
        <w:t>.</w:t>
      </w:r>
    </w:p>
    <w:p w:rsidR="00BB7EC3" w:rsidRPr="008B735F" w:rsidRDefault="00BB7EC3" w:rsidP="008B735F">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F26A7" w:rsidRDefault="00DF26A7" w:rsidP="000E6901">
      <w:pPr>
        <w:jc w:val="both"/>
        <w:rPr>
          <w:rFonts w:ascii="Arial" w:hAnsi="Arial"/>
          <w:sz w:val="22"/>
          <w:szCs w:val="22"/>
        </w:rPr>
      </w:pPr>
    </w:p>
    <w:p w:rsidR="000E6901" w:rsidRPr="000E6901" w:rsidRDefault="000E6901" w:rsidP="000E6901">
      <w:pPr>
        <w:jc w:val="both"/>
        <w:rPr>
          <w:rFonts w:ascii="Arial" w:hAnsi="Arial"/>
          <w:sz w:val="22"/>
          <w:szCs w:val="22"/>
        </w:rPr>
      </w:pPr>
    </w:p>
    <w:p w:rsidR="000B558D" w:rsidRPr="00882085" w:rsidRDefault="001F4480" w:rsidP="00D479CB">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Pr="000E6901" w:rsidRDefault="006A12A5" w:rsidP="00882085">
      <w:pPr>
        <w:jc w:val="both"/>
        <w:rPr>
          <w:rFonts w:ascii="Arial" w:hAnsi="Arial"/>
          <w:sz w:val="22"/>
          <w:szCs w:val="22"/>
        </w:rPr>
      </w:pPr>
    </w:p>
    <w:p w:rsidR="00BB7EC3" w:rsidRPr="00F3502F" w:rsidRDefault="00BB7EC3" w:rsidP="00BB7EC3">
      <w:pPr>
        <w:jc w:val="both"/>
        <w:rPr>
          <w:rFonts w:ascii="Arial" w:hAnsi="Arial"/>
          <w:b/>
          <w:sz w:val="22"/>
          <w:szCs w:val="22"/>
        </w:rPr>
      </w:pPr>
      <w:r w:rsidRPr="00F3502F">
        <w:rPr>
          <w:rFonts w:ascii="Arial" w:hAnsi="Arial"/>
          <w:b/>
          <w:sz w:val="22"/>
          <w:szCs w:val="22"/>
        </w:rPr>
        <w:t>Sponsor hearing</w:t>
      </w:r>
    </w:p>
    <w:p w:rsidR="00BB7EC3" w:rsidRPr="000E6901" w:rsidRDefault="00BB7EC3" w:rsidP="000E6901">
      <w:pPr>
        <w:jc w:val="both"/>
        <w:rPr>
          <w:rFonts w:ascii="Arial" w:hAnsi="Arial"/>
          <w:sz w:val="22"/>
          <w:szCs w:val="22"/>
        </w:rPr>
      </w:pPr>
    </w:p>
    <w:p w:rsidR="00BB7EC3" w:rsidRDefault="002B1AE6" w:rsidP="00D479CB">
      <w:pPr>
        <w:pStyle w:val="ListParagraph"/>
        <w:numPr>
          <w:ilvl w:val="1"/>
          <w:numId w:val="25"/>
        </w:numPr>
        <w:jc w:val="both"/>
        <w:rPr>
          <w:rFonts w:ascii="Arial" w:hAnsi="Arial"/>
          <w:sz w:val="22"/>
          <w:szCs w:val="22"/>
        </w:rPr>
      </w:pPr>
      <w:r w:rsidRPr="008B735F">
        <w:rPr>
          <w:rFonts w:ascii="Arial" w:hAnsi="Arial"/>
          <w:sz w:val="22"/>
          <w:szCs w:val="22"/>
        </w:rPr>
        <w:t>The sponsor requ</w:t>
      </w:r>
      <w:r w:rsidR="000E6901">
        <w:rPr>
          <w:rFonts w:ascii="Arial" w:hAnsi="Arial"/>
          <w:sz w:val="22"/>
          <w:szCs w:val="22"/>
        </w:rPr>
        <w:t xml:space="preserve">ested a hearing for this item. </w:t>
      </w:r>
      <w:r w:rsidRPr="008B735F">
        <w:rPr>
          <w:rFonts w:ascii="Arial" w:hAnsi="Arial"/>
          <w:sz w:val="22"/>
          <w:szCs w:val="22"/>
        </w:rPr>
        <w:t xml:space="preserve">The </w:t>
      </w:r>
      <w:r w:rsidR="009C703C" w:rsidRPr="008B735F">
        <w:rPr>
          <w:rFonts w:ascii="Arial" w:hAnsi="Arial"/>
          <w:sz w:val="22"/>
          <w:szCs w:val="22"/>
        </w:rPr>
        <w:t>clinician presented clinical case studies and discussed the natural history of the disease</w:t>
      </w:r>
      <w:r w:rsidR="00BF7773">
        <w:rPr>
          <w:rFonts w:ascii="Arial" w:hAnsi="Arial"/>
          <w:sz w:val="22"/>
          <w:szCs w:val="22"/>
        </w:rPr>
        <w:t xml:space="preserve"> and</w:t>
      </w:r>
      <w:r w:rsidR="009C703C" w:rsidRPr="008B735F">
        <w:rPr>
          <w:rFonts w:ascii="Arial" w:hAnsi="Arial"/>
          <w:sz w:val="22"/>
          <w:szCs w:val="22"/>
        </w:rPr>
        <w:t xml:space="preserve"> how the drug would be used in practice</w:t>
      </w:r>
      <w:r w:rsidR="008B735F" w:rsidRPr="008B735F">
        <w:rPr>
          <w:rFonts w:ascii="Arial" w:hAnsi="Arial"/>
          <w:sz w:val="22"/>
          <w:szCs w:val="22"/>
        </w:rPr>
        <w:t>.</w:t>
      </w:r>
      <w:r w:rsidR="009C703C" w:rsidRPr="008B735F">
        <w:rPr>
          <w:rFonts w:ascii="Arial" w:hAnsi="Arial"/>
          <w:sz w:val="22"/>
          <w:szCs w:val="22"/>
        </w:rPr>
        <w:t xml:space="preserve"> </w:t>
      </w:r>
      <w:r w:rsidR="00BB7EC3" w:rsidRPr="008B735F">
        <w:rPr>
          <w:rFonts w:ascii="Arial" w:hAnsi="Arial"/>
          <w:sz w:val="22"/>
          <w:szCs w:val="22"/>
        </w:rPr>
        <w:t>The PBAC considered that the hearing was informative as it provided a clinical perspective on treating this disease</w:t>
      </w:r>
      <w:r w:rsidR="009C703C" w:rsidRPr="00882085">
        <w:rPr>
          <w:rFonts w:ascii="Arial" w:hAnsi="Arial"/>
          <w:sz w:val="22"/>
          <w:szCs w:val="22"/>
        </w:rPr>
        <w:t>.</w:t>
      </w:r>
    </w:p>
    <w:p w:rsidR="00BB7EC3" w:rsidRPr="00B87F39" w:rsidRDefault="00BB7EC3" w:rsidP="00B87F39">
      <w:pPr>
        <w:jc w:val="both"/>
        <w:rPr>
          <w:rFonts w:ascii="Arial" w:hAnsi="Arial"/>
          <w:sz w:val="22"/>
          <w:szCs w:val="22"/>
        </w:rPr>
      </w:pPr>
    </w:p>
    <w:p w:rsidR="00BB7EC3" w:rsidRPr="00F3502F" w:rsidRDefault="00BB7EC3" w:rsidP="00BB7EC3">
      <w:pPr>
        <w:jc w:val="both"/>
        <w:rPr>
          <w:rFonts w:ascii="Arial" w:hAnsi="Arial"/>
          <w:b/>
          <w:sz w:val="22"/>
          <w:szCs w:val="22"/>
        </w:rPr>
      </w:pPr>
      <w:r w:rsidRPr="00F3502F">
        <w:rPr>
          <w:rFonts w:ascii="Arial" w:hAnsi="Arial"/>
          <w:b/>
          <w:sz w:val="22"/>
          <w:szCs w:val="22"/>
        </w:rPr>
        <w:t>Consumer comments</w:t>
      </w:r>
    </w:p>
    <w:p w:rsidR="00BB7EC3" w:rsidRPr="000E6901" w:rsidRDefault="00BB7EC3" w:rsidP="000E6901">
      <w:pPr>
        <w:jc w:val="both"/>
        <w:rPr>
          <w:rFonts w:ascii="Arial" w:hAnsi="Arial"/>
          <w:sz w:val="22"/>
          <w:szCs w:val="22"/>
        </w:rPr>
      </w:pPr>
    </w:p>
    <w:p w:rsidR="00BB7EC3" w:rsidRPr="00203E20" w:rsidRDefault="00BB7EC3" w:rsidP="00D479CB">
      <w:pPr>
        <w:pStyle w:val="ListParagraph"/>
        <w:numPr>
          <w:ilvl w:val="1"/>
          <w:numId w:val="25"/>
        </w:numPr>
        <w:jc w:val="both"/>
        <w:rPr>
          <w:rFonts w:ascii="Arial" w:hAnsi="Arial"/>
          <w:sz w:val="22"/>
          <w:szCs w:val="22"/>
        </w:rPr>
      </w:pPr>
      <w:r w:rsidRPr="00203E20">
        <w:rPr>
          <w:rFonts w:ascii="Arial" w:hAnsi="Arial"/>
          <w:sz w:val="22"/>
          <w:szCs w:val="22"/>
        </w:rPr>
        <w:t>The PBAC noted and welcom</w:t>
      </w:r>
      <w:r w:rsidR="004D6C59" w:rsidRPr="00203E20">
        <w:rPr>
          <w:rFonts w:ascii="Arial" w:hAnsi="Arial"/>
          <w:sz w:val="22"/>
          <w:szCs w:val="22"/>
        </w:rPr>
        <w:t>ed the input from individuals (2</w:t>
      </w:r>
      <w:r w:rsidRPr="00203E20">
        <w:rPr>
          <w:rFonts w:ascii="Arial" w:hAnsi="Arial"/>
          <w:sz w:val="22"/>
          <w:szCs w:val="22"/>
        </w:rPr>
        <w:t xml:space="preserve">), </w:t>
      </w:r>
      <w:r w:rsidR="004D6C59" w:rsidRPr="00203E20">
        <w:rPr>
          <w:rFonts w:ascii="Arial" w:hAnsi="Arial"/>
          <w:sz w:val="22"/>
          <w:szCs w:val="22"/>
        </w:rPr>
        <w:t>organisations (5</w:t>
      </w:r>
      <w:r w:rsidRPr="00203E20">
        <w:rPr>
          <w:rFonts w:ascii="Arial" w:hAnsi="Arial"/>
          <w:sz w:val="22"/>
          <w:szCs w:val="22"/>
        </w:rPr>
        <w:t>) via the Consumer Comment</w:t>
      </w:r>
      <w:r w:rsidR="000E6901">
        <w:rPr>
          <w:rFonts w:ascii="Arial" w:hAnsi="Arial"/>
          <w:sz w:val="22"/>
          <w:szCs w:val="22"/>
        </w:rPr>
        <w:t xml:space="preserve">s facility on the PBS website. </w:t>
      </w:r>
      <w:r w:rsidRPr="00203E20">
        <w:rPr>
          <w:rFonts w:ascii="Arial" w:hAnsi="Arial"/>
          <w:sz w:val="22"/>
          <w:szCs w:val="22"/>
        </w:rPr>
        <w:t xml:space="preserve">The comments described a range of benefits of treatment with </w:t>
      </w:r>
      <w:r w:rsidR="00E933B3" w:rsidRPr="00203E20">
        <w:rPr>
          <w:rFonts w:ascii="Arial" w:hAnsi="Arial"/>
          <w:sz w:val="22"/>
          <w:szCs w:val="22"/>
        </w:rPr>
        <w:t>cetuximab</w:t>
      </w:r>
      <w:r w:rsidRPr="00203E20">
        <w:rPr>
          <w:rFonts w:ascii="Arial" w:hAnsi="Arial"/>
          <w:sz w:val="22"/>
          <w:szCs w:val="22"/>
        </w:rPr>
        <w:t xml:space="preserve"> including the </w:t>
      </w:r>
      <w:r w:rsidR="00E933B3" w:rsidRPr="00203E20">
        <w:rPr>
          <w:rFonts w:ascii="Arial" w:hAnsi="Arial"/>
          <w:sz w:val="22"/>
          <w:szCs w:val="22"/>
        </w:rPr>
        <w:t>s</w:t>
      </w:r>
      <w:r w:rsidR="005E1FEE" w:rsidRPr="00203E20">
        <w:rPr>
          <w:rFonts w:ascii="Arial" w:hAnsi="Arial"/>
          <w:sz w:val="22"/>
          <w:szCs w:val="22"/>
        </w:rPr>
        <w:t>urvival benefit</w:t>
      </w:r>
      <w:r w:rsidR="005B26F8">
        <w:rPr>
          <w:rFonts w:ascii="Arial" w:hAnsi="Arial"/>
          <w:sz w:val="22"/>
          <w:szCs w:val="22"/>
        </w:rPr>
        <w:t xml:space="preserve"> of the drug</w:t>
      </w:r>
      <w:r w:rsidR="008E6E51">
        <w:rPr>
          <w:rFonts w:ascii="Arial" w:hAnsi="Arial"/>
          <w:sz w:val="22"/>
          <w:szCs w:val="22"/>
        </w:rPr>
        <w:t>,</w:t>
      </w:r>
      <w:r w:rsidR="005B26F8">
        <w:rPr>
          <w:rFonts w:ascii="Arial" w:hAnsi="Arial"/>
          <w:sz w:val="22"/>
          <w:szCs w:val="22"/>
        </w:rPr>
        <w:t xml:space="preserve"> improved access afforded by PBS listing</w:t>
      </w:r>
      <w:r w:rsidR="008E6E51">
        <w:rPr>
          <w:rFonts w:ascii="Arial" w:hAnsi="Arial"/>
          <w:sz w:val="22"/>
          <w:szCs w:val="22"/>
        </w:rPr>
        <w:t xml:space="preserve"> and fewer</w:t>
      </w:r>
      <w:r w:rsidRPr="00203E20">
        <w:rPr>
          <w:rFonts w:ascii="Arial" w:hAnsi="Arial"/>
          <w:sz w:val="22"/>
          <w:szCs w:val="22"/>
        </w:rPr>
        <w:t xml:space="preserve"> si</w:t>
      </w:r>
      <w:r w:rsidR="00203E20">
        <w:rPr>
          <w:rFonts w:ascii="Arial" w:hAnsi="Arial"/>
          <w:sz w:val="22"/>
          <w:szCs w:val="22"/>
        </w:rPr>
        <w:t>de effects.</w:t>
      </w:r>
    </w:p>
    <w:p w:rsidR="00BB7EC3" w:rsidRPr="000E6901" w:rsidRDefault="00BB7EC3" w:rsidP="000E6901">
      <w:pPr>
        <w:jc w:val="both"/>
        <w:rPr>
          <w:rFonts w:ascii="Arial" w:hAnsi="Arial"/>
          <w:sz w:val="22"/>
          <w:szCs w:val="22"/>
        </w:rPr>
      </w:pPr>
    </w:p>
    <w:p w:rsidR="00BB7EC3" w:rsidRPr="00203E20" w:rsidRDefault="00BB7EC3" w:rsidP="00D479CB">
      <w:pPr>
        <w:pStyle w:val="ListParagraph"/>
        <w:numPr>
          <w:ilvl w:val="1"/>
          <w:numId w:val="25"/>
        </w:numPr>
        <w:jc w:val="both"/>
        <w:rPr>
          <w:rFonts w:ascii="Arial" w:hAnsi="Arial"/>
          <w:sz w:val="22"/>
          <w:szCs w:val="22"/>
        </w:rPr>
      </w:pPr>
      <w:r w:rsidRPr="00203E20">
        <w:rPr>
          <w:rFonts w:ascii="Arial" w:hAnsi="Arial"/>
          <w:sz w:val="22"/>
          <w:szCs w:val="22"/>
        </w:rPr>
        <w:t xml:space="preserve">The PBAC </w:t>
      </w:r>
      <w:r w:rsidR="005E1FEE" w:rsidRPr="00203E20">
        <w:rPr>
          <w:rFonts w:ascii="Arial" w:hAnsi="Arial"/>
          <w:sz w:val="22"/>
          <w:szCs w:val="22"/>
        </w:rPr>
        <w:t xml:space="preserve">noted the advice received from Bowel Cancer Australia </w:t>
      </w:r>
      <w:r w:rsidRPr="00203E20">
        <w:rPr>
          <w:rFonts w:ascii="Arial" w:hAnsi="Arial"/>
          <w:sz w:val="22"/>
          <w:szCs w:val="22"/>
        </w:rPr>
        <w:t xml:space="preserve">clarifying the likely use of </w:t>
      </w:r>
      <w:r w:rsidR="005E1FEE" w:rsidRPr="00203E20">
        <w:rPr>
          <w:rFonts w:ascii="Arial" w:hAnsi="Arial"/>
          <w:sz w:val="22"/>
          <w:szCs w:val="22"/>
        </w:rPr>
        <w:t>cetuximab</w:t>
      </w:r>
      <w:r w:rsidR="000E6901">
        <w:rPr>
          <w:rFonts w:ascii="Arial" w:hAnsi="Arial"/>
          <w:sz w:val="22"/>
          <w:szCs w:val="22"/>
        </w:rPr>
        <w:t xml:space="preserve"> in clinical practice. </w:t>
      </w:r>
      <w:r w:rsidRPr="00203E20">
        <w:rPr>
          <w:rFonts w:ascii="Arial" w:hAnsi="Arial"/>
          <w:sz w:val="22"/>
          <w:szCs w:val="22"/>
        </w:rPr>
        <w:t xml:space="preserve">The PBAC specifically noted the advice that the use of </w:t>
      </w:r>
      <w:r w:rsidR="005E1FEE" w:rsidRPr="00203E20">
        <w:rPr>
          <w:rFonts w:ascii="Arial" w:hAnsi="Arial"/>
          <w:sz w:val="22"/>
          <w:szCs w:val="22"/>
        </w:rPr>
        <w:t>cetuximab</w:t>
      </w:r>
      <w:r w:rsidRPr="00203E20">
        <w:rPr>
          <w:rFonts w:ascii="Arial" w:hAnsi="Arial"/>
          <w:sz w:val="22"/>
          <w:szCs w:val="22"/>
        </w:rPr>
        <w:t xml:space="preserve"> </w:t>
      </w:r>
      <w:r w:rsidR="005E1FEE" w:rsidRPr="00203E20">
        <w:rPr>
          <w:rFonts w:ascii="Arial" w:hAnsi="Arial"/>
          <w:sz w:val="22"/>
          <w:szCs w:val="22"/>
        </w:rPr>
        <w:t>show</w:t>
      </w:r>
      <w:r w:rsidR="000E6901">
        <w:rPr>
          <w:rFonts w:ascii="Arial" w:hAnsi="Arial"/>
          <w:sz w:val="22"/>
          <w:szCs w:val="22"/>
        </w:rPr>
        <w:t>s</w:t>
      </w:r>
      <w:r w:rsidR="005E1FEE" w:rsidRPr="00203E20">
        <w:rPr>
          <w:rFonts w:ascii="Arial" w:hAnsi="Arial"/>
          <w:sz w:val="22"/>
          <w:szCs w:val="22"/>
        </w:rPr>
        <w:t xml:space="preserve"> a survival benefit over bevacizumab. </w:t>
      </w:r>
      <w:r w:rsidRPr="00203E20">
        <w:rPr>
          <w:rFonts w:ascii="Arial" w:hAnsi="Arial"/>
          <w:sz w:val="22"/>
          <w:szCs w:val="22"/>
        </w:rPr>
        <w:t>The PBAC noted that this ad</w:t>
      </w:r>
      <w:r w:rsidR="005E1FEE" w:rsidRPr="00203E20">
        <w:rPr>
          <w:rFonts w:ascii="Arial" w:hAnsi="Arial"/>
          <w:sz w:val="22"/>
          <w:szCs w:val="22"/>
        </w:rPr>
        <w:t xml:space="preserve">vice </w:t>
      </w:r>
      <w:r w:rsidRPr="00203E20">
        <w:rPr>
          <w:rFonts w:ascii="Arial" w:hAnsi="Arial"/>
          <w:sz w:val="22"/>
          <w:szCs w:val="22"/>
        </w:rPr>
        <w:t xml:space="preserve">was not </w:t>
      </w:r>
      <w:r w:rsidR="008B735F">
        <w:rPr>
          <w:rFonts w:ascii="Arial" w:hAnsi="Arial"/>
          <w:sz w:val="22"/>
          <w:szCs w:val="22"/>
        </w:rPr>
        <w:t xml:space="preserve">adequately </w:t>
      </w:r>
      <w:r w:rsidRPr="00203E20">
        <w:rPr>
          <w:rFonts w:ascii="Arial" w:hAnsi="Arial"/>
          <w:sz w:val="22"/>
          <w:szCs w:val="22"/>
        </w:rPr>
        <w:t>support</w:t>
      </w:r>
      <w:r w:rsidR="000E6901">
        <w:rPr>
          <w:rFonts w:ascii="Arial" w:hAnsi="Arial"/>
          <w:sz w:val="22"/>
          <w:szCs w:val="22"/>
        </w:rPr>
        <w:t>ed by</w:t>
      </w:r>
      <w:r w:rsidRPr="00203E20">
        <w:rPr>
          <w:rFonts w:ascii="Arial" w:hAnsi="Arial"/>
          <w:sz w:val="22"/>
          <w:szCs w:val="22"/>
        </w:rPr>
        <w:t xml:space="preserve"> the evidence provided in the submission.</w:t>
      </w:r>
    </w:p>
    <w:p w:rsidR="002B1AE6" w:rsidRPr="005D0BB6" w:rsidRDefault="002B1AE6" w:rsidP="00882085">
      <w:pPr>
        <w:jc w:val="both"/>
        <w:rPr>
          <w:rFonts w:ascii="Arial" w:hAnsi="Arial"/>
          <w:sz w:val="22"/>
          <w:szCs w:val="22"/>
        </w:rPr>
      </w:pPr>
    </w:p>
    <w:p w:rsidR="00B43E90" w:rsidRPr="00F3502F" w:rsidRDefault="00B43E90" w:rsidP="00882085">
      <w:pPr>
        <w:jc w:val="both"/>
        <w:rPr>
          <w:rFonts w:ascii="Arial" w:hAnsi="Arial"/>
          <w:b/>
          <w:sz w:val="22"/>
          <w:szCs w:val="22"/>
        </w:rPr>
      </w:pPr>
      <w:r w:rsidRPr="00F3502F">
        <w:rPr>
          <w:rFonts w:ascii="Arial" w:hAnsi="Arial"/>
          <w:b/>
          <w:sz w:val="22"/>
          <w:szCs w:val="22"/>
        </w:rPr>
        <w:lastRenderedPageBreak/>
        <w:t>Clinical trials</w:t>
      </w:r>
    </w:p>
    <w:p w:rsidR="002B1AE6" w:rsidRPr="00882085" w:rsidRDefault="002B1AE6" w:rsidP="00882085">
      <w:pPr>
        <w:jc w:val="both"/>
        <w:rPr>
          <w:rFonts w:ascii="Arial" w:hAnsi="Arial"/>
          <w:sz w:val="22"/>
          <w:szCs w:val="22"/>
        </w:rPr>
      </w:pPr>
    </w:p>
    <w:p w:rsidR="00B6773F" w:rsidRDefault="00D17E66" w:rsidP="00D479CB">
      <w:pPr>
        <w:pStyle w:val="ListParagraph"/>
        <w:numPr>
          <w:ilvl w:val="1"/>
          <w:numId w:val="25"/>
        </w:numPr>
        <w:jc w:val="both"/>
        <w:rPr>
          <w:rFonts w:ascii="Arial" w:hAnsi="Arial"/>
          <w:sz w:val="22"/>
          <w:szCs w:val="22"/>
        </w:rPr>
      </w:pPr>
      <w:r w:rsidRPr="00D17E66">
        <w:rPr>
          <w:rFonts w:ascii="Arial" w:hAnsi="Arial"/>
          <w:sz w:val="22"/>
          <w:szCs w:val="22"/>
        </w:rPr>
        <w:t xml:space="preserve">The resubmission </w:t>
      </w:r>
      <w:r w:rsidR="005D0BB6">
        <w:rPr>
          <w:rFonts w:ascii="Arial" w:hAnsi="Arial"/>
          <w:sz w:val="22"/>
          <w:szCs w:val="22"/>
        </w:rPr>
        <w:t>wa</w:t>
      </w:r>
      <w:r w:rsidRPr="00D17E66">
        <w:rPr>
          <w:rFonts w:ascii="Arial" w:hAnsi="Arial"/>
          <w:sz w:val="22"/>
          <w:szCs w:val="22"/>
        </w:rPr>
        <w:t xml:space="preserve">s based on one head-to-head randomised trial (FIRE-3) comparing cetuximab with bevacizumab, in combination with FOLFIRI, for first-line treatment of mCRC. Thus the same FIRE-3 trial (cetuximab + FOLFIRI vs bevacizumab + FOLFIRI), presented in the previous submission for an ITT population with KRAS WT tumours, </w:t>
      </w:r>
      <w:r w:rsidR="005D0BB6">
        <w:rPr>
          <w:rFonts w:ascii="Arial" w:hAnsi="Arial"/>
          <w:sz w:val="22"/>
          <w:szCs w:val="22"/>
        </w:rPr>
        <w:t>wa</w:t>
      </w:r>
      <w:r w:rsidRPr="00D17E66">
        <w:rPr>
          <w:rFonts w:ascii="Arial" w:hAnsi="Arial"/>
          <w:sz w:val="22"/>
          <w:szCs w:val="22"/>
        </w:rPr>
        <w:t xml:space="preserve">s reproduced in the current resubmission with updated results for a newly proposed subgroup of mCRC patients with RAS WT tumours (n=407 for the RAS evaluable population and n=342 for RAS WT). The subgroup analysis </w:t>
      </w:r>
      <w:r w:rsidR="005D0BB6">
        <w:rPr>
          <w:rFonts w:ascii="Arial" w:hAnsi="Arial"/>
          <w:sz w:val="22"/>
          <w:szCs w:val="22"/>
        </w:rPr>
        <w:t>wa</w:t>
      </w:r>
      <w:r w:rsidRPr="00D17E66">
        <w:rPr>
          <w:rFonts w:ascii="Arial" w:hAnsi="Arial"/>
          <w:sz w:val="22"/>
          <w:szCs w:val="22"/>
        </w:rPr>
        <w:t xml:space="preserve">s retrospective for the RAS WT biomarker subgroup, as there were concerns regarding inadequate targeting using KRAS WT status alone. </w:t>
      </w:r>
      <w:r w:rsidR="00D37EE1">
        <w:rPr>
          <w:rFonts w:ascii="Arial" w:hAnsi="Arial"/>
          <w:sz w:val="22"/>
          <w:szCs w:val="22"/>
        </w:rPr>
        <w:t>The ESC</w:t>
      </w:r>
      <w:r w:rsidRPr="00D17E66">
        <w:rPr>
          <w:rFonts w:ascii="Arial" w:hAnsi="Arial"/>
          <w:sz w:val="22"/>
          <w:szCs w:val="22"/>
        </w:rPr>
        <w:t xml:space="preserve"> noted that preliminary results from a RAS WT subgroup analysis of the CALGB/SWOG 80405 trial were recently presented at the European Society for Medical Oncology (ESMO) 2014 Congress and requested that details of these results should be included in the ESC Advice and its meta-analyses where possible</w:t>
      </w:r>
      <w:r w:rsidR="009C703C" w:rsidRPr="00882085">
        <w:rPr>
          <w:rFonts w:ascii="Arial" w:hAnsi="Arial"/>
          <w:sz w:val="22"/>
          <w:szCs w:val="22"/>
        </w:rPr>
        <w:t>.</w:t>
      </w:r>
    </w:p>
    <w:p w:rsidR="00D17E66" w:rsidRPr="005D0BB6" w:rsidRDefault="00D17E66" w:rsidP="005D0BB6">
      <w:pPr>
        <w:jc w:val="both"/>
        <w:rPr>
          <w:rFonts w:ascii="Arial" w:hAnsi="Arial"/>
          <w:sz w:val="22"/>
          <w:szCs w:val="22"/>
        </w:rPr>
      </w:pPr>
    </w:p>
    <w:p w:rsidR="00D17E66" w:rsidRDefault="00D17E66" w:rsidP="00D479CB">
      <w:pPr>
        <w:pStyle w:val="ListParagraph"/>
        <w:numPr>
          <w:ilvl w:val="1"/>
          <w:numId w:val="25"/>
        </w:numPr>
        <w:jc w:val="both"/>
        <w:rPr>
          <w:rFonts w:ascii="Arial" w:hAnsi="Arial"/>
          <w:sz w:val="22"/>
          <w:szCs w:val="22"/>
        </w:rPr>
      </w:pPr>
      <w:r w:rsidRPr="00D17E66">
        <w:rPr>
          <w:rFonts w:ascii="Arial" w:hAnsi="Arial"/>
          <w:sz w:val="22"/>
          <w:szCs w:val="22"/>
        </w:rPr>
        <w:t xml:space="preserve">Details of the FIRE-3 and CALGB/SWOG 80405 trials are provided in </w:t>
      </w:r>
      <w:r w:rsidR="00923082">
        <w:rPr>
          <w:rFonts w:ascii="Arial" w:hAnsi="Arial"/>
          <w:sz w:val="22"/>
          <w:szCs w:val="22"/>
        </w:rPr>
        <w:t>the table below</w:t>
      </w:r>
      <w:r>
        <w:rPr>
          <w:rFonts w:ascii="Arial" w:hAnsi="Arial"/>
          <w:sz w:val="22"/>
          <w:szCs w:val="22"/>
        </w:rPr>
        <w:t>.</w:t>
      </w:r>
    </w:p>
    <w:p w:rsidR="0058764A" w:rsidRPr="005D0BB6" w:rsidRDefault="0058764A" w:rsidP="005D0BB6">
      <w:pPr>
        <w:rPr>
          <w:rFonts w:ascii="Arial" w:hAnsi="Arial"/>
          <w:sz w:val="22"/>
          <w:szCs w:val="22"/>
        </w:rPr>
      </w:pPr>
    </w:p>
    <w:p w:rsidR="0058764A" w:rsidRPr="0058764A" w:rsidRDefault="0058764A" w:rsidP="0058764A">
      <w:pPr>
        <w:widowControl w:val="0"/>
        <w:ind w:left="714"/>
        <w:jc w:val="both"/>
        <w:rPr>
          <w:rFonts w:ascii="Arial Narrow" w:hAnsi="Arial Narrow" w:cs="Arial"/>
          <w:b/>
          <w:snapToGrid w:val="0"/>
          <w:sz w:val="20"/>
          <w:szCs w:val="16"/>
          <w:lang w:eastAsia="en-US"/>
        </w:rPr>
      </w:pPr>
      <w:r w:rsidRPr="0058764A">
        <w:rPr>
          <w:rFonts w:ascii="Arial Narrow" w:hAnsi="Arial Narrow" w:cs="Arial"/>
          <w:b/>
          <w:snapToGrid w:val="0"/>
          <w:sz w:val="20"/>
          <w:szCs w:val="16"/>
          <w:lang w:eastAsia="en-US"/>
        </w:rPr>
        <w:t>Key trials to support the request to list cetuximab as a first-line treatment for RAS WT mCRC</w:t>
      </w:r>
    </w:p>
    <w:tbl>
      <w:tblPr>
        <w:tblW w:w="4598"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613"/>
        <w:gridCol w:w="2040"/>
      </w:tblGrid>
      <w:tr w:rsidR="0058764A" w:rsidRPr="0058764A" w:rsidTr="00347413">
        <w:tc>
          <w:tcPr>
            <w:tcW w:w="498" w:type="pct"/>
          </w:tcPr>
          <w:p w:rsidR="0058764A" w:rsidRPr="0058764A" w:rsidRDefault="0058764A" w:rsidP="0058764A">
            <w:pPr>
              <w:widowControl w:val="0"/>
              <w:jc w:val="both"/>
              <w:rPr>
                <w:rFonts w:ascii="Arial Narrow" w:hAnsi="Arial Narrow" w:cs="Arial"/>
                <w:b/>
                <w:snapToGrid w:val="0"/>
                <w:sz w:val="20"/>
                <w:szCs w:val="20"/>
                <w:lang w:eastAsia="en-US"/>
              </w:rPr>
            </w:pPr>
            <w:r w:rsidRPr="0058764A">
              <w:rPr>
                <w:rFonts w:ascii="Arial Narrow" w:hAnsi="Arial Narrow" w:cs="Arial"/>
                <w:b/>
                <w:snapToGrid w:val="0"/>
                <w:sz w:val="20"/>
                <w:szCs w:val="20"/>
                <w:lang w:eastAsia="en-US"/>
              </w:rPr>
              <w:t>Trial ID</w:t>
            </w:r>
          </w:p>
        </w:tc>
        <w:tc>
          <w:tcPr>
            <w:tcW w:w="3302" w:type="pct"/>
          </w:tcPr>
          <w:p w:rsidR="0058764A" w:rsidRPr="0058764A" w:rsidRDefault="0058764A" w:rsidP="0058764A">
            <w:pPr>
              <w:widowControl w:val="0"/>
              <w:jc w:val="center"/>
              <w:rPr>
                <w:rFonts w:ascii="Arial Narrow" w:hAnsi="Arial Narrow" w:cs="Arial"/>
                <w:b/>
                <w:snapToGrid w:val="0"/>
                <w:sz w:val="20"/>
                <w:szCs w:val="20"/>
                <w:lang w:eastAsia="en-US"/>
              </w:rPr>
            </w:pPr>
            <w:r w:rsidRPr="0058764A">
              <w:rPr>
                <w:rFonts w:ascii="Arial Narrow" w:hAnsi="Arial Narrow" w:cs="Arial"/>
                <w:b/>
                <w:snapToGrid w:val="0"/>
                <w:sz w:val="20"/>
                <w:szCs w:val="20"/>
                <w:lang w:eastAsia="en-US"/>
              </w:rPr>
              <w:t>Protocol title/ Publication title</w:t>
            </w:r>
          </w:p>
        </w:tc>
        <w:tc>
          <w:tcPr>
            <w:tcW w:w="1201" w:type="pct"/>
          </w:tcPr>
          <w:p w:rsidR="0058764A" w:rsidRPr="0058764A" w:rsidRDefault="0058764A" w:rsidP="0058764A">
            <w:pPr>
              <w:widowControl w:val="0"/>
              <w:jc w:val="center"/>
              <w:rPr>
                <w:rFonts w:ascii="Arial Narrow" w:hAnsi="Arial Narrow" w:cs="Arial"/>
                <w:b/>
                <w:snapToGrid w:val="0"/>
                <w:sz w:val="20"/>
                <w:szCs w:val="20"/>
                <w:lang w:eastAsia="en-US"/>
              </w:rPr>
            </w:pPr>
            <w:r w:rsidRPr="0058764A">
              <w:rPr>
                <w:rFonts w:ascii="Arial Narrow" w:hAnsi="Arial Narrow" w:cs="Arial"/>
                <w:b/>
                <w:snapToGrid w:val="0"/>
                <w:sz w:val="20"/>
                <w:szCs w:val="20"/>
                <w:lang w:eastAsia="en-US"/>
              </w:rPr>
              <w:t>Publication citation</w:t>
            </w:r>
          </w:p>
        </w:tc>
      </w:tr>
      <w:tr w:rsidR="0058764A" w:rsidRPr="0058764A" w:rsidTr="00347413">
        <w:tc>
          <w:tcPr>
            <w:tcW w:w="5000" w:type="pct"/>
            <w:gridSpan w:val="3"/>
            <w:tcBorders>
              <w:bottom w:val="single" w:sz="4" w:space="0" w:color="auto"/>
            </w:tcBorders>
          </w:tcPr>
          <w:p w:rsidR="0058764A" w:rsidRPr="0058764A" w:rsidRDefault="0058764A" w:rsidP="0058764A">
            <w:pPr>
              <w:widowControl w:val="0"/>
              <w:jc w:val="both"/>
              <w:rPr>
                <w:rFonts w:ascii="Arial Narrow" w:hAnsi="Arial Narrow" w:cs="Arial"/>
                <w:b/>
                <w:snapToGrid w:val="0"/>
                <w:sz w:val="20"/>
                <w:szCs w:val="20"/>
                <w:lang w:eastAsia="en-US"/>
              </w:rPr>
            </w:pPr>
            <w:r w:rsidRPr="0058764A">
              <w:rPr>
                <w:rFonts w:ascii="Arial Narrow" w:hAnsi="Arial Narrow" w:cs="Arial"/>
                <w:b/>
                <w:snapToGrid w:val="0"/>
                <w:sz w:val="20"/>
                <w:szCs w:val="20"/>
                <w:lang w:eastAsia="en-US"/>
              </w:rPr>
              <w:t>Direct randomised trial</w:t>
            </w:r>
          </w:p>
        </w:tc>
      </w:tr>
      <w:tr w:rsidR="0058764A" w:rsidRPr="0058764A" w:rsidTr="00347413">
        <w:tc>
          <w:tcPr>
            <w:tcW w:w="498" w:type="pct"/>
            <w:tcBorders>
              <w:bottom w:val="nil"/>
            </w:tcBorders>
          </w:tcPr>
          <w:p w:rsidR="0058764A" w:rsidRPr="0058764A" w:rsidRDefault="0058764A" w:rsidP="0058764A">
            <w:pPr>
              <w:rPr>
                <w:rFonts w:ascii="Arial Narrow" w:hAnsi="Arial Narrow" w:cs="Arial"/>
                <w:sz w:val="20"/>
                <w:szCs w:val="20"/>
              </w:rPr>
            </w:pPr>
            <w:r w:rsidRPr="0058764A">
              <w:rPr>
                <w:rFonts w:ascii="Arial Narrow" w:hAnsi="Arial Narrow" w:cs="Arial"/>
                <w:sz w:val="20"/>
                <w:szCs w:val="20"/>
              </w:rPr>
              <w:t>FIRE-3</w:t>
            </w:r>
          </w:p>
        </w:tc>
        <w:tc>
          <w:tcPr>
            <w:tcW w:w="3302" w:type="pct"/>
            <w:vMerge w:val="restart"/>
          </w:tcPr>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National Institutes of Health Clinical Trial Registry</w:t>
            </w: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Heinemann V. 5-FU, folinic acid and irinotecan (FOLFIRI) plus cetuximab versus FOLFIRI plus bevacizumab in first-line treatment colorectal cancer (CRC). NCT00433927.</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Protocol AIO CRC 0306</w:t>
            </w: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Randomized study to investigate the efficacy of FOLFIRI in</w:t>
            </w: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combination with cetuximab vs. bevacizumab in the first-line</w:t>
            </w: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treatment of metastatic colorectal cancer. Clinical data cut-off date: 17 April 2013</w:t>
            </w:r>
          </w:p>
        </w:tc>
        <w:tc>
          <w:tcPr>
            <w:tcW w:w="1201" w:type="pct"/>
            <w:vMerge w:val="restart"/>
          </w:tcPr>
          <w:p w:rsidR="0058764A" w:rsidRPr="0058764A" w:rsidRDefault="0058764A" w:rsidP="0058764A">
            <w:pPr>
              <w:rPr>
                <w:rFonts w:ascii="Arial Narrow" w:hAnsi="Arial Narrow" w:cs="Arial"/>
                <w:sz w:val="20"/>
                <w:szCs w:val="20"/>
              </w:rPr>
            </w:pPr>
          </w:p>
          <w:p w:rsidR="0058764A" w:rsidRPr="0058764A" w:rsidRDefault="0058764A" w:rsidP="0058764A">
            <w:pPr>
              <w:rPr>
                <w:rFonts w:ascii="Arial Narrow" w:hAnsi="Arial Narrow" w:cs="Arial"/>
                <w:sz w:val="20"/>
                <w:szCs w:val="20"/>
              </w:rPr>
            </w:pPr>
            <w:r w:rsidRPr="0058764A">
              <w:rPr>
                <w:rFonts w:ascii="Arial Narrow" w:hAnsi="Arial Narrow" w:cs="Arial"/>
                <w:sz w:val="20"/>
                <w:szCs w:val="20"/>
              </w:rPr>
              <w:t>October 2012</w:t>
            </w:r>
          </w:p>
          <w:p w:rsidR="0058764A" w:rsidRPr="0058764A" w:rsidRDefault="0058764A" w:rsidP="0058764A">
            <w:pPr>
              <w:rPr>
                <w:rFonts w:ascii="Arial Narrow" w:hAnsi="Arial Narrow" w:cs="Arial"/>
                <w:sz w:val="20"/>
                <w:szCs w:val="20"/>
              </w:rPr>
            </w:pPr>
          </w:p>
          <w:p w:rsidR="0058764A" w:rsidRPr="0058764A" w:rsidRDefault="0058764A" w:rsidP="0058764A">
            <w:pPr>
              <w:rPr>
                <w:rFonts w:ascii="Arial Narrow" w:hAnsi="Arial Narrow" w:cs="Arial"/>
                <w:sz w:val="20"/>
                <w:szCs w:val="20"/>
              </w:rPr>
            </w:pPr>
          </w:p>
          <w:p w:rsidR="0058764A" w:rsidRPr="0058764A" w:rsidRDefault="0058764A" w:rsidP="0058764A">
            <w:pPr>
              <w:rPr>
                <w:rFonts w:ascii="Arial Narrow" w:hAnsi="Arial Narrow" w:cs="Arial"/>
                <w:sz w:val="20"/>
                <w:szCs w:val="20"/>
              </w:rPr>
            </w:pPr>
          </w:p>
          <w:p w:rsidR="0058764A" w:rsidRPr="0058764A" w:rsidRDefault="0058764A" w:rsidP="0058764A">
            <w:pPr>
              <w:rPr>
                <w:rFonts w:ascii="Arial Narrow" w:hAnsi="Arial Narrow" w:cs="Arial"/>
                <w:sz w:val="20"/>
                <w:szCs w:val="20"/>
              </w:rPr>
            </w:pPr>
          </w:p>
          <w:p w:rsidR="0058764A" w:rsidRPr="0058764A" w:rsidRDefault="0058764A" w:rsidP="0058764A">
            <w:pPr>
              <w:rPr>
                <w:rFonts w:ascii="Arial Narrow" w:hAnsi="Arial Narrow" w:cs="Arial"/>
                <w:sz w:val="20"/>
                <w:szCs w:val="20"/>
              </w:rPr>
            </w:pPr>
            <w:r w:rsidRPr="0058764A">
              <w:rPr>
                <w:rFonts w:ascii="Arial Narrow" w:hAnsi="Arial Narrow" w:cs="Arial"/>
                <w:sz w:val="20"/>
                <w:szCs w:val="20"/>
              </w:rPr>
              <w:t>Updated February 2014</w:t>
            </w:r>
          </w:p>
        </w:tc>
      </w:tr>
      <w:tr w:rsidR="0058764A" w:rsidRPr="0058764A" w:rsidTr="00347413">
        <w:tc>
          <w:tcPr>
            <w:tcW w:w="498" w:type="pct"/>
            <w:tcBorders>
              <w:top w:val="nil"/>
              <w:bottom w:val="nil"/>
            </w:tcBorders>
          </w:tcPr>
          <w:p w:rsidR="0058764A" w:rsidRPr="0058764A" w:rsidRDefault="0058764A" w:rsidP="0058764A">
            <w:pPr>
              <w:rPr>
                <w:rFonts w:ascii="Arial Narrow" w:hAnsi="Arial Narrow" w:cs="Arial"/>
                <w:sz w:val="20"/>
                <w:szCs w:val="20"/>
                <w:highlight w:val="yellow"/>
              </w:rPr>
            </w:pPr>
          </w:p>
        </w:tc>
        <w:tc>
          <w:tcPr>
            <w:tcW w:w="3302" w:type="pct"/>
            <w:vMerge/>
            <w:tcBorders>
              <w:bottom w:val="nil"/>
            </w:tcBorders>
          </w:tcPr>
          <w:p w:rsidR="0058764A" w:rsidRPr="0058764A" w:rsidRDefault="0058764A" w:rsidP="0058764A">
            <w:pPr>
              <w:rPr>
                <w:rFonts w:ascii="Arial Narrow" w:eastAsia="Arial Narrow" w:hAnsi="Arial Narrow" w:cs="Arial"/>
                <w:sz w:val="20"/>
                <w:szCs w:val="20"/>
              </w:rPr>
            </w:pPr>
          </w:p>
        </w:tc>
        <w:tc>
          <w:tcPr>
            <w:tcW w:w="1201" w:type="pct"/>
            <w:vMerge/>
            <w:tcBorders>
              <w:bottom w:val="nil"/>
            </w:tcBorders>
          </w:tcPr>
          <w:p w:rsidR="0058764A" w:rsidRPr="0058764A" w:rsidRDefault="0058764A" w:rsidP="0058764A">
            <w:pPr>
              <w:rPr>
                <w:rFonts w:ascii="Arial Narrow" w:hAnsi="Arial Narrow" w:cs="Arial"/>
                <w:sz w:val="20"/>
                <w:szCs w:val="20"/>
              </w:rPr>
            </w:pPr>
          </w:p>
        </w:tc>
      </w:tr>
      <w:tr w:rsidR="0058764A" w:rsidRPr="0058764A" w:rsidTr="00347413">
        <w:tc>
          <w:tcPr>
            <w:tcW w:w="498" w:type="pct"/>
            <w:tcBorders>
              <w:top w:val="nil"/>
              <w:bottom w:val="nil"/>
            </w:tcBorders>
          </w:tcPr>
          <w:p w:rsidR="0058764A" w:rsidRPr="0058764A" w:rsidRDefault="0058764A" w:rsidP="0058764A">
            <w:pPr>
              <w:rPr>
                <w:rFonts w:ascii="Arial Narrow" w:hAnsi="Arial Narrow" w:cs="Arial"/>
                <w:sz w:val="20"/>
                <w:szCs w:val="20"/>
                <w:highlight w:val="yellow"/>
              </w:rPr>
            </w:pPr>
          </w:p>
        </w:tc>
        <w:tc>
          <w:tcPr>
            <w:tcW w:w="3302" w:type="pct"/>
            <w:tcBorders>
              <w:top w:val="nil"/>
              <w:bottom w:val="nil"/>
            </w:tcBorders>
          </w:tcPr>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Publications</w:t>
            </w: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 xml:space="preserve">Heinemann V, von Weikersthal F, Decker T, </w:t>
            </w:r>
            <w:r w:rsidRPr="0058764A">
              <w:rPr>
                <w:rFonts w:ascii="Arial Narrow" w:eastAsia="Arial Narrow" w:hAnsi="Arial Narrow" w:cs="Arial"/>
                <w:i/>
                <w:sz w:val="20"/>
                <w:szCs w:val="20"/>
              </w:rPr>
              <w:t>et al</w:t>
            </w:r>
            <w:r w:rsidRPr="0058764A">
              <w:rPr>
                <w:rFonts w:ascii="Arial Narrow" w:eastAsia="Arial Narrow" w:hAnsi="Arial Narrow" w:cs="Arial"/>
                <w:sz w:val="20"/>
                <w:szCs w:val="20"/>
              </w:rPr>
              <w:t xml:space="preserve">. Randomised comparison of FOLFIRI plus cetuximab versus FOLFIRI plus bevacizumab as first-line treatment of KRAS wild-type metastatic colorectal cancer: German AIO study KRK-0306 (FIRE-3). </w:t>
            </w:r>
          </w:p>
        </w:tc>
        <w:tc>
          <w:tcPr>
            <w:tcW w:w="1201" w:type="pct"/>
            <w:tcBorders>
              <w:top w:val="nil"/>
              <w:bottom w:val="nil"/>
            </w:tcBorders>
          </w:tcPr>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hAnsi="Arial Narrow" w:cs="Arial"/>
                <w:sz w:val="20"/>
                <w:szCs w:val="20"/>
              </w:rPr>
            </w:pPr>
            <w:r w:rsidRPr="0058764A">
              <w:rPr>
                <w:rFonts w:ascii="Arial Narrow" w:eastAsia="Arial Narrow" w:hAnsi="Arial Narrow" w:cs="Arial"/>
                <w:sz w:val="20"/>
                <w:szCs w:val="20"/>
              </w:rPr>
              <w:t>2013 ASCO Annual Meeting</w:t>
            </w:r>
            <w:r w:rsidRPr="0058764A">
              <w:rPr>
                <w:rFonts w:ascii="Arial Narrow" w:hAnsi="Arial Narrow" w:cs="Arial"/>
                <w:sz w:val="20"/>
                <w:szCs w:val="20"/>
              </w:rPr>
              <w:t xml:space="preserve"> </w:t>
            </w:r>
          </w:p>
          <w:p w:rsidR="0058764A" w:rsidRPr="0058764A" w:rsidRDefault="0058764A" w:rsidP="0058764A">
            <w:pPr>
              <w:rPr>
                <w:rFonts w:ascii="Arial Narrow" w:hAnsi="Arial Narrow" w:cs="Arial"/>
                <w:sz w:val="20"/>
                <w:szCs w:val="20"/>
              </w:rPr>
            </w:pPr>
          </w:p>
        </w:tc>
      </w:tr>
      <w:tr w:rsidR="0058764A" w:rsidRPr="0058764A" w:rsidTr="00347413">
        <w:tc>
          <w:tcPr>
            <w:tcW w:w="498" w:type="pct"/>
            <w:tcBorders>
              <w:top w:val="nil"/>
              <w:bottom w:val="nil"/>
            </w:tcBorders>
          </w:tcPr>
          <w:p w:rsidR="0058764A" w:rsidRPr="0058764A" w:rsidRDefault="0058764A" w:rsidP="0058764A">
            <w:pPr>
              <w:rPr>
                <w:rFonts w:ascii="Arial Narrow" w:hAnsi="Arial Narrow" w:cs="Arial"/>
                <w:sz w:val="20"/>
                <w:szCs w:val="20"/>
                <w:highlight w:val="yellow"/>
              </w:rPr>
            </w:pPr>
          </w:p>
        </w:tc>
        <w:tc>
          <w:tcPr>
            <w:tcW w:w="3302" w:type="pct"/>
            <w:tcBorders>
              <w:top w:val="nil"/>
              <w:bottom w:val="nil"/>
            </w:tcBorders>
          </w:tcPr>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 xml:space="preserve">Stintzing S, Jung A, Neumann J, </w:t>
            </w:r>
            <w:r w:rsidRPr="0058764A">
              <w:rPr>
                <w:rFonts w:ascii="Arial Narrow" w:eastAsia="Arial Narrow" w:hAnsi="Arial Narrow" w:cs="Arial"/>
                <w:i/>
                <w:sz w:val="20"/>
                <w:szCs w:val="20"/>
              </w:rPr>
              <w:t>et al</w:t>
            </w:r>
            <w:r w:rsidRPr="0058764A">
              <w:rPr>
                <w:rFonts w:ascii="Arial Narrow" w:eastAsia="Arial Narrow" w:hAnsi="Arial Narrow" w:cs="Arial"/>
                <w:sz w:val="20"/>
                <w:szCs w:val="20"/>
              </w:rPr>
              <w:t>. FOLFIRI plus cetuximab versus FOLFIRI plus bevacizumab as first-line treatment for patient with metastatic colorectal cancer (mCRC): analysis of patients with KRAS-mutated tumours in the randomized German AIO study KRK-0306.</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 xml:space="preserve">Heinemann V, von Weikersthal F, </w:t>
            </w:r>
            <w:r w:rsidRPr="0058764A">
              <w:rPr>
                <w:rFonts w:ascii="Arial Narrow" w:eastAsia="Arial Narrow" w:hAnsi="Arial Narrow" w:cs="Arial"/>
                <w:i/>
                <w:sz w:val="20"/>
                <w:szCs w:val="20"/>
              </w:rPr>
              <w:t>et al</w:t>
            </w:r>
            <w:r w:rsidRPr="0058764A">
              <w:rPr>
                <w:rFonts w:ascii="Arial Narrow" w:eastAsia="Arial Narrow" w:hAnsi="Arial Narrow" w:cs="Arial"/>
                <w:sz w:val="20"/>
                <w:szCs w:val="20"/>
              </w:rPr>
              <w:t>. Randomized comparison of FOLFIRI plus cetuximab versus FOLFIRI plus bevacizumab as first-line treatment of KRAS-wild-type metastatic colorectal cancer: The FIRE-3 trial (AIO KRK 0307).</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 xml:space="preserve">Modest D, </w:t>
            </w:r>
            <w:r w:rsidRPr="0058764A">
              <w:rPr>
                <w:rFonts w:ascii="Arial Narrow" w:eastAsia="Arial Narrow" w:hAnsi="Arial Narrow" w:cs="Arial"/>
                <w:i/>
                <w:sz w:val="20"/>
                <w:szCs w:val="20"/>
              </w:rPr>
              <w:t>et al</w:t>
            </w:r>
            <w:r w:rsidRPr="0058764A">
              <w:rPr>
                <w:rFonts w:ascii="Arial Narrow" w:eastAsia="Arial Narrow" w:hAnsi="Arial Narrow" w:cs="Arial"/>
                <w:sz w:val="20"/>
                <w:szCs w:val="20"/>
              </w:rPr>
              <w:t xml:space="preserve">. FOLFIRI plus cetuximab versus FOLFIRI plus bevacizumab as first-line treatment of KRAS-wild-type metastatic colorectal cancer: German AIO study KRK-0306 (FIRE-3). </w:t>
            </w:r>
          </w:p>
        </w:tc>
        <w:tc>
          <w:tcPr>
            <w:tcW w:w="1201" w:type="pct"/>
            <w:tcBorders>
              <w:top w:val="nil"/>
              <w:bottom w:val="nil"/>
            </w:tcBorders>
          </w:tcPr>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i/>
                <w:sz w:val="20"/>
                <w:szCs w:val="20"/>
              </w:rPr>
              <w:t>Journal of Clinical Oncology,</w:t>
            </w:r>
            <w:r w:rsidRPr="0058764A">
              <w:rPr>
                <w:rFonts w:ascii="Arial Narrow" w:eastAsia="Arial Narrow" w:hAnsi="Arial Narrow" w:cs="Arial"/>
                <w:sz w:val="20"/>
                <w:szCs w:val="20"/>
              </w:rPr>
              <w:t xml:space="preserve"> 2011; 29 (15 Suppl 1) Abstract 3575</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i/>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i/>
                <w:sz w:val="20"/>
                <w:szCs w:val="20"/>
              </w:rPr>
              <w:t>Onkologie</w:t>
            </w:r>
            <w:r w:rsidRPr="0058764A">
              <w:rPr>
                <w:rFonts w:ascii="Arial Narrow" w:eastAsia="Arial Narrow" w:hAnsi="Arial Narrow" w:cs="Arial"/>
                <w:sz w:val="20"/>
                <w:szCs w:val="20"/>
              </w:rPr>
              <w:t xml:space="preserve"> 2013, 36 (suppl 7):104 Abstract No: V388</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i/>
                <w:sz w:val="20"/>
                <w:szCs w:val="20"/>
              </w:rPr>
            </w:pPr>
          </w:p>
          <w:p w:rsidR="0058764A" w:rsidRPr="0058764A" w:rsidRDefault="0058764A" w:rsidP="0058764A">
            <w:pPr>
              <w:rPr>
                <w:rFonts w:ascii="Arial Narrow" w:hAnsi="Arial Narrow" w:cs="Arial"/>
                <w:sz w:val="20"/>
                <w:szCs w:val="20"/>
              </w:rPr>
            </w:pPr>
            <w:r w:rsidRPr="0058764A">
              <w:rPr>
                <w:rFonts w:ascii="Arial Narrow" w:eastAsia="Arial Narrow" w:hAnsi="Arial Narrow" w:cs="Arial"/>
                <w:i/>
                <w:sz w:val="20"/>
                <w:szCs w:val="20"/>
              </w:rPr>
              <w:t>Annals of Oncology,</w:t>
            </w:r>
            <w:r w:rsidRPr="0058764A">
              <w:rPr>
                <w:rFonts w:ascii="Arial Narrow" w:eastAsia="Arial Narrow" w:hAnsi="Arial Narrow" w:cs="Arial"/>
                <w:sz w:val="20"/>
                <w:szCs w:val="20"/>
              </w:rPr>
              <w:t xml:space="preserve"> 2013; 24 (Suppl 4):iv11-24. </w:t>
            </w:r>
          </w:p>
        </w:tc>
      </w:tr>
      <w:tr w:rsidR="0058764A" w:rsidRPr="0058764A" w:rsidTr="00347413">
        <w:tc>
          <w:tcPr>
            <w:tcW w:w="498" w:type="pct"/>
            <w:tcBorders>
              <w:top w:val="nil"/>
              <w:bottom w:val="nil"/>
            </w:tcBorders>
          </w:tcPr>
          <w:p w:rsidR="0058764A" w:rsidRPr="0058764A" w:rsidRDefault="0058764A" w:rsidP="0058764A">
            <w:pPr>
              <w:rPr>
                <w:rFonts w:ascii="Arial Narrow" w:hAnsi="Arial Narrow" w:cs="Arial"/>
                <w:sz w:val="20"/>
                <w:szCs w:val="20"/>
                <w:highlight w:val="yellow"/>
              </w:rPr>
            </w:pPr>
          </w:p>
        </w:tc>
        <w:tc>
          <w:tcPr>
            <w:tcW w:w="3302" w:type="pct"/>
            <w:tcBorders>
              <w:top w:val="nil"/>
              <w:bottom w:val="nil"/>
            </w:tcBorders>
          </w:tcPr>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 xml:space="preserve">Stintzing S </w:t>
            </w:r>
            <w:r w:rsidRPr="0058764A">
              <w:rPr>
                <w:rFonts w:ascii="Arial Narrow" w:eastAsia="Arial Narrow" w:hAnsi="Arial Narrow" w:cs="Arial"/>
                <w:i/>
                <w:sz w:val="20"/>
                <w:szCs w:val="20"/>
              </w:rPr>
              <w:t>et al</w:t>
            </w:r>
            <w:r w:rsidRPr="0058764A">
              <w:rPr>
                <w:rFonts w:ascii="Arial Narrow" w:eastAsia="Arial Narrow" w:hAnsi="Arial Narrow" w:cs="Arial"/>
                <w:sz w:val="20"/>
                <w:szCs w:val="20"/>
              </w:rPr>
              <w:t xml:space="preserve">. Mutations within the EGFR signaling pathway: Influence </w:t>
            </w:r>
            <w:r w:rsidRPr="0058764A">
              <w:rPr>
                <w:rFonts w:ascii="Arial Narrow" w:eastAsia="Arial Narrow" w:hAnsi="Arial Narrow" w:cs="Arial"/>
                <w:sz w:val="20"/>
                <w:szCs w:val="20"/>
              </w:rPr>
              <w:lastRenderedPageBreak/>
              <w:t xml:space="preserve">on efficacy in FIRE-3—A randomized phase III study of FOLFIRI plus cetuximab or bevacizumab as first-line treatment for wild-type (WT) KRAS (exon 2) metastatic colorectal cancer (mCRC) patients. </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 xml:space="preserve">Stintzing S </w:t>
            </w:r>
            <w:r w:rsidRPr="0058764A">
              <w:rPr>
                <w:rFonts w:ascii="Arial Narrow" w:eastAsia="Arial Narrow" w:hAnsi="Arial Narrow" w:cs="Arial"/>
                <w:i/>
                <w:sz w:val="20"/>
                <w:szCs w:val="20"/>
              </w:rPr>
              <w:t>et al</w:t>
            </w:r>
            <w:r w:rsidRPr="0058764A">
              <w:rPr>
                <w:rFonts w:ascii="Arial Narrow" w:eastAsia="Arial Narrow" w:hAnsi="Arial Narrow" w:cs="Arial"/>
                <w:sz w:val="20"/>
                <w:szCs w:val="20"/>
              </w:rPr>
              <w:t xml:space="preserve">. Analysis of KRAS/NRAS and BRAF mutations in FIRE-3: A randomized phase III study of FOLFIRI plus cetuximab (cet) or bevacizumab (bev) as first-line treatment (tx) for wild-type (WT) KRAS (exon 2) metastatic colorectal cancer (mCRC) patients. </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 xml:space="preserve">Stintzing S, von Weikersthal F, Decker, </w:t>
            </w:r>
            <w:r w:rsidRPr="0058764A">
              <w:rPr>
                <w:rFonts w:ascii="Arial Narrow" w:eastAsia="Arial Narrow" w:hAnsi="Arial Narrow" w:cs="Arial"/>
                <w:i/>
                <w:sz w:val="20"/>
                <w:szCs w:val="20"/>
              </w:rPr>
              <w:t>et al</w:t>
            </w:r>
            <w:r w:rsidRPr="0058764A">
              <w:rPr>
                <w:rFonts w:ascii="Arial Narrow" w:eastAsia="Arial Narrow" w:hAnsi="Arial Narrow" w:cs="Arial"/>
                <w:sz w:val="20"/>
                <w:szCs w:val="20"/>
              </w:rPr>
              <w:t xml:space="preserve">. FOLFIRI plus cetuximab versus FOLFIRI plus bevacizumab as first-line treatment for patient with metastatic colorectal cancer - subgroup analysis of patients with KRAS: mutated tumours in the randomised German AIO study KRK-0306. </w:t>
            </w:r>
          </w:p>
        </w:tc>
        <w:tc>
          <w:tcPr>
            <w:tcW w:w="1201" w:type="pct"/>
            <w:tcBorders>
              <w:top w:val="nil"/>
              <w:bottom w:val="nil"/>
            </w:tcBorders>
          </w:tcPr>
          <w:p w:rsidR="0058764A" w:rsidRPr="0058764A" w:rsidRDefault="0058764A" w:rsidP="0058764A">
            <w:pPr>
              <w:rPr>
                <w:rFonts w:ascii="Arial Narrow" w:eastAsia="Arial Narrow" w:hAnsi="Arial Narrow" w:cs="Arial"/>
                <w:i/>
                <w:sz w:val="20"/>
                <w:szCs w:val="20"/>
                <w:highlight w:val="yellow"/>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i/>
                <w:sz w:val="20"/>
                <w:szCs w:val="20"/>
              </w:rPr>
              <w:t xml:space="preserve">Journal of Clinical </w:t>
            </w:r>
            <w:r w:rsidRPr="0058764A">
              <w:rPr>
                <w:rFonts w:ascii="Arial Narrow" w:eastAsia="Arial Narrow" w:hAnsi="Arial Narrow" w:cs="Arial"/>
                <w:i/>
                <w:sz w:val="20"/>
                <w:szCs w:val="20"/>
              </w:rPr>
              <w:lastRenderedPageBreak/>
              <w:t>Oncology</w:t>
            </w:r>
            <w:r w:rsidRPr="0058764A">
              <w:rPr>
                <w:rFonts w:ascii="Arial Narrow" w:eastAsia="Arial Narrow" w:hAnsi="Arial Narrow" w:cs="Arial"/>
                <w:sz w:val="20"/>
                <w:szCs w:val="20"/>
              </w:rPr>
              <w:t>, 2014; 32 (suppl 3):abstr 445.</w:t>
            </w:r>
          </w:p>
          <w:p w:rsidR="0058764A" w:rsidRPr="0058764A" w:rsidRDefault="0058764A" w:rsidP="0058764A">
            <w:pPr>
              <w:rPr>
                <w:rFonts w:ascii="Arial Narrow" w:eastAsia="Arial Narrow" w:hAnsi="Arial Narrow" w:cs="Arial"/>
                <w:i/>
                <w:sz w:val="20"/>
                <w:szCs w:val="20"/>
              </w:rPr>
            </w:pPr>
          </w:p>
          <w:p w:rsidR="0058764A" w:rsidRPr="0058764A" w:rsidRDefault="0058764A" w:rsidP="0058764A">
            <w:pPr>
              <w:rPr>
                <w:rFonts w:ascii="Arial Narrow" w:eastAsia="Arial Narrow" w:hAnsi="Arial Narrow" w:cs="Arial"/>
                <w:i/>
                <w:sz w:val="20"/>
                <w:szCs w:val="20"/>
              </w:rPr>
            </w:pPr>
          </w:p>
          <w:p w:rsidR="0058764A" w:rsidRPr="0058764A" w:rsidRDefault="0058764A" w:rsidP="0058764A">
            <w:pPr>
              <w:rPr>
                <w:rFonts w:ascii="Arial Narrow" w:eastAsia="Arial Narrow" w:hAnsi="Arial Narrow" w:cs="Arial"/>
                <w:i/>
                <w:sz w:val="20"/>
                <w:szCs w:val="20"/>
                <w:highlight w:val="yellow"/>
              </w:rPr>
            </w:pPr>
            <w:r w:rsidRPr="0058764A">
              <w:rPr>
                <w:rFonts w:ascii="Arial Narrow" w:eastAsia="Arial Narrow" w:hAnsi="Arial Narrow" w:cs="Arial"/>
                <w:i/>
                <w:sz w:val="20"/>
                <w:szCs w:val="20"/>
              </w:rPr>
              <w:t>European Journal of Cancer</w:t>
            </w:r>
            <w:r w:rsidRPr="0058764A">
              <w:rPr>
                <w:rFonts w:ascii="Arial Narrow" w:eastAsia="Arial Narrow" w:hAnsi="Arial Narrow" w:cs="Arial"/>
                <w:sz w:val="20"/>
                <w:szCs w:val="20"/>
              </w:rPr>
              <w:t>, 2013; 49(Suppl 3):s8-9 Abs LBA 17</w:t>
            </w:r>
          </w:p>
          <w:p w:rsidR="0058764A" w:rsidRPr="0058764A" w:rsidRDefault="0058764A" w:rsidP="0058764A">
            <w:pPr>
              <w:rPr>
                <w:rFonts w:ascii="Arial Narrow" w:eastAsia="Arial Narrow" w:hAnsi="Arial Narrow" w:cs="Arial"/>
                <w:i/>
                <w:sz w:val="20"/>
                <w:szCs w:val="20"/>
                <w:highlight w:val="yellow"/>
              </w:rPr>
            </w:pPr>
          </w:p>
          <w:p w:rsidR="0058764A" w:rsidRPr="0058764A" w:rsidRDefault="0058764A" w:rsidP="0058764A">
            <w:pPr>
              <w:rPr>
                <w:rFonts w:ascii="Arial Narrow" w:eastAsia="Arial Narrow" w:hAnsi="Arial Narrow" w:cs="Arial"/>
                <w:i/>
                <w:sz w:val="20"/>
                <w:szCs w:val="20"/>
              </w:rPr>
            </w:pPr>
          </w:p>
          <w:p w:rsidR="0058764A" w:rsidRPr="0058764A" w:rsidRDefault="0058764A" w:rsidP="0058764A">
            <w:pPr>
              <w:rPr>
                <w:rFonts w:ascii="Arial Narrow" w:hAnsi="Arial Narrow" w:cs="Arial"/>
                <w:sz w:val="20"/>
                <w:szCs w:val="20"/>
                <w:highlight w:val="yellow"/>
              </w:rPr>
            </w:pPr>
            <w:r w:rsidRPr="0058764A">
              <w:rPr>
                <w:rFonts w:ascii="Arial Narrow" w:eastAsia="Arial Narrow" w:hAnsi="Arial Narrow" w:cs="Arial"/>
                <w:i/>
                <w:sz w:val="20"/>
                <w:szCs w:val="20"/>
              </w:rPr>
              <w:t>Annals of Oncology,</w:t>
            </w:r>
            <w:r w:rsidRPr="0058764A">
              <w:rPr>
                <w:rFonts w:ascii="Arial Narrow" w:eastAsia="Arial Narrow" w:hAnsi="Arial Narrow" w:cs="Arial"/>
                <w:sz w:val="20"/>
                <w:szCs w:val="20"/>
              </w:rPr>
              <w:t xml:space="preserve"> 2012; 23 (7): 1693-9.</w:t>
            </w:r>
          </w:p>
        </w:tc>
      </w:tr>
      <w:tr w:rsidR="0058764A" w:rsidRPr="0058764A" w:rsidTr="00347413">
        <w:tc>
          <w:tcPr>
            <w:tcW w:w="498" w:type="pct"/>
            <w:tcBorders>
              <w:top w:val="nil"/>
              <w:bottom w:val="single" w:sz="4" w:space="0" w:color="auto"/>
            </w:tcBorders>
          </w:tcPr>
          <w:p w:rsidR="0058764A" w:rsidRPr="0058764A" w:rsidRDefault="0058764A" w:rsidP="0058764A">
            <w:pPr>
              <w:rPr>
                <w:rFonts w:ascii="Arial Narrow" w:hAnsi="Arial Narrow" w:cs="Arial"/>
                <w:sz w:val="20"/>
                <w:szCs w:val="20"/>
              </w:rPr>
            </w:pPr>
          </w:p>
        </w:tc>
        <w:tc>
          <w:tcPr>
            <w:tcW w:w="3302" w:type="pct"/>
            <w:tcBorders>
              <w:top w:val="nil"/>
              <w:bottom w:val="single" w:sz="4" w:space="0" w:color="auto"/>
            </w:tcBorders>
          </w:tcPr>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Letter to the editor.</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Pietrantonio F, Garassino MC, Torri V, et al. Reply to FOLFIRI plus cetuximab versus FOLFIRI plus bevacizumab as first-line treatment for patients with metastatic colorectal cancer-subgroup analysis of patients with KRAS-mutated tumours in the randomised German AIO study KRK-0306.</w:t>
            </w:r>
          </w:p>
        </w:tc>
        <w:tc>
          <w:tcPr>
            <w:tcW w:w="1201" w:type="pct"/>
            <w:tcBorders>
              <w:top w:val="nil"/>
              <w:bottom w:val="single" w:sz="4" w:space="0" w:color="auto"/>
            </w:tcBorders>
          </w:tcPr>
          <w:p w:rsidR="0058764A" w:rsidRPr="0058764A" w:rsidRDefault="0058764A" w:rsidP="0058764A">
            <w:pPr>
              <w:rPr>
                <w:rFonts w:ascii="Arial Narrow" w:eastAsia="Arial Narrow" w:hAnsi="Arial Narrow" w:cs="Arial"/>
                <w:i/>
                <w:sz w:val="20"/>
                <w:szCs w:val="20"/>
              </w:rPr>
            </w:pPr>
          </w:p>
          <w:p w:rsidR="0058764A" w:rsidRPr="0058764A" w:rsidRDefault="0058764A" w:rsidP="0058764A">
            <w:pPr>
              <w:rPr>
                <w:rFonts w:ascii="Arial Narrow" w:eastAsia="Arial Narrow" w:hAnsi="Arial Narrow" w:cs="Arial"/>
                <w:i/>
                <w:sz w:val="20"/>
                <w:szCs w:val="20"/>
              </w:rPr>
            </w:pPr>
          </w:p>
          <w:p w:rsidR="0058764A" w:rsidRPr="0058764A" w:rsidRDefault="0058764A" w:rsidP="0058764A">
            <w:pPr>
              <w:rPr>
                <w:rFonts w:ascii="Arial Narrow" w:hAnsi="Arial Narrow" w:cs="Arial"/>
                <w:sz w:val="20"/>
                <w:szCs w:val="20"/>
              </w:rPr>
            </w:pPr>
            <w:r w:rsidRPr="0058764A">
              <w:rPr>
                <w:rFonts w:ascii="Arial Narrow" w:eastAsia="Arial Narrow" w:hAnsi="Arial Narrow" w:cs="Arial"/>
                <w:i/>
                <w:sz w:val="20"/>
                <w:szCs w:val="20"/>
              </w:rPr>
              <w:t xml:space="preserve">Annals of Oncology, </w:t>
            </w:r>
            <w:r w:rsidRPr="0058764A">
              <w:rPr>
                <w:rFonts w:ascii="Arial Narrow" w:eastAsia="Arial Narrow" w:hAnsi="Arial Narrow" w:cs="Arial"/>
                <w:sz w:val="20"/>
                <w:szCs w:val="20"/>
              </w:rPr>
              <w:t>2012; 23 (10): 2771-2772</w:t>
            </w:r>
          </w:p>
        </w:tc>
      </w:tr>
      <w:tr w:rsidR="0058764A" w:rsidRPr="0058764A" w:rsidTr="00347413">
        <w:tc>
          <w:tcPr>
            <w:tcW w:w="498" w:type="pct"/>
            <w:tcBorders>
              <w:top w:val="single" w:sz="4" w:space="0" w:color="auto"/>
              <w:bottom w:val="single" w:sz="4" w:space="0" w:color="auto"/>
            </w:tcBorders>
          </w:tcPr>
          <w:p w:rsidR="0058764A" w:rsidRPr="0058764A" w:rsidRDefault="0058764A" w:rsidP="0058764A">
            <w:pPr>
              <w:rPr>
                <w:rFonts w:ascii="Arial Narrow" w:hAnsi="Arial Narrow" w:cs="Arial"/>
                <w:sz w:val="20"/>
                <w:szCs w:val="20"/>
              </w:rPr>
            </w:pPr>
            <w:r w:rsidRPr="0058764A">
              <w:rPr>
                <w:rFonts w:ascii="Arial Narrow" w:hAnsi="Arial Narrow" w:cs="Arial"/>
                <w:sz w:val="20"/>
                <w:szCs w:val="20"/>
              </w:rPr>
              <w:t>CALGB/ SWOG 80405</w:t>
            </w:r>
          </w:p>
        </w:tc>
        <w:tc>
          <w:tcPr>
            <w:tcW w:w="3302" w:type="pct"/>
            <w:tcBorders>
              <w:top w:val="single" w:sz="4" w:space="0" w:color="auto"/>
              <w:bottom w:val="single" w:sz="4" w:space="0" w:color="auto"/>
            </w:tcBorders>
          </w:tcPr>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Publications</w:t>
            </w: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Venook AP, Blanke CD, Niedzwiecki D, Lenz HJ, et al. Cancer and Leukemia Group B/Southwest Oncology Group trial 80405: a phase III trial of chemotherapy and biologics for patients with untreated advanced colorectal adenocarcinoma.</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Venook AP, Blanke CD, Niedzwiecki D, Lenz HJ, et al. Revisiting the Cancer and Leukemia Group B/Southwest Oncology Group 80405 Trial: A Phase III Trial of Chemotherapy and Biologic Agents for Patients with Untreated Advanced Colorectal Adenocarcinoma.</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Abstract</w:t>
            </w: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Lenz H, Innocenti F, Blanke C, et al. Abstract 501O - CALGB/SWOG 80405: PHASE III trial of irinotecan/5-FU/leucovorin (FOLFIRI) or oxaliplatin/5-FU/leucovorin (mFOLFOX6) with bevacizumab (BV) or cetuximab (CET) for patients (pts) with expanded ras analyses untreated metastatic adenocarcinoma of the colon or rectum (MCRC)</w:t>
            </w:r>
          </w:p>
        </w:tc>
        <w:tc>
          <w:tcPr>
            <w:tcW w:w="1201" w:type="pct"/>
            <w:tcBorders>
              <w:top w:val="single" w:sz="4" w:space="0" w:color="auto"/>
              <w:bottom w:val="single" w:sz="4" w:space="0" w:color="auto"/>
            </w:tcBorders>
          </w:tcPr>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Clin Colorectal Cancer, 2005, 5(4): 292-294</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Clin Colorectal Cancer, 2007, 7(1): 536-538</w:t>
            </w: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p>
          <w:p w:rsidR="0058764A" w:rsidRPr="0058764A" w:rsidRDefault="0058764A" w:rsidP="0058764A">
            <w:pPr>
              <w:rPr>
                <w:rFonts w:ascii="Arial Narrow" w:eastAsia="Arial Narrow" w:hAnsi="Arial Narrow" w:cs="Arial"/>
                <w:sz w:val="20"/>
                <w:szCs w:val="20"/>
              </w:rPr>
            </w:pPr>
            <w:r w:rsidRPr="0058764A">
              <w:rPr>
                <w:rFonts w:ascii="Arial Narrow" w:eastAsia="Arial Narrow" w:hAnsi="Arial Narrow" w:cs="Arial"/>
                <w:sz w:val="20"/>
                <w:szCs w:val="20"/>
              </w:rPr>
              <w:t>European Society of Medical Oncology (ESMO) 2014.</w:t>
            </w:r>
          </w:p>
        </w:tc>
      </w:tr>
    </w:tbl>
    <w:p w:rsidR="0058764A" w:rsidRPr="00AE5FD8" w:rsidRDefault="0058764A" w:rsidP="0058764A">
      <w:pPr>
        <w:widowControl w:val="0"/>
        <w:ind w:left="709"/>
        <w:jc w:val="both"/>
        <w:rPr>
          <w:rFonts w:ascii="Arial Narrow" w:hAnsi="Arial Narrow" w:cs="Arial"/>
          <w:snapToGrid w:val="0"/>
          <w:sz w:val="18"/>
          <w:szCs w:val="20"/>
          <w:lang w:eastAsia="en-US"/>
        </w:rPr>
      </w:pPr>
      <w:r w:rsidRPr="0058764A">
        <w:rPr>
          <w:rFonts w:ascii="Arial Narrow" w:hAnsi="Arial Narrow" w:cs="Arial"/>
          <w:snapToGrid w:val="0"/>
          <w:sz w:val="18"/>
          <w:szCs w:val="20"/>
          <w:lang w:eastAsia="en-US"/>
        </w:rPr>
        <w:t xml:space="preserve">Source: FIRE-3: Table B.2-2, p44 of the resubmission and Appendix 8 to the resubmission; CALGB/SWOG 80405: </w:t>
      </w:r>
      <w:r w:rsidRPr="00AE5FD8">
        <w:rPr>
          <w:rFonts w:ascii="Arial Narrow" w:hAnsi="Arial Narrow" w:cs="Arial"/>
          <w:snapToGrid w:val="0"/>
          <w:sz w:val="18"/>
          <w:szCs w:val="20"/>
          <w:u w:val="single"/>
          <w:lang w:eastAsia="en-US"/>
        </w:rPr>
        <w:t>http://www.esmo.org/Conferences/ESMO-2014-Congress</w:t>
      </w:r>
      <w:r w:rsidRPr="00AE5FD8">
        <w:rPr>
          <w:rFonts w:ascii="Arial Narrow" w:hAnsi="Arial Narrow" w:cs="Arial"/>
          <w:snapToGrid w:val="0"/>
          <w:sz w:val="18"/>
          <w:szCs w:val="20"/>
          <w:lang w:eastAsia="en-US"/>
        </w:rPr>
        <w:t xml:space="preserve"> and https://clinicaltrials.gov/ </w:t>
      </w:r>
    </w:p>
    <w:p w:rsidR="0058764A" w:rsidRPr="005D0BB6" w:rsidRDefault="0058764A" w:rsidP="005D0BB6">
      <w:pPr>
        <w:rPr>
          <w:rFonts w:ascii="Arial" w:hAnsi="Arial"/>
          <w:sz w:val="22"/>
          <w:szCs w:val="22"/>
        </w:rPr>
      </w:pPr>
    </w:p>
    <w:p w:rsidR="0058764A" w:rsidRDefault="0058764A" w:rsidP="00D479CB">
      <w:pPr>
        <w:pStyle w:val="ListParagraph"/>
        <w:numPr>
          <w:ilvl w:val="1"/>
          <w:numId w:val="25"/>
        </w:numPr>
        <w:jc w:val="both"/>
        <w:rPr>
          <w:rFonts w:ascii="Arial" w:hAnsi="Arial"/>
          <w:sz w:val="22"/>
          <w:szCs w:val="22"/>
        </w:rPr>
      </w:pPr>
      <w:r w:rsidRPr="0058764A">
        <w:rPr>
          <w:rFonts w:ascii="Arial" w:hAnsi="Arial"/>
          <w:sz w:val="22"/>
          <w:szCs w:val="22"/>
        </w:rPr>
        <w:t>The key features of the FIRE-3 and CALGB</w:t>
      </w:r>
      <w:r w:rsidR="00923082">
        <w:rPr>
          <w:rFonts w:ascii="Arial" w:hAnsi="Arial"/>
          <w:sz w:val="22"/>
          <w:szCs w:val="22"/>
        </w:rPr>
        <w:t>/SWOG trials are summarised in table below</w:t>
      </w:r>
      <w:r>
        <w:rPr>
          <w:rFonts w:ascii="Arial" w:hAnsi="Arial"/>
          <w:sz w:val="22"/>
          <w:szCs w:val="22"/>
        </w:rPr>
        <w:t>.</w:t>
      </w:r>
    </w:p>
    <w:p w:rsidR="0058764A" w:rsidRPr="005D0BB6" w:rsidRDefault="0058764A" w:rsidP="005D0BB6">
      <w:pPr>
        <w:jc w:val="both"/>
        <w:rPr>
          <w:rFonts w:ascii="Arial" w:hAnsi="Arial"/>
          <w:sz w:val="22"/>
          <w:szCs w:val="22"/>
        </w:rPr>
      </w:pPr>
    </w:p>
    <w:p w:rsidR="0058764A" w:rsidRPr="0058764A" w:rsidRDefault="0058764A" w:rsidP="0058764A">
      <w:pPr>
        <w:widowControl w:val="0"/>
        <w:ind w:firstLine="720"/>
        <w:jc w:val="both"/>
        <w:rPr>
          <w:rFonts w:ascii="Arial Narrow" w:hAnsi="Arial Narrow" w:cs="Arial"/>
          <w:b/>
          <w:i/>
          <w:snapToGrid w:val="0"/>
          <w:sz w:val="20"/>
          <w:szCs w:val="20"/>
          <w:lang w:eastAsia="en-US"/>
        </w:rPr>
      </w:pPr>
      <w:r w:rsidRPr="0058764A">
        <w:rPr>
          <w:rFonts w:ascii="Arial Narrow" w:hAnsi="Arial Narrow" w:cs="Arial"/>
          <w:b/>
          <w:snapToGrid w:val="0"/>
          <w:sz w:val="20"/>
          <w:szCs w:val="20"/>
          <w:lang w:eastAsia="en-US"/>
        </w:rPr>
        <w:t>Key features of the FIRE-3 and CALGB/SWOG 80405 trials</w:t>
      </w:r>
    </w:p>
    <w:tbl>
      <w:tblPr>
        <w:tblW w:w="4592"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707"/>
        <w:gridCol w:w="1420"/>
        <w:gridCol w:w="2125"/>
        <w:gridCol w:w="1418"/>
        <w:gridCol w:w="1258"/>
      </w:tblGrid>
      <w:tr w:rsidR="0058764A" w:rsidRPr="0058764A" w:rsidTr="00347413">
        <w:tc>
          <w:tcPr>
            <w:tcW w:w="847" w:type="pct"/>
            <w:shd w:val="clear" w:color="auto" w:fill="auto"/>
            <w:vAlign w:val="center"/>
          </w:tcPr>
          <w:p w:rsidR="0058764A" w:rsidRPr="0058764A" w:rsidRDefault="0058764A" w:rsidP="0058764A">
            <w:pPr>
              <w:widowControl w:val="0"/>
              <w:rPr>
                <w:rFonts w:ascii="Arial Narrow" w:hAnsi="Arial Narrow" w:cs="Arial"/>
                <w:b/>
                <w:snapToGrid w:val="0"/>
                <w:sz w:val="20"/>
                <w:szCs w:val="20"/>
                <w:lang w:val="en-US" w:eastAsia="en-US"/>
              </w:rPr>
            </w:pPr>
            <w:r w:rsidRPr="0058764A">
              <w:rPr>
                <w:rFonts w:ascii="Arial Narrow" w:hAnsi="Arial Narrow" w:cs="Arial"/>
                <w:b/>
                <w:snapToGrid w:val="0"/>
                <w:sz w:val="20"/>
                <w:szCs w:val="20"/>
                <w:lang w:val="en-US" w:eastAsia="en-US"/>
              </w:rPr>
              <w:t>Trial</w:t>
            </w:r>
          </w:p>
        </w:tc>
        <w:tc>
          <w:tcPr>
            <w:tcW w:w="424" w:type="pct"/>
            <w:shd w:val="clear" w:color="auto" w:fill="auto"/>
            <w:vAlign w:val="center"/>
          </w:tcPr>
          <w:p w:rsidR="0058764A" w:rsidRPr="0058764A" w:rsidRDefault="0058764A" w:rsidP="0058764A">
            <w:pPr>
              <w:widowControl w:val="0"/>
              <w:jc w:val="center"/>
              <w:rPr>
                <w:rFonts w:ascii="Arial Narrow" w:hAnsi="Arial Narrow" w:cs="Arial"/>
                <w:b/>
                <w:snapToGrid w:val="0"/>
                <w:sz w:val="20"/>
                <w:szCs w:val="20"/>
                <w:lang w:val="en-US" w:eastAsia="en-US"/>
              </w:rPr>
            </w:pPr>
            <w:r w:rsidRPr="0058764A">
              <w:rPr>
                <w:rFonts w:ascii="Arial Narrow" w:hAnsi="Arial Narrow" w:cs="Arial"/>
                <w:b/>
                <w:snapToGrid w:val="0"/>
                <w:sz w:val="20"/>
                <w:szCs w:val="20"/>
                <w:lang w:val="en-US" w:eastAsia="en-US"/>
              </w:rPr>
              <w:t>N</w:t>
            </w:r>
          </w:p>
        </w:tc>
        <w:tc>
          <w:tcPr>
            <w:tcW w:w="851" w:type="pct"/>
            <w:shd w:val="clear" w:color="auto" w:fill="auto"/>
            <w:vAlign w:val="center"/>
          </w:tcPr>
          <w:p w:rsidR="0058764A" w:rsidRPr="0058764A" w:rsidRDefault="0058764A" w:rsidP="0058764A">
            <w:pPr>
              <w:widowControl w:val="0"/>
              <w:jc w:val="center"/>
              <w:rPr>
                <w:rFonts w:ascii="Arial Narrow" w:hAnsi="Arial Narrow" w:cs="Arial"/>
                <w:b/>
                <w:snapToGrid w:val="0"/>
                <w:sz w:val="20"/>
                <w:szCs w:val="20"/>
                <w:lang w:val="en-US" w:eastAsia="en-US"/>
              </w:rPr>
            </w:pPr>
            <w:r w:rsidRPr="0058764A">
              <w:rPr>
                <w:rFonts w:ascii="Arial Narrow" w:hAnsi="Arial Narrow" w:cs="Arial"/>
                <w:b/>
                <w:snapToGrid w:val="0"/>
                <w:sz w:val="20"/>
                <w:szCs w:val="20"/>
                <w:lang w:val="en-US" w:eastAsia="en-US"/>
              </w:rPr>
              <w:t>Design/approx. duration of follow-up</w:t>
            </w:r>
          </w:p>
        </w:tc>
        <w:tc>
          <w:tcPr>
            <w:tcW w:w="1274" w:type="pct"/>
            <w:shd w:val="clear" w:color="auto" w:fill="auto"/>
            <w:vAlign w:val="center"/>
          </w:tcPr>
          <w:p w:rsidR="0058764A" w:rsidRPr="0058764A" w:rsidRDefault="0058764A" w:rsidP="0058764A">
            <w:pPr>
              <w:widowControl w:val="0"/>
              <w:jc w:val="center"/>
              <w:rPr>
                <w:rFonts w:ascii="Arial Narrow" w:hAnsi="Arial Narrow" w:cs="Arial"/>
                <w:b/>
                <w:snapToGrid w:val="0"/>
                <w:sz w:val="20"/>
                <w:szCs w:val="20"/>
                <w:lang w:val="en-US" w:eastAsia="en-US"/>
              </w:rPr>
            </w:pPr>
            <w:r w:rsidRPr="0058764A">
              <w:rPr>
                <w:rFonts w:ascii="Arial Narrow" w:hAnsi="Arial Narrow" w:cs="Arial"/>
                <w:b/>
                <w:snapToGrid w:val="0"/>
                <w:sz w:val="20"/>
                <w:szCs w:val="20"/>
                <w:lang w:val="en-US" w:eastAsia="en-US"/>
              </w:rPr>
              <w:t>Risk of bias/confounding</w:t>
            </w:r>
          </w:p>
        </w:tc>
        <w:tc>
          <w:tcPr>
            <w:tcW w:w="850" w:type="pct"/>
            <w:shd w:val="clear" w:color="auto" w:fill="auto"/>
            <w:vAlign w:val="center"/>
          </w:tcPr>
          <w:p w:rsidR="0058764A" w:rsidRPr="0058764A" w:rsidRDefault="0058764A" w:rsidP="0058764A">
            <w:pPr>
              <w:widowControl w:val="0"/>
              <w:jc w:val="center"/>
              <w:rPr>
                <w:rFonts w:ascii="Arial Narrow" w:hAnsi="Arial Narrow" w:cs="Arial"/>
                <w:b/>
                <w:snapToGrid w:val="0"/>
                <w:sz w:val="20"/>
                <w:szCs w:val="20"/>
                <w:lang w:val="en-US" w:eastAsia="en-US"/>
              </w:rPr>
            </w:pPr>
            <w:r w:rsidRPr="0058764A">
              <w:rPr>
                <w:rFonts w:ascii="Arial Narrow" w:hAnsi="Arial Narrow" w:cs="Arial"/>
                <w:b/>
                <w:snapToGrid w:val="0"/>
                <w:sz w:val="20"/>
                <w:szCs w:val="20"/>
                <w:lang w:val="en-US" w:eastAsia="en-US"/>
              </w:rPr>
              <w:t xml:space="preserve">Patient population </w:t>
            </w:r>
          </w:p>
        </w:tc>
        <w:tc>
          <w:tcPr>
            <w:tcW w:w="754" w:type="pct"/>
            <w:shd w:val="clear" w:color="auto" w:fill="auto"/>
            <w:vAlign w:val="center"/>
          </w:tcPr>
          <w:p w:rsidR="0058764A" w:rsidRPr="0058764A" w:rsidRDefault="0058764A" w:rsidP="0058764A">
            <w:pPr>
              <w:widowControl w:val="0"/>
              <w:jc w:val="center"/>
              <w:rPr>
                <w:rFonts w:ascii="Arial Narrow" w:hAnsi="Arial Narrow" w:cs="Arial"/>
                <w:b/>
                <w:snapToGrid w:val="0"/>
                <w:sz w:val="20"/>
                <w:szCs w:val="20"/>
                <w:lang w:val="en-US" w:eastAsia="en-US"/>
              </w:rPr>
            </w:pPr>
            <w:r w:rsidRPr="0058764A">
              <w:rPr>
                <w:rFonts w:ascii="Arial Narrow" w:hAnsi="Arial Narrow" w:cs="Arial"/>
                <w:b/>
                <w:snapToGrid w:val="0"/>
                <w:sz w:val="20"/>
                <w:szCs w:val="20"/>
                <w:lang w:val="en-US" w:eastAsia="en-US"/>
              </w:rPr>
              <w:t>Outcome(s)</w:t>
            </w:r>
          </w:p>
        </w:tc>
      </w:tr>
      <w:tr w:rsidR="0058764A" w:rsidRPr="0058764A" w:rsidTr="00347413">
        <w:tc>
          <w:tcPr>
            <w:tcW w:w="5000" w:type="pct"/>
            <w:gridSpan w:val="6"/>
            <w:tcBorders>
              <w:bottom w:val="single" w:sz="4" w:space="0" w:color="auto"/>
            </w:tcBorders>
            <w:shd w:val="clear" w:color="auto" w:fill="auto"/>
            <w:vAlign w:val="center"/>
          </w:tcPr>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b/>
                <w:snapToGrid w:val="0"/>
                <w:sz w:val="20"/>
                <w:szCs w:val="20"/>
                <w:lang w:val="en-US" w:eastAsia="en-US"/>
              </w:rPr>
              <w:t xml:space="preserve">Direct comparison: cetuximab + FOLFIRI vs bevacizumab + FOLFIRI </w:t>
            </w:r>
          </w:p>
        </w:tc>
      </w:tr>
      <w:tr w:rsidR="0058764A" w:rsidRPr="0058764A" w:rsidTr="00347413">
        <w:tc>
          <w:tcPr>
            <w:tcW w:w="847" w:type="pct"/>
            <w:tcBorders>
              <w:bottom w:val="nil"/>
            </w:tcBorders>
            <w:shd w:val="clear" w:color="auto" w:fill="auto"/>
          </w:tcPr>
          <w:p w:rsidR="0058764A" w:rsidRPr="0058764A" w:rsidRDefault="0058764A" w:rsidP="0058764A">
            <w:pPr>
              <w:widowControl w:val="0"/>
              <w:rPr>
                <w:rFonts w:ascii="Arial Narrow" w:hAnsi="Arial Narrow" w:cs="Arial"/>
                <w:snapToGrid w:val="0"/>
                <w:sz w:val="20"/>
                <w:szCs w:val="20"/>
                <w:u w:val="single"/>
                <w:lang w:val="en-US" w:eastAsia="en-US"/>
              </w:rPr>
            </w:pPr>
            <w:r w:rsidRPr="0058764A">
              <w:rPr>
                <w:rFonts w:ascii="Arial Narrow" w:hAnsi="Arial Narrow" w:cs="Arial"/>
                <w:snapToGrid w:val="0"/>
                <w:sz w:val="20"/>
                <w:szCs w:val="20"/>
                <w:u w:val="single"/>
                <w:lang w:val="en-US" w:eastAsia="en-US"/>
              </w:rPr>
              <w:t>FIRE-3</w:t>
            </w:r>
          </w:p>
          <w:p w:rsidR="0058764A" w:rsidRPr="0058764A" w:rsidRDefault="0058764A" w:rsidP="0058764A">
            <w:pPr>
              <w:widowControl w:val="0"/>
              <w:numPr>
                <w:ilvl w:val="0"/>
                <w:numId w:val="38"/>
              </w:numPr>
              <w:ind w:left="398" w:hanging="284"/>
              <w:contextualSpacing/>
              <w:jc w:val="both"/>
              <w:rPr>
                <w:rFonts w:ascii="Arial Narrow" w:hAnsi="Arial Narrow" w:cs="Arial"/>
                <w:snapToGrid w:val="0"/>
                <w:sz w:val="20"/>
                <w:szCs w:val="20"/>
                <w:u w:val="single"/>
                <w:lang w:val="en-US" w:eastAsia="en-US"/>
              </w:rPr>
            </w:pPr>
            <w:r w:rsidRPr="0058764A">
              <w:rPr>
                <w:rFonts w:ascii="Arial Narrow" w:hAnsi="Arial Narrow" w:cs="Arial"/>
                <w:snapToGrid w:val="0"/>
                <w:sz w:val="20"/>
                <w:szCs w:val="20"/>
                <w:lang w:val="en-US" w:eastAsia="en-US"/>
              </w:rPr>
              <w:t xml:space="preserve">ITT: KRAS WT </w:t>
            </w:r>
          </w:p>
        </w:tc>
        <w:tc>
          <w:tcPr>
            <w:tcW w:w="424" w:type="pct"/>
            <w:tcBorders>
              <w:bottom w:val="nil"/>
            </w:tcBorders>
            <w:shd w:val="clear" w:color="auto" w:fill="auto"/>
          </w:tcPr>
          <w:p w:rsidR="0058764A" w:rsidRPr="0058764A" w:rsidRDefault="0058764A" w:rsidP="0058764A">
            <w:pPr>
              <w:widowControl w:val="0"/>
              <w:jc w:val="center"/>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592</w:t>
            </w:r>
          </w:p>
        </w:tc>
        <w:tc>
          <w:tcPr>
            <w:tcW w:w="851" w:type="pct"/>
            <w:tcBorders>
              <w:bottom w:val="nil"/>
            </w:tcBorders>
            <w:shd w:val="clear" w:color="auto" w:fill="auto"/>
          </w:tcPr>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MC, R, OL</w:t>
            </w: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33 mths cmab, 39 mths bmab</w:t>
            </w:r>
          </w:p>
        </w:tc>
        <w:tc>
          <w:tcPr>
            <w:tcW w:w="1274" w:type="pct"/>
            <w:tcBorders>
              <w:bottom w:val="nil"/>
            </w:tcBorders>
            <w:shd w:val="clear" w:color="auto" w:fill="auto"/>
          </w:tcPr>
          <w:p w:rsidR="0058764A" w:rsidRPr="0058764A" w:rsidRDefault="0058764A" w:rsidP="0058764A">
            <w:pPr>
              <w:widowControl w:val="0"/>
              <w:rPr>
                <w:rFonts w:ascii="Arial Narrow" w:hAnsi="Arial Narrow" w:cs="Arial"/>
                <w:snapToGrid w:val="0"/>
                <w:sz w:val="20"/>
                <w:szCs w:val="20"/>
                <w:lang w:eastAsia="en-US"/>
              </w:rPr>
            </w:pPr>
            <w:r w:rsidRPr="0058764A">
              <w:rPr>
                <w:rFonts w:ascii="Arial Narrow" w:hAnsi="Arial Narrow" w:cs="Arial"/>
                <w:snapToGrid w:val="0"/>
                <w:sz w:val="20"/>
                <w:szCs w:val="20"/>
                <w:lang w:eastAsia="en-US"/>
              </w:rPr>
              <w:t>ORR and PFS: moderate risk of bias*. OS: high risk of confounding**.</w:t>
            </w:r>
          </w:p>
          <w:p w:rsidR="0058764A" w:rsidRPr="0058764A" w:rsidRDefault="0058764A" w:rsidP="0058764A">
            <w:pPr>
              <w:widowControl w:val="0"/>
              <w:rPr>
                <w:rFonts w:ascii="Arial Narrow" w:hAnsi="Arial Narrow" w:cs="Arial"/>
                <w:snapToGrid w:val="0"/>
                <w:sz w:val="20"/>
                <w:szCs w:val="20"/>
                <w:lang w:eastAsia="en-US"/>
              </w:rPr>
            </w:pPr>
            <w:r w:rsidRPr="0058764A">
              <w:rPr>
                <w:rFonts w:ascii="Arial Narrow" w:hAnsi="Arial Narrow" w:cs="Arial"/>
                <w:snapToGrid w:val="0"/>
                <w:sz w:val="20"/>
                <w:szCs w:val="20"/>
                <w:lang w:eastAsia="en-US"/>
              </w:rPr>
              <w:t>Estimation of adverse events: high risk of bias due to lack of concealment of allocation</w:t>
            </w:r>
          </w:p>
        </w:tc>
        <w:tc>
          <w:tcPr>
            <w:tcW w:w="850" w:type="pct"/>
            <w:tcBorders>
              <w:bottom w:val="nil"/>
            </w:tcBorders>
            <w:shd w:val="clear" w:color="auto" w:fill="auto"/>
          </w:tcPr>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First-line KRAS WT mCRC</w:t>
            </w:r>
          </w:p>
        </w:tc>
        <w:tc>
          <w:tcPr>
            <w:tcW w:w="754" w:type="pct"/>
            <w:tcBorders>
              <w:bottom w:val="nil"/>
            </w:tcBorders>
            <w:shd w:val="clear" w:color="auto" w:fill="auto"/>
          </w:tcPr>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Primary: ORR</w:t>
            </w: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Secondary: PFS, OS</w:t>
            </w:r>
          </w:p>
        </w:tc>
      </w:tr>
      <w:tr w:rsidR="0058764A" w:rsidRPr="0058764A" w:rsidTr="00347413">
        <w:tc>
          <w:tcPr>
            <w:tcW w:w="847" w:type="pct"/>
            <w:tcBorders>
              <w:top w:val="nil"/>
              <w:bottom w:val="single" w:sz="4" w:space="0" w:color="auto"/>
            </w:tcBorders>
            <w:shd w:val="clear" w:color="auto" w:fill="auto"/>
          </w:tcPr>
          <w:p w:rsidR="0058764A" w:rsidRPr="0058764A" w:rsidRDefault="0058764A" w:rsidP="0058764A">
            <w:pPr>
              <w:widowControl w:val="0"/>
              <w:numPr>
                <w:ilvl w:val="0"/>
                <w:numId w:val="38"/>
              </w:numPr>
              <w:ind w:left="398" w:hanging="284"/>
              <w:contextualSpacing/>
              <w:jc w:val="both"/>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lastRenderedPageBreak/>
              <w:t xml:space="preserve">Post hoc subgroup analysis: RAS WT </w:t>
            </w:r>
          </w:p>
        </w:tc>
        <w:tc>
          <w:tcPr>
            <w:tcW w:w="424" w:type="pct"/>
            <w:tcBorders>
              <w:top w:val="nil"/>
              <w:bottom w:val="single" w:sz="4" w:space="0" w:color="auto"/>
            </w:tcBorders>
            <w:shd w:val="clear" w:color="auto" w:fill="auto"/>
          </w:tcPr>
          <w:p w:rsidR="0058764A" w:rsidRPr="0058764A" w:rsidRDefault="0058764A" w:rsidP="0058764A">
            <w:pPr>
              <w:widowControl w:val="0"/>
              <w:jc w:val="center"/>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342</w:t>
            </w:r>
          </w:p>
        </w:tc>
        <w:tc>
          <w:tcPr>
            <w:tcW w:w="851" w:type="pct"/>
            <w:tcBorders>
              <w:top w:val="nil"/>
              <w:bottom w:val="single" w:sz="4" w:space="0" w:color="auto"/>
            </w:tcBorders>
            <w:shd w:val="clear" w:color="auto" w:fill="auto"/>
          </w:tcPr>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No RAS WT data</w:t>
            </w:r>
          </w:p>
        </w:tc>
        <w:tc>
          <w:tcPr>
            <w:tcW w:w="1274" w:type="pct"/>
            <w:tcBorders>
              <w:top w:val="nil"/>
              <w:bottom w:val="single" w:sz="4" w:space="0" w:color="auto"/>
            </w:tcBorders>
            <w:shd w:val="clear" w:color="auto" w:fill="auto"/>
          </w:tcPr>
          <w:p w:rsidR="0058764A" w:rsidRPr="0058764A" w:rsidRDefault="0058764A" w:rsidP="0058764A">
            <w:pPr>
              <w:widowControl w:val="0"/>
              <w:rPr>
                <w:rFonts w:ascii="Arial Narrow" w:hAnsi="Arial Narrow" w:cs="Arial"/>
                <w:snapToGrid w:val="0"/>
                <w:sz w:val="20"/>
                <w:szCs w:val="20"/>
                <w:lang w:eastAsia="en-US"/>
              </w:rPr>
            </w:pPr>
            <w:r w:rsidRPr="0058764A">
              <w:rPr>
                <w:rFonts w:ascii="Arial Narrow" w:hAnsi="Arial Narrow" w:cs="Arial"/>
                <w:snapToGrid w:val="0"/>
                <w:sz w:val="20"/>
                <w:szCs w:val="20"/>
                <w:lang w:eastAsia="en-US"/>
              </w:rPr>
              <w:t>ORR and PFS: moderate risk of bias*. OS: high risk of confounding**.</w:t>
            </w:r>
          </w:p>
          <w:p w:rsidR="0058764A" w:rsidRPr="0058764A" w:rsidRDefault="0058764A" w:rsidP="0058764A">
            <w:pPr>
              <w:widowControl w:val="0"/>
              <w:rPr>
                <w:rFonts w:ascii="Arial Narrow" w:hAnsi="Arial Narrow" w:cs="Arial"/>
                <w:snapToGrid w:val="0"/>
                <w:sz w:val="20"/>
                <w:szCs w:val="20"/>
                <w:lang w:eastAsia="en-US"/>
              </w:rPr>
            </w:pPr>
            <w:r w:rsidRPr="0058764A">
              <w:rPr>
                <w:rFonts w:ascii="Arial Narrow" w:hAnsi="Arial Narrow" w:cs="Arial"/>
                <w:snapToGrid w:val="0"/>
                <w:sz w:val="20"/>
                <w:szCs w:val="20"/>
                <w:lang w:eastAsia="en-US"/>
              </w:rPr>
              <w:t>Estimation of adverse events: high risk of bias due to lack of concealment of allocation</w:t>
            </w: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eastAsia="en-US"/>
              </w:rPr>
              <w:t>Benefits of randomisation not retained in subgroup analysis</w:t>
            </w:r>
          </w:p>
        </w:tc>
        <w:tc>
          <w:tcPr>
            <w:tcW w:w="850" w:type="pct"/>
            <w:tcBorders>
              <w:top w:val="nil"/>
              <w:bottom w:val="single" w:sz="4" w:space="0" w:color="auto"/>
            </w:tcBorders>
            <w:shd w:val="clear" w:color="auto" w:fill="auto"/>
          </w:tcPr>
          <w:p w:rsidR="0058764A" w:rsidRPr="0058764A" w:rsidRDefault="0058764A" w:rsidP="0058764A">
            <w:pPr>
              <w:widowControl w:val="0"/>
              <w:rPr>
                <w:rFonts w:ascii="Arial Narrow" w:hAnsi="Arial Narrow" w:cs="Arial"/>
                <w:snapToGrid w:val="0"/>
                <w:sz w:val="20"/>
                <w:szCs w:val="20"/>
                <w:highlight w:val="yellow"/>
                <w:lang w:val="en-US" w:eastAsia="en-US"/>
              </w:rPr>
            </w:pPr>
            <w:r w:rsidRPr="0058764A">
              <w:rPr>
                <w:rFonts w:ascii="Arial Narrow" w:hAnsi="Arial Narrow" w:cs="Arial"/>
                <w:snapToGrid w:val="0"/>
                <w:sz w:val="20"/>
                <w:szCs w:val="20"/>
                <w:lang w:val="en-US" w:eastAsia="en-US"/>
              </w:rPr>
              <w:t>First-line RAS WT mCRC</w:t>
            </w:r>
          </w:p>
        </w:tc>
        <w:tc>
          <w:tcPr>
            <w:tcW w:w="754" w:type="pct"/>
            <w:tcBorders>
              <w:top w:val="nil"/>
              <w:bottom w:val="single" w:sz="4" w:space="0" w:color="auto"/>
            </w:tcBorders>
            <w:shd w:val="clear" w:color="auto" w:fill="auto"/>
          </w:tcPr>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Primary: ORR</w:t>
            </w: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Secondary: PFS, OS</w:t>
            </w:r>
          </w:p>
        </w:tc>
      </w:tr>
      <w:tr w:rsidR="0058764A" w:rsidRPr="0058764A" w:rsidTr="00347413">
        <w:tc>
          <w:tcPr>
            <w:tcW w:w="847" w:type="pct"/>
            <w:tcBorders>
              <w:top w:val="single" w:sz="4" w:space="0" w:color="auto"/>
              <w:bottom w:val="single" w:sz="4" w:space="0" w:color="auto"/>
            </w:tcBorders>
            <w:shd w:val="clear" w:color="auto" w:fill="auto"/>
          </w:tcPr>
          <w:p w:rsidR="0058764A" w:rsidRPr="0058764A" w:rsidRDefault="0058764A" w:rsidP="0058764A">
            <w:pPr>
              <w:widowControl w:val="0"/>
              <w:ind w:left="109"/>
              <w:contextualSpacing/>
              <w:rPr>
                <w:rFonts w:ascii="Arial Narrow" w:hAnsi="Arial Narrow" w:cs="Arial"/>
                <w:snapToGrid w:val="0"/>
                <w:sz w:val="20"/>
                <w:szCs w:val="20"/>
                <w:lang w:val="en-US" w:eastAsia="en-US"/>
              </w:rPr>
            </w:pPr>
            <w:r w:rsidRPr="0058764A">
              <w:rPr>
                <w:rFonts w:ascii="Arial Narrow" w:hAnsi="Arial Narrow" w:cs="Arial"/>
                <w:snapToGrid w:val="0"/>
                <w:sz w:val="20"/>
                <w:szCs w:val="20"/>
                <w:u w:val="single"/>
                <w:lang w:val="en-US" w:eastAsia="en-US"/>
              </w:rPr>
              <w:t>CALGB/SWOG 80405</w:t>
            </w:r>
            <w:r w:rsidRPr="0058764A">
              <w:rPr>
                <w:rFonts w:ascii="Arial Narrow" w:hAnsi="Arial Narrow" w:cs="Arial"/>
                <w:snapToGrid w:val="0"/>
                <w:sz w:val="20"/>
                <w:szCs w:val="20"/>
                <w:vertAlign w:val="superscript"/>
                <w:lang w:val="en-US" w:eastAsia="en-US"/>
              </w:rPr>
              <w:t xml:space="preserve"> β</w:t>
            </w:r>
          </w:p>
          <w:p w:rsidR="0058764A" w:rsidRPr="0058764A" w:rsidRDefault="0058764A" w:rsidP="0058764A">
            <w:pPr>
              <w:widowControl w:val="0"/>
              <w:numPr>
                <w:ilvl w:val="0"/>
                <w:numId w:val="38"/>
              </w:numPr>
              <w:ind w:left="392" w:hanging="283"/>
              <w:contextualSpacing/>
              <w:jc w:val="both"/>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ITT: KRAS WT</w:t>
            </w:r>
          </w:p>
          <w:p w:rsidR="0058764A" w:rsidRPr="0058764A" w:rsidRDefault="0058764A" w:rsidP="0058764A">
            <w:pPr>
              <w:widowControl w:val="0"/>
              <w:ind w:left="109"/>
              <w:rPr>
                <w:rFonts w:ascii="Arial Narrow" w:hAnsi="Arial Narrow" w:cs="Arial"/>
                <w:snapToGrid w:val="0"/>
                <w:sz w:val="20"/>
                <w:szCs w:val="20"/>
                <w:lang w:val="en-US" w:eastAsia="en-US"/>
              </w:rPr>
            </w:pPr>
          </w:p>
          <w:p w:rsidR="0058764A" w:rsidRPr="0058764A" w:rsidRDefault="0058764A" w:rsidP="0058764A">
            <w:pPr>
              <w:widowControl w:val="0"/>
              <w:ind w:left="109"/>
              <w:rPr>
                <w:rFonts w:ascii="Arial Narrow" w:hAnsi="Arial Narrow" w:cs="Arial"/>
                <w:snapToGrid w:val="0"/>
                <w:sz w:val="20"/>
                <w:szCs w:val="20"/>
                <w:lang w:val="en-US" w:eastAsia="en-US"/>
              </w:rPr>
            </w:pPr>
          </w:p>
          <w:p w:rsidR="0058764A" w:rsidRPr="0058764A" w:rsidRDefault="0058764A" w:rsidP="0058764A">
            <w:pPr>
              <w:widowControl w:val="0"/>
              <w:numPr>
                <w:ilvl w:val="0"/>
                <w:numId w:val="38"/>
              </w:numPr>
              <w:ind w:left="392" w:hanging="283"/>
              <w:contextualSpacing/>
              <w:jc w:val="both"/>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Post hoc subgroup analysis: RAS WT</w:t>
            </w:r>
          </w:p>
        </w:tc>
        <w:tc>
          <w:tcPr>
            <w:tcW w:w="424" w:type="pct"/>
            <w:tcBorders>
              <w:top w:val="single" w:sz="4" w:space="0" w:color="auto"/>
              <w:bottom w:val="single" w:sz="4" w:space="0" w:color="auto"/>
            </w:tcBorders>
            <w:shd w:val="clear" w:color="auto" w:fill="auto"/>
          </w:tcPr>
          <w:p w:rsidR="0058764A" w:rsidRPr="0058764A" w:rsidRDefault="0058764A" w:rsidP="0058764A">
            <w:pPr>
              <w:widowControl w:val="0"/>
              <w:jc w:val="center"/>
              <w:rPr>
                <w:rFonts w:ascii="Arial Narrow" w:hAnsi="Arial Narrow" w:cs="Arial"/>
                <w:snapToGrid w:val="0"/>
                <w:sz w:val="20"/>
                <w:szCs w:val="20"/>
                <w:lang w:val="en-US" w:eastAsia="en-US"/>
              </w:rPr>
            </w:pPr>
          </w:p>
          <w:p w:rsidR="0058764A" w:rsidRPr="0058764A" w:rsidRDefault="0058764A" w:rsidP="0058764A">
            <w:pPr>
              <w:widowControl w:val="0"/>
              <w:jc w:val="center"/>
              <w:rPr>
                <w:rFonts w:ascii="Arial Narrow" w:hAnsi="Arial Narrow" w:cs="Arial"/>
                <w:snapToGrid w:val="0"/>
                <w:sz w:val="20"/>
                <w:szCs w:val="20"/>
                <w:lang w:val="en-US" w:eastAsia="en-US"/>
              </w:rPr>
            </w:pPr>
          </w:p>
          <w:p w:rsidR="0058764A" w:rsidRPr="0058764A" w:rsidRDefault="0058764A" w:rsidP="0058764A">
            <w:pPr>
              <w:widowControl w:val="0"/>
              <w:jc w:val="center"/>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1,137</w:t>
            </w:r>
          </w:p>
          <w:p w:rsidR="0058764A" w:rsidRPr="0058764A" w:rsidRDefault="0058764A" w:rsidP="0058764A">
            <w:pPr>
              <w:widowControl w:val="0"/>
              <w:jc w:val="center"/>
              <w:rPr>
                <w:rFonts w:ascii="Arial Narrow" w:hAnsi="Arial Narrow" w:cs="Arial"/>
                <w:snapToGrid w:val="0"/>
                <w:sz w:val="20"/>
                <w:szCs w:val="20"/>
                <w:lang w:val="en-US" w:eastAsia="en-US"/>
              </w:rPr>
            </w:pPr>
          </w:p>
          <w:p w:rsidR="0058764A" w:rsidRPr="0058764A" w:rsidRDefault="0058764A" w:rsidP="0058764A">
            <w:pPr>
              <w:widowControl w:val="0"/>
              <w:jc w:val="center"/>
              <w:rPr>
                <w:rFonts w:ascii="Arial Narrow" w:hAnsi="Arial Narrow" w:cs="Arial"/>
                <w:snapToGrid w:val="0"/>
                <w:sz w:val="20"/>
                <w:szCs w:val="20"/>
                <w:lang w:val="en-US" w:eastAsia="en-US"/>
              </w:rPr>
            </w:pPr>
          </w:p>
          <w:p w:rsidR="0058764A" w:rsidRPr="0058764A" w:rsidRDefault="0058764A" w:rsidP="0058764A">
            <w:pPr>
              <w:widowControl w:val="0"/>
              <w:jc w:val="center"/>
              <w:rPr>
                <w:rFonts w:ascii="Arial Narrow" w:hAnsi="Arial Narrow" w:cs="Arial"/>
                <w:snapToGrid w:val="0"/>
                <w:sz w:val="20"/>
                <w:szCs w:val="20"/>
                <w:lang w:val="en-US" w:eastAsia="en-US"/>
              </w:rPr>
            </w:pPr>
          </w:p>
          <w:p w:rsidR="0058764A" w:rsidRPr="0058764A" w:rsidRDefault="0058764A" w:rsidP="0058764A">
            <w:pPr>
              <w:widowControl w:val="0"/>
              <w:jc w:val="center"/>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562</w:t>
            </w:r>
          </w:p>
        </w:tc>
        <w:tc>
          <w:tcPr>
            <w:tcW w:w="851" w:type="pct"/>
            <w:tcBorders>
              <w:top w:val="single" w:sz="4" w:space="0" w:color="auto"/>
              <w:bottom w:val="single" w:sz="4" w:space="0" w:color="auto"/>
            </w:tcBorders>
            <w:shd w:val="clear" w:color="auto" w:fill="auto"/>
          </w:tcPr>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MC, R, OL</w:t>
            </w: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Treatment duration not reported</w:t>
            </w: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Retrospective subgroup analysis.</w:t>
            </w:r>
          </w:p>
        </w:tc>
        <w:tc>
          <w:tcPr>
            <w:tcW w:w="1274" w:type="pct"/>
            <w:tcBorders>
              <w:top w:val="single" w:sz="4" w:space="0" w:color="auto"/>
              <w:bottom w:val="single" w:sz="4" w:space="0" w:color="auto"/>
            </w:tcBorders>
            <w:shd w:val="clear" w:color="auto" w:fill="auto"/>
          </w:tcPr>
          <w:p w:rsidR="0058764A" w:rsidRPr="0058764A" w:rsidRDefault="0058764A" w:rsidP="0058764A">
            <w:pPr>
              <w:widowControl w:val="0"/>
              <w:rPr>
                <w:rFonts w:ascii="Arial Narrow" w:hAnsi="Arial Narrow" w:cs="Arial"/>
                <w:snapToGrid w:val="0"/>
                <w:sz w:val="20"/>
                <w:szCs w:val="20"/>
                <w:lang w:eastAsia="en-US"/>
              </w:rPr>
            </w:pPr>
          </w:p>
          <w:p w:rsidR="0058764A" w:rsidRPr="0058764A" w:rsidRDefault="0058764A" w:rsidP="0058764A">
            <w:pPr>
              <w:widowControl w:val="0"/>
              <w:rPr>
                <w:rFonts w:ascii="Arial Narrow" w:hAnsi="Arial Narrow" w:cs="Arial"/>
                <w:snapToGrid w:val="0"/>
                <w:sz w:val="20"/>
                <w:szCs w:val="20"/>
                <w:lang w:eastAsia="en-US"/>
              </w:rPr>
            </w:pPr>
          </w:p>
          <w:p w:rsidR="0058764A" w:rsidRPr="0058764A" w:rsidRDefault="0058764A" w:rsidP="0058764A">
            <w:pPr>
              <w:widowControl w:val="0"/>
              <w:rPr>
                <w:rFonts w:ascii="Arial Narrow" w:hAnsi="Arial Narrow" w:cs="Arial"/>
                <w:snapToGrid w:val="0"/>
                <w:sz w:val="20"/>
                <w:szCs w:val="20"/>
                <w:lang w:eastAsia="en-US"/>
              </w:rPr>
            </w:pPr>
          </w:p>
          <w:p w:rsidR="0058764A" w:rsidRPr="0058764A" w:rsidRDefault="0058764A" w:rsidP="0058764A">
            <w:pPr>
              <w:widowControl w:val="0"/>
              <w:rPr>
                <w:rFonts w:ascii="Arial Narrow" w:hAnsi="Arial Narrow" w:cs="Arial"/>
                <w:snapToGrid w:val="0"/>
                <w:sz w:val="20"/>
                <w:szCs w:val="20"/>
                <w:lang w:eastAsia="en-US"/>
              </w:rPr>
            </w:pPr>
          </w:p>
          <w:p w:rsidR="0058764A" w:rsidRPr="0058764A" w:rsidRDefault="0058764A" w:rsidP="0058764A">
            <w:pPr>
              <w:widowControl w:val="0"/>
              <w:rPr>
                <w:rFonts w:ascii="Arial Narrow" w:hAnsi="Arial Narrow" w:cs="Arial"/>
                <w:snapToGrid w:val="0"/>
                <w:sz w:val="20"/>
                <w:szCs w:val="20"/>
                <w:lang w:eastAsia="en-US"/>
              </w:rPr>
            </w:pPr>
            <w:r w:rsidRPr="0058764A">
              <w:rPr>
                <w:rFonts w:ascii="Arial Narrow" w:hAnsi="Arial Narrow" w:cs="Arial"/>
                <w:snapToGrid w:val="0"/>
                <w:sz w:val="20"/>
                <w:szCs w:val="20"/>
                <w:lang w:eastAsia="en-US"/>
              </w:rPr>
              <w:t>Cannot be assessed as only an abstract is available.</w:t>
            </w:r>
          </w:p>
        </w:tc>
        <w:tc>
          <w:tcPr>
            <w:tcW w:w="850" w:type="pct"/>
            <w:tcBorders>
              <w:top w:val="single" w:sz="4" w:space="0" w:color="auto"/>
              <w:bottom w:val="single" w:sz="4" w:space="0" w:color="auto"/>
            </w:tcBorders>
            <w:shd w:val="clear" w:color="auto" w:fill="auto"/>
          </w:tcPr>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First-line KRAS WT mCRC</w:t>
            </w:r>
          </w:p>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First-line RAS WT mCRC</w:t>
            </w:r>
          </w:p>
        </w:tc>
        <w:tc>
          <w:tcPr>
            <w:tcW w:w="754" w:type="pct"/>
            <w:tcBorders>
              <w:top w:val="single" w:sz="4" w:space="0" w:color="auto"/>
              <w:bottom w:val="single" w:sz="4" w:space="0" w:color="auto"/>
            </w:tcBorders>
            <w:shd w:val="clear" w:color="auto" w:fill="auto"/>
          </w:tcPr>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Primary: OS</w:t>
            </w:r>
          </w:p>
          <w:p w:rsidR="0058764A" w:rsidRPr="0058764A" w:rsidRDefault="0058764A" w:rsidP="0058764A">
            <w:pPr>
              <w:widowControl w:val="0"/>
              <w:rPr>
                <w:rFonts w:ascii="Arial Narrow" w:hAnsi="Arial Narrow" w:cs="Arial"/>
                <w:snapToGrid w:val="0"/>
                <w:sz w:val="20"/>
                <w:szCs w:val="20"/>
                <w:lang w:val="en-US" w:eastAsia="en-US"/>
              </w:rPr>
            </w:pPr>
            <w:r w:rsidRPr="0058764A">
              <w:rPr>
                <w:rFonts w:ascii="Arial Narrow" w:hAnsi="Arial Narrow" w:cs="Arial"/>
                <w:snapToGrid w:val="0"/>
                <w:sz w:val="20"/>
                <w:szCs w:val="20"/>
                <w:lang w:val="en-US" w:eastAsia="en-US"/>
              </w:rPr>
              <w:t>Secondary: PFS, ORR</w:t>
            </w:r>
          </w:p>
        </w:tc>
      </w:tr>
    </w:tbl>
    <w:p w:rsidR="0058764A" w:rsidRPr="0058764A" w:rsidRDefault="0058764A" w:rsidP="0058764A">
      <w:pPr>
        <w:widowControl w:val="0"/>
        <w:ind w:left="742"/>
        <w:jc w:val="both"/>
        <w:rPr>
          <w:rFonts w:ascii="Arial Narrow" w:hAnsi="Arial Narrow" w:cs="Arial"/>
          <w:snapToGrid w:val="0"/>
          <w:sz w:val="20"/>
          <w:szCs w:val="20"/>
          <w:lang w:eastAsia="en-US"/>
        </w:rPr>
      </w:pPr>
      <w:r w:rsidRPr="0058764A">
        <w:rPr>
          <w:rFonts w:ascii="Arial Narrow" w:hAnsi="Arial Narrow" w:cs="Arial"/>
          <w:snapToGrid w:val="0"/>
          <w:sz w:val="20"/>
          <w:szCs w:val="20"/>
          <w:lang w:eastAsia="en-US"/>
        </w:rPr>
        <w:t>MC=multi-centre; OL=open label; OS=overall survival; PFS=progression-free survival; R=randomised; cmab = cetuximab; bmab = bevacizumab; ORR = overall response rate; K/</w:t>
      </w:r>
      <w:r w:rsidRPr="0058764A">
        <w:rPr>
          <w:rFonts w:ascii="Arial Narrow" w:hAnsi="Arial Narrow" w:cs="Arial"/>
          <w:snapToGrid w:val="0"/>
          <w:sz w:val="20"/>
          <w:szCs w:val="16"/>
          <w:lang w:eastAsia="en-US"/>
        </w:rPr>
        <w:t>RAS WT = K/rat sarcoma viral oncogene wild-type</w:t>
      </w:r>
    </w:p>
    <w:p w:rsidR="0058764A" w:rsidRPr="0058764A" w:rsidRDefault="0058764A" w:rsidP="0058764A">
      <w:pPr>
        <w:widowControl w:val="0"/>
        <w:ind w:left="742"/>
        <w:jc w:val="both"/>
        <w:rPr>
          <w:rFonts w:ascii="Arial Narrow" w:hAnsi="Arial Narrow" w:cs="Arial"/>
          <w:snapToGrid w:val="0"/>
          <w:sz w:val="20"/>
          <w:szCs w:val="20"/>
          <w:lang w:eastAsia="en-US"/>
        </w:rPr>
      </w:pPr>
      <w:r w:rsidRPr="0058764A">
        <w:rPr>
          <w:rFonts w:ascii="Arial Narrow" w:hAnsi="Arial Narrow" w:cs="Arial"/>
          <w:snapToGrid w:val="0"/>
          <w:sz w:val="20"/>
          <w:szCs w:val="20"/>
          <w:lang w:eastAsia="en-US"/>
        </w:rPr>
        <w:t>* Measurement of tumour response and progression by investigators are subject to bias given the subjectivity of measuring tumour response. A blinded centralised review is likely to mitigate concerns relating to non-blinded assessment (although this would not necessarily address systematic differences between trial arms in the frequency of assessment)</w:t>
      </w:r>
      <w:r w:rsidRPr="0058764A">
        <w:rPr>
          <w:rFonts w:ascii="Arial Narrow" w:hAnsi="Arial Narrow" w:cs="Arial"/>
          <w:noProof/>
          <w:snapToGrid w:val="0"/>
          <w:sz w:val="20"/>
          <w:szCs w:val="20"/>
          <w:vertAlign w:val="superscript"/>
          <w:lang w:eastAsia="en-US"/>
        </w:rPr>
        <w:t>2</w:t>
      </w:r>
      <w:r w:rsidRPr="0058764A">
        <w:rPr>
          <w:rFonts w:ascii="Arial Narrow" w:hAnsi="Arial Narrow" w:cs="Arial"/>
          <w:snapToGrid w:val="0"/>
          <w:sz w:val="20"/>
          <w:szCs w:val="20"/>
          <w:lang w:eastAsia="en-US"/>
        </w:rPr>
        <w:t>.</w:t>
      </w:r>
    </w:p>
    <w:p w:rsidR="0058764A" w:rsidRPr="0058764A" w:rsidRDefault="0058764A" w:rsidP="0058764A">
      <w:pPr>
        <w:widowControl w:val="0"/>
        <w:ind w:left="742"/>
        <w:jc w:val="both"/>
        <w:rPr>
          <w:rFonts w:ascii="Arial Narrow" w:hAnsi="Arial Narrow" w:cs="Arial"/>
          <w:snapToGrid w:val="0"/>
          <w:sz w:val="20"/>
          <w:szCs w:val="20"/>
          <w:lang w:eastAsia="en-US"/>
        </w:rPr>
      </w:pPr>
      <w:r w:rsidRPr="0058764A">
        <w:rPr>
          <w:rFonts w:ascii="Arial Narrow" w:hAnsi="Arial Narrow" w:cs="Arial"/>
          <w:snapToGrid w:val="0"/>
          <w:sz w:val="20"/>
          <w:szCs w:val="20"/>
          <w:lang w:eastAsia="en-US"/>
        </w:rPr>
        <w:t>** Subsequent treatments post-progression are likely to be determined by investigators. The allocation of second-line treatments is not randomised and likely to be dependent on prognostic factors at time of progression. Differences in prognostic factors and subsequent post-progression treatment effects could confound overall survival results.</w:t>
      </w:r>
    </w:p>
    <w:p w:rsidR="0058764A" w:rsidRPr="0058764A" w:rsidRDefault="0058764A" w:rsidP="0058764A">
      <w:pPr>
        <w:widowControl w:val="0"/>
        <w:ind w:left="720"/>
        <w:jc w:val="both"/>
        <w:rPr>
          <w:rFonts w:ascii="Arial Narrow" w:hAnsi="Arial Narrow" w:cs="Arial"/>
          <w:snapToGrid w:val="0"/>
          <w:sz w:val="20"/>
          <w:szCs w:val="20"/>
          <w:lang w:eastAsia="en-US"/>
        </w:rPr>
      </w:pPr>
      <w:r w:rsidRPr="0058764A">
        <w:rPr>
          <w:rFonts w:ascii="Arial Narrow" w:hAnsi="Arial Narrow" w:cs="Arial"/>
          <w:snapToGrid w:val="0"/>
          <w:sz w:val="20"/>
          <w:szCs w:val="20"/>
          <w:vertAlign w:val="superscript"/>
          <w:lang w:val="en-US" w:eastAsia="en-US"/>
        </w:rPr>
        <w:t>β</w:t>
      </w:r>
      <w:r w:rsidRPr="0058764A">
        <w:rPr>
          <w:rFonts w:ascii="Arial Narrow" w:hAnsi="Arial Narrow" w:cs="Arial"/>
          <w:snapToGrid w:val="0"/>
          <w:sz w:val="20"/>
          <w:szCs w:val="20"/>
          <w:lang w:eastAsia="en-US"/>
        </w:rPr>
        <w:t xml:space="preserve"> CALGB/SWOG 80405: 2,334 KRAS wild type patients were randomised. The final number included 1,137 patients (bevacizumab arm: N=559, 324 (58%) evaluable for extended RAS analysis; cetuximab arm: N=578, 346 (60%) evaluable for extended RAS analysis). The ESMO 2014 RAS wild type subgroup analysis of overall survival was based on 526 patients (256 in the bevacizumab arm and 270 in the cetuximab arm). </w:t>
      </w:r>
    </w:p>
    <w:p w:rsidR="0058764A" w:rsidRDefault="0058764A" w:rsidP="0058764A">
      <w:pPr>
        <w:pStyle w:val="ListParagraph"/>
        <w:ind w:left="709"/>
        <w:jc w:val="both"/>
        <w:rPr>
          <w:rFonts w:ascii="Arial" w:hAnsi="Arial" w:cs="Arial"/>
          <w:snapToGrid w:val="0"/>
          <w:sz w:val="20"/>
          <w:szCs w:val="20"/>
          <w:lang w:eastAsia="en-US"/>
        </w:rPr>
      </w:pPr>
      <w:r w:rsidRPr="0058764A">
        <w:rPr>
          <w:rFonts w:ascii="Arial" w:hAnsi="Arial" w:cs="Arial"/>
          <w:snapToGrid w:val="0"/>
          <w:sz w:val="20"/>
          <w:szCs w:val="20"/>
          <w:lang w:eastAsia="en-US"/>
        </w:rPr>
        <w:t>Source: compiled during the evaluation</w:t>
      </w:r>
    </w:p>
    <w:p w:rsidR="0058764A" w:rsidRPr="005D0BB6" w:rsidRDefault="0058764A" w:rsidP="005D0BB6">
      <w:pPr>
        <w:jc w:val="both"/>
        <w:rPr>
          <w:rFonts w:ascii="Arial" w:hAnsi="Arial"/>
          <w:sz w:val="22"/>
          <w:szCs w:val="22"/>
        </w:rPr>
      </w:pPr>
    </w:p>
    <w:p w:rsidR="0058764A" w:rsidRPr="00B6773F" w:rsidRDefault="0058764A" w:rsidP="00D479CB">
      <w:pPr>
        <w:pStyle w:val="ListParagraph"/>
        <w:numPr>
          <w:ilvl w:val="1"/>
          <w:numId w:val="25"/>
        </w:numPr>
        <w:jc w:val="both"/>
        <w:rPr>
          <w:rFonts w:ascii="Arial" w:hAnsi="Arial"/>
          <w:sz w:val="22"/>
          <w:szCs w:val="22"/>
        </w:rPr>
      </w:pPr>
      <w:r w:rsidRPr="0058764A">
        <w:rPr>
          <w:rFonts w:ascii="Arial" w:hAnsi="Arial"/>
          <w:sz w:val="22"/>
          <w:szCs w:val="22"/>
        </w:rPr>
        <w:t xml:space="preserve">Three other cetuximab trials in the first-line setting (for which RAS WT data are available) </w:t>
      </w:r>
      <w:r w:rsidR="005D0BB6">
        <w:rPr>
          <w:rFonts w:ascii="Arial" w:hAnsi="Arial"/>
          <w:sz w:val="22"/>
          <w:szCs w:val="22"/>
        </w:rPr>
        <w:t>we</w:t>
      </w:r>
      <w:r w:rsidRPr="0058764A">
        <w:rPr>
          <w:rFonts w:ascii="Arial" w:hAnsi="Arial"/>
          <w:sz w:val="22"/>
          <w:szCs w:val="22"/>
        </w:rPr>
        <w:t>re relevant to support a comparison of cetuximab plus chemotherapy with chemotherapy alone. Two of the trials used chemotherapy regimens that were oxaliplatin-based and one was irinotecan-based</w:t>
      </w:r>
      <w:r>
        <w:rPr>
          <w:rFonts w:ascii="Arial" w:hAnsi="Arial"/>
          <w:sz w:val="22"/>
          <w:szCs w:val="22"/>
        </w:rPr>
        <w:t>:</w:t>
      </w:r>
    </w:p>
    <w:p w:rsidR="0058764A" w:rsidRPr="0058764A" w:rsidRDefault="0058764A" w:rsidP="00FC349F">
      <w:pPr>
        <w:pStyle w:val="ListParagraph"/>
        <w:numPr>
          <w:ilvl w:val="0"/>
          <w:numId w:val="41"/>
        </w:numPr>
        <w:ind w:left="993" w:hanging="284"/>
        <w:jc w:val="both"/>
        <w:rPr>
          <w:rFonts w:ascii="Arial" w:hAnsi="Arial" w:cs="Arial"/>
          <w:sz w:val="22"/>
          <w:szCs w:val="22"/>
        </w:rPr>
      </w:pPr>
      <w:r w:rsidRPr="0058764A">
        <w:rPr>
          <w:rFonts w:ascii="Arial" w:hAnsi="Arial" w:cs="Arial"/>
          <w:sz w:val="22"/>
          <w:szCs w:val="22"/>
        </w:rPr>
        <w:t>OPUS compared cetuximab + FOLFOX versus FOLFOX alone;</w:t>
      </w:r>
    </w:p>
    <w:p w:rsidR="0058764A" w:rsidRPr="0058764A" w:rsidRDefault="0058764A" w:rsidP="00FC349F">
      <w:pPr>
        <w:pStyle w:val="ListParagraph"/>
        <w:numPr>
          <w:ilvl w:val="0"/>
          <w:numId w:val="41"/>
        </w:numPr>
        <w:ind w:left="993" w:hanging="284"/>
        <w:jc w:val="both"/>
        <w:rPr>
          <w:rFonts w:ascii="Arial" w:hAnsi="Arial" w:cs="Arial"/>
          <w:sz w:val="22"/>
          <w:szCs w:val="22"/>
        </w:rPr>
      </w:pPr>
      <w:r w:rsidRPr="0058764A">
        <w:rPr>
          <w:rFonts w:ascii="Arial" w:hAnsi="Arial" w:cs="Arial"/>
          <w:sz w:val="22"/>
          <w:szCs w:val="22"/>
        </w:rPr>
        <w:t>COIN compared oxaliplatin plus a fluoropyrimidine (capecitabine or 5FU plus leucovorin (LV) as determined by the patient’s oncologist) with or without cetuximab; and</w:t>
      </w:r>
    </w:p>
    <w:p w:rsidR="0058764A" w:rsidRPr="0058764A" w:rsidRDefault="0058764A" w:rsidP="00FC349F">
      <w:pPr>
        <w:pStyle w:val="ListParagraph"/>
        <w:numPr>
          <w:ilvl w:val="0"/>
          <w:numId w:val="41"/>
        </w:numPr>
        <w:ind w:left="993" w:hanging="284"/>
        <w:jc w:val="both"/>
        <w:rPr>
          <w:rFonts w:ascii="Arial" w:hAnsi="Arial" w:cs="Arial"/>
          <w:sz w:val="22"/>
          <w:szCs w:val="22"/>
        </w:rPr>
      </w:pPr>
      <w:r w:rsidRPr="0058764A">
        <w:rPr>
          <w:rFonts w:ascii="Arial" w:hAnsi="Arial" w:cs="Arial"/>
          <w:sz w:val="22"/>
          <w:szCs w:val="22"/>
        </w:rPr>
        <w:t>Crystal compared cetuximab + FOLFIRI versus FOLFIRI alone.</w:t>
      </w:r>
    </w:p>
    <w:p w:rsidR="009F5F2E" w:rsidRDefault="009F5F2E" w:rsidP="005D0BB6">
      <w:pPr>
        <w:jc w:val="both"/>
        <w:rPr>
          <w:rFonts w:ascii="Arial" w:hAnsi="Arial"/>
          <w:sz w:val="22"/>
          <w:szCs w:val="22"/>
        </w:rPr>
      </w:pPr>
    </w:p>
    <w:p w:rsidR="005A3173" w:rsidRPr="00F3502F" w:rsidRDefault="005A3173" w:rsidP="00882085">
      <w:pPr>
        <w:jc w:val="both"/>
        <w:rPr>
          <w:rFonts w:ascii="Arial" w:hAnsi="Arial"/>
          <w:b/>
          <w:sz w:val="22"/>
          <w:szCs w:val="22"/>
        </w:rPr>
      </w:pPr>
      <w:r w:rsidRPr="00F3502F">
        <w:rPr>
          <w:rFonts w:ascii="Arial" w:hAnsi="Arial"/>
          <w:b/>
          <w:sz w:val="22"/>
          <w:szCs w:val="22"/>
        </w:rPr>
        <w:t>Comparative effectiveness</w:t>
      </w:r>
    </w:p>
    <w:p w:rsidR="005A3173" w:rsidRDefault="005A3173" w:rsidP="00882085">
      <w:pPr>
        <w:jc w:val="both"/>
        <w:rPr>
          <w:rFonts w:ascii="Arial" w:hAnsi="Arial"/>
          <w:sz w:val="22"/>
          <w:szCs w:val="22"/>
        </w:rPr>
      </w:pPr>
    </w:p>
    <w:p w:rsidR="00C572B7" w:rsidRPr="00C572B7" w:rsidRDefault="00C572B7" w:rsidP="00C572B7">
      <w:pPr>
        <w:jc w:val="both"/>
        <w:rPr>
          <w:rFonts w:ascii="Arial" w:hAnsi="Arial"/>
          <w:sz w:val="22"/>
          <w:szCs w:val="22"/>
          <w:u w:val="single"/>
        </w:rPr>
      </w:pPr>
      <w:r w:rsidRPr="00C572B7">
        <w:rPr>
          <w:rFonts w:ascii="Arial" w:hAnsi="Arial"/>
          <w:sz w:val="22"/>
          <w:szCs w:val="22"/>
          <w:u w:val="single"/>
        </w:rPr>
        <w:t>Relative to bevacizumab and chemotherapy</w:t>
      </w:r>
    </w:p>
    <w:p w:rsidR="00C572B7" w:rsidRDefault="00C572B7" w:rsidP="00882085">
      <w:pPr>
        <w:jc w:val="both"/>
        <w:rPr>
          <w:rFonts w:ascii="Arial" w:hAnsi="Arial"/>
          <w:sz w:val="22"/>
          <w:szCs w:val="22"/>
        </w:rPr>
      </w:pPr>
    </w:p>
    <w:p w:rsidR="00C572B7" w:rsidRPr="00C572B7" w:rsidRDefault="00C572B7" w:rsidP="00C572B7">
      <w:pPr>
        <w:jc w:val="both"/>
        <w:rPr>
          <w:rFonts w:ascii="Arial" w:hAnsi="Arial"/>
          <w:sz w:val="22"/>
          <w:szCs w:val="22"/>
          <w:u w:val="single"/>
        </w:rPr>
      </w:pPr>
      <w:r w:rsidRPr="00C572B7">
        <w:rPr>
          <w:rFonts w:ascii="Arial" w:hAnsi="Arial"/>
          <w:sz w:val="22"/>
          <w:szCs w:val="22"/>
          <w:u w:val="single"/>
        </w:rPr>
        <w:t>FIRE-3</w:t>
      </w:r>
    </w:p>
    <w:p w:rsidR="00C572B7" w:rsidRPr="00882085" w:rsidRDefault="00C572B7" w:rsidP="00882085">
      <w:pPr>
        <w:jc w:val="both"/>
        <w:rPr>
          <w:rFonts w:ascii="Arial" w:hAnsi="Arial"/>
          <w:sz w:val="22"/>
          <w:szCs w:val="22"/>
        </w:rPr>
      </w:pPr>
    </w:p>
    <w:p w:rsidR="000B558D" w:rsidRDefault="00C572B7" w:rsidP="00D479CB">
      <w:pPr>
        <w:pStyle w:val="ListParagraph"/>
        <w:numPr>
          <w:ilvl w:val="1"/>
          <w:numId w:val="25"/>
        </w:numPr>
        <w:jc w:val="both"/>
        <w:rPr>
          <w:rFonts w:ascii="Arial" w:hAnsi="Arial"/>
          <w:sz w:val="22"/>
          <w:szCs w:val="22"/>
        </w:rPr>
      </w:pPr>
      <w:r w:rsidRPr="00C572B7">
        <w:rPr>
          <w:rFonts w:ascii="Arial" w:hAnsi="Arial"/>
          <w:sz w:val="22"/>
          <w:szCs w:val="22"/>
        </w:rPr>
        <w:lastRenderedPageBreak/>
        <w:t>The primary endpoint of overall response rate (ORR) and key secondary outcomes of progression-free survival (PFS) and overall survival (OS) for the RAS WT population in the FIRE-3 trial are s</w:t>
      </w:r>
      <w:r w:rsidR="00CE5D68">
        <w:rPr>
          <w:rFonts w:ascii="Arial" w:hAnsi="Arial"/>
          <w:sz w:val="22"/>
          <w:szCs w:val="22"/>
        </w:rPr>
        <w:t>ummarised in the tables below</w:t>
      </w:r>
      <w:r w:rsidRPr="00C572B7">
        <w:rPr>
          <w:rFonts w:ascii="Arial" w:hAnsi="Arial"/>
          <w:sz w:val="22"/>
          <w:szCs w:val="22"/>
        </w:rPr>
        <w:t xml:space="preserve">. The Kaplan-Meier curves for OS are also presented in </w:t>
      </w:r>
      <w:r w:rsidR="00CE5D68">
        <w:rPr>
          <w:rFonts w:ascii="Arial" w:hAnsi="Arial"/>
          <w:sz w:val="22"/>
          <w:szCs w:val="22"/>
        </w:rPr>
        <w:t>the figure below</w:t>
      </w:r>
      <w:r w:rsidR="000B558D" w:rsidRPr="00882085">
        <w:rPr>
          <w:rFonts w:ascii="Arial" w:hAnsi="Arial"/>
          <w:sz w:val="22"/>
          <w:szCs w:val="22"/>
        </w:rPr>
        <w:t>.</w:t>
      </w:r>
    </w:p>
    <w:p w:rsidR="00C572B7" w:rsidRPr="006B26F0" w:rsidRDefault="00C572B7" w:rsidP="006B26F0">
      <w:pPr>
        <w:jc w:val="both"/>
        <w:rPr>
          <w:rFonts w:ascii="Arial" w:hAnsi="Arial"/>
          <w:sz w:val="22"/>
          <w:szCs w:val="22"/>
        </w:rPr>
      </w:pPr>
    </w:p>
    <w:p w:rsidR="00C572B7" w:rsidRPr="00C572B7" w:rsidRDefault="00C572B7" w:rsidP="00C572B7">
      <w:pPr>
        <w:widowControl w:val="0"/>
        <w:ind w:firstLine="720"/>
        <w:jc w:val="both"/>
        <w:rPr>
          <w:rFonts w:ascii="Arial Narrow" w:hAnsi="Arial Narrow" w:cs="Arial"/>
          <w:b/>
          <w:snapToGrid w:val="0"/>
          <w:sz w:val="20"/>
          <w:szCs w:val="16"/>
          <w:lang w:eastAsia="en-US"/>
        </w:rPr>
      </w:pPr>
      <w:r w:rsidRPr="00C572B7">
        <w:rPr>
          <w:rFonts w:ascii="Arial Narrow" w:hAnsi="Arial Narrow" w:cs="Arial"/>
          <w:b/>
          <w:snapToGrid w:val="0"/>
          <w:sz w:val="20"/>
          <w:szCs w:val="16"/>
          <w:lang w:eastAsia="en-US"/>
        </w:rPr>
        <w:t>Results of the primary endpoint – overall response rate in RAS WT mCRC patients in FIRE-3</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268"/>
        <w:gridCol w:w="1277"/>
        <w:gridCol w:w="1336"/>
      </w:tblGrid>
      <w:tr w:rsidR="00C572B7" w:rsidRPr="00C572B7" w:rsidTr="00370950">
        <w:tc>
          <w:tcPr>
            <w:tcW w:w="757" w:type="pct"/>
            <w:tcBorders>
              <w:top w:val="single" w:sz="4" w:space="0" w:color="auto"/>
              <w:left w:val="single" w:sz="4" w:space="0" w:color="auto"/>
              <w:bottom w:val="single" w:sz="4" w:space="0" w:color="auto"/>
              <w:right w:val="single" w:sz="4" w:space="0" w:color="auto"/>
            </w:tcBorders>
          </w:tcPr>
          <w:p w:rsidR="00C572B7" w:rsidRPr="00C572B7" w:rsidRDefault="00C572B7" w:rsidP="00C572B7">
            <w:pPr>
              <w:rPr>
                <w:rFonts w:ascii="Arial Narrow" w:hAnsi="Arial Narrow"/>
                <w:b/>
                <w:sz w:val="20"/>
                <w:szCs w:val="20"/>
                <w:highlight w:val="yellow"/>
              </w:rPr>
            </w:pPr>
          </w:p>
        </w:tc>
        <w:tc>
          <w:tcPr>
            <w:tcW w:w="1346" w:type="pct"/>
            <w:tcBorders>
              <w:top w:val="single" w:sz="4" w:space="0" w:color="auto"/>
              <w:left w:val="single" w:sz="4" w:space="0" w:color="auto"/>
              <w:bottom w:val="single" w:sz="4" w:space="0" w:color="auto"/>
              <w:right w:val="single" w:sz="4" w:space="0" w:color="auto"/>
            </w:tcBorders>
            <w:hideMark/>
          </w:tcPr>
          <w:p w:rsidR="00C572B7" w:rsidRPr="00C572B7" w:rsidRDefault="00C572B7" w:rsidP="00C572B7">
            <w:pPr>
              <w:ind w:left="-57" w:right="-57"/>
              <w:jc w:val="center"/>
              <w:rPr>
                <w:rFonts w:ascii="Arial Narrow" w:eastAsia="Arial Narrow" w:hAnsi="Arial Narrow"/>
                <w:b/>
                <w:sz w:val="20"/>
                <w:szCs w:val="20"/>
              </w:rPr>
            </w:pPr>
            <w:r w:rsidRPr="00C572B7">
              <w:rPr>
                <w:rFonts w:ascii="Arial Narrow" w:eastAsia="Arial Narrow" w:hAnsi="Arial Narrow"/>
                <w:b/>
                <w:sz w:val="20"/>
                <w:szCs w:val="20"/>
              </w:rPr>
              <w:t xml:space="preserve">Cetuximab + FOLFIRI </w:t>
            </w:r>
          </w:p>
          <w:p w:rsidR="00C572B7" w:rsidRPr="00C572B7" w:rsidRDefault="00C572B7" w:rsidP="00C572B7">
            <w:pPr>
              <w:ind w:left="-57" w:right="-57"/>
              <w:jc w:val="center"/>
              <w:rPr>
                <w:rFonts w:ascii="Arial Narrow" w:hAnsi="Arial Narrow"/>
                <w:b/>
                <w:sz w:val="20"/>
                <w:szCs w:val="20"/>
              </w:rPr>
            </w:pPr>
            <w:r w:rsidRPr="00C572B7">
              <w:rPr>
                <w:rFonts w:ascii="Arial Narrow" w:eastAsia="Arial Narrow" w:hAnsi="Arial Narrow"/>
                <w:sz w:val="20"/>
                <w:szCs w:val="20"/>
              </w:rPr>
              <w:t>(N=171)</w:t>
            </w:r>
          </w:p>
        </w:tc>
        <w:tc>
          <w:tcPr>
            <w:tcW w:w="1346" w:type="pct"/>
            <w:tcBorders>
              <w:top w:val="single" w:sz="4" w:space="0" w:color="auto"/>
              <w:left w:val="single" w:sz="4" w:space="0" w:color="auto"/>
              <w:bottom w:val="single" w:sz="4" w:space="0" w:color="auto"/>
              <w:right w:val="single" w:sz="4" w:space="0" w:color="auto"/>
            </w:tcBorders>
            <w:hideMark/>
          </w:tcPr>
          <w:p w:rsidR="00C572B7" w:rsidRPr="00C572B7" w:rsidRDefault="00C572B7" w:rsidP="00C572B7">
            <w:pPr>
              <w:ind w:left="-57" w:right="-57"/>
              <w:jc w:val="center"/>
              <w:rPr>
                <w:rFonts w:ascii="Arial Narrow" w:eastAsia="Arial Narrow" w:hAnsi="Arial Narrow"/>
                <w:b/>
                <w:sz w:val="20"/>
                <w:szCs w:val="20"/>
              </w:rPr>
            </w:pPr>
            <w:r w:rsidRPr="00C572B7">
              <w:rPr>
                <w:rFonts w:ascii="Arial Narrow" w:eastAsia="Arial Narrow" w:hAnsi="Arial Narrow"/>
                <w:b/>
                <w:sz w:val="20"/>
                <w:szCs w:val="20"/>
              </w:rPr>
              <w:t>Bevacizumab +FOLFIRI</w:t>
            </w:r>
          </w:p>
          <w:p w:rsidR="00C572B7" w:rsidRPr="00C572B7" w:rsidRDefault="00C572B7" w:rsidP="00C572B7">
            <w:pPr>
              <w:ind w:left="-57" w:right="-57"/>
              <w:jc w:val="center"/>
              <w:rPr>
                <w:rFonts w:ascii="Arial Narrow" w:hAnsi="Arial Narrow"/>
                <w:b/>
                <w:sz w:val="20"/>
                <w:szCs w:val="20"/>
              </w:rPr>
            </w:pPr>
            <w:r w:rsidRPr="00C572B7">
              <w:rPr>
                <w:rFonts w:ascii="Arial Narrow" w:eastAsia="Arial Narrow" w:hAnsi="Arial Narrow"/>
                <w:sz w:val="20"/>
                <w:szCs w:val="20"/>
              </w:rPr>
              <w:t>(N=171)</w:t>
            </w:r>
            <w:r w:rsidRPr="00C572B7">
              <w:rPr>
                <w:rFonts w:ascii="Arial Narrow" w:eastAsia="Arial Narrow" w:hAnsi="Arial Narrow"/>
                <w:b/>
                <w:sz w:val="20"/>
                <w:szCs w:val="20"/>
              </w:rPr>
              <w:t xml:space="preserve"> </w:t>
            </w:r>
          </w:p>
        </w:tc>
        <w:tc>
          <w:tcPr>
            <w:tcW w:w="758" w:type="pct"/>
            <w:tcBorders>
              <w:top w:val="single" w:sz="4" w:space="0" w:color="auto"/>
              <w:left w:val="single" w:sz="4" w:space="0" w:color="auto"/>
              <w:bottom w:val="single" w:sz="4" w:space="0" w:color="auto"/>
              <w:right w:val="single" w:sz="4" w:space="0" w:color="auto"/>
            </w:tcBorders>
            <w:hideMark/>
          </w:tcPr>
          <w:p w:rsidR="00C572B7" w:rsidRPr="00C572B7" w:rsidRDefault="00C572B7" w:rsidP="00C572B7">
            <w:pPr>
              <w:jc w:val="center"/>
              <w:rPr>
                <w:rFonts w:ascii="Arial Narrow" w:eastAsia="Arial Narrow" w:hAnsi="Arial Narrow"/>
                <w:b/>
                <w:sz w:val="20"/>
                <w:szCs w:val="20"/>
              </w:rPr>
            </w:pPr>
            <w:r w:rsidRPr="00C572B7">
              <w:rPr>
                <w:rFonts w:ascii="Arial Narrow" w:eastAsia="Arial Narrow" w:hAnsi="Arial Narrow"/>
                <w:b/>
                <w:sz w:val="20"/>
                <w:szCs w:val="20"/>
              </w:rPr>
              <w:t>OR</w:t>
            </w:r>
          </w:p>
          <w:p w:rsidR="00C572B7" w:rsidRPr="00C572B7" w:rsidRDefault="00C572B7" w:rsidP="00C572B7">
            <w:pPr>
              <w:jc w:val="center"/>
              <w:rPr>
                <w:rFonts w:ascii="Arial Narrow" w:hAnsi="Arial Narrow"/>
                <w:b/>
                <w:sz w:val="20"/>
                <w:szCs w:val="20"/>
              </w:rPr>
            </w:pPr>
            <w:r w:rsidRPr="00C572B7">
              <w:rPr>
                <w:rFonts w:ascii="Arial Narrow" w:eastAsia="Arial Narrow" w:hAnsi="Arial Narrow"/>
                <w:b/>
                <w:sz w:val="20"/>
                <w:szCs w:val="20"/>
              </w:rPr>
              <w:t>[95% CI]</w:t>
            </w:r>
            <w:r w:rsidRPr="00C572B7">
              <w:rPr>
                <w:rFonts w:ascii="Arial Narrow" w:eastAsia="Arial Narrow" w:hAnsi="Arial Narrow"/>
                <w:b/>
                <w:sz w:val="20"/>
                <w:szCs w:val="20"/>
                <w:vertAlign w:val="superscript"/>
              </w:rPr>
              <w:t>**</w:t>
            </w:r>
          </w:p>
        </w:tc>
        <w:tc>
          <w:tcPr>
            <w:tcW w:w="793" w:type="pct"/>
            <w:tcBorders>
              <w:top w:val="single" w:sz="4" w:space="0" w:color="auto"/>
              <w:left w:val="single" w:sz="4" w:space="0" w:color="auto"/>
              <w:bottom w:val="single" w:sz="4" w:space="0" w:color="auto"/>
              <w:right w:val="single" w:sz="4" w:space="0" w:color="auto"/>
            </w:tcBorders>
            <w:hideMark/>
          </w:tcPr>
          <w:p w:rsidR="00C572B7" w:rsidRPr="00C572B7" w:rsidRDefault="00C572B7" w:rsidP="00C572B7">
            <w:pPr>
              <w:jc w:val="center"/>
              <w:rPr>
                <w:rFonts w:ascii="Arial Narrow" w:eastAsia="Arial Narrow" w:hAnsi="Arial Narrow"/>
                <w:b/>
                <w:sz w:val="20"/>
                <w:szCs w:val="20"/>
              </w:rPr>
            </w:pPr>
            <w:r w:rsidRPr="00C572B7">
              <w:rPr>
                <w:rFonts w:ascii="Arial Narrow" w:eastAsia="Arial Narrow" w:hAnsi="Arial Narrow"/>
                <w:b/>
                <w:sz w:val="20"/>
                <w:szCs w:val="20"/>
              </w:rPr>
              <w:t>RD</w:t>
            </w:r>
          </w:p>
          <w:p w:rsidR="00C572B7" w:rsidRPr="00C572B7" w:rsidRDefault="00C572B7" w:rsidP="00C572B7">
            <w:pPr>
              <w:jc w:val="center"/>
              <w:rPr>
                <w:rFonts w:ascii="Arial Narrow" w:eastAsia="Arial Narrow" w:hAnsi="Arial Narrow"/>
                <w:b/>
                <w:sz w:val="20"/>
                <w:szCs w:val="20"/>
              </w:rPr>
            </w:pPr>
            <w:r w:rsidRPr="00C572B7">
              <w:rPr>
                <w:rFonts w:ascii="Arial Narrow" w:eastAsia="Arial Narrow" w:hAnsi="Arial Narrow"/>
                <w:b/>
                <w:sz w:val="20"/>
                <w:szCs w:val="20"/>
              </w:rPr>
              <w:t>[95% CI]</w:t>
            </w:r>
            <w:r w:rsidRPr="00C572B7">
              <w:rPr>
                <w:rFonts w:ascii="Arial Narrow" w:eastAsia="Arial Narrow" w:hAnsi="Arial Narrow"/>
                <w:b/>
                <w:sz w:val="20"/>
                <w:szCs w:val="20"/>
                <w:vertAlign w:val="superscript"/>
              </w:rPr>
              <w:t>**</w:t>
            </w:r>
          </w:p>
        </w:tc>
      </w:tr>
      <w:tr w:rsidR="00C572B7" w:rsidRPr="00C572B7" w:rsidTr="00370950">
        <w:tc>
          <w:tcPr>
            <w:tcW w:w="757" w:type="pct"/>
            <w:tcBorders>
              <w:top w:val="single" w:sz="4" w:space="0" w:color="auto"/>
              <w:left w:val="single" w:sz="4" w:space="0" w:color="auto"/>
              <w:bottom w:val="single" w:sz="4" w:space="0" w:color="auto"/>
              <w:right w:val="single" w:sz="4" w:space="0" w:color="auto"/>
            </w:tcBorders>
            <w:hideMark/>
          </w:tcPr>
          <w:p w:rsidR="00C572B7" w:rsidRPr="00C572B7" w:rsidRDefault="00C572B7" w:rsidP="00C572B7">
            <w:pPr>
              <w:ind w:left="-28" w:right="-57"/>
              <w:rPr>
                <w:rFonts w:ascii="Arial Narrow" w:eastAsia="Arial Narrow" w:hAnsi="Arial Narrow"/>
                <w:sz w:val="20"/>
                <w:szCs w:val="20"/>
                <w:highlight w:val="yellow"/>
              </w:rPr>
            </w:pPr>
            <w:r w:rsidRPr="00C572B7">
              <w:rPr>
                <w:rFonts w:ascii="Arial Narrow" w:eastAsia="Arial Narrow" w:hAnsi="Arial Narrow"/>
                <w:sz w:val="20"/>
                <w:szCs w:val="20"/>
              </w:rPr>
              <w:t>ORR*, % (n) [95% CI],</w:t>
            </w:r>
          </w:p>
        </w:tc>
        <w:tc>
          <w:tcPr>
            <w:tcW w:w="1346" w:type="pct"/>
            <w:tcBorders>
              <w:top w:val="single" w:sz="4" w:space="0" w:color="auto"/>
              <w:left w:val="single" w:sz="4" w:space="0" w:color="auto"/>
              <w:bottom w:val="single" w:sz="4" w:space="0" w:color="auto"/>
              <w:right w:val="single" w:sz="4" w:space="0" w:color="auto"/>
            </w:tcBorders>
            <w:hideMark/>
          </w:tcPr>
          <w:p w:rsidR="00C572B7" w:rsidRPr="00C572B7" w:rsidRDefault="00C572B7" w:rsidP="00C572B7">
            <w:pPr>
              <w:ind w:left="-57" w:right="-57"/>
              <w:jc w:val="center"/>
              <w:rPr>
                <w:rFonts w:ascii="Arial Narrow" w:eastAsia="Arial Narrow" w:hAnsi="Arial Narrow"/>
                <w:sz w:val="20"/>
                <w:szCs w:val="20"/>
              </w:rPr>
            </w:pPr>
            <w:r w:rsidRPr="00C572B7">
              <w:rPr>
                <w:rFonts w:ascii="Arial Narrow" w:eastAsia="Arial Narrow" w:hAnsi="Arial Narrow"/>
                <w:sz w:val="20"/>
                <w:szCs w:val="20"/>
              </w:rPr>
              <w:t xml:space="preserve">65.5% (112) </w:t>
            </w:r>
          </w:p>
          <w:p w:rsidR="00C572B7" w:rsidRPr="00C572B7" w:rsidRDefault="00C572B7" w:rsidP="00C572B7">
            <w:pPr>
              <w:ind w:left="-57" w:right="-57"/>
              <w:jc w:val="center"/>
              <w:rPr>
                <w:rFonts w:ascii="Arial Narrow" w:eastAsia="Arial Narrow" w:hAnsi="Arial Narrow"/>
                <w:sz w:val="20"/>
                <w:szCs w:val="20"/>
              </w:rPr>
            </w:pPr>
            <w:r w:rsidRPr="00C572B7">
              <w:rPr>
                <w:rFonts w:ascii="Arial Narrow" w:eastAsia="Arial Narrow" w:hAnsi="Arial Narrow"/>
                <w:sz w:val="20"/>
                <w:szCs w:val="20"/>
              </w:rPr>
              <w:t>[57.9%, 72.6%]</w:t>
            </w:r>
          </w:p>
        </w:tc>
        <w:tc>
          <w:tcPr>
            <w:tcW w:w="1346" w:type="pct"/>
            <w:tcBorders>
              <w:top w:val="single" w:sz="4" w:space="0" w:color="auto"/>
              <w:left w:val="single" w:sz="4" w:space="0" w:color="auto"/>
              <w:bottom w:val="single" w:sz="4" w:space="0" w:color="auto"/>
              <w:right w:val="single" w:sz="4" w:space="0" w:color="auto"/>
            </w:tcBorders>
            <w:hideMark/>
          </w:tcPr>
          <w:p w:rsidR="00C572B7" w:rsidRPr="00C572B7" w:rsidRDefault="00C572B7" w:rsidP="00C572B7">
            <w:pPr>
              <w:ind w:left="-57" w:right="-57"/>
              <w:jc w:val="center"/>
              <w:rPr>
                <w:rFonts w:ascii="Arial Narrow" w:eastAsia="Arial Narrow" w:hAnsi="Arial Narrow"/>
                <w:sz w:val="20"/>
                <w:szCs w:val="20"/>
              </w:rPr>
            </w:pPr>
            <w:r w:rsidRPr="00C572B7">
              <w:rPr>
                <w:rFonts w:ascii="Arial Narrow" w:eastAsia="Arial Narrow" w:hAnsi="Arial Narrow"/>
                <w:sz w:val="20"/>
                <w:szCs w:val="20"/>
              </w:rPr>
              <w:t>59.6% (102)</w:t>
            </w:r>
          </w:p>
          <w:p w:rsidR="00C572B7" w:rsidRPr="00C572B7" w:rsidRDefault="00C572B7" w:rsidP="00C572B7">
            <w:pPr>
              <w:ind w:left="-57" w:right="-57"/>
              <w:jc w:val="center"/>
              <w:rPr>
                <w:rFonts w:ascii="Arial Narrow" w:eastAsia="Arial Narrow" w:hAnsi="Arial Narrow"/>
                <w:sz w:val="20"/>
                <w:szCs w:val="20"/>
              </w:rPr>
            </w:pPr>
            <w:r w:rsidRPr="00C572B7">
              <w:rPr>
                <w:rFonts w:ascii="Arial Narrow" w:eastAsia="Arial Narrow" w:hAnsi="Arial Narrow"/>
                <w:sz w:val="20"/>
                <w:szCs w:val="20"/>
              </w:rPr>
              <w:t>[51.9%, 67.1%]</w:t>
            </w:r>
          </w:p>
        </w:tc>
        <w:tc>
          <w:tcPr>
            <w:tcW w:w="758" w:type="pct"/>
            <w:tcBorders>
              <w:top w:val="single" w:sz="4" w:space="0" w:color="auto"/>
              <w:left w:val="single" w:sz="4" w:space="0" w:color="auto"/>
              <w:bottom w:val="single" w:sz="4" w:space="0" w:color="auto"/>
              <w:right w:val="single" w:sz="4" w:space="0" w:color="auto"/>
            </w:tcBorders>
            <w:hideMark/>
          </w:tcPr>
          <w:p w:rsidR="00C572B7" w:rsidRPr="00C572B7" w:rsidRDefault="00C572B7" w:rsidP="00C572B7">
            <w:pPr>
              <w:ind w:left="-57" w:right="-57"/>
              <w:jc w:val="center"/>
              <w:rPr>
                <w:rFonts w:ascii="Arial Narrow" w:eastAsia="Arial Narrow" w:hAnsi="Arial Narrow"/>
                <w:sz w:val="20"/>
                <w:szCs w:val="20"/>
              </w:rPr>
            </w:pPr>
            <w:r w:rsidRPr="00C572B7">
              <w:rPr>
                <w:rFonts w:ascii="Arial Narrow" w:eastAsia="Arial Narrow" w:hAnsi="Arial Narrow"/>
                <w:sz w:val="20"/>
                <w:szCs w:val="20"/>
              </w:rPr>
              <w:t>1.28</w:t>
            </w:r>
          </w:p>
          <w:p w:rsidR="00C572B7" w:rsidRPr="00C572B7" w:rsidRDefault="00C572B7" w:rsidP="00C572B7">
            <w:pPr>
              <w:ind w:left="-57" w:right="-57"/>
              <w:jc w:val="center"/>
              <w:rPr>
                <w:rFonts w:ascii="Arial Narrow" w:hAnsi="Arial Narrow"/>
                <w:sz w:val="20"/>
                <w:szCs w:val="20"/>
              </w:rPr>
            </w:pPr>
            <w:r w:rsidRPr="00C572B7">
              <w:rPr>
                <w:rFonts w:ascii="Arial Narrow" w:eastAsia="Arial Narrow" w:hAnsi="Arial Narrow"/>
                <w:sz w:val="20"/>
                <w:szCs w:val="20"/>
              </w:rPr>
              <w:t>[0.83, 1.99]</w:t>
            </w:r>
          </w:p>
        </w:tc>
        <w:tc>
          <w:tcPr>
            <w:tcW w:w="793" w:type="pct"/>
            <w:tcBorders>
              <w:top w:val="single" w:sz="4" w:space="0" w:color="auto"/>
              <w:left w:val="single" w:sz="4" w:space="0" w:color="auto"/>
              <w:bottom w:val="single" w:sz="4" w:space="0" w:color="auto"/>
              <w:right w:val="single" w:sz="4" w:space="0" w:color="auto"/>
            </w:tcBorders>
            <w:hideMark/>
          </w:tcPr>
          <w:p w:rsidR="00C572B7" w:rsidRPr="00C572B7" w:rsidRDefault="00C572B7" w:rsidP="00C572B7">
            <w:pPr>
              <w:ind w:left="-57" w:right="-57"/>
              <w:jc w:val="center"/>
              <w:rPr>
                <w:rFonts w:ascii="Arial Narrow" w:eastAsia="Arial Narrow" w:hAnsi="Arial Narrow"/>
                <w:i/>
                <w:sz w:val="20"/>
                <w:szCs w:val="20"/>
              </w:rPr>
            </w:pPr>
            <w:r w:rsidRPr="00C572B7">
              <w:rPr>
                <w:rFonts w:ascii="Arial Narrow" w:eastAsia="Arial Narrow" w:hAnsi="Arial Narrow"/>
                <w:i/>
                <w:sz w:val="20"/>
                <w:szCs w:val="20"/>
              </w:rPr>
              <w:t>5.9%</w:t>
            </w:r>
          </w:p>
          <w:p w:rsidR="00C572B7" w:rsidRPr="00C572B7" w:rsidRDefault="00C572B7" w:rsidP="00C572B7">
            <w:pPr>
              <w:ind w:left="-57" w:right="-57"/>
              <w:jc w:val="center"/>
              <w:rPr>
                <w:rFonts w:ascii="Arial Narrow" w:eastAsia="Arial Narrow" w:hAnsi="Arial Narrow"/>
                <w:i/>
                <w:sz w:val="20"/>
                <w:szCs w:val="20"/>
                <w:highlight w:val="yellow"/>
              </w:rPr>
            </w:pPr>
            <w:r w:rsidRPr="00C572B7">
              <w:rPr>
                <w:rFonts w:ascii="Arial Narrow" w:eastAsia="Arial Narrow" w:hAnsi="Arial Narrow"/>
                <w:i/>
                <w:sz w:val="20"/>
                <w:szCs w:val="20"/>
              </w:rPr>
              <w:t>[-4.4%, 16.1%]</w:t>
            </w:r>
          </w:p>
        </w:tc>
      </w:tr>
    </w:tbl>
    <w:p w:rsidR="00C572B7" w:rsidRPr="00C572B7" w:rsidRDefault="00C572B7" w:rsidP="00C572B7">
      <w:pPr>
        <w:widowControl w:val="0"/>
        <w:ind w:left="720"/>
        <w:jc w:val="both"/>
        <w:rPr>
          <w:rFonts w:ascii="Arial Narrow" w:hAnsi="Arial Narrow" w:cs="Arial"/>
          <w:snapToGrid w:val="0"/>
          <w:sz w:val="20"/>
          <w:szCs w:val="16"/>
          <w:lang w:eastAsia="en-US"/>
        </w:rPr>
      </w:pPr>
      <w:r w:rsidRPr="00C572B7">
        <w:rPr>
          <w:rFonts w:ascii="Arial Narrow" w:hAnsi="Arial Narrow" w:cs="Arial"/>
          <w:snapToGrid w:val="0"/>
          <w:sz w:val="20"/>
          <w:szCs w:val="16"/>
          <w:lang w:eastAsia="en-US"/>
        </w:rPr>
        <w:t>Values in italics were calculated during the evaluation.</w:t>
      </w:r>
    </w:p>
    <w:p w:rsidR="00C572B7" w:rsidRPr="00C572B7" w:rsidRDefault="00C572B7" w:rsidP="00C572B7">
      <w:pPr>
        <w:widowControl w:val="0"/>
        <w:ind w:left="720"/>
        <w:jc w:val="both"/>
        <w:rPr>
          <w:rFonts w:ascii="Arial Narrow" w:hAnsi="Arial Narrow" w:cs="Arial"/>
          <w:snapToGrid w:val="0"/>
          <w:sz w:val="20"/>
          <w:szCs w:val="16"/>
          <w:lang w:eastAsia="en-US"/>
        </w:rPr>
      </w:pPr>
      <w:r w:rsidRPr="00C572B7">
        <w:rPr>
          <w:rFonts w:ascii="Arial Narrow" w:hAnsi="Arial Narrow" w:cs="Arial"/>
          <w:snapToGrid w:val="0"/>
          <w:sz w:val="20"/>
          <w:szCs w:val="16"/>
          <w:lang w:eastAsia="en-US"/>
        </w:rPr>
        <w:t>*Investigator assessment of all RAS WT population – primary endpoint</w:t>
      </w:r>
    </w:p>
    <w:p w:rsidR="00C572B7" w:rsidRPr="00C572B7" w:rsidRDefault="00C572B7" w:rsidP="00C572B7">
      <w:pPr>
        <w:widowControl w:val="0"/>
        <w:ind w:left="720"/>
        <w:jc w:val="both"/>
        <w:rPr>
          <w:rFonts w:ascii="Arial Narrow" w:hAnsi="Arial Narrow" w:cs="Arial"/>
          <w:snapToGrid w:val="0"/>
          <w:sz w:val="20"/>
          <w:szCs w:val="16"/>
          <w:lang w:eastAsia="en-US"/>
        </w:rPr>
      </w:pPr>
      <w:r w:rsidRPr="00C572B7">
        <w:rPr>
          <w:rFonts w:ascii="Arial Narrow" w:hAnsi="Arial Narrow" w:cs="Arial"/>
          <w:snapToGrid w:val="0"/>
          <w:sz w:val="20"/>
          <w:szCs w:val="16"/>
          <w:lang w:eastAsia="en-US"/>
        </w:rPr>
        <w:t>** cetuximab versus bevacizumab</w:t>
      </w:r>
    </w:p>
    <w:p w:rsidR="00C572B7" w:rsidRPr="00C572B7" w:rsidRDefault="00C572B7" w:rsidP="00C572B7">
      <w:pPr>
        <w:widowControl w:val="0"/>
        <w:ind w:left="720"/>
        <w:jc w:val="both"/>
        <w:rPr>
          <w:rFonts w:ascii="Arial Narrow" w:hAnsi="Arial Narrow" w:cs="Arial"/>
          <w:snapToGrid w:val="0"/>
          <w:sz w:val="20"/>
          <w:szCs w:val="16"/>
          <w:lang w:eastAsia="en-US"/>
        </w:rPr>
      </w:pPr>
      <w:r w:rsidRPr="00C572B7">
        <w:rPr>
          <w:rFonts w:ascii="Arial Narrow" w:hAnsi="Arial Narrow" w:cs="Arial"/>
          <w:snapToGrid w:val="0"/>
          <w:sz w:val="20"/>
          <w:szCs w:val="16"/>
          <w:lang w:eastAsia="en-US"/>
        </w:rPr>
        <w:t>RAS WT = rat sarcoma viral oncogene wild-type; FOLFIRI = 5-fluorouracil, folinic acid and irinotecan; OR = odds ratio; CI = confidence interval; RD = risk difference; ORR = overall response rate (complete response + partial response);</w:t>
      </w:r>
    </w:p>
    <w:p w:rsidR="00C572B7" w:rsidRPr="00C572B7" w:rsidRDefault="00C572B7" w:rsidP="00C572B7">
      <w:pPr>
        <w:widowControl w:val="0"/>
        <w:ind w:left="720"/>
        <w:jc w:val="both"/>
        <w:rPr>
          <w:rFonts w:ascii="Arial Narrow" w:hAnsi="Arial Narrow" w:cs="Arial"/>
          <w:snapToGrid w:val="0"/>
          <w:sz w:val="20"/>
          <w:szCs w:val="16"/>
          <w:lang w:eastAsia="en-US"/>
        </w:rPr>
      </w:pPr>
      <w:r w:rsidRPr="00C572B7">
        <w:rPr>
          <w:rFonts w:ascii="Arial Narrow" w:hAnsi="Arial Narrow" w:cs="Arial"/>
          <w:snapToGrid w:val="0"/>
          <w:sz w:val="20"/>
          <w:szCs w:val="16"/>
          <w:lang w:eastAsia="en-US"/>
        </w:rPr>
        <w:t>Source: Revised from Table B.6-2, p73 of the resubmission</w:t>
      </w:r>
    </w:p>
    <w:p w:rsidR="00C572B7" w:rsidRPr="006B26F0" w:rsidRDefault="00C572B7" w:rsidP="006B26F0">
      <w:pPr>
        <w:rPr>
          <w:rFonts w:ascii="Arial" w:hAnsi="Arial"/>
          <w:sz w:val="18"/>
          <w:szCs w:val="18"/>
        </w:rPr>
      </w:pPr>
    </w:p>
    <w:p w:rsidR="00C572B7" w:rsidRPr="00C572B7" w:rsidRDefault="00C572B7" w:rsidP="00C572B7">
      <w:pPr>
        <w:widowControl w:val="0"/>
        <w:ind w:firstLine="720"/>
        <w:jc w:val="both"/>
        <w:rPr>
          <w:rFonts w:ascii="Arial Narrow" w:hAnsi="Arial Narrow" w:cs="Arial"/>
          <w:b/>
          <w:snapToGrid w:val="0"/>
          <w:sz w:val="20"/>
          <w:szCs w:val="16"/>
          <w:lang w:eastAsia="en-US"/>
        </w:rPr>
      </w:pPr>
      <w:r w:rsidRPr="00C572B7">
        <w:rPr>
          <w:rFonts w:ascii="Arial Narrow" w:hAnsi="Arial Narrow" w:cs="Arial"/>
          <w:b/>
          <w:snapToGrid w:val="0"/>
          <w:sz w:val="20"/>
          <w:szCs w:val="16"/>
          <w:lang w:eastAsia="en-US"/>
        </w:rPr>
        <w:t>Results of progression-free survival and overall survival in RAS WT mCRC patients in FIRE-3</w:t>
      </w:r>
    </w:p>
    <w:tbl>
      <w:tblPr>
        <w:tblStyle w:val="TableGrid"/>
        <w:tblW w:w="4558" w:type="pct"/>
        <w:tblInd w:w="817" w:type="dxa"/>
        <w:tblLook w:val="04A0" w:firstRow="1" w:lastRow="0" w:firstColumn="1" w:lastColumn="0" w:noHBand="0" w:noVBand="1"/>
      </w:tblPr>
      <w:tblGrid>
        <w:gridCol w:w="1843"/>
        <w:gridCol w:w="1559"/>
        <w:gridCol w:w="1555"/>
        <w:gridCol w:w="1139"/>
        <w:gridCol w:w="1417"/>
        <w:gridCol w:w="912"/>
      </w:tblGrid>
      <w:tr w:rsidR="00C572B7" w:rsidRPr="00C572B7" w:rsidTr="00370950">
        <w:tc>
          <w:tcPr>
            <w:tcW w:w="1094" w:type="pct"/>
          </w:tcPr>
          <w:p w:rsidR="00C572B7" w:rsidRPr="00C572B7" w:rsidRDefault="00C572B7" w:rsidP="00C572B7">
            <w:pPr>
              <w:keepNext/>
              <w:widowControl w:val="0"/>
              <w:jc w:val="both"/>
              <w:rPr>
                <w:rFonts w:ascii="Arial Narrow" w:hAnsi="Arial Narrow" w:cs="Arial"/>
                <w:b/>
                <w:snapToGrid w:val="0"/>
                <w:sz w:val="20"/>
                <w:szCs w:val="20"/>
                <w:lang w:eastAsia="en-US"/>
              </w:rPr>
            </w:pPr>
          </w:p>
        </w:tc>
        <w:tc>
          <w:tcPr>
            <w:tcW w:w="925" w:type="pct"/>
          </w:tcPr>
          <w:p w:rsidR="00C572B7" w:rsidRPr="00C572B7" w:rsidRDefault="00C572B7" w:rsidP="00C572B7">
            <w:pPr>
              <w:keepNext/>
              <w:widowControl w:val="0"/>
              <w:jc w:val="center"/>
              <w:rPr>
                <w:rFonts w:ascii="Arial Narrow" w:hAnsi="Arial Narrow" w:cs="Arial"/>
                <w:b/>
                <w:snapToGrid w:val="0"/>
                <w:sz w:val="20"/>
                <w:szCs w:val="20"/>
                <w:lang w:eastAsia="en-US"/>
              </w:rPr>
            </w:pPr>
            <w:r w:rsidRPr="00C572B7">
              <w:rPr>
                <w:rFonts w:ascii="Arial Narrow" w:hAnsi="Arial Narrow" w:cs="Arial"/>
                <w:b/>
                <w:snapToGrid w:val="0"/>
                <w:sz w:val="20"/>
                <w:szCs w:val="20"/>
                <w:lang w:eastAsia="en-US"/>
              </w:rPr>
              <w:t>Cetuximab + FOLFIRI</w:t>
            </w:r>
          </w:p>
          <w:p w:rsidR="00C572B7" w:rsidRPr="00C572B7" w:rsidRDefault="00C572B7" w:rsidP="00C572B7">
            <w:pPr>
              <w:keepNext/>
              <w:widowControl w:val="0"/>
              <w:jc w:val="center"/>
              <w:rPr>
                <w:rFonts w:ascii="Arial Narrow" w:hAnsi="Arial Narrow" w:cs="Arial"/>
                <w:b/>
                <w:snapToGrid w:val="0"/>
                <w:sz w:val="20"/>
                <w:szCs w:val="20"/>
                <w:lang w:eastAsia="en-US"/>
              </w:rPr>
            </w:pPr>
            <w:r w:rsidRPr="00C572B7">
              <w:rPr>
                <w:rFonts w:ascii="Arial Narrow" w:hAnsi="Arial Narrow" w:cs="Arial"/>
                <w:b/>
                <w:snapToGrid w:val="0"/>
                <w:sz w:val="20"/>
                <w:szCs w:val="20"/>
                <w:lang w:eastAsia="en-US"/>
              </w:rPr>
              <w:t>(N=171)</w:t>
            </w:r>
          </w:p>
        </w:tc>
        <w:tc>
          <w:tcPr>
            <w:tcW w:w="923" w:type="pct"/>
          </w:tcPr>
          <w:p w:rsidR="00C572B7" w:rsidRPr="00C572B7" w:rsidRDefault="00C572B7" w:rsidP="00C572B7">
            <w:pPr>
              <w:keepNext/>
              <w:widowControl w:val="0"/>
              <w:jc w:val="center"/>
              <w:rPr>
                <w:rFonts w:ascii="Arial Narrow" w:hAnsi="Arial Narrow" w:cs="Arial"/>
                <w:b/>
                <w:snapToGrid w:val="0"/>
                <w:sz w:val="20"/>
                <w:szCs w:val="20"/>
                <w:lang w:eastAsia="en-US"/>
              </w:rPr>
            </w:pPr>
            <w:r w:rsidRPr="00C572B7">
              <w:rPr>
                <w:rFonts w:ascii="Arial Narrow" w:hAnsi="Arial Narrow" w:cs="Arial"/>
                <w:b/>
                <w:snapToGrid w:val="0"/>
                <w:sz w:val="20"/>
                <w:szCs w:val="20"/>
                <w:lang w:eastAsia="en-US"/>
              </w:rPr>
              <w:t>Bevacizumab + FOLFIRI</w:t>
            </w:r>
          </w:p>
          <w:p w:rsidR="00C572B7" w:rsidRPr="00C572B7" w:rsidRDefault="00C572B7" w:rsidP="00C572B7">
            <w:pPr>
              <w:keepNext/>
              <w:widowControl w:val="0"/>
              <w:jc w:val="center"/>
              <w:rPr>
                <w:rFonts w:ascii="Arial Narrow" w:hAnsi="Arial Narrow" w:cs="Arial"/>
                <w:b/>
                <w:snapToGrid w:val="0"/>
                <w:sz w:val="20"/>
                <w:szCs w:val="20"/>
                <w:lang w:eastAsia="en-US"/>
              </w:rPr>
            </w:pPr>
            <w:r w:rsidRPr="00C572B7">
              <w:rPr>
                <w:rFonts w:ascii="Arial Narrow" w:hAnsi="Arial Narrow" w:cs="Arial"/>
                <w:b/>
                <w:snapToGrid w:val="0"/>
                <w:sz w:val="20"/>
                <w:szCs w:val="20"/>
                <w:lang w:eastAsia="en-US"/>
              </w:rPr>
              <w:t>(N=171)</w:t>
            </w:r>
          </w:p>
        </w:tc>
        <w:tc>
          <w:tcPr>
            <w:tcW w:w="676" w:type="pct"/>
          </w:tcPr>
          <w:p w:rsidR="00C572B7" w:rsidRPr="00C572B7" w:rsidRDefault="00C572B7" w:rsidP="00C572B7">
            <w:pPr>
              <w:keepNext/>
              <w:widowControl w:val="0"/>
              <w:jc w:val="center"/>
              <w:rPr>
                <w:rFonts w:ascii="Arial Narrow" w:hAnsi="Arial Narrow" w:cs="Arial"/>
                <w:b/>
                <w:snapToGrid w:val="0"/>
                <w:sz w:val="20"/>
                <w:szCs w:val="20"/>
                <w:lang w:eastAsia="en-US"/>
              </w:rPr>
            </w:pPr>
            <w:r w:rsidRPr="00C572B7">
              <w:rPr>
                <w:rFonts w:ascii="Arial Narrow" w:hAnsi="Arial Narrow" w:cs="Arial"/>
                <w:b/>
                <w:snapToGrid w:val="0"/>
                <w:sz w:val="20"/>
                <w:szCs w:val="20"/>
                <w:lang w:eastAsia="en-US"/>
              </w:rPr>
              <w:t>Absolute difference</w:t>
            </w:r>
          </w:p>
          <w:p w:rsidR="00C572B7" w:rsidRPr="00C572B7" w:rsidRDefault="00C572B7" w:rsidP="00C572B7">
            <w:pPr>
              <w:keepNext/>
              <w:widowControl w:val="0"/>
              <w:jc w:val="center"/>
              <w:rPr>
                <w:rFonts w:ascii="Arial Narrow" w:hAnsi="Arial Narrow" w:cs="Arial"/>
                <w:b/>
                <w:snapToGrid w:val="0"/>
                <w:sz w:val="20"/>
                <w:szCs w:val="20"/>
                <w:lang w:eastAsia="en-US"/>
              </w:rPr>
            </w:pPr>
            <w:r w:rsidRPr="00C572B7">
              <w:rPr>
                <w:rFonts w:ascii="Arial Narrow" w:hAnsi="Arial Narrow" w:cs="Arial"/>
                <w:b/>
                <w:snapToGrid w:val="0"/>
                <w:sz w:val="20"/>
                <w:szCs w:val="20"/>
                <w:lang w:eastAsia="en-US"/>
              </w:rPr>
              <w:t>(months)</w:t>
            </w:r>
          </w:p>
        </w:tc>
        <w:tc>
          <w:tcPr>
            <w:tcW w:w="841" w:type="pct"/>
          </w:tcPr>
          <w:p w:rsidR="00C572B7" w:rsidRPr="00C572B7" w:rsidRDefault="00C572B7" w:rsidP="00C572B7">
            <w:pPr>
              <w:keepNext/>
              <w:widowControl w:val="0"/>
              <w:jc w:val="center"/>
              <w:rPr>
                <w:rFonts w:ascii="Arial Narrow" w:hAnsi="Arial Narrow" w:cs="Arial"/>
                <w:b/>
                <w:snapToGrid w:val="0"/>
                <w:sz w:val="20"/>
                <w:szCs w:val="20"/>
                <w:lang w:eastAsia="en-US"/>
              </w:rPr>
            </w:pPr>
            <w:r w:rsidRPr="00C572B7">
              <w:rPr>
                <w:rFonts w:ascii="Arial Narrow" w:hAnsi="Arial Narrow" w:cs="Arial"/>
                <w:b/>
                <w:snapToGrid w:val="0"/>
                <w:sz w:val="20"/>
                <w:szCs w:val="20"/>
                <w:lang w:eastAsia="en-US"/>
              </w:rPr>
              <w:t>HR</w:t>
            </w:r>
          </w:p>
          <w:p w:rsidR="00C572B7" w:rsidRPr="00C572B7" w:rsidRDefault="00C572B7" w:rsidP="00C572B7">
            <w:pPr>
              <w:keepNext/>
              <w:widowControl w:val="0"/>
              <w:jc w:val="center"/>
              <w:rPr>
                <w:rFonts w:ascii="Arial Narrow" w:hAnsi="Arial Narrow" w:cs="Arial"/>
                <w:b/>
                <w:snapToGrid w:val="0"/>
                <w:sz w:val="20"/>
                <w:szCs w:val="20"/>
                <w:lang w:eastAsia="en-US"/>
              </w:rPr>
            </w:pPr>
            <w:r w:rsidRPr="00C572B7">
              <w:rPr>
                <w:rFonts w:ascii="Arial Narrow" w:hAnsi="Arial Narrow" w:cs="Arial"/>
                <w:b/>
                <w:snapToGrid w:val="0"/>
                <w:sz w:val="20"/>
                <w:szCs w:val="20"/>
                <w:lang w:eastAsia="en-US"/>
              </w:rPr>
              <w:t>[95% CI]</w:t>
            </w:r>
          </w:p>
        </w:tc>
        <w:tc>
          <w:tcPr>
            <w:tcW w:w="541" w:type="pct"/>
          </w:tcPr>
          <w:p w:rsidR="00C572B7" w:rsidRPr="00C572B7" w:rsidRDefault="00C572B7" w:rsidP="00C572B7">
            <w:pPr>
              <w:keepNext/>
              <w:widowControl w:val="0"/>
              <w:jc w:val="center"/>
              <w:rPr>
                <w:rFonts w:ascii="Arial Narrow" w:hAnsi="Arial Narrow" w:cs="Arial"/>
                <w:b/>
                <w:snapToGrid w:val="0"/>
                <w:sz w:val="20"/>
                <w:szCs w:val="20"/>
                <w:lang w:eastAsia="en-US"/>
              </w:rPr>
            </w:pPr>
            <w:r w:rsidRPr="00C572B7">
              <w:rPr>
                <w:rFonts w:ascii="Arial Narrow" w:hAnsi="Arial Narrow" w:cs="Arial"/>
                <w:snapToGrid w:val="0"/>
                <w:sz w:val="20"/>
                <w:szCs w:val="20"/>
                <w:lang w:eastAsia="en-US"/>
              </w:rPr>
              <w:t>p-value</w:t>
            </w:r>
            <w:r w:rsidRPr="00C572B7">
              <w:rPr>
                <w:rFonts w:ascii="Arial Narrow" w:hAnsi="Arial Narrow" w:cs="Arial"/>
                <w:snapToGrid w:val="0"/>
                <w:sz w:val="20"/>
                <w:szCs w:val="20"/>
                <w:vertAlign w:val="superscript"/>
                <w:lang w:eastAsia="en-US"/>
              </w:rPr>
              <w:t>*</w:t>
            </w:r>
          </w:p>
        </w:tc>
      </w:tr>
      <w:tr w:rsidR="00C572B7" w:rsidRPr="00C572B7" w:rsidTr="00370950">
        <w:tc>
          <w:tcPr>
            <w:tcW w:w="1094" w:type="pct"/>
          </w:tcPr>
          <w:p w:rsidR="00C572B7" w:rsidRPr="00C572B7" w:rsidRDefault="00C572B7" w:rsidP="00C572B7">
            <w:pPr>
              <w:keepNext/>
              <w:widowControl w:val="0"/>
              <w:jc w:val="both"/>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Median PFS, months [95% CI]</w:t>
            </w:r>
          </w:p>
        </w:tc>
        <w:tc>
          <w:tcPr>
            <w:tcW w:w="925"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10.4</w:t>
            </w:r>
          </w:p>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[9.5, 12.2]</w:t>
            </w:r>
          </w:p>
        </w:tc>
        <w:tc>
          <w:tcPr>
            <w:tcW w:w="923"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10.2</w:t>
            </w:r>
          </w:p>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[9.3, 11.5]</w:t>
            </w:r>
          </w:p>
        </w:tc>
        <w:tc>
          <w:tcPr>
            <w:tcW w:w="676"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+0.2</w:t>
            </w:r>
          </w:p>
        </w:tc>
        <w:tc>
          <w:tcPr>
            <w:tcW w:w="841"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0.93 [0.74, 1.17]</w:t>
            </w:r>
          </w:p>
        </w:tc>
        <w:tc>
          <w:tcPr>
            <w:tcW w:w="541"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0.536</w:t>
            </w:r>
          </w:p>
        </w:tc>
      </w:tr>
      <w:tr w:rsidR="00C572B7" w:rsidRPr="00C572B7" w:rsidTr="00370950">
        <w:tc>
          <w:tcPr>
            <w:tcW w:w="1094" w:type="pct"/>
          </w:tcPr>
          <w:p w:rsidR="00C572B7" w:rsidRPr="00C572B7" w:rsidRDefault="00C572B7" w:rsidP="00C572B7">
            <w:pPr>
              <w:keepNext/>
              <w:widowControl w:val="0"/>
              <w:jc w:val="both"/>
              <w:rPr>
                <w:rFonts w:ascii="Arial Narrow" w:hAnsi="Arial Narrow" w:cs="Arial"/>
                <w:snapToGrid w:val="0"/>
                <w:sz w:val="20"/>
                <w:szCs w:val="20"/>
                <w:vertAlign w:val="superscript"/>
                <w:lang w:eastAsia="en-US"/>
              </w:rPr>
            </w:pPr>
            <w:r w:rsidRPr="00C572B7">
              <w:rPr>
                <w:rFonts w:ascii="Arial Narrow" w:hAnsi="Arial Narrow" w:cs="Arial"/>
                <w:snapToGrid w:val="0"/>
                <w:sz w:val="20"/>
                <w:szCs w:val="20"/>
                <w:lang w:eastAsia="en-US"/>
              </w:rPr>
              <w:t>Median OS months [95% CI]</w:t>
            </w:r>
          </w:p>
        </w:tc>
        <w:tc>
          <w:tcPr>
            <w:tcW w:w="925"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33.1 [24.5, 39.4]</w:t>
            </w:r>
          </w:p>
        </w:tc>
        <w:tc>
          <w:tcPr>
            <w:tcW w:w="923"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25.6 [22.7, 28.6]</w:t>
            </w:r>
          </w:p>
        </w:tc>
        <w:tc>
          <w:tcPr>
            <w:tcW w:w="676"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+7.5</w:t>
            </w:r>
          </w:p>
        </w:tc>
        <w:tc>
          <w:tcPr>
            <w:tcW w:w="841"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0.70 [0.53, 0.92]</w:t>
            </w:r>
          </w:p>
        </w:tc>
        <w:tc>
          <w:tcPr>
            <w:tcW w:w="541" w:type="pct"/>
          </w:tcPr>
          <w:p w:rsidR="00C572B7" w:rsidRPr="00C572B7" w:rsidRDefault="00C572B7" w:rsidP="00C572B7">
            <w:pPr>
              <w:keepNext/>
              <w:widowControl w:val="0"/>
              <w:jc w:val="center"/>
              <w:rPr>
                <w:rFonts w:ascii="Arial Narrow" w:hAnsi="Arial Narrow" w:cs="Arial"/>
                <w:snapToGrid w:val="0"/>
                <w:sz w:val="20"/>
                <w:szCs w:val="20"/>
                <w:lang w:eastAsia="en-US"/>
              </w:rPr>
            </w:pPr>
            <w:r w:rsidRPr="00C572B7">
              <w:rPr>
                <w:rFonts w:ascii="Arial Narrow" w:hAnsi="Arial Narrow" w:cs="Arial"/>
                <w:snapToGrid w:val="0"/>
                <w:sz w:val="20"/>
                <w:szCs w:val="20"/>
                <w:lang w:eastAsia="en-US"/>
              </w:rPr>
              <w:t>0.001</w:t>
            </w:r>
          </w:p>
        </w:tc>
      </w:tr>
    </w:tbl>
    <w:p w:rsidR="00C572B7" w:rsidRPr="00C572B7" w:rsidRDefault="00C572B7" w:rsidP="00C572B7">
      <w:pPr>
        <w:widowControl w:val="0"/>
        <w:ind w:firstLine="720"/>
        <w:jc w:val="both"/>
        <w:rPr>
          <w:rFonts w:ascii="Arial Narrow" w:hAnsi="Arial Narrow" w:cs="Arial"/>
          <w:snapToGrid w:val="0"/>
          <w:sz w:val="20"/>
          <w:szCs w:val="16"/>
          <w:lang w:eastAsia="en-US"/>
        </w:rPr>
      </w:pPr>
      <w:r w:rsidRPr="00C572B7">
        <w:rPr>
          <w:rFonts w:ascii="Arial Narrow" w:hAnsi="Arial Narrow" w:cs="Arial"/>
          <w:snapToGrid w:val="0"/>
          <w:sz w:val="20"/>
          <w:szCs w:val="16"/>
          <w:lang w:eastAsia="en-US"/>
        </w:rPr>
        <w:t>*Log-rank test (two-sided) cetuximab versus bevacizumab</w:t>
      </w:r>
    </w:p>
    <w:p w:rsidR="00C572B7" w:rsidRPr="00C572B7" w:rsidRDefault="00C572B7" w:rsidP="00C572B7">
      <w:pPr>
        <w:widowControl w:val="0"/>
        <w:ind w:left="720"/>
        <w:jc w:val="both"/>
        <w:rPr>
          <w:rFonts w:ascii="Arial Narrow" w:hAnsi="Arial Narrow" w:cs="Arial"/>
          <w:snapToGrid w:val="0"/>
          <w:sz w:val="20"/>
          <w:szCs w:val="16"/>
          <w:lang w:eastAsia="en-US"/>
        </w:rPr>
      </w:pPr>
      <w:r w:rsidRPr="00C572B7">
        <w:rPr>
          <w:rFonts w:ascii="Arial Narrow" w:hAnsi="Arial Narrow" w:cs="Arial"/>
          <w:snapToGrid w:val="0"/>
          <w:sz w:val="20"/>
          <w:szCs w:val="16"/>
          <w:lang w:eastAsia="en-US"/>
        </w:rPr>
        <w:t>RAS WT = rat sarcoma viral oncogene wild-type; FOLFIRI = 5-fluorouracil, folinic acid and irinotecan; HR = hazard ratio; CI = confidence interval; PFS = progression-free survival; OS = overall survival</w:t>
      </w:r>
    </w:p>
    <w:p w:rsidR="00C572B7" w:rsidRPr="00C572B7" w:rsidRDefault="00C572B7" w:rsidP="00C572B7">
      <w:pPr>
        <w:pStyle w:val="ListParagraph"/>
        <w:ind w:left="709"/>
        <w:rPr>
          <w:rFonts w:ascii="Arial" w:hAnsi="Arial"/>
          <w:sz w:val="18"/>
          <w:szCs w:val="18"/>
        </w:rPr>
      </w:pPr>
      <w:r w:rsidRPr="00C572B7">
        <w:rPr>
          <w:rFonts w:ascii="Arial Narrow" w:hAnsi="Arial Narrow" w:cs="Arial"/>
          <w:snapToGrid w:val="0"/>
          <w:sz w:val="20"/>
          <w:szCs w:val="16"/>
          <w:lang w:eastAsia="en-US"/>
        </w:rPr>
        <w:t>Source: Table B.6.4, p75 and Table B.6.6, p77 of the resubmission</w:t>
      </w:r>
      <w:r>
        <w:rPr>
          <w:rFonts w:ascii="Arial Narrow" w:hAnsi="Arial Narrow" w:cs="Arial"/>
          <w:snapToGrid w:val="0"/>
          <w:sz w:val="20"/>
          <w:szCs w:val="16"/>
          <w:lang w:eastAsia="en-US"/>
        </w:rPr>
        <w:t>.</w:t>
      </w:r>
    </w:p>
    <w:p w:rsidR="00C572B7" w:rsidRPr="00FC349F" w:rsidRDefault="00C572B7" w:rsidP="00FC349F">
      <w:pPr>
        <w:jc w:val="both"/>
        <w:rPr>
          <w:rFonts w:ascii="Arial" w:hAnsi="Arial"/>
          <w:sz w:val="18"/>
          <w:szCs w:val="18"/>
        </w:rPr>
      </w:pPr>
    </w:p>
    <w:p w:rsidR="008E51CC" w:rsidRPr="008E51CC" w:rsidRDefault="008E51CC" w:rsidP="008E51CC">
      <w:pPr>
        <w:keepNext/>
        <w:widowControl w:val="0"/>
        <w:ind w:left="720"/>
        <w:jc w:val="both"/>
        <w:rPr>
          <w:rFonts w:ascii="Arial Narrow" w:hAnsi="Arial Narrow" w:cs="Arial"/>
          <w:b/>
          <w:snapToGrid w:val="0"/>
          <w:sz w:val="20"/>
          <w:szCs w:val="16"/>
          <w:lang w:eastAsia="en-US"/>
        </w:rPr>
      </w:pPr>
      <w:r w:rsidRPr="008E51CC">
        <w:rPr>
          <w:rFonts w:ascii="Arial Narrow" w:hAnsi="Arial Narrow" w:cs="Arial"/>
          <w:b/>
          <w:snapToGrid w:val="0"/>
          <w:sz w:val="20"/>
          <w:szCs w:val="16"/>
          <w:lang w:eastAsia="en-US"/>
        </w:rPr>
        <w:t>Kaplan-Meier plot for Overall Survival in the RAS wild-type population in FIRE-3</w:t>
      </w:r>
    </w:p>
    <w:p w:rsidR="008E51CC" w:rsidRPr="00C572B7" w:rsidRDefault="005D2B4E" w:rsidP="00C572B7">
      <w:pPr>
        <w:pStyle w:val="ListParagraph"/>
        <w:ind w:left="709"/>
        <w:jc w:val="both"/>
        <w:rPr>
          <w:rFonts w:ascii="Arial" w:hAnsi="Arial"/>
          <w:sz w:val="18"/>
          <w:szCs w:val="18"/>
        </w:rPr>
      </w:pPr>
      <w:r w:rsidRPr="009F005D">
        <w:rPr>
          <w:noProof/>
          <w:sz w:val="20"/>
        </w:rPr>
        <w:drawing>
          <wp:inline distT="0" distB="0" distL="0" distR="0" wp14:anchorId="4D7FEF24" wp14:editId="400623AD">
            <wp:extent cx="537210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5375779" cy="3385597"/>
                    </a:xfrm>
                    <a:prstGeom prst="rect">
                      <a:avLst/>
                    </a:prstGeom>
                    <a:noFill/>
                    <a:ln w="9525">
                      <a:noFill/>
                      <a:miter lim="800000"/>
                      <a:headEnd/>
                      <a:tailEnd/>
                    </a:ln>
                  </pic:spPr>
                </pic:pic>
              </a:graphicData>
            </a:graphic>
          </wp:inline>
        </w:drawing>
      </w:r>
    </w:p>
    <w:p w:rsidR="00C572B7" w:rsidRDefault="005D2B4E" w:rsidP="005D2B4E">
      <w:pPr>
        <w:pStyle w:val="ListParagraph"/>
        <w:ind w:left="709"/>
        <w:rPr>
          <w:rFonts w:ascii="Arial Narrow" w:hAnsi="Arial Narrow" w:cs="Arial"/>
          <w:snapToGrid w:val="0"/>
          <w:sz w:val="20"/>
          <w:szCs w:val="16"/>
          <w:lang w:eastAsia="en-US"/>
        </w:rPr>
      </w:pPr>
      <w:r w:rsidRPr="005D2B4E">
        <w:rPr>
          <w:rFonts w:ascii="Arial Narrow" w:hAnsi="Arial Narrow" w:cs="Arial"/>
          <w:snapToGrid w:val="0"/>
          <w:sz w:val="20"/>
          <w:szCs w:val="16"/>
          <w:lang w:eastAsia="en-US"/>
        </w:rPr>
        <w:lastRenderedPageBreak/>
        <w:t>Source: Figure B.6-5, p77 of the resubmission</w:t>
      </w:r>
    </w:p>
    <w:p w:rsidR="005D2B4E" w:rsidRPr="006B26F0" w:rsidRDefault="005D2B4E" w:rsidP="006B26F0">
      <w:pPr>
        <w:rPr>
          <w:rFonts w:ascii="Arial Narrow" w:hAnsi="Arial Narrow" w:cs="Arial"/>
          <w:snapToGrid w:val="0"/>
          <w:sz w:val="20"/>
          <w:szCs w:val="16"/>
          <w:lang w:eastAsia="en-US"/>
        </w:rPr>
      </w:pPr>
    </w:p>
    <w:p w:rsidR="005D2B4E" w:rsidRDefault="005D2B4E" w:rsidP="00D479CB">
      <w:pPr>
        <w:pStyle w:val="ListParagraph"/>
        <w:numPr>
          <w:ilvl w:val="1"/>
          <w:numId w:val="25"/>
        </w:numPr>
        <w:jc w:val="both"/>
        <w:rPr>
          <w:rFonts w:ascii="Arial" w:hAnsi="Arial"/>
          <w:sz w:val="22"/>
          <w:szCs w:val="22"/>
        </w:rPr>
      </w:pPr>
      <w:r w:rsidRPr="005D2B4E">
        <w:rPr>
          <w:rFonts w:ascii="Arial" w:hAnsi="Arial"/>
          <w:sz w:val="22"/>
          <w:szCs w:val="22"/>
        </w:rPr>
        <w:t>There was no statistically significant difference in the primary endpoint of ORR or the secondary endpoint of PFS between cetuximab and bevacizumab arms for the RAS WT subgroup of the FIRE-3 trial</w:t>
      </w:r>
      <w:r>
        <w:rPr>
          <w:rFonts w:ascii="Arial" w:hAnsi="Arial"/>
          <w:sz w:val="22"/>
          <w:szCs w:val="22"/>
        </w:rPr>
        <w:t>.</w:t>
      </w:r>
    </w:p>
    <w:p w:rsidR="00555655" w:rsidRPr="006B26F0" w:rsidRDefault="00555655" w:rsidP="006B26F0">
      <w:pPr>
        <w:jc w:val="both"/>
        <w:rPr>
          <w:rFonts w:ascii="Arial" w:hAnsi="Arial"/>
          <w:sz w:val="22"/>
          <w:szCs w:val="22"/>
        </w:rPr>
      </w:pPr>
    </w:p>
    <w:p w:rsidR="005D2B4E" w:rsidRDefault="00555655" w:rsidP="00D479CB">
      <w:pPr>
        <w:pStyle w:val="ListParagraph"/>
        <w:numPr>
          <w:ilvl w:val="1"/>
          <w:numId w:val="25"/>
        </w:numPr>
        <w:jc w:val="both"/>
        <w:rPr>
          <w:rFonts w:ascii="Arial" w:hAnsi="Arial"/>
          <w:sz w:val="22"/>
          <w:szCs w:val="22"/>
        </w:rPr>
      </w:pPr>
      <w:r w:rsidRPr="00555655">
        <w:rPr>
          <w:rFonts w:ascii="Arial" w:hAnsi="Arial"/>
          <w:sz w:val="22"/>
          <w:szCs w:val="22"/>
        </w:rPr>
        <w:t>The median OS gain observed from the cetuximab arm compared with the bevacizumab arm was 7.5 months corresponding to a statistically significant 30% reduction of mortality favouring patients randomised initially to cetuximab + FOLFIRI. The OS results should be interpreted cautiously for the following reasons</w:t>
      </w:r>
      <w:r>
        <w:rPr>
          <w:rFonts w:ascii="Arial" w:hAnsi="Arial"/>
          <w:sz w:val="22"/>
          <w:szCs w:val="22"/>
        </w:rPr>
        <w:t>.</w:t>
      </w:r>
    </w:p>
    <w:p w:rsidR="00555655" w:rsidRPr="00555655" w:rsidRDefault="00555655" w:rsidP="00FC349F">
      <w:pPr>
        <w:pStyle w:val="ListParagraph"/>
        <w:numPr>
          <w:ilvl w:val="0"/>
          <w:numId w:val="41"/>
        </w:numPr>
        <w:ind w:left="993" w:hanging="284"/>
        <w:jc w:val="both"/>
        <w:rPr>
          <w:rFonts w:ascii="Arial" w:hAnsi="Arial" w:cs="Arial"/>
          <w:sz w:val="22"/>
          <w:szCs w:val="22"/>
        </w:rPr>
      </w:pPr>
      <w:r w:rsidRPr="00555655">
        <w:rPr>
          <w:rFonts w:ascii="Arial" w:hAnsi="Arial" w:cs="Arial"/>
          <w:sz w:val="22"/>
          <w:szCs w:val="22"/>
        </w:rPr>
        <w:t>The survival curves start separating at around 20 months. This is well beyond the observed median PFS associated with cetuximab treatment (around 10 months) and occurs after the initiation of second-line treatment. Notably, median PFS was not significantly different between the two treatment arms. Overall survival differences appear to be affected by the choice of second-line treatment.</w:t>
      </w:r>
    </w:p>
    <w:p w:rsidR="00555655" w:rsidRPr="00555655" w:rsidRDefault="00555655" w:rsidP="00FC349F">
      <w:pPr>
        <w:pStyle w:val="ListParagraph"/>
        <w:numPr>
          <w:ilvl w:val="0"/>
          <w:numId w:val="41"/>
        </w:numPr>
        <w:ind w:left="993" w:hanging="284"/>
        <w:jc w:val="both"/>
        <w:rPr>
          <w:rFonts w:ascii="Arial" w:hAnsi="Arial" w:cs="Arial"/>
          <w:sz w:val="22"/>
          <w:szCs w:val="22"/>
        </w:rPr>
      </w:pPr>
      <w:r w:rsidRPr="00555655">
        <w:rPr>
          <w:rFonts w:ascii="Arial" w:hAnsi="Arial" w:cs="Arial"/>
          <w:sz w:val="22"/>
          <w:szCs w:val="22"/>
        </w:rPr>
        <w:t>Second-line treatments received by patients randomised to cetuximab are not representative of Australian clinical practice. This is because 44% of patients randomised to cetuximab who received second-line treatment upon progression were given bevacizumab, but bevacizumab is not PBS-listed as a second-line therapy for patients with mCRC in Australia. This appears to overestimate the OS gain in patients randomised to first-line cetuximab when compared with Australian clinical practice.</w:t>
      </w:r>
    </w:p>
    <w:p w:rsidR="00555655" w:rsidRDefault="000A0D15" w:rsidP="00555655">
      <w:pPr>
        <w:pStyle w:val="ListParagraph"/>
        <w:rPr>
          <w:rFonts w:ascii="Arial" w:hAnsi="Arial" w:cs="Arial"/>
          <w:sz w:val="22"/>
          <w:szCs w:val="22"/>
        </w:rPr>
      </w:pPr>
      <w:r>
        <w:rPr>
          <w:rFonts w:ascii="Arial" w:hAnsi="Arial" w:cs="Arial"/>
          <w:sz w:val="22"/>
          <w:szCs w:val="22"/>
        </w:rPr>
        <w:t>The sponsor has appropriately</w:t>
      </w:r>
      <w:r w:rsidR="00555655" w:rsidRPr="00555655">
        <w:rPr>
          <w:rFonts w:ascii="Arial" w:hAnsi="Arial" w:cs="Arial"/>
          <w:sz w:val="22"/>
          <w:szCs w:val="22"/>
        </w:rPr>
        <w:t xml:space="preserve"> not relied on these OS results for the non-inferiority claim</w:t>
      </w:r>
      <w:r w:rsidR="00555655">
        <w:rPr>
          <w:rFonts w:ascii="Arial" w:hAnsi="Arial" w:cs="Arial"/>
          <w:sz w:val="22"/>
          <w:szCs w:val="22"/>
        </w:rPr>
        <w:t>.</w:t>
      </w:r>
    </w:p>
    <w:p w:rsidR="00555655" w:rsidRDefault="00555655" w:rsidP="00555655">
      <w:pPr>
        <w:rPr>
          <w:rFonts w:ascii="Arial" w:hAnsi="Arial" w:cs="Arial"/>
          <w:sz w:val="22"/>
          <w:szCs w:val="22"/>
        </w:rPr>
      </w:pPr>
    </w:p>
    <w:p w:rsidR="00555655" w:rsidRPr="00555655" w:rsidRDefault="00555655" w:rsidP="00555655">
      <w:pPr>
        <w:rPr>
          <w:rFonts w:ascii="Arial" w:hAnsi="Arial" w:cs="Arial"/>
          <w:sz w:val="22"/>
          <w:szCs w:val="22"/>
          <w:u w:val="single"/>
        </w:rPr>
      </w:pPr>
      <w:r w:rsidRPr="00555655">
        <w:rPr>
          <w:rFonts w:ascii="Arial" w:hAnsi="Arial" w:cs="Arial"/>
          <w:sz w:val="22"/>
          <w:szCs w:val="22"/>
          <w:u w:val="single"/>
        </w:rPr>
        <w:t>CALGB/SWOG 80405 (all RAS wild type (WT) subgroup analysis)</w:t>
      </w:r>
    </w:p>
    <w:p w:rsidR="00555655" w:rsidRPr="00555655" w:rsidRDefault="00555655" w:rsidP="00555655">
      <w:pPr>
        <w:rPr>
          <w:rFonts w:ascii="Arial" w:hAnsi="Arial" w:cs="Arial"/>
          <w:sz w:val="22"/>
          <w:szCs w:val="22"/>
        </w:rPr>
      </w:pPr>
    </w:p>
    <w:p w:rsidR="00555655" w:rsidRPr="00510CDB" w:rsidRDefault="0054663E" w:rsidP="00D479CB">
      <w:pPr>
        <w:pStyle w:val="ListParagraph"/>
        <w:numPr>
          <w:ilvl w:val="1"/>
          <w:numId w:val="25"/>
        </w:numPr>
        <w:jc w:val="both"/>
        <w:rPr>
          <w:rFonts w:ascii="Arial" w:hAnsi="Arial"/>
          <w:sz w:val="22"/>
          <w:szCs w:val="22"/>
        </w:rPr>
      </w:pPr>
      <w:r w:rsidRPr="0054663E">
        <w:rPr>
          <w:rFonts w:ascii="Arial" w:hAnsi="Arial"/>
          <w:sz w:val="22"/>
          <w:szCs w:val="22"/>
        </w:rPr>
        <w:t xml:space="preserve">The CALGB/SWOG 80405 subgroup analysis was post hoc and has yet to be published in the peer-reviewed literature. The Kaplan-Meier plots for the primary endpoint of OS are summarised in </w:t>
      </w:r>
      <w:r w:rsidR="00923082">
        <w:rPr>
          <w:rFonts w:ascii="Arial" w:hAnsi="Arial"/>
          <w:sz w:val="22"/>
          <w:szCs w:val="22"/>
        </w:rPr>
        <w:t>the figures below</w:t>
      </w:r>
      <w:r w:rsidR="006B26F0">
        <w:rPr>
          <w:rFonts w:ascii="Arial" w:hAnsi="Arial"/>
          <w:sz w:val="22"/>
          <w:szCs w:val="22"/>
        </w:rPr>
        <w:t>;</w:t>
      </w:r>
      <w:r w:rsidRPr="0054663E">
        <w:rPr>
          <w:rFonts w:ascii="Arial" w:hAnsi="Arial" w:cs="Arial"/>
          <w:snapToGrid w:val="0"/>
          <w:sz w:val="22"/>
          <w:szCs w:val="22"/>
          <w:lang w:eastAsia="en-US"/>
        </w:rPr>
        <w:t xml:space="preserve"> </w:t>
      </w:r>
      <w:r w:rsidRPr="0054663E">
        <w:rPr>
          <w:rFonts w:ascii="Arial" w:hAnsi="Arial"/>
          <w:sz w:val="22"/>
          <w:szCs w:val="22"/>
        </w:rPr>
        <w:t>there was no statistically significant difference between the cetuximab and bevacizumab arms</w:t>
      </w:r>
      <w:r>
        <w:rPr>
          <w:rFonts w:ascii="Arial" w:hAnsi="Arial"/>
          <w:i/>
          <w:sz w:val="22"/>
          <w:szCs w:val="22"/>
        </w:rPr>
        <w:t>.</w:t>
      </w:r>
    </w:p>
    <w:p w:rsidR="00510CDB" w:rsidRPr="006B26F0" w:rsidRDefault="00510CDB" w:rsidP="006B26F0">
      <w:pPr>
        <w:jc w:val="both"/>
        <w:rPr>
          <w:rFonts w:ascii="Arial" w:hAnsi="Arial"/>
          <w:sz w:val="22"/>
          <w:szCs w:val="22"/>
        </w:rPr>
      </w:pPr>
    </w:p>
    <w:p w:rsidR="00510CDB" w:rsidRPr="00510CDB" w:rsidRDefault="00510CDB" w:rsidP="00510CDB">
      <w:pPr>
        <w:keepNext/>
        <w:widowControl w:val="0"/>
        <w:ind w:left="720"/>
        <w:jc w:val="both"/>
        <w:rPr>
          <w:rFonts w:ascii="Arial Narrow" w:hAnsi="Arial Narrow" w:cs="Arial"/>
          <w:b/>
          <w:snapToGrid w:val="0"/>
          <w:sz w:val="20"/>
          <w:lang w:eastAsia="en-US"/>
        </w:rPr>
      </w:pPr>
      <w:r w:rsidRPr="00510CDB">
        <w:rPr>
          <w:rFonts w:ascii="Arial Narrow" w:hAnsi="Arial Narrow" w:cs="Arial"/>
          <w:b/>
          <w:snapToGrid w:val="0"/>
          <w:sz w:val="20"/>
          <w:lang w:eastAsia="en-US"/>
        </w:rPr>
        <w:lastRenderedPageBreak/>
        <w:t>Kaplan-Meier plot for the primary endpoint of overall survival in the RAS wild-type subgroup of the CALGB/SWOG 80405 trial (FOLFOX or FOLFIRI as the chemotherapy partner)</w:t>
      </w:r>
    </w:p>
    <w:p w:rsidR="0054663E" w:rsidRDefault="00510CDB" w:rsidP="0054663E">
      <w:pPr>
        <w:pStyle w:val="ListParagraph"/>
        <w:ind w:left="709"/>
        <w:jc w:val="both"/>
        <w:rPr>
          <w:rFonts w:ascii="Arial" w:hAnsi="Arial"/>
          <w:sz w:val="22"/>
          <w:szCs w:val="22"/>
        </w:rPr>
      </w:pPr>
      <w:r w:rsidRPr="00403053">
        <w:rPr>
          <w:noProof/>
        </w:rPr>
        <w:drawing>
          <wp:inline distT="0" distB="0" distL="0" distR="0" wp14:anchorId="46937765" wp14:editId="2258257A">
            <wp:extent cx="5229225" cy="3257550"/>
            <wp:effectExtent l="0" t="0" r="9525" b="0"/>
            <wp:docPr id="1" name="Picture 1" descr="http://www.esmo.org/var/esmo/storage/images/media/images/conferences/2014/esmo-2014/press-and-news/news/cmonday/esmo-congress-2014-501o-os/871040-2-eng-GB/ESMO-Congress-2014-501O-OS_very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mo.org/var/esmo/storage/images/media/images/conferences/2014/esmo-2014/press-and-news/news/cmonday/esmo-congress-2014-501o-os/871040-2-eng-GB/ESMO-Congress-2014-501O-OS_very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257550"/>
                    </a:xfrm>
                    <a:prstGeom prst="rect">
                      <a:avLst/>
                    </a:prstGeom>
                    <a:noFill/>
                    <a:ln>
                      <a:noFill/>
                    </a:ln>
                  </pic:spPr>
                </pic:pic>
              </a:graphicData>
            </a:graphic>
          </wp:inline>
        </w:drawing>
      </w:r>
    </w:p>
    <w:p w:rsidR="00510CDB" w:rsidRDefault="00510CDB" w:rsidP="006B26F0">
      <w:pPr>
        <w:widowControl w:val="0"/>
        <w:jc w:val="both"/>
        <w:rPr>
          <w:rFonts w:ascii="Arial Narrow" w:hAnsi="Arial Narrow" w:cs="Arial"/>
          <w:b/>
          <w:snapToGrid w:val="0"/>
          <w:sz w:val="20"/>
          <w:szCs w:val="16"/>
          <w:lang w:eastAsia="en-US"/>
        </w:rPr>
      </w:pPr>
    </w:p>
    <w:p w:rsidR="0054663E" w:rsidRPr="0054663E" w:rsidRDefault="0054663E" w:rsidP="0054663E">
      <w:pPr>
        <w:keepNext/>
        <w:widowControl w:val="0"/>
        <w:ind w:left="720"/>
        <w:jc w:val="both"/>
        <w:rPr>
          <w:rFonts w:ascii="Arial Narrow" w:hAnsi="Arial Narrow" w:cs="Arial"/>
          <w:b/>
          <w:snapToGrid w:val="0"/>
          <w:sz w:val="20"/>
          <w:szCs w:val="16"/>
          <w:vertAlign w:val="superscript"/>
          <w:lang w:eastAsia="en-US"/>
        </w:rPr>
      </w:pPr>
      <w:r w:rsidRPr="0054663E">
        <w:rPr>
          <w:rFonts w:ascii="Arial Narrow" w:hAnsi="Arial Narrow" w:cs="Arial"/>
          <w:b/>
          <w:snapToGrid w:val="0"/>
          <w:sz w:val="20"/>
          <w:szCs w:val="16"/>
          <w:lang w:eastAsia="en-US"/>
        </w:rPr>
        <w:t>Kaplan-Meier plot for the primary endpoint of overall survival in the RAS wild-type subgroup of the CALGB/SWOG 80405 trial (</w:t>
      </w:r>
      <w:r w:rsidRPr="0054663E">
        <w:rPr>
          <w:rFonts w:ascii="Arial Narrow" w:hAnsi="Arial Narrow" w:cs="Arial"/>
          <w:b/>
          <w:snapToGrid w:val="0"/>
          <w:sz w:val="20"/>
          <w:szCs w:val="16"/>
          <w:u w:val="single"/>
          <w:lang w:eastAsia="en-US"/>
        </w:rPr>
        <w:t>FOLFOX</w:t>
      </w:r>
      <w:r w:rsidRPr="0054663E">
        <w:rPr>
          <w:rFonts w:ascii="Arial Narrow" w:hAnsi="Arial Narrow" w:cs="Arial"/>
          <w:b/>
          <w:snapToGrid w:val="0"/>
          <w:sz w:val="20"/>
          <w:szCs w:val="16"/>
          <w:lang w:eastAsia="en-US"/>
        </w:rPr>
        <w:t xml:space="preserve"> as the chemotherapy partner)</w:t>
      </w:r>
    </w:p>
    <w:p w:rsidR="0054663E" w:rsidRPr="0054663E" w:rsidRDefault="0054663E" w:rsidP="0054663E">
      <w:pPr>
        <w:pStyle w:val="ListParagraph"/>
        <w:ind w:left="709"/>
        <w:jc w:val="both"/>
        <w:rPr>
          <w:rFonts w:ascii="Arial" w:hAnsi="Arial"/>
          <w:sz w:val="22"/>
          <w:szCs w:val="22"/>
        </w:rPr>
      </w:pPr>
      <w:r w:rsidRPr="00403053">
        <w:rPr>
          <w:b/>
          <w:i/>
          <w:noProof/>
          <w:sz w:val="20"/>
          <w:szCs w:val="16"/>
        </w:rPr>
        <w:drawing>
          <wp:inline distT="0" distB="0" distL="0" distR="0" wp14:anchorId="2AA26D3F" wp14:editId="3445DF02">
            <wp:extent cx="5305425"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06165" cy="3429479"/>
                    </a:xfrm>
                    <a:prstGeom prst="rect">
                      <a:avLst/>
                    </a:prstGeom>
                  </pic:spPr>
                </pic:pic>
              </a:graphicData>
            </a:graphic>
          </wp:inline>
        </w:drawing>
      </w:r>
    </w:p>
    <w:p w:rsidR="0054663E" w:rsidRDefault="0054663E" w:rsidP="0054663E">
      <w:pPr>
        <w:pStyle w:val="TableFooter"/>
        <w:keepNext/>
        <w:ind w:left="720"/>
        <w:rPr>
          <w:rStyle w:val="CommentReference"/>
        </w:rPr>
      </w:pPr>
      <w:r w:rsidRPr="0054663E">
        <w:rPr>
          <w:rStyle w:val="CommentReference"/>
        </w:rPr>
        <w:t>Source: ESMO 2014 Congress: Abstract 501O, Lenz J et al - CALGB/SWOG 80405</w:t>
      </w:r>
    </w:p>
    <w:p w:rsidR="0054663E" w:rsidRDefault="0054663E" w:rsidP="006B26F0">
      <w:pPr>
        <w:pStyle w:val="TableFooter"/>
        <w:rPr>
          <w:rStyle w:val="CommentReference"/>
        </w:rPr>
      </w:pPr>
    </w:p>
    <w:p w:rsidR="0054663E" w:rsidRPr="0054663E" w:rsidRDefault="0054663E" w:rsidP="0054663E">
      <w:pPr>
        <w:keepNext/>
        <w:widowControl w:val="0"/>
        <w:ind w:left="720"/>
        <w:jc w:val="both"/>
        <w:rPr>
          <w:rFonts w:ascii="Arial Narrow" w:hAnsi="Arial Narrow" w:cs="Arial"/>
          <w:b/>
          <w:snapToGrid w:val="0"/>
          <w:sz w:val="20"/>
          <w:szCs w:val="16"/>
          <w:vertAlign w:val="superscript"/>
          <w:lang w:eastAsia="en-US"/>
        </w:rPr>
      </w:pPr>
      <w:r w:rsidRPr="0054663E">
        <w:rPr>
          <w:rFonts w:ascii="Arial Narrow" w:hAnsi="Arial Narrow" w:cs="Arial"/>
          <w:b/>
          <w:snapToGrid w:val="0"/>
          <w:sz w:val="20"/>
          <w:szCs w:val="16"/>
          <w:lang w:eastAsia="en-US"/>
        </w:rPr>
        <w:lastRenderedPageBreak/>
        <w:t>Kaplan-Meier plot for the primary endpoint of overall survival in the RAS wild-type subgroup of the CALGB/SWOG 80405 trial (</w:t>
      </w:r>
      <w:r w:rsidRPr="0054663E">
        <w:rPr>
          <w:rFonts w:ascii="Arial Narrow" w:hAnsi="Arial Narrow" w:cs="Arial"/>
          <w:b/>
          <w:snapToGrid w:val="0"/>
          <w:sz w:val="20"/>
          <w:szCs w:val="16"/>
          <w:u w:val="single"/>
          <w:lang w:eastAsia="en-US"/>
        </w:rPr>
        <w:t>FOLFIRI</w:t>
      </w:r>
      <w:r w:rsidRPr="0054663E">
        <w:rPr>
          <w:rFonts w:ascii="Arial Narrow" w:hAnsi="Arial Narrow" w:cs="Arial"/>
          <w:b/>
          <w:snapToGrid w:val="0"/>
          <w:sz w:val="20"/>
          <w:szCs w:val="16"/>
          <w:lang w:eastAsia="en-US"/>
        </w:rPr>
        <w:t xml:space="preserve"> as the chemotherapy partner)</w:t>
      </w:r>
    </w:p>
    <w:p w:rsidR="0054663E" w:rsidRPr="0054663E" w:rsidRDefault="0054663E" w:rsidP="0054663E">
      <w:pPr>
        <w:pStyle w:val="TableFooter"/>
        <w:keepNext/>
        <w:ind w:left="720"/>
        <w:rPr>
          <w:rStyle w:val="CommentReference"/>
        </w:rPr>
      </w:pPr>
      <w:r w:rsidRPr="00403053">
        <w:rPr>
          <w:b/>
          <w:i/>
          <w:noProof/>
          <w:sz w:val="20"/>
          <w:szCs w:val="16"/>
          <w:lang w:eastAsia="en-AU"/>
        </w:rPr>
        <w:drawing>
          <wp:inline distT="0" distB="0" distL="0" distR="0" wp14:anchorId="77891063" wp14:editId="60469CCD">
            <wp:extent cx="5305425"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06165" cy="3429479"/>
                    </a:xfrm>
                    <a:prstGeom prst="rect">
                      <a:avLst/>
                    </a:prstGeom>
                  </pic:spPr>
                </pic:pic>
              </a:graphicData>
            </a:graphic>
          </wp:inline>
        </w:drawing>
      </w:r>
    </w:p>
    <w:p w:rsidR="0054663E" w:rsidRDefault="0054663E" w:rsidP="0054663E">
      <w:pPr>
        <w:pStyle w:val="TableFooter"/>
        <w:keepNext/>
        <w:ind w:left="720"/>
        <w:rPr>
          <w:rStyle w:val="CommentReference"/>
        </w:rPr>
      </w:pPr>
      <w:r w:rsidRPr="0054663E">
        <w:rPr>
          <w:rStyle w:val="CommentReference"/>
        </w:rPr>
        <w:t>Source: ESMO 2014 Congress: Abstract 501O, Lenz J et al - CALGB/SWOG 80405</w:t>
      </w:r>
    </w:p>
    <w:p w:rsidR="0054663E" w:rsidRPr="0054663E" w:rsidRDefault="0054663E" w:rsidP="006B26F0">
      <w:pPr>
        <w:pStyle w:val="TableFooter"/>
        <w:rPr>
          <w:rStyle w:val="CommentReference"/>
        </w:rPr>
      </w:pPr>
    </w:p>
    <w:p w:rsidR="0054663E" w:rsidRPr="009C454C" w:rsidRDefault="0054663E" w:rsidP="00D479CB">
      <w:pPr>
        <w:pStyle w:val="ListParagraph"/>
        <w:numPr>
          <w:ilvl w:val="1"/>
          <w:numId w:val="25"/>
        </w:numPr>
        <w:jc w:val="both"/>
        <w:rPr>
          <w:rFonts w:ascii="Arial" w:hAnsi="Arial"/>
          <w:sz w:val="22"/>
          <w:szCs w:val="22"/>
        </w:rPr>
      </w:pPr>
      <w:r w:rsidRPr="009C454C">
        <w:rPr>
          <w:rFonts w:ascii="Arial" w:hAnsi="Arial"/>
          <w:sz w:val="22"/>
          <w:szCs w:val="22"/>
        </w:rPr>
        <w:t>In the RAS WT subgroup analysis of CALGB/SWOG 80405, there was a numerical difference in the median overall survival of patients receiving bevacizumab that appears to depend on whether it was used with FOLFOX (29.0 months) or FOLFIRI (35.2 months). The difference of approximately six months could be due to imbalances in prognostic factors between the two chemotherapy groups. On the other hand, there was little numerical difference in median overall survival when cetuximab was used with FOLFOX (32.5 months) or FOLFIRI (32.0 months</w:t>
      </w:r>
      <w:r w:rsidR="009C454C" w:rsidRPr="009C454C">
        <w:rPr>
          <w:rFonts w:ascii="Arial" w:hAnsi="Arial"/>
          <w:sz w:val="22"/>
          <w:szCs w:val="22"/>
        </w:rPr>
        <w:t>).</w:t>
      </w:r>
    </w:p>
    <w:p w:rsidR="009C454C" w:rsidRDefault="009C454C" w:rsidP="009C454C">
      <w:pPr>
        <w:jc w:val="both"/>
        <w:rPr>
          <w:rFonts w:ascii="Arial" w:hAnsi="Arial"/>
          <w:sz w:val="22"/>
          <w:szCs w:val="22"/>
        </w:rPr>
      </w:pPr>
    </w:p>
    <w:p w:rsidR="009C454C" w:rsidRPr="009C454C" w:rsidRDefault="009C454C" w:rsidP="009C454C">
      <w:pPr>
        <w:jc w:val="both"/>
        <w:rPr>
          <w:rFonts w:ascii="Arial" w:hAnsi="Arial" w:cs="Arial"/>
          <w:snapToGrid w:val="0"/>
          <w:sz w:val="22"/>
          <w:szCs w:val="22"/>
          <w:u w:val="single"/>
          <w:lang w:eastAsia="en-US"/>
        </w:rPr>
      </w:pPr>
      <w:r w:rsidRPr="009C454C">
        <w:rPr>
          <w:rFonts w:ascii="Arial" w:hAnsi="Arial" w:cs="Arial"/>
          <w:snapToGrid w:val="0"/>
          <w:sz w:val="22"/>
          <w:szCs w:val="22"/>
          <w:u w:val="single"/>
          <w:lang w:eastAsia="en-US"/>
        </w:rPr>
        <w:t>Relative to chemotherapy alone</w:t>
      </w:r>
    </w:p>
    <w:p w:rsidR="009C454C" w:rsidRPr="009C454C" w:rsidRDefault="009C454C" w:rsidP="009C454C">
      <w:pPr>
        <w:jc w:val="both"/>
        <w:rPr>
          <w:rFonts w:ascii="Arial" w:hAnsi="Arial"/>
          <w:sz w:val="22"/>
          <w:szCs w:val="22"/>
        </w:rPr>
      </w:pPr>
    </w:p>
    <w:p w:rsidR="009C454C" w:rsidRDefault="009C454C" w:rsidP="00D479CB">
      <w:pPr>
        <w:pStyle w:val="ListParagraph"/>
        <w:numPr>
          <w:ilvl w:val="1"/>
          <w:numId w:val="25"/>
        </w:numPr>
        <w:jc w:val="both"/>
        <w:rPr>
          <w:rFonts w:ascii="Arial" w:hAnsi="Arial"/>
          <w:sz w:val="22"/>
          <w:szCs w:val="22"/>
        </w:rPr>
      </w:pPr>
      <w:r w:rsidRPr="009C454C">
        <w:rPr>
          <w:rFonts w:ascii="Arial" w:hAnsi="Arial"/>
          <w:sz w:val="22"/>
          <w:szCs w:val="22"/>
        </w:rPr>
        <w:t xml:space="preserve">RAS WT analyses are available for three trials which compared cetuximab + chemotherapy versus chemotherapy alone in the first-line setting: CRYSTAL, OPUS and COIN. </w:t>
      </w:r>
      <w:r w:rsidR="005B5B1D">
        <w:rPr>
          <w:rFonts w:ascii="Arial" w:hAnsi="Arial"/>
          <w:sz w:val="22"/>
          <w:szCs w:val="22"/>
        </w:rPr>
        <w:t>The t</w:t>
      </w:r>
      <w:r w:rsidRPr="009C454C">
        <w:rPr>
          <w:rFonts w:ascii="Arial" w:hAnsi="Arial"/>
          <w:sz w:val="22"/>
          <w:szCs w:val="22"/>
        </w:rPr>
        <w:t xml:space="preserve">ables </w:t>
      </w:r>
      <w:r w:rsidR="005B5B1D">
        <w:rPr>
          <w:rFonts w:ascii="Arial" w:hAnsi="Arial"/>
          <w:sz w:val="22"/>
          <w:szCs w:val="22"/>
        </w:rPr>
        <w:t>below</w:t>
      </w:r>
      <w:r w:rsidRPr="009C454C">
        <w:rPr>
          <w:rFonts w:ascii="Arial" w:hAnsi="Arial"/>
          <w:sz w:val="22"/>
          <w:szCs w:val="22"/>
        </w:rPr>
        <w:t xml:space="preserve"> summarise the PFS and OS results, respectively. The OS results of these trials, even if affected by patient cross-over between trial arms, are applicable to the Australian PBS setting because cetuximab is available as a post-progression treatment</w:t>
      </w:r>
      <w:r>
        <w:rPr>
          <w:rFonts w:ascii="Arial" w:hAnsi="Arial"/>
          <w:sz w:val="22"/>
          <w:szCs w:val="22"/>
        </w:rPr>
        <w:t>.</w:t>
      </w:r>
    </w:p>
    <w:p w:rsidR="00CE5D68" w:rsidRDefault="00CE5D68">
      <w:pPr>
        <w:rPr>
          <w:rFonts w:ascii="Arial" w:hAnsi="Arial"/>
          <w:sz w:val="22"/>
          <w:szCs w:val="22"/>
        </w:rPr>
      </w:pPr>
    </w:p>
    <w:p w:rsidR="009C454C" w:rsidRPr="006B26F0" w:rsidRDefault="009C454C" w:rsidP="006B26F0">
      <w:pPr>
        <w:jc w:val="both"/>
        <w:rPr>
          <w:rFonts w:ascii="Arial" w:hAnsi="Arial"/>
          <w:sz w:val="22"/>
          <w:szCs w:val="22"/>
        </w:rPr>
      </w:pPr>
    </w:p>
    <w:p w:rsidR="009C454C" w:rsidRPr="006B26F0" w:rsidRDefault="002C1152" w:rsidP="006B26F0">
      <w:pPr>
        <w:keepNext/>
        <w:ind w:left="709"/>
        <w:jc w:val="both"/>
        <w:rPr>
          <w:rFonts w:ascii="Arial" w:hAnsi="Arial"/>
          <w:sz w:val="22"/>
          <w:szCs w:val="22"/>
        </w:rPr>
      </w:pPr>
      <w:r w:rsidRPr="006B26F0">
        <w:rPr>
          <w:rFonts w:ascii="Arial Narrow" w:hAnsi="Arial Narrow" w:cs="Arial"/>
          <w:b/>
          <w:snapToGrid w:val="0"/>
          <w:sz w:val="20"/>
          <w:szCs w:val="16"/>
          <w:lang w:eastAsia="en-US"/>
        </w:rPr>
        <w:t>First-line cetuximab+chemotherapy versus chemotherapy alone: Progression-free survival (PFS) results in the RAS WT subgroup (KRAS and NRAS Exons 2/3/4)</w:t>
      </w:r>
    </w:p>
    <w:tbl>
      <w:tblPr>
        <w:tblStyle w:val="TableGrid"/>
        <w:tblW w:w="4548" w:type="pct"/>
        <w:tblInd w:w="836" w:type="dxa"/>
        <w:tblLook w:val="04A0" w:firstRow="1" w:lastRow="0" w:firstColumn="1" w:lastColumn="0" w:noHBand="0" w:noVBand="1"/>
      </w:tblPr>
      <w:tblGrid>
        <w:gridCol w:w="3459"/>
        <w:gridCol w:w="2335"/>
        <w:gridCol w:w="2613"/>
      </w:tblGrid>
      <w:tr w:rsidR="002C1152" w:rsidRPr="002C1152" w:rsidTr="00370950">
        <w:tc>
          <w:tcPr>
            <w:tcW w:w="5000" w:type="pct"/>
            <w:gridSpan w:val="3"/>
            <w:shd w:val="clear" w:color="auto" w:fill="D9D9D9" w:themeFill="background1" w:themeFillShade="D9"/>
          </w:tcPr>
          <w:p w:rsidR="002C1152" w:rsidRPr="002C1152" w:rsidRDefault="002C1152" w:rsidP="002C1152">
            <w:pPr>
              <w:keepNext/>
              <w:widowControl w:val="0"/>
              <w:rPr>
                <w:rFonts w:ascii="Arial Narrow" w:hAnsi="Arial Narrow" w:cs="Arial"/>
                <w:b/>
                <w:snapToGrid w:val="0"/>
                <w:sz w:val="20"/>
                <w:szCs w:val="20"/>
                <w:u w:val="single"/>
                <w:lang w:eastAsia="en-US"/>
              </w:rPr>
            </w:pPr>
            <w:r w:rsidRPr="002C1152">
              <w:rPr>
                <w:rFonts w:ascii="Arial Narrow" w:hAnsi="Arial Narrow" w:cs="Arial"/>
                <w:b/>
                <w:snapToGrid w:val="0"/>
                <w:sz w:val="20"/>
                <w:szCs w:val="20"/>
                <w:u w:val="single"/>
                <w:lang w:eastAsia="en-US"/>
              </w:rPr>
              <w:t>Irinotecan-based chemotherapy backbone</w:t>
            </w:r>
          </w:p>
        </w:tc>
      </w:tr>
      <w:tr w:rsidR="002C1152" w:rsidRPr="002C1152" w:rsidTr="00370950">
        <w:tc>
          <w:tcPr>
            <w:tcW w:w="2057" w:type="pct"/>
            <w:shd w:val="clear" w:color="auto" w:fill="auto"/>
          </w:tcPr>
          <w:p w:rsidR="002C1152" w:rsidRPr="002C1152" w:rsidRDefault="002C1152" w:rsidP="002C1152">
            <w:pPr>
              <w:widowControl w:val="0"/>
              <w:tabs>
                <w:tab w:val="left" w:pos="1168"/>
              </w:tabs>
              <w:ind w:right="-57"/>
              <w:jc w:val="both"/>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CRYSTAL</w:t>
            </w:r>
          </w:p>
        </w:tc>
        <w:tc>
          <w:tcPr>
            <w:tcW w:w="1389" w:type="pct"/>
            <w:shd w:val="clear" w:color="auto" w:fill="auto"/>
          </w:tcPr>
          <w:p w:rsidR="002C1152" w:rsidRPr="002C1152" w:rsidRDefault="002C1152" w:rsidP="002C1152">
            <w:pPr>
              <w:widowControl w:val="0"/>
              <w:jc w:val="center"/>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Cetuximab+FOLFIRI</w:t>
            </w:r>
          </w:p>
        </w:tc>
        <w:tc>
          <w:tcPr>
            <w:tcW w:w="1554" w:type="pct"/>
            <w:shd w:val="clear" w:color="auto" w:fill="auto"/>
          </w:tcPr>
          <w:p w:rsidR="002C1152" w:rsidRPr="002C1152" w:rsidRDefault="002C1152" w:rsidP="002C1152">
            <w:pPr>
              <w:widowControl w:val="0"/>
              <w:jc w:val="center"/>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FOLFIRI alone</w:t>
            </w:r>
          </w:p>
        </w:tc>
      </w:tr>
      <w:tr w:rsidR="002C1152" w:rsidRPr="002C1152" w:rsidTr="00370950">
        <w:tc>
          <w:tcPr>
            <w:tcW w:w="2057" w:type="pct"/>
          </w:tcPr>
          <w:p w:rsidR="002C1152" w:rsidRPr="002C1152" w:rsidRDefault="002C1152" w:rsidP="002C1152">
            <w:pPr>
              <w:widowControl w:val="0"/>
              <w:tabs>
                <w:tab w:val="left" w:pos="1168"/>
              </w:tabs>
              <w:ind w:right="-113"/>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w:t>
            </w:r>
            <w:r w:rsidRPr="002C1152">
              <w:rPr>
                <w:rFonts w:ascii="Arial Narrow" w:hAnsi="Arial Narrow" w:cs="Arial"/>
                <w:snapToGrid w:val="0"/>
                <w:sz w:val="20"/>
                <w:szCs w:val="20"/>
                <w:lang w:eastAsia="en-US"/>
              </w:rPr>
              <w:br/>
              <w:t>Median PFS, months</w:t>
            </w:r>
          </w:p>
          <w:p w:rsidR="002C1152" w:rsidRPr="002C1152" w:rsidRDefault="002C1152" w:rsidP="002C1152">
            <w:pPr>
              <w:widowControl w:val="0"/>
              <w:tabs>
                <w:tab w:val="left" w:pos="1168"/>
              </w:tabs>
              <w:ind w:right="-113"/>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(95% CI)</w:t>
            </w:r>
          </w:p>
        </w:tc>
        <w:tc>
          <w:tcPr>
            <w:tcW w:w="1389"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178</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11.4</w:t>
            </w:r>
          </w:p>
          <w:p w:rsidR="002C1152" w:rsidRPr="00C00328" w:rsidRDefault="00C00328" w:rsidP="002C1152">
            <w:pPr>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554"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189</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8.4</w:t>
            </w:r>
          </w:p>
          <w:p w:rsidR="002C1152" w:rsidRPr="00C00328" w:rsidRDefault="00C00328" w:rsidP="002C1152">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r>
      <w:tr w:rsidR="002C1152" w:rsidRPr="002C1152" w:rsidTr="00370950">
        <w:tc>
          <w:tcPr>
            <w:tcW w:w="205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Difference in PFS</w:t>
            </w:r>
          </w:p>
        </w:tc>
        <w:tc>
          <w:tcPr>
            <w:tcW w:w="2943" w:type="pct"/>
            <w:gridSpan w:val="2"/>
            <w:vMerge w:val="restar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+3.0</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0.56 (0.41, 0.76)</w:t>
            </w:r>
          </w:p>
        </w:tc>
      </w:tr>
      <w:tr w:rsidR="002C1152" w:rsidRPr="002C1152" w:rsidTr="00370950">
        <w:tc>
          <w:tcPr>
            <w:tcW w:w="205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HR (95% CI)</w:t>
            </w:r>
          </w:p>
        </w:tc>
        <w:tc>
          <w:tcPr>
            <w:tcW w:w="2943" w:type="pct"/>
            <w:gridSpan w:val="2"/>
            <w:vMerge/>
          </w:tcPr>
          <w:p w:rsidR="002C1152" w:rsidRPr="002C1152" w:rsidRDefault="002C1152" w:rsidP="002C1152">
            <w:pPr>
              <w:widowControl w:val="0"/>
              <w:jc w:val="center"/>
              <w:rPr>
                <w:rFonts w:ascii="Arial Narrow" w:hAnsi="Arial Narrow" w:cs="Arial"/>
                <w:b/>
                <w:snapToGrid w:val="0"/>
                <w:sz w:val="20"/>
                <w:szCs w:val="20"/>
                <w:lang w:eastAsia="en-US"/>
              </w:rPr>
            </w:pPr>
          </w:p>
        </w:tc>
      </w:tr>
      <w:tr w:rsidR="002C1152" w:rsidRPr="002C1152" w:rsidTr="00370950">
        <w:tc>
          <w:tcPr>
            <w:tcW w:w="5000" w:type="pct"/>
            <w:gridSpan w:val="3"/>
            <w:shd w:val="clear" w:color="auto" w:fill="D9D9D9" w:themeFill="background1" w:themeFillShade="D9"/>
          </w:tcPr>
          <w:p w:rsidR="002C1152" w:rsidRPr="002C1152" w:rsidRDefault="002C1152" w:rsidP="002C1152">
            <w:pPr>
              <w:widowControl w:val="0"/>
              <w:rPr>
                <w:rFonts w:ascii="Arial Narrow" w:hAnsi="Arial Narrow" w:cs="Arial"/>
                <w:b/>
                <w:snapToGrid w:val="0"/>
                <w:sz w:val="20"/>
                <w:szCs w:val="20"/>
                <w:u w:val="single"/>
                <w:lang w:eastAsia="en-US"/>
              </w:rPr>
            </w:pPr>
            <w:r w:rsidRPr="002C1152">
              <w:rPr>
                <w:rFonts w:ascii="Arial Narrow" w:hAnsi="Arial Narrow" w:cs="Arial"/>
                <w:b/>
                <w:snapToGrid w:val="0"/>
                <w:sz w:val="20"/>
                <w:szCs w:val="20"/>
                <w:u w:val="single"/>
                <w:lang w:eastAsia="en-US"/>
              </w:rPr>
              <w:lastRenderedPageBreak/>
              <w:t>Oxaliplatin-based chemotherapy backbone</w:t>
            </w:r>
          </w:p>
        </w:tc>
      </w:tr>
      <w:tr w:rsidR="002C1152" w:rsidRPr="002C1152" w:rsidTr="00370950">
        <w:tc>
          <w:tcPr>
            <w:tcW w:w="2057" w:type="pct"/>
            <w:shd w:val="clear" w:color="auto" w:fill="FFFFFF" w:themeFill="background1"/>
          </w:tcPr>
          <w:p w:rsidR="002C1152" w:rsidRPr="002C1152" w:rsidRDefault="002C1152" w:rsidP="002C1152">
            <w:pPr>
              <w:widowControl w:val="0"/>
              <w:tabs>
                <w:tab w:val="left" w:pos="1168"/>
              </w:tabs>
              <w:ind w:right="-57"/>
              <w:jc w:val="both"/>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 xml:space="preserve">OPUS </w:t>
            </w:r>
          </w:p>
        </w:tc>
        <w:tc>
          <w:tcPr>
            <w:tcW w:w="1389" w:type="pct"/>
            <w:shd w:val="clear" w:color="auto" w:fill="FFFFFF" w:themeFill="background1"/>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b/>
                <w:snapToGrid w:val="0"/>
                <w:sz w:val="20"/>
                <w:szCs w:val="20"/>
                <w:lang w:eastAsia="en-US"/>
              </w:rPr>
              <w:t>Cetuximab+FOLFOX</w:t>
            </w:r>
          </w:p>
        </w:tc>
        <w:tc>
          <w:tcPr>
            <w:tcW w:w="1554" w:type="pct"/>
            <w:shd w:val="clear" w:color="auto" w:fill="FFFFFF" w:themeFill="background1"/>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b/>
                <w:snapToGrid w:val="0"/>
                <w:sz w:val="20"/>
                <w:szCs w:val="20"/>
                <w:lang w:eastAsia="en-US"/>
              </w:rPr>
              <w:t>FOLFOX alone</w:t>
            </w:r>
          </w:p>
        </w:tc>
      </w:tr>
      <w:tr w:rsidR="002C1152" w:rsidRPr="002C1152" w:rsidTr="00370950">
        <w:trPr>
          <w:trHeight w:val="357"/>
        </w:trPr>
        <w:tc>
          <w:tcPr>
            <w:tcW w:w="2057" w:type="pct"/>
          </w:tcPr>
          <w:p w:rsidR="002C1152" w:rsidRPr="002C1152" w:rsidRDefault="002C1152" w:rsidP="002C1152">
            <w:pPr>
              <w:widowControl w:val="0"/>
              <w:tabs>
                <w:tab w:val="left" w:pos="1168"/>
              </w:tabs>
              <w:ind w:right="-113"/>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w:t>
            </w:r>
            <w:r w:rsidRPr="002C1152">
              <w:rPr>
                <w:rFonts w:ascii="Arial Narrow" w:hAnsi="Arial Narrow" w:cs="Arial"/>
                <w:snapToGrid w:val="0"/>
                <w:sz w:val="20"/>
                <w:szCs w:val="20"/>
                <w:lang w:eastAsia="en-US"/>
              </w:rPr>
              <w:br/>
              <w:t>Median PFS, months</w:t>
            </w:r>
          </w:p>
          <w:p w:rsidR="002C1152" w:rsidRPr="002C1152" w:rsidRDefault="002C1152" w:rsidP="002C1152">
            <w:pPr>
              <w:widowControl w:val="0"/>
              <w:tabs>
                <w:tab w:val="left" w:pos="1168"/>
              </w:tabs>
              <w:ind w:right="-113"/>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(95% CI)</w:t>
            </w:r>
          </w:p>
        </w:tc>
        <w:tc>
          <w:tcPr>
            <w:tcW w:w="1389"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38</w:t>
            </w:r>
            <w:r w:rsidRPr="002C1152">
              <w:rPr>
                <w:rFonts w:ascii="Arial Narrow" w:hAnsi="Arial Narrow" w:cs="Arial"/>
                <w:snapToGrid w:val="0"/>
                <w:sz w:val="20"/>
                <w:szCs w:val="20"/>
                <w:lang w:eastAsia="en-US"/>
              </w:rPr>
              <w:br/>
              <w:t>12.0</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(NR)</w:t>
            </w:r>
          </w:p>
        </w:tc>
        <w:tc>
          <w:tcPr>
            <w:tcW w:w="1554"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49</w:t>
            </w:r>
            <w:r w:rsidRPr="002C1152">
              <w:rPr>
                <w:rFonts w:ascii="Arial Narrow" w:hAnsi="Arial Narrow" w:cs="Arial"/>
                <w:snapToGrid w:val="0"/>
                <w:sz w:val="20"/>
                <w:szCs w:val="20"/>
                <w:lang w:eastAsia="en-US"/>
              </w:rPr>
              <w:br/>
              <w:t>5.8</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(4.7, 7.9)</w:t>
            </w:r>
          </w:p>
        </w:tc>
      </w:tr>
      <w:tr w:rsidR="002C1152" w:rsidRPr="002C1152" w:rsidTr="00370950">
        <w:tc>
          <w:tcPr>
            <w:tcW w:w="205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Difference in PFS</w:t>
            </w:r>
          </w:p>
        </w:tc>
        <w:tc>
          <w:tcPr>
            <w:tcW w:w="2943" w:type="pct"/>
            <w:gridSpan w:val="2"/>
            <w:vMerge w:val="restar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+6.2</w:t>
            </w:r>
          </w:p>
          <w:p w:rsidR="002C1152" w:rsidRPr="002C1152" w:rsidRDefault="002C1152" w:rsidP="002C1152">
            <w:pPr>
              <w:widowControl w:val="0"/>
              <w:contextualSpacing/>
              <w:jc w:val="center"/>
              <w:rPr>
                <w:rFonts w:ascii="Arial Narrow" w:hAnsi="Arial Narrow" w:cs="Arial"/>
                <w:snapToGrid w:val="0"/>
                <w:sz w:val="20"/>
                <w:szCs w:val="20"/>
                <w:vertAlign w:val="superscript"/>
                <w:lang w:eastAsia="en-US"/>
              </w:rPr>
            </w:pPr>
            <w:r w:rsidRPr="002C1152">
              <w:rPr>
                <w:rFonts w:ascii="Arial Narrow" w:hAnsi="Arial Narrow" w:cs="Arial"/>
                <w:snapToGrid w:val="0"/>
                <w:sz w:val="20"/>
                <w:szCs w:val="20"/>
                <w:lang w:eastAsia="en-US"/>
              </w:rPr>
              <w:t>0.53 (0.27, 1.04)</w:t>
            </w:r>
            <w:r w:rsidRPr="002C1152">
              <w:rPr>
                <w:rFonts w:ascii="Arial Narrow" w:hAnsi="Arial Narrow" w:cs="Arial"/>
                <w:snapToGrid w:val="0"/>
                <w:sz w:val="20"/>
                <w:szCs w:val="20"/>
                <w:vertAlign w:val="superscript"/>
                <w:lang w:eastAsia="en-US"/>
              </w:rPr>
              <w:t>a</w:t>
            </w:r>
          </w:p>
        </w:tc>
      </w:tr>
      <w:tr w:rsidR="002C1152" w:rsidRPr="002C1152" w:rsidTr="00370950">
        <w:tc>
          <w:tcPr>
            <w:tcW w:w="205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HR (95% CI)</w:t>
            </w:r>
          </w:p>
        </w:tc>
        <w:tc>
          <w:tcPr>
            <w:tcW w:w="2943" w:type="pct"/>
            <w:gridSpan w:val="2"/>
            <w:vMerge/>
          </w:tcPr>
          <w:p w:rsidR="002C1152" w:rsidRPr="002C1152" w:rsidRDefault="002C1152" w:rsidP="002C1152">
            <w:pPr>
              <w:widowControl w:val="0"/>
              <w:jc w:val="center"/>
              <w:rPr>
                <w:rFonts w:ascii="Arial Narrow" w:hAnsi="Arial Narrow" w:cs="Arial"/>
                <w:snapToGrid w:val="0"/>
                <w:sz w:val="20"/>
                <w:szCs w:val="20"/>
                <w:lang w:eastAsia="en-US"/>
              </w:rPr>
            </w:pPr>
          </w:p>
        </w:tc>
      </w:tr>
      <w:tr w:rsidR="002C1152" w:rsidRPr="002C1152" w:rsidTr="00370950">
        <w:tc>
          <w:tcPr>
            <w:tcW w:w="2057" w:type="pct"/>
            <w:shd w:val="clear" w:color="auto" w:fill="FFFFFF" w:themeFill="background1"/>
          </w:tcPr>
          <w:p w:rsidR="002C1152" w:rsidRPr="002C1152" w:rsidRDefault="002C1152" w:rsidP="002C1152">
            <w:pPr>
              <w:widowControl w:val="0"/>
              <w:tabs>
                <w:tab w:val="left" w:pos="1168"/>
              </w:tabs>
              <w:ind w:right="-57"/>
              <w:jc w:val="both"/>
              <w:rPr>
                <w:rFonts w:ascii="Arial Narrow" w:hAnsi="Arial Narrow" w:cs="Arial"/>
                <w:b/>
                <w:snapToGrid w:val="0"/>
                <w:sz w:val="20"/>
                <w:szCs w:val="20"/>
                <w:vertAlign w:val="superscript"/>
                <w:lang w:eastAsia="en-US"/>
              </w:rPr>
            </w:pPr>
            <w:r w:rsidRPr="002C1152">
              <w:rPr>
                <w:rFonts w:ascii="Arial Narrow" w:hAnsi="Arial Narrow" w:cs="Arial"/>
                <w:b/>
                <w:snapToGrid w:val="0"/>
                <w:sz w:val="20"/>
                <w:szCs w:val="20"/>
                <w:lang w:eastAsia="en-US"/>
              </w:rPr>
              <w:t>COIN</w:t>
            </w:r>
            <w:r w:rsidRPr="002C1152">
              <w:rPr>
                <w:rFonts w:ascii="Arial Narrow" w:hAnsi="Arial Narrow" w:cs="Arial"/>
                <w:b/>
                <w:snapToGrid w:val="0"/>
                <w:sz w:val="20"/>
                <w:szCs w:val="20"/>
                <w:vertAlign w:val="superscript"/>
                <w:lang w:eastAsia="en-US"/>
              </w:rPr>
              <w:t>b</w:t>
            </w:r>
          </w:p>
        </w:tc>
        <w:tc>
          <w:tcPr>
            <w:tcW w:w="1389" w:type="pct"/>
            <w:shd w:val="clear" w:color="auto" w:fill="FFFFFF" w:themeFill="background1"/>
          </w:tcPr>
          <w:p w:rsidR="002C1152" w:rsidRPr="002C1152" w:rsidRDefault="002C1152" w:rsidP="002C1152">
            <w:pPr>
              <w:widowControl w:val="0"/>
              <w:jc w:val="center"/>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Cetuximab+oxaliplatin and capecitabine (67%) or+FOLFOX (33%)</w:t>
            </w:r>
          </w:p>
        </w:tc>
        <w:tc>
          <w:tcPr>
            <w:tcW w:w="1554" w:type="pct"/>
            <w:shd w:val="clear" w:color="auto" w:fill="FFFFFF" w:themeFill="background1"/>
          </w:tcPr>
          <w:p w:rsidR="002C1152" w:rsidRPr="002C1152" w:rsidRDefault="002C1152" w:rsidP="002C1152">
            <w:pPr>
              <w:widowControl w:val="0"/>
              <w:jc w:val="center"/>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Oxaliplatin and capecitabine (65%) or FOLFOX (35%)</w:t>
            </w:r>
          </w:p>
        </w:tc>
      </w:tr>
      <w:tr w:rsidR="002C1152" w:rsidRPr="002C1152" w:rsidTr="00370950">
        <w:trPr>
          <w:trHeight w:val="214"/>
        </w:trPr>
        <w:tc>
          <w:tcPr>
            <w:tcW w:w="2057" w:type="pct"/>
          </w:tcPr>
          <w:p w:rsidR="002C1152" w:rsidRPr="002C1152" w:rsidRDefault="002C1152" w:rsidP="002C1152">
            <w:pPr>
              <w:widowControl w:val="0"/>
              <w:tabs>
                <w:tab w:val="left" w:pos="1168"/>
              </w:tabs>
              <w:ind w:right="-57"/>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w:t>
            </w:r>
          </w:p>
        </w:tc>
        <w:tc>
          <w:tcPr>
            <w:tcW w:w="1389"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292</w:t>
            </w:r>
          </w:p>
        </w:tc>
        <w:tc>
          <w:tcPr>
            <w:tcW w:w="1554"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289</w:t>
            </w:r>
          </w:p>
        </w:tc>
      </w:tr>
      <w:tr w:rsidR="002C1152" w:rsidRPr="002C1152" w:rsidTr="00370950">
        <w:trPr>
          <w:trHeight w:val="457"/>
        </w:trPr>
        <w:tc>
          <w:tcPr>
            <w:tcW w:w="205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Median PFS, months</w:t>
            </w:r>
          </w:p>
          <w:p w:rsidR="002C1152" w:rsidRPr="002C1152" w:rsidRDefault="002C1152" w:rsidP="002C1152">
            <w:pPr>
              <w:widowControl w:val="0"/>
              <w:tabs>
                <w:tab w:val="left" w:pos="1168"/>
              </w:tabs>
              <w:ind w:right="-57"/>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(95% CI)</w:t>
            </w:r>
          </w:p>
        </w:tc>
        <w:tc>
          <w:tcPr>
            <w:tcW w:w="2943" w:type="pct"/>
            <w:gridSpan w:val="2"/>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NR</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PFS data not provided in Maughan et al (2011)</w:t>
            </w:r>
            <w:r w:rsidRPr="002C1152">
              <w:rPr>
                <w:rFonts w:ascii="Arial Narrow" w:hAnsi="Arial Narrow" w:cs="Arial"/>
                <w:noProof/>
                <w:snapToGrid w:val="0"/>
                <w:sz w:val="20"/>
                <w:szCs w:val="20"/>
                <w:vertAlign w:val="superscript"/>
                <w:lang w:eastAsia="en-US"/>
              </w:rPr>
              <w:t>4</w:t>
            </w:r>
          </w:p>
        </w:tc>
      </w:tr>
      <w:tr w:rsidR="002C1152" w:rsidRPr="002C1152" w:rsidTr="00370950">
        <w:tc>
          <w:tcPr>
            <w:tcW w:w="205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Difference in PFS</w:t>
            </w:r>
          </w:p>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HR (95% CI)</w:t>
            </w:r>
          </w:p>
        </w:tc>
        <w:tc>
          <w:tcPr>
            <w:tcW w:w="2943" w:type="pct"/>
            <w:gridSpan w:val="2"/>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No difference in PFS</w:t>
            </w:r>
          </w:p>
          <w:p w:rsidR="002C1152" w:rsidRPr="002C1152" w:rsidRDefault="002C1152" w:rsidP="002C1152">
            <w:pPr>
              <w:widowControl w:val="0"/>
              <w:jc w:val="center"/>
              <w:rPr>
                <w:rFonts w:ascii="Arial Narrow" w:hAnsi="Arial Narrow" w:cs="Arial"/>
                <w:snapToGrid w:val="0"/>
                <w:sz w:val="20"/>
                <w:szCs w:val="20"/>
              </w:rPr>
            </w:pPr>
            <w:r w:rsidRPr="002C1152">
              <w:rPr>
                <w:rFonts w:ascii="Arial Narrow" w:hAnsi="Arial Narrow" w:cs="Arial"/>
                <w:snapToGrid w:val="0"/>
                <w:sz w:val="20"/>
                <w:szCs w:val="20"/>
                <w:lang w:eastAsia="en-US"/>
              </w:rPr>
              <w:t>Maughan et al note (2011) that there was no evidence of PFS benefit seen in any of the genetically defined (RAS and RAF) subgroups.</w:t>
            </w:r>
          </w:p>
        </w:tc>
      </w:tr>
    </w:tbl>
    <w:p w:rsidR="002C1152" w:rsidRPr="002C1152" w:rsidRDefault="002C1152" w:rsidP="002C1152">
      <w:pPr>
        <w:widowControl w:val="0"/>
        <w:ind w:left="720"/>
        <w:jc w:val="both"/>
        <w:rPr>
          <w:rFonts w:ascii="Arial Narrow" w:hAnsi="Arial Narrow" w:cs="Arial"/>
          <w:snapToGrid w:val="0"/>
          <w:sz w:val="18"/>
          <w:szCs w:val="20"/>
          <w:lang w:eastAsia="en-US"/>
        </w:rPr>
      </w:pPr>
      <w:r w:rsidRPr="002C1152">
        <w:rPr>
          <w:rFonts w:ascii="Arial Narrow" w:hAnsi="Arial Narrow" w:cs="Arial"/>
          <w:snapToGrid w:val="0"/>
          <w:sz w:val="18"/>
          <w:szCs w:val="20"/>
          <w:vertAlign w:val="superscript"/>
          <w:lang w:eastAsia="en-US"/>
        </w:rPr>
        <w:t>a</w:t>
      </w:r>
      <w:r w:rsidRPr="002C1152">
        <w:rPr>
          <w:rFonts w:ascii="Arial Narrow" w:hAnsi="Arial Narrow" w:cs="Arial"/>
          <w:snapToGrid w:val="0"/>
          <w:sz w:val="18"/>
          <w:szCs w:val="20"/>
          <w:lang w:eastAsia="en-US"/>
        </w:rPr>
        <w:t>The HR of 0.53 was sourced from Appendix 5 (OPUS RAS analysis) to the cetuximab resubmission. This differs from the OPUS 2014 abstract publication by Tejpar et al (20124)</w:t>
      </w:r>
      <w:r w:rsidRPr="002C1152">
        <w:rPr>
          <w:rFonts w:ascii="Arial Narrow" w:hAnsi="Arial Narrow" w:cs="Arial"/>
          <w:noProof/>
          <w:snapToGrid w:val="0"/>
          <w:sz w:val="18"/>
          <w:szCs w:val="20"/>
          <w:vertAlign w:val="superscript"/>
          <w:lang w:eastAsia="en-US"/>
        </w:rPr>
        <w:t>3</w:t>
      </w:r>
      <w:r w:rsidRPr="002C1152">
        <w:rPr>
          <w:rFonts w:ascii="Arial Narrow" w:hAnsi="Arial Narrow" w:cs="Arial"/>
          <w:snapToGrid w:val="0"/>
          <w:sz w:val="18"/>
          <w:szCs w:val="20"/>
          <w:lang w:eastAsia="en-US"/>
        </w:rPr>
        <w:t xml:space="preserve"> which indicates the same median PFS estimates but a different HR of 0.43 (95% CI: 0.21, 0.88). The number of patients also differ in the Tejpar report (Cetuximab: N=36; Bevacizumab: N=46). Data cut-off dates are not specified making it difficult to judge the results.</w:t>
      </w:r>
    </w:p>
    <w:p w:rsidR="002C1152" w:rsidRPr="002C1152" w:rsidRDefault="002C1152" w:rsidP="002C1152">
      <w:pPr>
        <w:widowControl w:val="0"/>
        <w:ind w:left="720"/>
        <w:jc w:val="both"/>
        <w:rPr>
          <w:rFonts w:ascii="Arial Narrow" w:hAnsi="Arial Narrow" w:cs="Arial"/>
          <w:snapToGrid w:val="0"/>
          <w:sz w:val="18"/>
          <w:szCs w:val="20"/>
          <w:lang w:eastAsia="en-US"/>
        </w:rPr>
      </w:pPr>
      <w:r w:rsidRPr="002C1152">
        <w:rPr>
          <w:rFonts w:ascii="Arial Narrow" w:hAnsi="Arial Narrow" w:cs="Arial"/>
          <w:snapToGrid w:val="0"/>
          <w:sz w:val="18"/>
          <w:szCs w:val="20"/>
          <w:vertAlign w:val="superscript"/>
          <w:lang w:eastAsia="en-US"/>
        </w:rPr>
        <w:t>b</w:t>
      </w:r>
      <w:r w:rsidRPr="002C1152">
        <w:rPr>
          <w:rFonts w:ascii="Arial Narrow" w:hAnsi="Arial Narrow" w:cs="Arial"/>
          <w:snapToGrid w:val="0"/>
          <w:sz w:val="18"/>
          <w:szCs w:val="20"/>
          <w:lang w:eastAsia="en-US"/>
        </w:rPr>
        <w:t>KRAS/NRAS Exons 2/3 and BRAF WT.</w:t>
      </w:r>
    </w:p>
    <w:p w:rsidR="009C454C" w:rsidRDefault="002C1152" w:rsidP="002C1152">
      <w:pPr>
        <w:widowControl w:val="0"/>
        <w:ind w:left="720"/>
        <w:jc w:val="both"/>
        <w:rPr>
          <w:rFonts w:ascii="Arial Narrow" w:hAnsi="Arial Narrow" w:cs="Arial"/>
          <w:snapToGrid w:val="0"/>
          <w:sz w:val="18"/>
          <w:szCs w:val="20"/>
          <w:lang w:eastAsia="en-US"/>
        </w:rPr>
      </w:pPr>
      <w:r w:rsidRPr="002C1152">
        <w:rPr>
          <w:rFonts w:ascii="Arial Narrow" w:hAnsi="Arial Narrow" w:cs="Arial"/>
          <w:snapToGrid w:val="0"/>
          <w:sz w:val="18"/>
          <w:szCs w:val="20"/>
          <w:lang w:eastAsia="en-US"/>
        </w:rPr>
        <w:t>Sources: Table constructed during the evaluation based on European assessment reports for cetuximab, RAS analyses study publications and Appendices to the resubmission</w:t>
      </w:r>
      <w:r>
        <w:rPr>
          <w:rFonts w:ascii="Arial Narrow" w:hAnsi="Arial Narrow" w:cs="Arial"/>
          <w:snapToGrid w:val="0"/>
          <w:sz w:val="18"/>
          <w:szCs w:val="20"/>
          <w:lang w:eastAsia="en-US"/>
        </w:rPr>
        <w:t>.</w:t>
      </w:r>
    </w:p>
    <w:p w:rsidR="002C1152" w:rsidRDefault="002C1152" w:rsidP="002C1152">
      <w:pPr>
        <w:widowControl w:val="0"/>
        <w:ind w:left="720"/>
        <w:jc w:val="both"/>
        <w:rPr>
          <w:rFonts w:ascii="Arial Narrow" w:hAnsi="Arial Narrow" w:cs="Arial"/>
          <w:snapToGrid w:val="0"/>
          <w:sz w:val="18"/>
          <w:szCs w:val="20"/>
          <w:lang w:eastAsia="en-US"/>
        </w:rPr>
      </w:pPr>
    </w:p>
    <w:p w:rsidR="002C1152" w:rsidRDefault="002C1152" w:rsidP="006B26F0">
      <w:pPr>
        <w:keepNext/>
        <w:widowControl w:val="0"/>
        <w:ind w:left="720"/>
        <w:jc w:val="both"/>
        <w:rPr>
          <w:rFonts w:ascii="Arial Narrow" w:hAnsi="Arial Narrow" w:cs="Arial"/>
          <w:b/>
          <w:snapToGrid w:val="0"/>
          <w:sz w:val="20"/>
          <w:szCs w:val="16"/>
          <w:lang w:eastAsia="en-US"/>
        </w:rPr>
      </w:pPr>
      <w:r w:rsidRPr="002C1152">
        <w:rPr>
          <w:rFonts w:ascii="Arial Narrow" w:hAnsi="Arial Narrow" w:cs="Arial"/>
          <w:b/>
          <w:snapToGrid w:val="0"/>
          <w:sz w:val="20"/>
          <w:szCs w:val="16"/>
          <w:lang w:eastAsia="en-US"/>
        </w:rPr>
        <w:t>First-line cetuximab+chemotherapy versus chemotherapy alone: Overall survival (OS) results in the RAS WT subgroup (KRAS and NRAS Exons 2/3/4</w:t>
      </w:r>
    </w:p>
    <w:tbl>
      <w:tblPr>
        <w:tblStyle w:val="TableGrid"/>
        <w:tblW w:w="4533" w:type="pct"/>
        <w:tblInd w:w="864" w:type="dxa"/>
        <w:tblLook w:val="04A0" w:firstRow="1" w:lastRow="0" w:firstColumn="1" w:lastColumn="0" w:noHBand="0" w:noVBand="1"/>
      </w:tblPr>
      <w:tblGrid>
        <w:gridCol w:w="3430"/>
        <w:gridCol w:w="2336"/>
        <w:gridCol w:w="2613"/>
      </w:tblGrid>
      <w:tr w:rsidR="002C1152" w:rsidRPr="002C1152" w:rsidTr="00370950">
        <w:tc>
          <w:tcPr>
            <w:tcW w:w="5000" w:type="pct"/>
            <w:gridSpan w:val="3"/>
            <w:shd w:val="clear" w:color="auto" w:fill="D9D9D9" w:themeFill="background1" w:themeFillShade="D9"/>
          </w:tcPr>
          <w:p w:rsidR="002C1152" w:rsidRPr="002C1152" w:rsidRDefault="002C1152" w:rsidP="002C1152">
            <w:pPr>
              <w:keepNext/>
              <w:widowControl w:val="0"/>
              <w:rPr>
                <w:rFonts w:ascii="Arial Narrow" w:hAnsi="Arial Narrow" w:cs="Arial"/>
                <w:b/>
                <w:snapToGrid w:val="0"/>
                <w:sz w:val="20"/>
                <w:szCs w:val="20"/>
                <w:u w:val="single"/>
                <w:lang w:eastAsia="en-US"/>
              </w:rPr>
            </w:pPr>
            <w:r w:rsidRPr="002C1152">
              <w:rPr>
                <w:rFonts w:ascii="Arial Narrow" w:hAnsi="Arial Narrow" w:cs="Arial"/>
                <w:b/>
                <w:snapToGrid w:val="0"/>
                <w:sz w:val="20"/>
                <w:szCs w:val="20"/>
                <w:u w:val="single"/>
                <w:lang w:eastAsia="en-US"/>
              </w:rPr>
              <w:t>Irinotecan-based chemotherapy backbone</w:t>
            </w:r>
          </w:p>
        </w:tc>
      </w:tr>
      <w:tr w:rsidR="002C1152" w:rsidRPr="002C1152" w:rsidTr="00370950">
        <w:tc>
          <w:tcPr>
            <w:tcW w:w="2047" w:type="pct"/>
            <w:shd w:val="clear" w:color="auto" w:fill="FFFFFF" w:themeFill="background1"/>
          </w:tcPr>
          <w:p w:rsidR="002C1152" w:rsidRPr="002C1152" w:rsidRDefault="002C1152" w:rsidP="002C1152">
            <w:pPr>
              <w:widowControl w:val="0"/>
              <w:tabs>
                <w:tab w:val="left" w:pos="1168"/>
              </w:tabs>
              <w:ind w:right="-57"/>
              <w:jc w:val="both"/>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CRYSTAL</w:t>
            </w:r>
          </w:p>
        </w:tc>
        <w:tc>
          <w:tcPr>
            <w:tcW w:w="1394" w:type="pct"/>
            <w:shd w:val="clear" w:color="auto" w:fill="FFFFFF" w:themeFill="background1"/>
          </w:tcPr>
          <w:p w:rsidR="002C1152" w:rsidRPr="002C1152" w:rsidRDefault="002C1152" w:rsidP="002C1152">
            <w:pPr>
              <w:widowControl w:val="0"/>
              <w:jc w:val="center"/>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Cetuximab+FOLFIRI</w:t>
            </w:r>
          </w:p>
        </w:tc>
        <w:tc>
          <w:tcPr>
            <w:tcW w:w="1559" w:type="pct"/>
            <w:shd w:val="clear" w:color="auto" w:fill="FFFFFF" w:themeFill="background1"/>
          </w:tcPr>
          <w:p w:rsidR="002C1152" w:rsidRPr="002C1152" w:rsidRDefault="002C1152" w:rsidP="002C1152">
            <w:pPr>
              <w:widowControl w:val="0"/>
              <w:jc w:val="center"/>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FOLFIRI alone</w:t>
            </w:r>
          </w:p>
        </w:tc>
      </w:tr>
      <w:tr w:rsidR="002C1152" w:rsidRPr="002C1152" w:rsidTr="00370950">
        <w:tc>
          <w:tcPr>
            <w:tcW w:w="2047" w:type="pct"/>
          </w:tcPr>
          <w:p w:rsidR="002C1152" w:rsidRPr="002C1152" w:rsidRDefault="002C1152" w:rsidP="002C1152">
            <w:pPr>
              <w:widowControl w:val="0"/>
              <w:tabs>
                <w:tab w:val="left" w:pos="1168"/>
              </w:tabs>
              <w:ind w:right="-113"/>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w:t>
            </w:r>
            <w:r w:rsidRPr="002C1152">
              <w:rPr>
                <w:rFonts w:ascii="Arial Narrow" w:hAnsi="Arial Narrow" w:cs="Arial"/>
                <w:snapToGrid w:val="0"/>
                <w:sz w:val="20"/>
                <w:szCs w:val="20"/>
                <w:lang w:eastAsia="en-US"/>
              </w:rPr>
              <w:br/>
              <w:t>Median OS, months</w:t>
            </w:r>
          </w:p>
          <w:p w:rsidR="002C1152" w:rsidRPr="002C1152" w:rsidRDefault="002C1152" w:rsidP="002C1152">
            <w:pPr>
              <w:widowControl w:val="0"/>
              <w:tabs>
                <w:tab w:val="left" w:pos="1168"/>
              </w:tabs>
              <w:ind w:right="-113"/>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(95% CI)</w:t>
            </w:r>
          </w:p>
        </w:tc>
        <w:tc>
          <w:tcPr>
            <w:tcW w:w="1394"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178</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28.4</w:t>
            </w:r>
          </w:p>
          <w:p w:rsidR="002C1152" w:rsidRPr="00C00328" w:rsidRDefault="00C00328" w:rsidP="002C1152">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559"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189</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20.2</w:t>
            </w:r>
          </w:p>
          <w:p w:rsidR="002C1152" w:rsidRPr="00C00328" w:rsidRDefault="00C00328" w:rsidP="002C1152">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r>
      <w:tr w:rsidR="002C1152" w:rsidRPr="002C1152" w:rsidTr="00370950">
        <w:tc>
          <w:tcPr>
            <w:tcW w:w="204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Difference in OS</w:t>
            </w:r>
          </w:p>
        </w:tc>
        <w:tc>
          <w:tcPr>
            <w:tcW w:w="2953" w:type="pct"/>
            <w:gridSpan w:val="2"/>
            <w:vMerge w:val="restar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+8.2</w:t>
            </w:r>
          </w:p>
          <w:p w:rsidR="002C1152" w:rsidRPr="002C1152" w:rsidRDefault="002C1152" w:rsidP="002C1152">
            <w:pPr>
              <w:widowControl w:val="0"/>
              <w:jc w:val="center"/>
              <w:rPr>
                <w:rFonts w:ascii="Arial Narrow" w:hAnsi="Arial Narrow" w:cs="Arial"/>
                <w:snapToGrid w:val="0"/>
                <w:sz w:val="20"/>
                <w:szCs w:val="20"/>
                <w:highlight w:val="yellow"/>
                <w:lang w:eastAsia="en-US"/>
              </w:rPr>
            </w:pPr>
            <w:r w:rsidRPr="002C1152">
              <w:rPr>
                <w:rFonts w:ascii="Arial Narrow" w:hAnsi="Arial Narrow" w:cs="Arial"/>
                <w:snapToGrid w:val="0"/>
                <w:sz w:val="20"/>
                <w:szCs w:val="20"/>
                <w:lang w:eastAsia="en-US"/>
              </w:rPr>
              <w:t>0.69 (0.54, 0.88)</w:t>
            </w:r>
          </w:p>
        </w:tc>
      </w:tr>
      <w:tr w:rsidR="002C1152" w:rsidRPr="002C1152" w:rsidTr="00370950">
        <w:tc>
          <w:tcPr>
            <w:tcW w:w="204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HR (95% CI)</w:t>
            </w:r>
          </w:p>
        </w:tc>
        <w:tc>
          <w:tcPr>
            <w:tcW w:w="2953" w:type="pct"/>
            <w:gridSpan w:val="2"/>
            <w:vMerge/>
          </w:tcPr>
          <w:p w:rsidR="002C1152" w:rsidRPr="002C1152" w:rsidRDefault="002C1152" w:rsidP="002C1152">
            <w:pPr>
              <w:widowControl w:val="0"/>
              <w:jc w:val="center"/>
              <w:rPr>
                <w:rFonts w:ascii="Arial Narrow" w:hAnsi="Arial Narrow" w:cs="Arial"/>
                <w:b/>
                <w:snapToGrid w:val="0"/>
                <w:sz w:val="20"/>
                <w:szCs w:val="20"/>
                <w:lang w:eastAsia="en-US"/>
              </w:rPr>
            </w:pPr>
          </w:p>
        </w:tc>
      </w:tr>
      <w:tr w:rsidR="002C1152" w:rsidRPr="002C1152" w:rsidTr="00370950">
        <w:tc>
          <w:tcPr>
            <w:tcW w:w="5000" w:type="pct"/>
            <w:gridSpan w:val="3"/>
            <w:shd w:val="clear" w:color="auto" w:fill="D9D9D9" w:themeFill="background1" w:themeFillShade="D9"/>
          </w:tcPr>
          <w:p w:rsidR="002C1152" w:rsidRPr="002C1152" w:rsidRDefault="002C1152" w:rsidP="002C1152">
            <w:pPr>
              <w:widowControl w:val="0"/>
              <w:rPr>
                <w:rFonts w:ascii="Arial Narrow" w:hAnsi="Arial Narrow" w:cs="Arial"/>
                <w:b/>
                <w:snapToGrid w:val="0"/>
                <w:sz w:val="20"/>
                <w:szCs w:val="20"/>
                <w:u w:val="single"/>
                <w:lang w:eastAsia="en-US"/>
              </w:rPr>
            </w:pPr>
            <w:r w:rsidRPr="002C1152">
              <w:rPr>
                <w:rFonts w:ascii="Arial Narrow" w:hAnsi="Arial Narrow" w:cs="Arial"/>
                <w:b/>
                <w:snapToGrid w:val="0"/>
                <w:sz w:val="20"/>
                <w:szCs w:val="20"/>
                <w:u w:val="single"/>
                <w:lang w:eastAsia="en-US"/>
              </w:rPr>
              <w:t>Oxaliplatin-based chemotherapy backbone</w:t>
            </w:r>
          </w:p>
        </w:tc>
      </w:tr>
      <w:tr w:rsidR="002C1152" w:rsidRPr="002C1152" w:rsidTr="00370950">
        <w:tc>
          <w:tcPr>
            <w:tcW w:w="2047" w:type="pct"/>
            <w:shd w:val="clear" w:color="auto" w:fill="FFFFFF" w:themeFill="background1"/>
          </w:tcPr>
          <w:p w:rsidR="002C1152" w:rsidRPr="002C1152" w:rsidRDefault="002C1152" w:rsidP="002C1152">
            <w:pPr>
              <w:widowControl w:val="0"/>
              <w:tabs>
                <w:tab w:val="left" w:pos="1168"/>
              </w:tabs>
              <w:ind w:right="-57"/>
              <w:jc w:val="both"/>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 xml:space="preserve">OPUS </w:t>
            </w:r>
          </w:p>
        </w:tc>
        <w:tc>
          <w:tcPr>
            <w:tcW w:w="1394" w:type="pct"/>
            <w:shd w:val="clear" w:color="auto" w:fill="FFFFFF" w:themeFill="background1"/>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b/>
                <w:snapToGrid w:val="0"/>
                <w:sz w:val="20"/>
                <w:szCs w:val="20"/>
                <w:lang w:eastAsia="en-US"/>
              </w:rPr>
              <w:t>Cetuximab+FOLFOX</w:t>
            </w:r>
          </w:p>
        </w:tc>
        <w:tc>
          <w:tcPr>
            <w:tcW w:w="1559" w:type="pct"/>
            <w:shd w:val="clear" w:color="auto" w:fill="FFFFFF" w:themeFill="background1"/>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b/>
                <w:snapToGrid w:val="0"/>
                <w:sz w:val="20"/>
                <w:szCs w:val="20"/>
                <w:lang w:eastAsia="en-US"/>
              </w:rPr>
              <w:t>FOLFOX alone</w:t>
            </w:r>
          </w:p>
        </w:tc>
      </w:tr>
      <w:tr w:rsidR="002C1152" w:rsidRPr="002C1152" w:rsidTr="00370950">
        <w:trPr>
          <w:trHeight w:val="357"/>
        </w:trPr>
        <w:tc>
          <w:tcPr>
            <w:tcW w:w="2047" w:type="pct"/>
          </w:tcPr>
          <w:p w:rsidR="002C1152" w:rsidRPr="002C1152" w:rsidRDefault="002C1152" w:rsidP="002C1152">
            <w:pPr>
              <w:widowControl w:val="0"/>
              <w:tabs>
                <w:tab w:val="left" w:pos="1168"/>
              </w:tabs>
              <w:ind w:right="-113"/>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w:t>
            </w:r>
            <w:r w:rsidRPr="002C1152">
              <w:rPr>
                <w:rFonts w:ascii="Arial Narrow" w:hAnsi="Arial Narrow" w:cs="Arial"/>
                <w:snapToGrid w:val="0"/>
                <w:sz w:val="20"/>
                <w:szCs w:val="20"/>
                <w:lang w:eastAsia="en-US"/>
              </w:rPr>
              <w:br/>
              <w:t>Median OS, months</w:t>
            </w:r>
          </w:p>
          <w:p w:rsidR="002C1152" w:rsidRPr="002C1152" w:rsidRDefault="002C1152" w:rsidP="002C1152">
            <w:pPr>
              <w:widowControl w:val="0"/>
              <w:tabs>
                <w:tab w:val="left" w:pos="1168"/>
              </w:tabs>
              <w:ind w:right="-113"/>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(95% CI)</w:t>
            </w:r>
          </w:p>
        </w:tc>
        <w:tc>
          <w:tcPr>
            <w:tcW w:w="1394"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38</w:t>
            </w:r>
            <w:r w:rsidRPr="002C1152">
              <w:rPr>
                <w:rFonts w:ascii="Arial Narrow" w:hAnsi="Arial Narrow" w:cs="Arial"/>
                <w:snapToGrid w:val="0"/>
                <w:sz w:val="20"/>
                <w:szCs w:val="20"/>
                <w:lang w:eastAsia="en-US"/>
              </w:rPr>
              <w:br/>
              <w:t>19.8</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(16.6, 25.4)</w:t>
            </w:r>
          </w:p>
        </w:tc>
        <w:tc>
          <w:tcPr>
            <w:tcW w:w="1559"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49</w:t>
            </w:r>
            <w:r w:rsidRPr="002C1152">
              <w:rPr>
                <w:rFonts w:ascii="Arial Narrow" w:hAnsi="Arial Narrow" w:cs="Arial"/>
                <w:snapToGrid w:val="0"/>
                <w:sz w:val="20"/>
                <w:szCs w:val="20"/>
                <w:lang w:eastAsia="en-US"/>
              </w:rPr>
              <w:br/>
              <w:t>17.8</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(13.8, 23.9)</w:t>
            </w:r>
          </w:p>
        </w:tc>
      </w:tr>
      <w:tr w:rsidR="002C1152" w:rsidRPr="002C1152" w:rsidTr="00370950">
        <w:tc>
          <w:tcPr>
            <w:tcW w:w="204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Difference in OS</w:t>
            </w:r>
          </w:p>
        </w:tc>
        <w:tc>
          <w:tcPr>
            <w:tcW w:w="2953" w:type="pct"/>
            <w:gridSpan w:val="2"/>
            <w:vMerge w:val="restart"/>
          </w:tcPr>
          <w:p w:rsidR="002C1152" w:rsidRPr="002C1152" w:rsidRDefault="002C1152" w:rsidP="002C1152">
            <w:pPr>
              <w:widowControl w:val="0"/>
              <w:contextualSpacing/>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+2</w:t>
            </w:r>
          </w:p>
          <w:p w:rsidR="002C1152" w:rsidRPr="002C1152" w:rsidRDefault="002C1152" w:rsidP="002C1152">
            <w:pPr>
              <w:widowControl w:val="0"/>
              <w:contextualSpacing/>
              <w:jc w:val="center"/>
              <w:rPr>
                <w:rFonts w:ascii="Arial Narrow" w:hAnsi="Arial Narrow" w:cs="Arial"/>
                <w:snapToGrid w:val="0"/>
                <w:sz w:val="20"/>
                <w:szCs w:val="20"/>
                <w:vertAlign w:val="superscript"/>
                <w:lang w:eastAsia="en-US"/>
              </w:rPr>
            </w:pPr>
            <w:r w:rsidRPr="002C1152">
              <w:rPr>
                <w:rFonts w:ascii="Arial Narrow" w:hAnsi="Arial Narrow" w:cs="Arial"/>
                <w:snapToGrid w:val="0"/>
                <w:sz w:val="20"/>
                <w:szCs w:val="20"/>
                <w:lang w:eastAsia="en-US"/>
              </w:rPr>
              <w:t>0.94 (0.56, 1.56)</w:t>
            </w:r>
            <w:r w:rsidRPr="002C1152">
              <w:rPr>
                <w:rFonts w:ascii="Arial Narrow" w:hAnsi="Arial Narrow" w:cs="Arial"/>
                <w:snapToGrid w:val="0"/>
                <w:sz w:val="20"/>
                <w:szCs w:val="20"/>
                <w:vertAlign w:val="superscript"/>
                <w:lang w:eastAsia="en-US"/>
              </w:rPr>
              <w:t>a</w:t>
            </w:r>
          </w:p>
        </w:tc>
      </w:tr>
      <w:tr w:rsidR="002C1152" w:rsidRPr="002C1152" w:rsidTr="00370950">
        <w:tc>
          <w:tcPr>
            <w:tcW w:w="204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HR (95% CI)</w:t>
            </w:r>
          </w:p>
        </w:tc>
        <w:tc>
          <w:tcPr>
            <w:tcW w:w="2953" w:type="pct"/>
            <w:gridSpan w:val="2"/>
            <w:vMerge/>
          </w:tcPr>
          <w:p w:rsidR="002C1152" w:rsidRPr="002C1152" w:rsidRDefault="002C1152" w:rsidP="002C1152">
            <w:pPr>
              <w:widowControl w:val="0"/>
              <w:jc w:val="center"/>
              <w:rPr>
                <w:rFonts w:ascii="Arial Narrow" w:hAnsi="Arial Narrow" w:cs="Arial"/>
                <w:snapToGrid w:val="0"/>
                <w:sz w:val="20"/>
                <w:szCs w:val="20"/>
                <w:lang w:eastAsia="en-US"/>
              </w:rPr>
            </w:pPr>
          </w:p>
        </w:tc>
      </w:tr>
      <w:tr w:rsidR="002C1152" w:rsidRPr="002C1152" w:rsidTr="00370950">
        <w:tc>
          <w:tcPr>
            <w:tcW w:w="2047" w:type="pct"/>
            <w:shd w:val="clear" w:color="auto" w:fill="FFFFFF" w:themeFill="background1"/>
          </w:tcPr>
          <w:p w:rsidR="002C1152" w:rsidRPr="002C1152" w:rsidRDefault="002C1152" w:rsidP="002C1152">
            <w:pPr>
              <w:widowControl w:val="0"/>
              <w:tabs>
                <w:tab w:val="left" w:pos="1168"/>
              </w:tabs>
              <w:ind w:right="-57"/>
              <w:jc w:val="both"/>
              <w:rPr>
                <w:rFonts w:ascii="Arial Narrow" w:hAnsi="Arial Narrow" w:cs="Arial"/>
                <w:b/>
                <w:snapToGrid w:val="0"/>
                <w:sz w:val="20"/>
                <w:szCs w:val="20"/>
                <w:vertAlign w:val="superscript"/>
                <w:lang w:eastAsia="en-US"/>
              </w:rPr>
            </w:pPr>
            <w:r w:rsidRPr="002C1152">
              <w:rPr>
                <w:rFonts w:ascii="Arial Narrow" w:hAnsi="Arial Narrow" w:cs="Arial"/>
                <w:b/>
                <w:snapToGrid w:val="0"/>
                <w:sz w:val="20"/>
                <w:szCs w:val="20"/>
                <w:lang w:eastAsia="en-US"/>
              </w:rPr>
              <w:t>COIN</w:t>
            </w:r>
            <w:r w:rsidRPr="002C1152">
              <w:rPr>
                <w:rFonts w:ascii="Arial Narrow" w:hAnsi="Arial Narrow" w:cs="Arial"/>
                <w:b/>
                <w:snapToGrid w:val="0"/>
                <w:sz w:val="20"/>
                <w:szCs w:val="20"/>
                <w:vertAlign w:val="superscript"/>
                <w:lang w:eastAsia="en-US"/>
              </w:rPr>
              <w:t>b</w:t>
            </w:r>
          </w:p>
        </w:tc>
        <w:tc>
          <w:tcPr>
            <w:tcW w:w="1394" w:type="pct"/>
            <w:shd w:val="clear" w:color="auto" w:fill="FFFFFF" w:themeFill="background1"/>
          </w:tcPr>
          <w:p w:rsidR="002C1152" w:rsidRPr="002C1152" w:rsidRDefault="002C1152" w:rsidP="002C1152">
            <w:pPr>
              <w:widowControl w:val="0"/>
              <w:jc w:val="center"/>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Cetuximab+oxaliplatin and capecitabine (67%) or+FOLFOX (33%)</w:t>
            </w:r>
          </w:p>
        </w:tc>
        <w:tc>
          <w:tcPr>
            <w:tcW w:w="1559" w:type="pct"/>
            <w:shd w:val="clear" w:color="auto" w:fill="FFFFFF" w:themeFill="background1"/>
          </w:tcPr>
          <w:p w:rsidR="002C1152" w:rsidRPr="002C1152" w:rsidRDefault="002C1152" w:rsidP="002C1152">
            <w:pPr>
              <w:widowControl w:val="0"/>
              <w:jc w:val="center"/>
              <w:rPr>
                <w:rFonts w:ascii="Arial Narrow" w:hAnsi="Arial Narrow" w:cs="Arial"/>
                <w:b/>
                <w:snapToGrid w:val="0"/>
                <w:sz w:val="20"/>
                <w:szCs w:val="20"/>
                <w:lang w:eastAsia="en-US"/>
              </w:rPr>
            </w:pPr>
            <w:r w:rsidRPr="002C1152">
              <w:rPr>
                <w:rFonts w:ascii="Arial Narrow" w:hAnsi="Arial Narrow" w:cs="Arial"/>
                <w:b/>
                <w:snapToGrid w:val="0"/>
                <w:sz w:val="20"/>
                <w:szCs w:val="20"/>
                <w:lang w:eastAsia="en-US"/>
              </w:rPr>
              <w:t>Oxaliplatin and capecitabine (65%) or FOLFOX (35%)</w:t>
            </w:r>
          </w:p>
        </w:tc>
      </w:tr>
      <w:tr w:rsidR="002C1152" w:rsidRPr="002C1152" w:rsidTr="00370950">
        <w:tc>
          <w:tcPr>
            <w:tcW w:w="2047" w:type="pct"/>
          </w:tcPr>
          <w:p w:rsidR="002C1152" w:rsidRPr="002C1152" w:rsidRDefault="002C1152" w:rsidP="002C1152">
            <w:pPr>
              <w:widowControl w:val="0"/>
              <w:tabs>
                <w:tab w:val="left" w:pos="1168"/>
              </w:tabs>
              <w:ind w:right="-57"/>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w:t>
            </w:r>
          </w:p>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Median OS, months</w:t>
            </w:r>
          </w:p>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(95% CI)</w:t>
            </w:r>
          </w:p>
        </w:tc>
        <w:tc>
          <w:tcPr>
            <w:tcW w:w="1394" w:type="pct"/>
          </w:tcPr>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292</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19.9</w:t>
            </w:r>
          </w:p>
          <w:p w:rsidR="002C1152" w:rsidRPr="002C1152" w:rsidRDefault="002C1152" w:rsidP="002C1152">
            <w:pPr>
              <w:widowControl w:val="0"/>
              <w:jc w:val="center"/>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(NR)</w:t>
            </w:r>
          </w:p>
        </w:tc>
        <w:tc>
          <w:tcPr>
            <w:tcW w:w="1559" w:type="pct"/>
          </w:tcPr>
          <w:p w:rsidR="002C1152" w:rsidRPr="002C1152" w:rsidRDefault="002C1152" w:rsidP="002C1152">
            <w:pPr>
              <w:widowControl w:val="0"/>
              <w:jc w:val="center"/>
              <w:rPr>
                <w:rFonts w:ascii="Arial Narrow" w:hAnsi="Arial Narrow" w:cs="Arial"/>
                <w:snapToGrid w:val="0"/>
                <w:sz w:val="20"/>
                <w:szCs w:val="20"/>
              </w:rPr>
            </w:pPr>
            <w:r w:rsidRPr="002C1152">
              <w:rPr>
                <w:rFonts w:ascii="Arial Narrow" w:hAnsi="Arial Narrow" w:cs="Arial"/>
                <w:snapToGrid w:val="0"/>
                <w:sz w:val="20"/>
                <w:szCs w:val="20"/>
              </w:rPr>
              <w:t>289</w:t>
            </w:r>
          </w:p>
          <w:p w:rsidR="002C1152" w:rsidRPr="002C1152" w:rsidRDefault="002C1152" w:rsidP="002C1152">
            <w:pPr>
              <w:widowControl w:val="0"/>
              <w:jc w:val="center"/>
              <w:rPr>
                <w:rFonts w:ascii="Arial Narrow" w:hAnsi="Arial Narrow" w:cs="Arial"/>
                <w:snapToGrid w:val="0"/>
                <w:sz w:val="20"/>
                <w:szCs w:val="20"/>
              </w:rPr>
            </w:pPr>
            <w:r w:rsidRPr="002C1152">
              <w:rPr>
                <w:rFonts w:ascii="Arial Narrow" w:hAnsi="Arial Narrow" w:cs="Arial"/>
                <w:snapToGrid w:val="0"/>
                <w:sz w:val="20"/>
                <w:szCs w:val="20"/>
              </w:rPr>
              <w:t>20.1</w:t>
            </w:r>
          </w:p>
          <w:p w:rsidR="002C1152" w:rsidRPr="002C1152" w:rsidRDefault="002C1152" w:rsidP="002C1152">
            <w:pPr>
              <w:widowControl w:val="0"/>
              <w:jc w:val="center"/>
              <w:rPr>
                <w:rFonts w:ascii="Arial Narrow" w:hAnsi="Arial Narrow" w:cs="Arial"/>
                <w:snapToGrid w:val="0"/>
                <w:sz w:val="20"/>
                <w:szCs w:val="20"/>
              </w:rPr>
            </w:pPr>
            <w:r w:rsidRPr="002C1152">
              <w:rPr>
                <w:rFonts w:ascii="Arial Narrow" w:hAnsi="Arial Narrow" w:cs="Arial"/>
                <w:snapToGrid w:val="0"/>
                <w:sz w:val="20"/>
                <w:szCs w:val="20"/>
              </w:rPr>
              <w:t>(NR)</w:t>
            </w:r>
          </w:p>
        </w:tc>
      </w:tr>
      <w:tr w:rsidR="002C1152" w:rsidRPr="002C1152" w:rsidTr="00370950">
        <w:trPr>
          <w:trHeight w:val="233"/>
        </w:trPr>
        <w:tc>
          <w:tcPr>
            <w:tcW w:w="204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Difference in OS</w:t>
            </w:r>
          </w:p>
        </w:tc>
        <w:tc>
          <w:tcPr>
            <w:tcW w:w="2953" w:type="pct"/>
            <w:gridSpan w:val="2"/>
            <w:vMerge w:val="restart"/>
          </w:tcPr>
          <w:p w:rsidR="002C1152" w:rsidRPr="002C1152" w:rsidRDefault="002C1152" w:rsidP="002C1152">
            <w:pPr>
              <w:widowControl w:val="0"/>
              <w:jc w:val="center"/>
              <w:rPr>
                <w:rFonts w:ascii="Arial Narrow" w:hAnsi="Arial Narrow" w:cs="Arial"/>
                <w:snapToGrid w:val="0"/>
                <w:sz w:val="20"/>
                <w:szCs w:val="20"/>
              </w:rPr>
            </w:pPr>
            <w:r w:rsidRPr="002C1152">
              <w:rPr>
                <w:rFonts w:ascii="Arial Narrow" w:hAnsi="Arial Narrow" w:cs="Arial"/>
                <w:snapToGrid w:val="0"/>
                <w:sz w:val="20"/>
                <w:szCs w:val="20"/>
              </w:rPr>
              <w:t>-0.2</w:t>
            </w:r>
          </w:p>
          <w:p w:rsidR="002C1152" w:rsidRPr="002C1152" w:rsidRDefault="002C1152" w:rsidP="002C1152">
            <w:pPr>
              <w:widowControl w:val="0"/>
              <w:jc w:val="center"/>
              <w:rPr>
                <w:rFonts w:ascii="Arial Narrow" w:hAnsi="Arial Narrow" w:cs="Arial"/>
                <w:snapToGrid w:val="0"/>
                <w:sz w:val="20"/>
                <w:szCs w:val="20"/>
              </w:rPr>
            </w:pPr>
            <w:r w:rsidRPr="002C1152">
              <w:rPr>
                <w:rFonts w:ascii="Arial Narrow" w:hAnsi="Arial Narrow" w:cs="Arial"/>
                <w:snapToGrid w:val="0"/>
                <w:sz w:val="20"/>
                <w:szCs w:val="20"/>
              </w:rPr>
              <w:t>1.02 (0.83, 1.24)</w:t>
            </w:r>
          </w:p>
        </w:tc>
      </w:tr>
      <w:tr w:rsidR="002C1152" w:rsidRPr="002C1152" w:rsidTr="00370950">
        <w:trPr>
          <w:trHeight w:val="232"/>
        </w:trPr>
        <w:tc>
          <w:tcPr>
            <w:tcW w:w="2047" w:type="pct"/>
          </w:tcPr>
          <w:p w:rsidR="002C1152" w:rsidRPr="002C1152" w:rsidRDefault="002C1152" w:rsidP="002C1152">
            <w:pPr>
              <w:widowControl w:val="0"/>
              <w:tabs>
                <w:tab w:val="left" w:pos="1168"/>
              </w:tabs>
              <w:ind w:right="-57"/>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HR (95% CI)</w:t>
            </w:r>
          </w:p>
        </w:tc>
        <w:tc>
          <w:tcPr>
            <w:tcW w:w="2953" w:type="pct"/>
            <w:gridSpan w:val="2"/>
            <w:vMerge/>
          </w:tcPr>
          <w:p w:rsidR="002C1152" w:rsidRPr="002C1152" w:rsidRDefault="002C1152" w:rsidP="002C1152">
            <w:pPr>
              <w:widowControl w:val="0"/>
              <w:jc w:val="center"/>
              <w:rPr>
                <w:rFonts w:ascii="Arial Narrow" w:hAnsi="Arial Narrow" w:cs="Arial"/>
                <w:snapToGrid w:val="0"/>
                <w:sz w:val="20"/>
                <w:szCs w:val="20"/>
              </w:rPr>
            </w:pPr>
          </w:p>
        </w:tc>
      </w:tr>
    </w:tbl>
    <w:p w:rsidR="002C1152" w:rsidRPr="002C1152" w:rsidRDefault="002C1152" w:rsidP="002C1152">
      <w:pPr>
        <w:widowControl w:val="0"/>
        <w:ind w:left="720"/>
        <w:jc w:val="both"/>
        <w:rPr>
          <w:rFonts w:ascii="Arial Narrow" w:hAnsi="Arial Narrow" w:cs="Arial"/>
          <w:snapToGrid w:val="0"/>
          <w:sz w:val="20"/>
          <w:szCs w:val="20"/>
          <w:lang w:eastAsia="en-US"/>
        </w:rPr>
      </w:pPr>
      <w:r w:rsidRPr="002C1152">
        <w:rPr>
          <w:rFonts w:ascii="Arial Narrow" w:hAnsi="Arial Narrow" w:cs="Arial"/>
          <w:snapToGrid w:val="0"/>
          <w:sz w:val="20"/>
          <w:szCs w:val="20"/>
          <w:vertAlign w:val="superscript"/>
          <w:lang w:eastAsia="en-US"/>
        </w:rPr>
        <w:t xml:space="preserve">a </w:t>
      </w:r>
      <w:r w:rsidRPr="002C1152">
        <w:rPr>
          <w:rFonts w:ascii="Arial Narrow" w:hAnsi="Arial Narrow" w:cs="Arial"/>
          <w:snapToGrid w:val="0"/>
          <w:sz w:val="20"/>
          <w:szCs w:val="20"/>
          <w:lang w:eastAsia="en-US"/>
        </w:rPr>
        <w:t>The HR of 0.94 was sourced from Appendix 5 (OPUS RAS analysis) to the cetuximab resubmission. This differs from the OPUS 2014 abstract publication by Tejpar et al (20124)</w:t>
      </w:r>
      <w:r w:rsidRPr="002C1152">
        <w:rPr>
          <w:rFonts w:ascii="Arial Narrow" w:hAnsi="Arial Narrow" w:cs="Arial"/>
          <w:noProof/>
          <w:snapToGrid w:val="0"/>
          <w:sz w:val="20"/>
          <w:szCs w:val="20"/>
          <w:vertAlign w:val="superscript"/>
          <w:lang w:eastAsia="en-US"/>
        </w:rPr>
        <w:t>3</w:t>
      </w:r>
      <w:r w:rsidRPr="002C1152">
        <w:rPr>
          <w:rFonts w:ascii="Arial Narrow" w:hAnsi="Arial Narrow" w:cs="Arial"/>
          <w:snapToGrid w:val="0"/>
          <w:sz w:val="20"/>
          <w:szCs w:val="20"/>
          <w:lang w:eastAsia="en-US"/>
        </w:rPr>
        <w:t xml:space="preserve"> which indicates different median OS estimates in the cetuximab (20.7 months) and bevacizumab (17.8 months) arms and a different HR of 0.83 (95% CI: 0.49, 1.41). The number of patients also differ in the Tejpar report (Cetuximab: N=36; Bevacizumab: N=46). Data cut-off dates are not specified making it difficult to judge the results.</w:t>
      </w:r>
    </w:p>
    <w:p w:rsidR="002C1152" w:rsidRPr="002C1152" w:rsidRDefault="002C1152" w:rsidP="002C1152">
      <w:pPr>
        <w:widowControl w:val="0"/>
        <w:ind w:left="720"/>
        <w:jc w:val="both"/>
        <w:rPr>
          <w:rFonts w:ascii="Arial Narrow" w:hAnsi="Arial Narrow" w:cs="Arial"/>
          <w:snapToGrid w:val="0"/>
          <w:sz w:val="20"/>
          <w:szCs w:val="20"/>
          <w:lang w:eastAsia="en-US"/>
        </w:rPr>
      </w:pPr>
      <w:r w:rsidRPr="002C1152">
        <w:rPr>
          <w:rFonts w:ascii="Arial Narrow" w:hAnsi="Arial Narrow" w:cs="Arial"/>
          <w:snapToGrid w:val="0"/>
          <w:sz w:val="20"/>
          <w:szCs w:val="20"/>
          <w:vertAlign w:val="superscript"/>
          <w:lang w:eastAsia="en-US"/>
        </w:rPr>
        <w:t xml:space="preserve">b </w:t>
      </w:r>
      <w:r w:rsidRPr="002C1152">
        <w:rPr>
          <w:rFonts w:ascii="Arial Narrow" w:hAnsi="Arial Narrow" w:cs="Arial"/>
          <w:snapToGrid w:val="0"/>
          <w:sz w:val="20"/>
          <w:szCs w:val="20"/>
          <w:lang w:eastAsia="en-US"/>
        </w:rPr>
        <w:t>KRAS/NRAS Exons 2/3 and BRAF WT.</w:t>
      </w:r>
    </w:p>
    <w:p w:rsidR="002C1152" w:rsidRDefault="002C1152" w:rsidP="002C1152">
      <w:pPr>
        <w:widowControl w:val="0"/>
        <w:ind w:left="720"/>
        <w:jc w:val="both"/>
        <w:rPr>
          <w:rFonts w:ascii="Arial Narrow" w:hAnsi="Arial Narrow" w:cs="Arial"/>
          <w:snapToGrid w:val="0"/>
          <w:sz w:val="20"/>
          <w:szCs w:val="20"/>
          <w:lang w:eastAsia="en-US"/>
        </w:rPr>
      </w:pPr>
      <w:r w:rsidRPr="002C1152">
        <w:rPr>
          <w:rFonts w:ascii="Arial Narrow" w:hAnsi="Arial Narrow" w:cs="Arial"/>
          <w:snapToGrid w:val="0"/>
          <w:sz w:val="20"/>
          <w:szCs w:val="20"/>
          <w:lang w:eastAsia="en-US"/>
        </w:rPr>
        <w:t xml:space="preserve">Sources: Table constructed during the evaluation based on European assessment reports for cetuximab, RAS </w:t>
      </w:r>
      <w:r w:rsidRPr="002C1152">
        <w:rPr>
          <w:rFonts w:ascii="Arial Narrow" w:hAnsi="Arial Narrow" w:cs="Arial"/>
          <w:snapToGrid w:val="0"/>
          <w:sz w:val="20"/>
          <w:szCs w:val="20"/>
          <w:lang w:eastAsia="en-US"/>
        </w:rPr>
        <w:lastRenderedPageBreak/>
        <w:t>analyses study publications and Appendices to the resubmission</w:t>
      </w:r>
      <w:r>
        <w:rPr>
          <w:rFonts w:ascii="Arial Narrow" w:hAnsi="Arial Narrow" w:cs="Arial"/>
          <w:snapToGrid w:val="0"/>
          <w:sz w:val="20"/>
          <w:szCs w:val="20"/>
          <w:lang w:eastAsia="en-US"/>
        </w:rPr>
        <w:t>.</w:t>
      </w:r>
    </w:p>
    <w:p w:rsidR="002C1152" w:rsidRDefault="002C1152" w:rsidP="002C1152">
      <w:pPr>
        <w:widowControl w:val="0"/>
        <w:jc w:val="both"/>
        <w:rPr>
          <w:rFonts w:ascii="Arial Narrow" w:hAnsi="Arial Narrow" w:cs="Arial"/>
          <w:snapToGrid w:val="0"/>
          <w:sz w:val="20"/>
          <w:szCs w:val="20"/>
          <w:lang w:eastAsia="en-US"/>
        </w:rPr>
      </w:pPr>
    </w:p>
    <w:p w:rsidR="002C1152" w:rsidRPr="002C1152" w:rsidRDefault="002C1152" w:rsidP="002C1152">
      <w:pPr>
        <w:jc w:val="both"/>
        <w:rPr>
          <w:rFonts w:ascii="Arial" w:hAnsi="Arial" w:cs="Arial"/>
          <w:snapToGrid w:val="0"/>
          <w:sz w:val="22"/>
          <w:szCs w:val="22"/>
          <w:u w:val="single"/>
          <w:lang w:eastAsia="en-US"/>
        </w:rPr>
      </w:pPr>
      <w:r w:rsidRPr="002C1152">
        <w:rPr>
          <w:rFonts w:ascii="Arial" w:hAnsi="Arial" w:cs="Arial"/>
          <w:snapToGrid w:val="0"/>
          <w:sz w:val="22"/>
          <w:szCs w:val="22"/>
          <w:u w:val="single"/>
          <w:lang w:eastAsia="en-US"/>
        </w:rPr>
        <w:t>Meta-analyses</w:t>
      </w:r>
    </w:p>
    <w:p w:rsidR="002C1152" w:rsidRPr="002C1152" w:rsidRDefault="002C1152" w:rsidP="002C1152">
      <w:pPr>
        <w:widowControl w:val="0"/>
        <w:jc w:val="both"/>
        <w:rPr>
          <w:rFonts w:ascii="Arial Narrow" w:hAnsi="Arial Narrow" w:cs="Arial"/>
          <w:snapToGrid w:val="0"/>
          <w:sz w:val="20"/>
          <w:szCs w:val="20"/>
          <w:lang w:eastAsia="en-US"/>
        </w:rPr>
      </w:pPr>
    </w:p>
    <w:p w:rsidR="009C454C" w:rsidRDefault="00C559EC" w:rsidP="00D479CB">
      <w:pPr>
        <w:pStyle w:val="ListParagraph"/>
        <w:numPr>
          <w:ilvl w:val="1"/>
          <w:numId w:val="25"/>
        </w:numPr>
        <w:jc w:val="both"/>
        <w:rPr>
          <w:rFonts w:ascii="Arial" w:hAnsi="Arial"/>
          <w:sz w:val="22"/>
          <w:szCs w:val="22"/>
        </w:rPr>
      </w:pPr>
      <w:r w:rsidRPr="00C559EC">
        <w:rPr>
          <w:rFonts w:ascii="Arial" w:hAnsi="Arial"/>
          <w:sz w:val="22"/>
          <w:szCs w:val="22"/>
        </w:rPr>
        <w:t>The meta-analysis of first-line cetuximab trials conducted during the evaluation to compare the addition of cetuximab to chemotherapy with chemotherapy alone or with bevacizumab + chemotherapy (</w:t>
      </w:r>
      <w:r w:rsidR="00923082">
        <w:rPr>
          <w:rFonts w:ascii="Arial" w:hAnsi="Arial"/>
          <w:sz w:val="22"/>
          <w:szCs w:val="22"/>
        </w:rPr>
        <w:t>the forest plots below</w:t>
      </w:r>
      <w:r w:rsidRPr="00C559EC">
        <w:rPr>
          <w:rFonts w:ascii="Arial" w:hAnsi="Arial"/>
          <w:sz w:val="22"/>
          <w:szCs w:val="22"/>
        </w:rPr>
        <w:t>) was extended to include CALGB/SWOG 80405. There was no statistically significant difference in PFS in patients receiving cetuximab or bevacizumab over a background of chemotherapy. OS results were also similar</w:t>
      </w:r>
      <w:r>
        <w:rPr>
          <w:rFonts w:ascii="Arial" w:hAnsi="Arial"/>
          <w:sz w:val="22"/>
          <w:szCs w:val="22"/>
        </w:rPr>
        <w:t>.</w:t>
      </w:r>
    </w:p>
    <w:p w:rsidR="00C559EC" w:rsidRPr="006B26F0" w:rsidRDefault="00C559EC" w:rsidP="006B26F0">
      <w:pPr>
        <w:jc w:val="both"/>
        <w:rPr>
          <w:rFonts w:ascii="Arial" w:hAnsi="Arial"/>
          <w:sz w:val="22"/>
          <w:szCs w:val="22"/>
        </w:rPr>
      </w:pPr>
    </w:p>
    <w:p w:rsidR="00C559EC" w:rsidRPr="00C559EC" w:rsidRDefault="00C559EC" w:rsidP="006B26F0">
      <w:pPr>
        <w:keepNext/>
        <w:widowControl w:val="0"/>
        <w:ind w:firstLine="709"/>
        <w:jc w:val="both"/>
        <w:rPr>
          <w:rFonts w:ascii="Arial Narrow" w:hAnsi="Arial Narrow" w:cs="Arial"/>
          <w:b/>
          <w:snapToGrid w:val="0"/>
          <w:sz w:val="20"/>
          <w:szCs w:val="20"/>
          <w:lang w:eastAsia="en-US"/>
        </w:rPr>
      </w:pPr>
      <w:r w:rsidRPr="00C559EC">
        <w:rPr>
          <w:rFonts w:ascii="Arial Narrow" w:hAnsi="Arial Narrow" w:cs="Arial"/>
          <w:b/>
          <w:snapToGrid w:val="0"/>
          <w:sz w:val="20"/>
          <w:szCs w:val="20"/>
          <w:lang w:eastAsia="en-US"/>
        </w:rPr>
        <w:t xml:space="preserve"> Forest plots of first-line cetuximab therapy in patients with RAS WT mCRC</w:t>
      </w:r>
    </w:p>
    <w:p w:rsidR="00C559EC" w:rsidRDefault="00C559EC" w:rsidP="00C559EC">
      <w:pPr>
        <w:pStyle w:val="ListParagraph"/>
        <w:ind w:left="709"/>
        <w:jc w:val="both"/>
        <w:rPr>
          <w:rFonts w:ascii="Arial" w:hAnsi="Arial"/>
          <w:sz w:val="22"/>
          <w:szCs w:val="22"/>
        </w:rPr>
      </w:pPr>
      <w:r>
        <w:rPr>
          <w:noProof/>
        </w:rPr>
        <w:drawing>
          <wp:inline distT="0" distB="0" distL="0" distR="0" wp14:anchorId="0FFA4176" wp14:editId="0EAE0F4E">
            <wp:extent cx="5731510" cy="41922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 WT-Cmab by backbone3.tif"/>
                    <pic:cNvPicPr/>
                  </pic:nvPicPr>
                  <pic:blipFill>
                    <a:blip r:embed="rId12">
                      <a:extLst>
                        <a:ext uri="{28A0092B-C50C-407E-A947-70E740481C1C}">
                          <a14:useLocalDpi xmlns:a14="http://schemas.microsoft.com/office/drawing/2010/main" val="0"/>
                        </a:ext>
                      </a:extLst>
                    </a:blip>
                    <a:stretch>
                      <a:fillRect/>
                    </a:stretch>
                  </pic:blipFill>
                  <pic:spPr>
                    <a:xfrm>
                      <a:off x="0" y="0"/>
                      <a:ext cx="5731510" cy="4192270"/>
                    </a:xfrm>
                    <a:prstGeom prst="rect">
                      <a:avLst/>
                    </a:prstGeom>
                  </pic:spPr>
                </pic:pic>
              </a:graphicData>
            </a:graphic>
          </wp:inline>
        </w:drawing>
      </w:r>
    </w:p>
    <w:p w:rsidR="00C559EC" w:rsidRPr="00C559EC" w:rsidRDefault="00C559EC" w:rsidP="00C559EC">
      <w:pPr>
        <w:widowControl w:val="0"/>
        <w:ind w:left="720"/>
        <w:jc w:val="both"/>
        <w:rPr>
          <w:rFonts w:ascii="Arial Narrow" w:hAnsi="Arial Narrow" w:cs="Arial"/>
          <w:snapToGrid w:val="0"/>
          <w:sz w:val="20"/>
          <w:szCs w:val="20"/>
          <w:lang w:eastAsia="en-US"/>
        </w:rPr>
      </w:pPr>
      <w:r w:rsidRPr="00C559EC">
        <w:rPr>
          <w:rFonts w:ascii="Arial Narrow" w:hAnsi="Arial Narrow" w:cs="Arial"/>
          <w:snapToGrid w:val="0"/>
          <w:sz w:val="20"/>
          <w:szCs w:val="20"/>
          <w:lang w:eastAsia="en-US"/>
        </w:rPr>
        <w:t xml:space="preserve">COIN (PFS data for RAS WT not available) = cetuximab + oxaliplatin with capecitabine (66%) or cetuximab + FOLFOX (34%) versus the same chemotherapy regimen FIRE-3 = cetuximab + FOLFIRI vs bevacizumab + FOLFIRI; CRYSTAL = cetuximab + FOLFIRI vs FOLFIRI; OPUS </w:t>
      </w:r>
      <w:r w:rsidR="00064BBB">
        <w:rPr>
          <w:rFonts w:ascii="Arial Narrow" w:hAnsi="Arial Narrow" w:cs="Arial"/>
          <w:snapToGrid w:val="0"/>
          <w:sz w:val="20"/>
          <w:szCs w:val="20"/>
          <w:lang w:eastAsia="en-US"/>
        </w:rPr>
        <w:t>= cetuximab + FOLFOX vs FOLFOX;</w:t>
      </w:r>
      <w:r w:rsidRPr="00C559EC">
        <w:rPr>
          <w:rFonts w:ascii="Arial Narrow" w:hAnsi="Arial Narrow" w:cs="Arial"/>
          <w:snapToGrid w:val="0"/>
          <w:sz w:val="20"/>
          <w:szCs w:val="20"/>
          <w:lang w:eastAsia="en-US"/>
        </w:rPr>
        <w:t xml:space="preserve"> RAS WT: rat sarcoma viral oncogene homolog wild type; mCRC = metastatic colorectal cancer.</w:t>
      </w:r>
    </w:p>
    <w:p w:rsidR="00C559EC" w:rsidRPr="00C559EC" w:rsidRDefault="00C559EC" w:rsidP="00C559EC">
      <w:pPr>
        <w:widowControl w:val="0"/>
        <w:ind w:left="720"/>
        <w:jc w:val="both"/>
        <w:rPr>
          <w:rFonts w:ascii="Arial Narrow" w:hAnsi="Arial Narrow" w:cs="Arial"/>
          <w:snapToGrid w:val="0"/>
          <w:sz w:val="20"/>
          <w:szCs w:val="20"/>
          <w:lang w:eastAsia="en-US"/>
        </w:rPr>
      </w:pPr>
      <w:r w:rsidRPr="00C559EC">
        <w:rPr>
          <w:rFonts w:ascii="Arial Narrow" w:hAnsi="Arial Narrow" w:cs="Arial"/>
          <w:snapToGrid w:val="0"/>
          <w:sz w:val="20"/>
          <w:szCs w:val="20"/>
          <w:lang w:eastAsia="en-US"/>
        </w:rPr>
        <w:t>Source: extended in response to ESC request</w:t>
      </w:r>
      <w:r>
        <w:rPr>
          <w:rFonts w:ascii="Arial Narrow" w:hAnsi="Arial Narrow" w:cs="Arial"/>
          <w:snapToGrid w:val="0"/>
          <w:sz w:val="20"/>
          <w:szCs w:val="20"/>
          <w:lang w:eastAsia="en-US"/>
        </w:rPr>
        <w:t>.</w:t>
      </w:r>
    </w:p>
    <w:p w:rsidR="00C559EC" w:rsidRPr="00C559EC" w:rsidRDefault="00C559EC" w:rsidP="00C559EC">
      <w:pPr>
        <w:jc w:val="both"/>
        <w:rPr>
          <w:rFonts w:ascii="Arial" w:hAnsi="Arial"/>
          <w:sz w:val="22"/>
          <w:szCs w:val="22"/>
        </w:rPr>
      </w:pPr>
    </w:p>
    <w:p w:rsidR="00C559EC" w:rsidRDefault="00C559EC" w:rsidP="00D479CB">
      <w:pPr>
        <w:pStyle w:val="ListParagraph"/>
        <w:numPr>
          <w:ilvl w:val="1"/>
          <w:numId w:val="25"/>
        </w:numPr>
        <w:jc w:val="both"/>
        <w:rPr>
          <w:rFonts w:ascii="Arial" w:hAnsi="Arial"/>
          <w:sz w:val="22"/>
          <w:szCs w:val="22"/>
        </w:rPr>
      </w:pPr>
      <w:r w:rsidRPr="00C559EC">
        <w:rPr>
          <w:rFonts w:ascii="Arial" w:hAnsi="Arial"/>
          <w:sz w:val="22"/>
          <w:szCs w:val="22"/>
        </w:rPr>
        <w:t>The addition of cetuximab to either first-line FOLFOX or FOLFIRI resulted in a superior gain in PFS, but not in OS.</w:t>
      </w:r>
    </w:p>
    <w:p w:rsidR="00C559EC" w:rsidRPr="006B26F0" w:rsidRDefault="00C559EC" w:rsidP="006B26F0">
      <w:pPr>
        <w:jc w:val="both"/>
        <w:rPr>
          <w:rFonts w:ascii="Arial" w:hAnsi="Arial"/>
          <w:sz w:val="22"/>
          <w:szCs w:val="22"/>
        </w:rPr>
      </w:pPr>
    </w:p>
    <w:p w:rsidR="00C559EC" w:rsidRDefault="00C559EC" w:rsidP="00D479CB">
      <w:pPr>
        <w:pStyle w:val="ListParagraph"/>
        <w:numPr>
          <w:ilvl w:val="1"/>
          <w:numId w:val="25"/>
        </w:numPr>
        <w:jc w:val="both"/>
        <w:rPr>
          <w:rFonts w:ascii="Arial" w:hAnsi="Arial"/>
          <w:sz w:val="22"/>
          <w:szCs w:val="22"/>
        </w:rPr>
      </w:pPr>
      <w:r w:rsidRPr="00C559EC">
        <w:rPr>
          <w:rFonts w:ascii="Arial" w:hAnsi="Arial"/>
          <w:sz w:val="22"/>
          <w:szCs w:val="22"/>
        </w:rPr>
        <w:t xml:space="preserve">The ESC noted that a similar meta-analysis of all relevant panitumumab and cetuximab trials would be useful in assessing: 1) the comparison of anti-EGFR antibody + chemotherapy versus either chemotherapy alone or versus chemotherapy plus bevacizumab; and 2) whether the extent of incremental benefit of anti-EGFR </w:t>
      </w:r>
      <w:r w:rsidRPr="00C559EC">
        <w:rPr>
          <w:rFonts w:ascii="Arial" w:hAnsi="Arial"/>
          <w:sz w:val="22"/>
          <w:szCs w:val="22"/>
        </w:rPr>
        <w:lastRenderedPageBreak/>
        <w:t>antibodies varies with the choice of chemotherapy partner. A meta-analysis of randomised trials comparing the addition of an anti-EGFR antibody to chemotherapy versus an active treatment arm (regardless of line of therapy), in RAS WT mCRC d</w:t>
      </w:r>
      <w:r w:rsidR="00923082">
        <w:rPr>
          <w:rFonts w:ascii="Arial" w:hAnsi="Arial"/>
          <w:sz w:val="22"/>
          <w:szCs w:val="22"/>
        </w:rPr>
        <w:t>isease, is presented in forest plots below</w:t>
      </w:r>
      <w:r w:rsidRPr="00C559EC">
        <w:rPr>
          <w:rFonts w:ascii="Arial" w:hAnsi="Arial"/>
          <w:sz w:val="22"/>
          <w:szCs w:val="22"/>
        </w:rPr>
        <w:t>.</w:t>
      </w:r>
    </w:p>
    <w:p w:rsidR="00C559EC" w:rsidRPr="00C559EC" w:rsidRDefault="00C559EC" w:rsidP="00C559EC">
      <w:pPr>
        <w:jc w:val="both"/>
        <w:rPr>
          <w:rFonts w:ascii="Arial" w:hAnsi="Arial"/>
          <w:sz w:val="22"/>
          <w:szCs w:val="22"/>
        </w:rPr>
      </w:pPr>
    </w:p>
    <w:p w:rsidR="00C559EC" w:rsidRPr="00C559EC" w:rsidRDefault="00C559EC" w:rsidP="006B26F0">
      <w:pPr>
        <w:pStyle w:val="ListParagraph"/>
        <w:keepNext/>
        <w:rPr>
          <w:rFonts w:ascii="Arial" w:hAnsi="Arial"/>
          <w:sz w:val="22"/>
          <w:szCs w:val="22"/>
        </w:rPr>
      </w:pPr>
      <w:r w:rsidRPr="00C559EC">
        <w:rPr>
          <w:rFonts w:ascii="Arial Narrow" w:hAnsi="Arial Narrow" w:cs="Arial"/>
          <w:b/>
          <w:snapToGrid w:val="0"/>
          <w:sz w:val="20"/>
          <w:szCs w:val="16"/>
          <w:lang w:eastAsia="en-US"/>
        </w:rPr>
        <w:t>Forest plots of anti-EGFR antibody + chemotherapy versus either chemotherapy alone or versus chemotherapy + bevacizumab in patients with RAS wild type mCRC disease. Both first- and later-line trials included.</w:t>
      </w:r>
    </w:p>
    <w:p w:rsidR="00C559EC" w:rsidRDefault="00C559EC" w:rsidP="00C559EC">
      <w:pPr>
        <w:pStyle w:val="ListParagraph"/>
        <w:ind w:left="709"/>
        <w:jc w:val="both"/>
        <w:rPr>
          <w:rFonts w:ascii="Arial" w:hAnsi="Arial"/>
          <w:sz w:val="22"/>
          <w:szCs w:val="22"/>
        </w:rPr>
      </w:pPr>
      <w:r>
        <w:rPr>
          <w:noProof/>
        </w:rPr>
        <w:drawing>
          <wp:inline distT="0" distB="0" distL="0" distR="0" wp14:anchorId="468DE918" wp14:editId="4D341BAE">
            <wp:extent cx="5731510" cy="57562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 WT-PFS + OS-by comp3.tif"/>
                    <pic:cNvPicPr/>
                  </pic:nvPicPr>
                  <pic:blipFill>
                    <a:blip r:embed="rId13">
                      <a:extLst>
                        <a:ext uri="{28A0092B-C50C-407E-A947-70E740481C1C}">
                          <a14:useLocalDpi xmlns:a14="http://schemas.microsoft.com/office/drawing/2010/main" val="0"/>
                        </a:ext>
                      </a:extLst>
                    </a:blip>
                    <a:stretch>
                      <a:fillRect/>
                    </a:stretch>
                  </pic:blipFill>
                  <pic:spPr>
                    <a:xfrm>
                      <a:off x="0" y="0"/>
                      <a:ext cx="5731510" cy="5756275"/>
                    </a:xfrm>
                    <a:prstGeom prst="rect">
                      <a:avLst/>
                    </a:prstGeom>
                  </pic:spPr>
                </pic:pic>
              </a:graphicData>
            </a:graphic>
          </wp:inline>
        </w:drawing>
      </w:r>
    </w:p>
    <w:p w:rsidR="00C559EC" w:rsidRPr="006A5F01" w:rsidRDefault="00C559EC" w:rsidP="006A5F01">
      <w:pPr>
        <w:widowControl w:val="0"/>
        <w:ind w:left="720"/>
        <w:jc w:val="both"/>
        <w:rPr>
          <w:rFonts w:ascii="Arial Narrow" w:hAnsi="Arial Narrow" w:cs="Arial"/>
          <w:snapToGrid w:val="0"/>
          <w:sz w:val="20"/>
          <w:szCs w:val="20"/>
          <w:lang w:eastAsia="en-US"/>
        </w:rPr>
      </w:pPr>
      <w:r w:rsidRPr="006A5F01">
        <w:rPr>
          <w:rFonts w:ascii="Arial Narrow" w:hAnsi="Arial Narrow" w:cs="Arial"/>
          <w:snapToGrid w:val="0"/>
          <w:sz w:val="20"/>
          <w:szCs w:val="20"/>
          <w:lang w:eastAsia="en-US"/>
        </w:rPr>
        <w:t xml:space="preserve">RAS WT: rat sarcoma viral oncogene homolog wild type; mCRC = metastatic colorectal cancer; Cmab = cetuximab; Pmab = panitumumab; Bev = bevacizumab; FIRE-3 = cetuximab + FOLFIRI vs bevacizumab + FOLFIRI; CRYSTAL = cetuximab + FOLFIRI vs FOLFIRI alone; OPUS = cetuximab + FOLFOX vs FOLFOX alone; COIN = cetuximab + oxaliplatin with capecitabine (66%) or cetuximab + FOLFOX (34%) versus the same chemotherapy regimen alone; PRIME = panitumumab + FOLFOX vs FOLFOX alone; PICCOLO = panitumumab + irinotecan vs irinotecan alone; Study 181 = panitumumab + FOLFIRI vs FOLFIRI alone; CALBG = cetuximab + FOLFIRI or FOLFOX versus bevacizumab + FOLFIRI or FOLFOX – Proportion of FOLFOX or FOLFIRI use, in the all RAS wild type subgroup (46% of the ITT KRAS wild type population), is unknown. In the ITT KRAS wild type </w:t>
      </w:r>
      <w:r w:rsidRPr="006A5F01">
        <w:rPr>
          <w:rFonts w:ascii="Arial Narrow" w:hAnsi="Arial Narrow" w:cs="Arial"/>
          <w:snapToGrid w:val="0"/>
          <w:sz w:val="20"/>
          <w:szCs w:val="20"/>
          <w:lang w:eastAsia="en-US"/>
        </w:rPr>
        <w:lastRenderedPageBreak/>
        <w:t>population, the use of FOLFOX was 73%.</w:t>
      </w:r>
    </w:p>
    <w:p w:rsidR="00C559EC" w:rsidRDefault="00C559EC" w:rsidP="006A5F01">
      <w:pPr>
        <w:widowControl w:val="0"/>
        <w:ind w:left="720"/>
        <w:jc w:val="both"/>
        <w:rPr>
          <w:rFonts w:ascii="Arial Narrow" w:hAnsi="Arial Narrow" w:cs="Arial"/>
          <w:snapToGrid w:val="0"/>
          <w:sz w:val="20"/>
          <w:szCs w:val="20"/>
          <w:lang w:eastAsia="en-US"/>
        </w:rPr>
      </w:pPr>
      <w:r w:rsidRPr="006A5F01">
        <w:rPr>
          <w:rFonts w:ascii="Arial Narrow" w:hAnsi="Arial Narrow" w:cs="Arial"/>
          <w:snapToGrid w:val="0"/>
          <w:sz w:val="20"/>
          <w:szCs w:val="20"/>
          <w:lang w:eastAsia="en-US"/>
        </w:rPr>
        <w:t>Source: prepared in response to ESC request</w:t>
      </w:r>
      <w:r w:rsidR="006A5F01">
        <w:rPr>
          <w:rFonts w:ascii="Arial Narrow" w:hAnsi="Arial Narrow" w:cs="Arial"/>
          <w:snapToGrid w:val="0"/>
          <w:sz w:val="20"/>
          <w:szCs w:val="20"/>
          <w:lang w:eastAsia="en-US"/>
        </w:rPr>
        <w:t>.</w:t>
      </w:r>
    </w:p>
    <w:p w:rsidR="006A5F01" w:rsidRPr="006A5F01" w:rsidRDefault="006A5F01" w:rsidP="006B26F0">
      <w:pPr>
        <w:widowControl w:val="0"/>
        <w:jc w:val="both"/>
        <w:rPr>
          <w:rFonts w:ascii="Arial Narrow" w:hAnsi="Arial Narrow" w:cs="Arial"/>
          <w:snapToGrid w:val="0"/>
          <w:sz w:val="20"/>
          <w:szCs w:val="20"/>
          <w:lang w:eastAsia="en-US"/>
        </w:rPr>
      </w:pPr>
    </w:p>
    <w:p w:rsidR="00C559EC" w:rsidRDefault="005A1344" w:rsidP="00D479CB">
      <w:pPr>
        <w:pStyle w:val="ListParagraph"/>
        <w:numPr>
          <w:ilvl w:val="1"/>
          <w:numId w:val="25"/>
        </w:numPr>
        <w:jc w:val="both"/>
        <w:rPr>
          <w:rFonts w:ascii="Arial" w:hAnsi="Arial"/>
          <w:sz w:val="22"/>
          <w:szCs w:val="22"/>
        </w:rPr>
      </w:pPr>
      <w:r w:rsidRPr="005A1344">
        <w:rPr>
          <w:rFonts w:ascii="Arial" w:hAnsi="Arial"/>
          <w:sz w:val="22"/>
          <w:szCs w:val="22"/>
        </w:rPr>
        <w:t>PFS: There was a statistically significant gain in median PFS resulting from the addition of an anti-EGFR antibody to chemotherapy (either FOLFIRI or FOLFOX). However, there was no statistically significant difference in PFS resulting from the addition of an anti-EGFR antibody, versus the addition of bevacizumab, to FOLFIRI as a chemotherapy partner. Results for FOLFOX as the chemotherapy partner are associated with significant heterogeneity (I</w:t>
      </w:r>
      <w:r w:rsidRPr="005A1344">
        <w:rPr>
          <w:rFonts w:ascii="Arial" w:hAnsi="Arial"/>
          <w:sz w:val="22"/>
          <w:szCs w:val="22"/>
          <w:vertAlign w:val="superscript"/>
        </w:rPr>
        <w:t>2</w:t>
      </w:r>
      <w:r w:rsidRPr="005A1344">
        <w:rPr>
          <w:rFonts w:ascii="Arial" w:hAnsi="Arial"/>
          <w:sz w:val="22"/>
          <w:szCs w:val="22"/>
        </w:rPr>
        <w:t>=80%) and are difficult to interpret.</w:t>
      </w:r>
    </w:p>
    <w:p w:rsidR="005A1344" w:rsidRPr="006B26F0" w:rsidRDefault="005A1344" w:rsidP="006B26F0">
      <w:pPr>
        <w:jc w:val="both"/>
        <w:rPr>
          <w:rFonts w:ascii="Arial" w:hAnsi="Arial"/>
          <w:sz w:val="22"/>
          <w:szCs w:val="22"/>
        </w:rPr>
      </w:pPr>
    </w:p>
    <w:p w:rsidR="005A1344" w:rsidRPr="005A1344" w:rsidRDefault="005A1344" w:rsidP="00D479CB">
      <w:pPr>
        <w:pStyle w:val="ListParagraph"/>
        <w:numPr>
          <w:ilvl w:val="1"/>
          <w:numId w:val="25"/>
        </w:numPr>
        <w:jc w:val="both"/>
        <w:rPr>
          <w:rFonts w:ascii="Arial" w:hAnsi="Arial"/>
          <w:sz w:val="22"/>
          <w:szCs w:val="22"/>
        </w:rPr>
      </w:pPr>
      <w:r w:rsidRPr="005A1344">
        <w:rPr>
          <w:rFonts w:ascii="Arial" w:hAnsi="Arial"/>
          <w:sz w:val="22"/>
          <w:szCs w:val="22"/>
        </w:rPr>
        <w:t xml:space="preserve">OS: There was a statistically significant gain in median OS resulting from the addition of an anti-EGFR antibody to an irinotecan-based chemotherapy regimen and a trend favouring the addition of an anti-EGFR antibody to an oxaliplatin-based chemotherapy regimen. The results for addition of an anti-EGFR antibody versus the addition of bevacizumab to FOLFIRI are </w:t>
      </w:r>
      <w:r w:rsidR="005B5B1D" w:rsidRPr="005A1344">
        <w:rPr>
          <w:rFonts w:ascii="Arial" w:hAnsi="Arial"/>
          <w:sz w:val="22"/>
          <w:szCs w:val="22"/>
        </w:rPr>
        <w:t>heterogeneous</w:t>
      </w:r>
      <w:r w:rsidRPr="005A1344">
        <w:rPr>
          <w:rFonts w:ascii="Arial" w:hAnsi="Arial"/>
          <w:sz w:val="22"/>
          <w:szCs w:val="22"/>
        </w:rPr>
        <w:t>. The results for FOLFOX suggest a statistically significant difference in OS favouring cetuximab over bevacizumab. All OS results could be potentially confounded by post-progression therapies.</w:t>
      </w:r>
    </w:p>
    <w:p w:rsidR="00DF26A7" w:rsidRDefault="00DF26A7" w:rsidP="00882085">
      <w:pPr>
        <w:jc w:val="both"/>
        <w:rPr>
          <w:rFonts w:ascii="Arial" w:hAnsi="Arial"/>
          <w:sz w:val="22"/>
          <w:szCs w:val="22"/>
        </w:rPr>
      </w:pPr>
    </w:p>
    <w:p w:rsidR="005A3173" w:rsidRPr="00F3502F" w:rsidRDefault="005A3173" w:rsidP="00882085">
      <w:pPr>
        <w:jc w:val="both"/>
        <w:rPr>
          <w:rFonts w:ascii="Arial" w:hAnsi="Arial"/>
          <w:b/>
          <w:sz w:val="22"/>
          <w:szCs w:val="22"/>
        </w:rPr>
      </w:pPr>
      <w:r w:rsidRPr="00F3502F">
        <w:rPr>
          <w:rFonts w:ascii="Arial" w:hAnsi="Arial"/>
          <w:b/>
          <w:sz w:val="22"/>
          <w:szCs w:val="22"/>
        </w:rPr>
        <w:t>Comparative harms</w:t>
      </w:r>
    </w:p>
    <w:p w:rsidR="005A3173" w:rsidRPr="00882085" w:rsidRDefault="005A3173" w:rsidP="00882085">
      <w:pPr>
        <w:ind w:left="720" w:hanging="720"/>
        <w:jc w:val="both"/>
        <w:rPr>
          <w:rFonts w:ascii="Arial" w:hAnsi="Arial"/>
          <w:sz w:val="22"/>
          <w:szCs w:val="22"/>
        </w:rPr>
      </w:pPr>
    </w:p>
    <w:p w:rsidR="000B558D" w:rsidRDefault="005A1344" w:rsidP="00D479CB">
      <w:pPr>
        <w:pStyle w:val="ListParagraph"/>
        <w:numPr>
          <w:ilvl w:val="1"/>
          <w:numId w:val="25"/>
        </w:numPr>
        <w:jc w:val="both"/>
        <w:rPr>
          <w:rFonts w:ascii="Arial" w:hAnsi="Arial"/>
          <w:sz w:val="22"/>
          <w:szCs w:val="22"/>
        </w:rPr>
      </w:pPr>
      <w:r w:rsidRPr="005A1344">
        <w:rPr>
          <w:rFonts w:ascii="Arial" w:hAnsi="Arial"/>
          <w:sz w:val="22"/>
          <w:szCs w:val="22"/>
        </w:rPr>
        <w:t>In relation to the FIRE-3 trial, in the KRAS WT ITT population there were higher frequencies of skin-related adverse events, hepatotoxicity, desquamation, peripheral oedema and laboratory values in the cetuximab + FOLFIRI arm compared to the bevacizumab + FOLFIRI arm. The bevacizumab + FOLFIRI arm was associated with higher frequencies of haemorrhage, nausea, hypertension and nephrotoxicity than the cetuximab + FOLFIRI arm</w:t>
      </w:r>
      <w:r w:rsidR="000B558D" w:rsidRPr="00882085">
        <w:rPr>
          <w:rFonts w:ascii="Arial" w:hAnsi="Arial"/>
          <w:sz w:val="22"/>
          <w:szCs w:val="22"/>
        </w:rPr>
        <w:t>.</w:t>
      </w:r>
    </w:p>
    <w:p w:rsidR="005A1344" w:rsidRPr="006B26F0" w:rsidRDefault="005A1344" w:rsidP="006B26F0">
      <w:pPr>
        <w:jc w:val="both"/>
        <w:rPr>
          <w:rFonts w:ascii="Arial" w:hAnsi="Arial"/>
          <w:sz w:val="22"/>
          <w:szCs w:val="22"/>
        </w:rPr>
      </w:pPr>
    </w:p>
    <w:p w:rsidR="005A1344" w:rsidRDefault="005A1344" w:rsidP="00D479CB">
      <w:pPr>
        <w:pStyle w:val="ListParagraph"/>
        <w:numPr>
          <w:ilvl w:val="1"/>
          <w:numId w:val="25"/>
        </w:numPr>
        <w:jc w:val="both"/>
        <w:rPr>
          <w:rFonts w:ascii="Arial" w:hAnsi="Arial"/>
          <w:sz w:val="22"/>
          <w:szCs w:val="22"/>
        </w:rPr>
      </w:pPr>
      <w:r w:rsidRPr="005A1344">
        <w:rPr>
          <w:rFonts w:ascii="Arial" w:hAnsi="Arial"/>
          <w:sz w:val="22"/>
          <w:szCs w:val="22"/>
        </w:rPr>
        <w:t>There were more Grade ≥3 adverse events (AEs) in the cetuximab + FOLFIRI arm compared with the bevacizumab + FOLFIRI arm for the following: skin–related events, hypokalaemia, desquamation and haemotoxicity. Grade ≥3 hypertension was fairly similar between treatment arms. The safety data from the FIRE-3 trial are consistent with the different safety profiles of cetuximab and bevacizumab. Skin-related reactions and bleeding events are known to be associated with cetuximab and bevacizumab, respectively</w:t>
      </w:r>
      <w:r>
        <w:rPr>
          <w:rFonts w:ascii="Arial" w:hAnsi="Arial"/>
          <w:sz w:val="22"/>
          <w:szCs w:val="22"/>
        </w:rPr>
        <w:t>.</w:t>
      </w:r>
    </w:p>
    <w:p w:rsidR="005A1344" w:rsidRPr="004A6A1E" w:rsidRDefault="005A1344" w:rsidP="004A6A1E">
      <w:pPr>
        <w:rPr>
          <w:rFonts w:ascii="Arial" w:hAnsi="Arial"/>
          <w:sz w:val="22"/>
          <w:szCs w:val="22"/>
        </w:rPr>
      </w:pPr>
    </w:p>
    <w:p w:rsidR="005A1344" w:rsidRDefault="005A1344" w:rsidP="00D479CB">
      <w:pPr>
        <w:pStyle w:val="ListParagraph"/>
        <w:numPr>
          <w:ilvl w:val="1"/>
          <w:numId w:val="25"/>
        </w:numPr>
        <w:jc w:val="both"/>
        <w:rPr>
          <w:rFonts w:ascii="Arial" w:hAnsi="Arial"/>
          <w:sz w:val="22"/>
          <w:szCs w:val="22"/>
        </w:rPr>
      </w:pPr>
      <w:r w:rsidRPr="005A1344">
        <w:rPr>
          <w:rFonts w:ascii="Arial" w:hAnsi="Arial"/>
          <w:sz w:val="22"/>
          <w:szCs w:val="22"/>
        </w:rPr>
        <w:t xml:space="preserve">Grade ≥3 AEs in either treatment arm of the RAS WT subgroup of FIRE-3 are summarised in </w:t>
      </w:r>
      <w:r w:rsidR="00923082">
        <w:rPr>
          <w:rFonts w:ascii="Arial" w:hAnsi="Arial"/>
          <w:sz w:val="22"/>
          <w:szCs w:val="22"/>
        </w:rPr>
        <w:t>the table below</w:t>
      </w:r>
      <w:r w:rsidRPr="005A1344">
        <w:rPr>
          <w:rFonts w:ascii="Arial" w:hAnsi="Arial"/>
          <w:sz w:val="22"/>
          <w:szCs w:val="22"/>
        </w:rPr>
        <w:t>.</w:t>
      </w:r>
    </w:p>
    <w:p w:rsidR="005A1344" w:rsidRPr="004A6A1E" w:rsidRDefault="005A1344" w:rsidP="004A6A1E">
      <w:pPr>
        <w:rPr>
          <w:rFonts w:ascii="Arial" w:hAnsi="Arial"/>
          <w:sz w:val="22"/>
          <w:szCs w:val="22"/>
        </w:rPr>
      </w:pPr>
    </w:p>
    <w:p w:rsidR="005A1344" w:rsidRDefault="005A1344" w:rsidP="004A6A1E">
      <w:pPr>
        <w:pStyle w:val="ListParagraph"/>
        <w:keepNext/>
        <w:rPr>
          <w:rFonts w:ascii="Arial" w:hAnsi="Arial"/>
          <w:sz w:val="22"/>
          <w:szCs w:val="22"/>
        </w:rPr>
      </w:pPr>
      <w:r w:rsidRPr="005A1344">
        <w:rPr>
          <w:rFonts w:ascii="Arial Narrow" w:hAnsi="Arial Narrow" w:cs="Arial"/>
          <w:b/>
          <w:snapToGrid w:val="0"/>
          <w:sz w:val="20"/>
          <w:szCs w:val="20"/>
          <w:lang w:eastAsia="en-US"/>
        </w:rPr>
        <w:lastRenderedPageBreak/>
        <w:t>Grade ≥3 adverse events occurring in ≥5% of subjects in either treatment arm in the RAS wild-type subgroup in FIRE-3. Only events with ≥5% difference between arms are included</w:t>
      </w:r>
      <w:r>
        <w:rPr>
          <w:rFonts w:ascii="Arial Narrow" w:hAnsi="Arial Narrow" w:cs="Arial"/>
          <w:snapToGrid w:val="0"/>
          <w:sz w:val="20"/>
          <w:szCs w:val="20"/>
          <w:lang w:eastAsia="en-US"/>
        </w:rPr>
        <w:t>.</w:t>
      </w:r>
    </w:p>
    <w:tbl>
      <w:tblPr>
        <w:tblStyle w:val="TableGrid"/>
        <w:tblW w:w="4558" w:type="pct"/>
        <w:tblInd w:w="817" w:type="dxa"/>
        <w:tblLook w:val="04A0" w:firstRow="1" w:lastRow="0" w:firstColumn="1" w:lastColumn="0" w:noHBand="0" w:noVBand="1"/>
      </w:tblPr>
      <w:tblGrid>
        <w:gridCol w:w="2732"/>
        <w:gridCol w:w="2849"/>
        <w:gridCol w:w="2844"/>
      </w:tblGrid>
      <w:tr w:rsidR="005A1344" w:rsidRPr="005A1344" w:rsidTr="005A1344">
        <w:tc>
          <w:tcPr>
            <w:tcW w:w="1621" w:type="pct"/>
          </w:tcPr>
          <w:p w:rsidR="005A1344" w:rsidRPr="005A1344" w:rsidRDefault="005A1344" w:rsidP="005A1344">
            <w:pPr>
              <w:keepNext/>
              <w:widowControl w:val="0"/>
              <w:jc w:val="both"/>
              <w:rPr>
                <w:rFonts w:ascii="Arial Narrow" w:hAnsi="Arial Narrow" w:cs="Arial"/>
                <w:b/>
                <w:snapToGrid w:val="0"/>
                <w:sz w:val="20"/>
                <w:szCs w:val="20"/>
                <w:lang w:eastAsia="en-US"/>
              </w:rPr>
            </w:pPr>
            <w:r w:rsidRPr="005A1344">
              <w:rPr>
                <w:rFonts w:ascii="Arial Narrow" w:hAnsi="Arial Narrow" w:cs="Arial"/>
                <w:b/>
                <w:snapToGrid w:val="0"/>
                <w:sz w:val="20"/>
                <w:szCs w:val="20"/>
                <w:lang w:eastAsia="en-US"/>
              </w:rPr>
              <w:t>Adverse Event Category</w:t>
            </w:r>
          </w:p>
        </w:tc>
        <w:tc>
          <w:tcPr>
            <w:tcW w:w="1691" w:type="pct"/>
          </w:tcPr>
          <w:p w:rsidR="005A1344" w:rsidRPr="005A1344" w:rsidRDefault="005A1344" w:rsidP="005A1344">
            <w:pPr>
              <w:keepNext/>
              <w:widowControl w:val="0"/>
              <w:jc w:val="center"/>
              <w:rPr>
                <w:rFonts w:ascii="Arial Narrow" w:hAnsi="Arial Narrow" w:cs="Arial"/>
                <w:b/>
                <w:snapToGrid w:val="0"/>
                <w:sz w:val="20"/>
                <w:szCs w:val="20"/>
                <w:lang w:eastAsia="en-US"/>
              </w:rPr>
            </w:pPr>
            <w:r w:rsidRPr="005A1344">
              <w:rPr>
                <w:rFonts w:ascii="Arial Narrow" w:hAnsi="Arial Narrow" w:cs="Arial"/>
                <w:b/>
                <w:snapToGrid w:val="0"/>
                <w:sz w:val="20"/>
                <w:szCs w:val="20"/>
                <w:lang w:eastAsia="en-US"/>
              </w:rPr>
              <w:t>Cetuximab + FOLFIRI</w:t>
            </w:r>
          </w:p>
          <w:p w:rsidR="005A1344" w:rsidRPr="005A1344" w:rsidRDefault="005A1344" w:rsidP="005A1344">
            <w:pPr>
              <w:keepNext/>
              <w:widowControl w:val="0"/>
              <w:jc w:val="center"/>
              <w:rPr>
                <w:rFonts w:ascii="Arial Narrow" w:hAnsi="Arial Narrow" w:cs="Arial"/>
                <w:b/>
                <w:snapToGrid w:val="0"/>
                <w:sz w:val="20"/>
                <w:szCs w:val="20"/>
                <w:lang w:eastAsia="en-US"/>
              </w:rPr>
            </w:pPr>
            <w:r w:rsidRPr="005A1344">
              <w:rPr>
                <w:rFonts w:ascii="Arial Narrow" w:hAnsi="Arial Narrow" w:cs="Arial"/>
                <w:b/>
                <w:snapToGrid w:val="0"/>
                <w:sz w:val="20"/>
                <w:szCs w:val="20"/>
                <w:lang w:eastAsia="en-US"/>
              </w:rPr>
              <w:t>(n=171)</w:t>
            </w:r>
          </w:p>
        </w:tc>
        <w:tc>
          <w:tcPr>
            <w:tcW w:w="1688" w:type="pct"/>
          </w:tcPr>
          <w:p w:rsidR="005A1344" w:rsidRPr="005A1344" w:rsidRDefault="005A1344" w:rsidP="005A1344">
            <w:pPr>
              <w:keepNext/>
              <w:widowControl w:val="0"/>
              <w:jc w:val="center"/>
              <w:rPr>
                <w:rFonts w:ascii="Arial Narrow" w:hAnsi="Arial Narrow" w:cs="Arial"/>
                <w:b/>
                <w:snapToGrid w:val="0"/>
                <w:sz w:val="20"/>
                <w:szCs w:val="20"/>
                <w:lang w:eastAsia="en-US"/>
              </w:rPr>
            </w:pPr>
            <w:r w:rsidRPr="005A1344">
              <w:rPr>
                <w:rFonts w:ascii="Arial Narrow" w:hAnsi="Arial Narrow" w:cs="Arial"/>
                <w:b/>
                <w:snapToGrid w:val="0"/>
                <w:sz w:val="20"/>
                <w:szCs w:val="20"/>
                <w:lang w:eastAsia="en-US"/>
              </w:rPr>
              <w:t>Bevacizumab + FOLFIRI</w:t>
            </w:r>
          </w:p>
          <w:p w:rsidR="005A1344" w:rsidRPr="005A1344" w:rsidRDefault="005A1344" w:rsidP="005A1344">
            <w:pPr>
              <w:keepNext/>
              <w:widowControl w:val="0"/>
              <w:jc w:val="center"/>
              <w:rPr>
                <w:rFonts w:ascii="Arial Narrow" w:hAnsi="Arial Narrow" w:cs="Arial"/>
                <w:b/>
                <w:snapToGrid w:val="0"/>
                <w:sz w:val="20"/>
                <w:szCs w:val="20"/>
                <w:lang w:eastAsia="en-US"/>
              </w:rPr>
            </w:pPr>
            <w:r w:rsidRPr="005A1344">
              <w:rPr>
                <w:rFonts w:ascii="Arial Narrow" w:hAnsi="Arial Narrow" w:cs="Arial"/>
                <w:b/>
                <w:snapToGrid w:val="0"/>
                <w:sz w:val="20"/>
                <w:szCs w:val="20"/>
                <w:lang w:eastAsia="en-US"/>
              </w:rPr>
              <w:t>(n=171)</w:t>
            </w:r>
          </w:p>
        </w:tc>
      </w:tr>
      <w:tr w:rsidR="005A1344" w:rsidRPr="005A1344" w:rsidTr="005A1344">
        <w:tc>
          <w:tcPr>
            <w:tcW w:w="1621" w:type="pct"/>
          </w:tcPr>
          <w:p w:rsidR="005A1344" w:rsidRPr="005A1344" w:rsidRDefault="005A1344" w:rsidP="005A1344">
            <w:pPr>
              <w:keepNext/>
              <w:widowControl w:val="0"/>
              <w:jc w:val="both"/>
              <w:rPr>
                <w:rFonts w:ascii="Arial Narrow" w:hAnsi="Arial Narrow" w:cs="Arial"/>
                <w:snapToGrid w:val="0"/>
                <w:sz w:val="20"/>
                <w:szCs w:val="20"/>
                <w:lang w:eastAsia="en-US"/>
              </w:rPr>
            </w:pPr>
            <w:r w:rsidRPr="005A1344">
              <w:rPr>
                <w:rFonts w:ascii="Arial Narrow" w:hAnsi="Arial Narrow" w:cs="Arial"/>
                <w:snapToGrid w:val="0"/>
                <w:sz w:val="20"/>
                <w:szCs w:val="20"/>
                <w:lang w:eastAsia="en-US"/>
              </w:rPr>
              <w:t>Skin reaction</w:t>
            </w:r>
            <w:r w:rsidRPr="005A1344">
              <w:rPr>
                <w:rFonts w:ascii="Arial Narrow" w:hAnsi="Arial Narrow" w:cs="Arial"/>
                <w:snapToGrid w:val="0"/>
                <w:sz w:val="20"/>
                <w:szCs w:val="20"/>
                <w:vertAlign w:val="superscript"/>
                <w:lang w:eastAsia="en-US"/>
              </w:rPr>
              <w:t>2</w:t>
            </w:r>
          </w:p>
        </w:tc>
        <w:tc>
          <w:tcPr>
            <w:tcW w:w="1691"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688"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r>
      <w:tr w:rsidR="005A1344" w:rsidRPr="005A1344" w:rsidTr="005A1344">
        <w:tc>
          <w:tcPr>
            <w:tcW w:w="1621" w:type="pct"/>
          </w:tcPr>
          <w:p w:rsidR="005A1344" w:rsidRPr="005A1344" w:rsidRDefault="005A1344" w:rsidP="005A1344">
            <w:pPr>
              <w:keepNext/>
              <w:widowControl w:val="0"/>
              <w:jc w:val="both"/>
              <w:rPr>
                <w:rFonts w:ascii="Arial Narrow" w:hAnsi="Arial Narrow" w:cs="Arial"/>
                <w:snapToGrid w:val="0"/>
                <w:sz w:val="20"/>
                <w:szCs w:val="20"/>
                <w:lang w:eastAsia="en-US"/>
              </w:rPr>
            </w:pPr>
            <w:r w:rsidRPr="005A1344">
              <w:rPr>
                <w:rFonts w:ascii="Arial Narrow" w:hAnsi="Arial Narrow" w:cs="Arial"/>
                <w:snapToGrid w:val="0"/>
                <w:sz w:val="20"/>
                <w:szCs w:val="20"/>
                <w:lang w:eastAsia="en-US"/>
              </w:rPr>
              <w:t>Haemotoxicity</w:t>
            </w:r>
            <w:r w:rsidRPr="005A1344">
              <w:rPr>
                <w:rFonts w:ascii="Arial Narrow" w:hAnsi="Arial Narrow" w:cs="Arial"/>
                <w:snapToGrid w:val="0"/>
                <w:sz w:val="20"/>
                <w:szCs w:val="20"/>
                <w:vertAlign w:val="superscript"/>
                <w:lang w:eastAsia="en-US"/>
              </w:rPr>
              <w:t>1</w:t>
            </w:r>
          </w:p>
        </w:tc>
        <w:tc>
          <w:tcPr>
            <w:tcW w:w="1691"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688"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r>
      <w:tr w:rsidR="005A1344" w:rsidRPr="005A1344" w:rsidTr="005A1344">
        <w:tc>
          <w:tcPr>
            <w:tcW w:w="1621" w:type="pct"/>
          </w:tcPr>
          <w:p w:rsidR="005A1344" w:rsidRPr="005A1344" w:rsidRDefault="005A1344" w:rsidP="005A1344">
            <w:pPr>
              <w:keepNext/>
              <w:widowControl w:val="0"/>
              <w:jc w:val="both"/>
              <w:rPr>
                <w:rFonts w:ascii="Arial Narrow" w:hAnsi="Arial Narrow" w:cs="Arial"/>
                <w:snapToGrid w:val="0"/>
                <w:sz w:val="20"/>
                <w:szCs w:val="20"/>
                <w:lang w:eastAsia="en-US"/>
              </w:rPr>
            </w:pPr>
            <w:r w:rsidRPr="005A1344">
              <w:rPr>
                <w:rFonts w:ascii="Arial Narrow" w:hAnsi="Arial Narrow" w:cs="Arial"/>
                <w:snapToGrid w:val="0"/>
                <w:sz w:val="20"/>
                <w:szCs w:val="20"/>
                <w:lang w:eastAsia="en-US"/>
              </w:rPr>
              <w:t>Acneiform exanthema/rash</w:t>
            </w:r>
            <w:r w:rsidRPr="005A1344">
              <w:rPr>
                <w:rFonts w:ascii="Arial Narrow" w:hAnsi="Arial Narrow" w:cs="Arial"/>
                <w:snapToGrid w:val="0"/>
                <w:sz w:val="20"/>
                <w:szCs w:val="20"/>
                <w:vertAlign w:val="superscript"/>
                <w:lang w:eastAsia="en-US"/>
              </w:rPr>
              <w:t>1, 2</w:t>
            </w:r>
          </w:p>
        </w:tc>
        <w:tc>
          <w:tcPr>
            <w:tcW w:w="1691"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688"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5A1344" w:rsidRPr="005A1344" w:rsidTr="005A1344">
        <w:tc>
          <w:tcPr>
            <w:tcW w:w="1621" w:type="pct"/>
          </w:tcPr>
          <w:p w:rsidR="005A1344" w:rsidRPr="005A1344" w:rsidRDefault="005A1344" w:rsidP="005A1344">
            <w:pPr>
              <w:keepNext/>
              <w:widowControl w:val="0"/>
              <w:jc w:val="both"/>
              <w:rPr>
                <w:rFonts w:ascii="Arial Narrow" w:hAnsi="Arial Narrow" w:cs="Arial"/>
                <w:snapToGrid w:val="0"/>
                <w:sz w:val="20"/>
                <w:szCs w:val="20"/>
                <w:lang w:eastAsia="en-US"/>
              </w:rPr>
            </w:pPr>
            <w:r w:rsidRPr="005A1344">
              <w:rPr>
                <w:rFonts w:ascii="Arial Narrow" w:hAnsi="Arial Narrow" w:cs="Arial"/>
                <w:snapToGrid w:val="0"/>
                <w:sz w:val="20"/>
                <w:szCs w:val="20"/>
                <w:lang w:eastAsia="en-US"/>
              </w:rPr>
              <w:t>Hypokalaemia</w:t>
            </w:r>
          </w:p>
        </w:tc>
        <w:tc>
          <w:tcPr>
            <w:tcW w:w="1691" w:type="pct"/>
          </w:tcPr>
          <w:p w:rsidR="005A1344" w:rsidRPr="00C00328" w:rsidRDefault="00C00328" w:rsidP="005A1344">
            <w:pPr>
              <w:keepNext/>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688" w:type="pct"/>
          </w:tcPr>
          <w:p w:rsidR="005A1344" w:rsidRPr="00C00328" w:rsidRDefault="00C00328" w:rsidP="005A1344">
            <w:pPr>
              <w:keepNext/>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r>
      <w:tr w:rsidR="005A1344" w:rsidRPr="005A1344" w:rsidTr="005A1344">
        <w:tc>
          <w:tcPr>
            <w:tcW w:w="1621" w:type="pct"/>
          </w:tcPr>
          <w:p w:rsidR="005A1344" w:rsidRPr="005A1344" w:rsidRDefault="005A1344" w:rsidP="005A1344">
            <w:pPr>
              <w:keepNext/>
              <w:widowControl w:val="0"/>
              <w:jc w:val="both"/>
              <w:rPr>
                <w:rFonts w:ascii="Arial Narrow" w:hAnsi="Arial Narrow" w:cs="Arial"/>
                <w:snapToGrid w:val="0"/>
                <w:sz w:val="20"/>
                <w:szCs w:val="20"/>
                <w:lang w:eastAsia="en-US"/>
              </w:rPr>
            </w:pPr>
            <w:r w:rsidRPr="005A1344">
              <w:rPr>
                <w:rFonts w:ascii="Arial Narrow" w:hAnsi="Arial Narrow" w:cs="Arial"/>
                <w:snapToGrid w:val="0"/>
                <w:sz w:val="20"/>
                <w:szCs w:val="20"/>
                <w:lang w:eastAsia="en-US"/>
              </w:rPr>
              <w:t>Desquamation</w:t>
            </w:r>
            <w:r w:rsidRPr="005A1344">
              <w:rPr>
                <w:rFonts w:ascii="Arial Narrow" w:hAnsi="Arial Narrow" w:cs="Arial"/>
                <w:snapToGrid w:val="0"/>
                <w:sz w:val="20"/>
                <w:szCs w:val="20"/>
                <w:vertAlign w:val="superscript"/>
                <w:lang w:eastAsia="en-US"/>
              </w:rPr>
              <w:t>1, 2</w:t>
            </w:r>
          </w:p>
        </w:tc>
        <w:tc>
          <w:tcPr>
            <w:tcW w:w="1691"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688"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r>
      <w:tr w:rsidR="005A1344" w:rsidRPr="005A1344" w:rsidTr="005A1344">
        <w:tc>
          <w:tcPr>
            <w:tcW w:w="1621" w:type="pct"/>
          </w:tcPr>
          <w:p w:rsidR="005A1344" w:rsidRPr="005A1344" w:rsidRDefault="005A1344" w:rsidP="005A1344">
            <w:pPr>
              <w:keepNext/>
              <w:widowControl w:val="0"/>
              <w:jc w:val="both"/>
              <w:rPr>
                <w:rFonts w:ascii="Arial Narrow" w:hAnsi="Arial Narrow" w:cs="Arial"/>
                <w:snapToGrid w:val="0"/>
                <w:sz w:val="20"/>
                <w:szCs w:val="20"/>
                <w:lang w:eastAsia="en-US"/>
              </w:rPr>
            </w:pPr>
            <w:r w:rsidRPr="005A1344">
              <w:rPr>
                <w:rFonts w:ascii="Arial Narrow" w:hAnsi="Arial Narrow" w:cs="Arial"/>
                <w:snapToGrid w:val="0"/>
                <w:sz w:val="20"/>
                <w:szCs w:val="20"/>
                <w:lang w:eastAsia="en-US"/>
              </w:rPr>
              <w:t>Nail changes/paronychia</w:t>
            </w:r>
            <w:r w:rsidRPr="005A1344">
              <w:rPr>
                <w:rFonts w:ascii="Arial Narrow" w:hAnsi="Arial Narrow" w:cs="Arial"/>
                <w:snapToGrid w:val="0"/>
                <w:sz w:val="20"/>
                <w:szCs w:val="20"/>
                <w:vertAlign w:val="superscript"/>
                <w:lang w:eastAsia="en-US"/>
              </w:rPr>
              <w:t>1</w:t>
            </w:r>
          </w:p>
        </w:tc>
        <w:tc>
          <w:tcPr>
            <w:tcW w:w="1691"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1688" w:type="pct"/>
          </w:tcPr>
          <w:p w:rsidR="005A1344" w:rsidRPr="00C00328" w:rsidRDefault="00C00328" w:rsidP="005A134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bl>
    <w:p w:rsidR="005A1344" w:rsidRPr="005A1344" w:rsidRDefault="005A1344" w:rsidP="005A1344">
      <w:pPr>
        <w:keepNext/>
        <w:widowControl w:val="0"/>
        <w:ind w:left="709"/>
        <w:jc w:val="both"/>
        <w:rPr>
          <w:rFonts w:ascii="Arial Narrow" w:hAnsi="Arial Narrow" w:cs="Arial"/>
          <w:snapToGrid w:val="0"/>
          <w:sz w:val="20"/>
          <w:szCs w:val="20"/>
          <w:lang w:eastAsia="en-US"/>
        </w:rPr>
      </w:pPr>
      <w:r w:rsidRPr="005A1344">
        <w:rPr>
          <w:rFonts w:ascii="Arial Narrow" w:hAnsi="Arial Narrow" w:cs="Arial"/>
          <w:snapToGrid w:val="0"/>
          <w:sz w:val="20"/>
          <w:szCs w:val="20"/>
          <w:vertAlign w:val="superscript"/>
          <w:lang w:eastAsia="en-US"/>
        </w:rPr>
        <w:t xml:space="preserve">1 </w:t>
      </w:r>
      <w:r w:rsidRPr="005A1344">
        <w:rPr>
          <w:rFonts w:ascii="Arial Narrow" w:hAnsi="Arial Narrow" w:cs="Arial"/>
          <w:snapToGrid w:val="0"/>
          <w:sz w:val="20"/>
          <w:szCs w:val="20"/>
          <w:lang w:eastAsia="en-US"/>
        </w:rPr>
        <w:t xml:space="preserve">Pre-defined AEs from the clinical report form; </w:t>
      </w:r>
      <w:r w:rsidRPr="005A1344">
        <w:rPr>
          <w:rFonts w:ascii="Arial Narrow" w:hAnsi="Arial Narrow" w:cs="Arial"/>
          <w:snapToGrid w:val="0"/>
          <w:sz w:val="20"/>
          <w:szCs w:val="20"/>
          <w:vertAlign w:val="superscript"/>
          <w:lang w:eastAsia="en-US"/>
        </w:rPr>
        <w:t>2</w:t>
      </w:r>
      <w:r w:rsidRPr="005A1344">
        <w:rPr>
          <w:rFonts w:ascii="Arial Narrow" w:hAnsi="Arial Narrow" w:cs="Arial"/>
          <w:snapToGrid w:val="0"/>
          <w:sz w:val="20"/>
          <w:szCs w:val="20"/>
          <w:lang w:eastAsia="en-US"/>
        </w:rPr>
        <w:t xml:space="preserve">AEs of special interest. If a subject experienced more than one AE within a category, the subject was counted once in that category. </w:t>
      </w:r>
    </w:p>
    <w:p w:rsidR="005A1344" w:rsidRPr="005A1344" w:rsidRDefault="005A1344" w:rsidP="005A1344">
      <w:pPr>
        <w:keepNext/>
        <w:widowControl w:val="0"/>
        <w:ind w:left="709"/>
        <w:jc w:val="both"/>
        <w:rPr>
          <w:rFonts w:ascii="Arial Narrow" w:hAnsi="Arial Narrow" w:cs="Arial"/>
          <w:snapToGrid w:val="0"/>
          <w:sz w:val="20"/>
          <w:szCs w:val="20"/>
          <w:lang w:eastAsia="en-US"/>
        </w:rPr>
      </w:pPr>
      <w:r w:rsidRPr="005A1344">
        <w:rPr>
          <w:rFonts w:ascii="Arial Narrow" w:hAnsi="Arial Narrow" w:cs="Arial"/>
          <w:snapToGrid w:val="0"/>
          <w:sz w:val="20"/>
          <w:szCs w:val="20"/>
          <w:lang w:eastAsia="en-US"/>
        </w:rPr>
        <w:t>Source: FIRE-3 CSR Table 12-8 p125</w:t>
      </w:r>
    </w:p>
    <w:p w:rsidR="005A1344" w:rsidRPr="004A6A1E" w:rsidRDefault="005A1344" w:rsidP="004A6A1E">
      <w:pPr>
        <w:rPr>
          <w:rFonts w:ascii="Arial" w:hAnsi="Arial"/>
          <w:sz w:val="22"/>
          <w:szCs w:val="22"/>
        </w:rPr>
      </w:pPr>
    </w:p>
    <w:p w:rsidR="005A1344" w:rsidRPr="00882085" w:rsidRDefault="005A1344" w:rsidP="00D479CB">
      <w:pPr>
        <w:pStyle w:val="ListParagraph"/>
        <w:numPr>
          <w:ilvl w:val="1"/>
          <w:numId w:val="25"/>
        </w:numPr>
        <w:jc w:val="both"/>
        <w:rPr>
          <w:rFonts w:ascii="Arial" w:hAnsi="Arial"/>
          <w:sz w:val="22"/>
          <w:szCs w:val="22"/>
        </w:rPr>
      </w:pPr>
      <w:r w:rsidRPr="005A1344">
        <w:rPr>
          <w:rFonts w:ascii="Arial" w:hAnsi="Arial"/>
          <w:sz w:val="22"/>
          <w:szCs w:val="22"/>
        </w:rPr>
        <w:t>In relation to AEs reported in the RAS WT populations from the CRYSTAL and OPUS trials, there were more Grade 3/4 AEs, serious AEs (SAEs), and any AE causing discontinuation of study treatment in the cetuximab + chemotherapy arm compared to the chemotherapy alone arm</w:t>
      </w:r>
      <w:r>
        <w:rPr>
          <w:rFonts w:ascii="Arial" w:hAnsi="Arial"/>
          <w:sz w:val="22"/>
          <w:szCs w:val="22"/>
        </w:rPr>
        <w:t>.</w:t>
      </w:r>
    </w:p>
    <w:p w:rsidR="00FA6055" w:rsidRDefault="00FA6055" w:rsidP="00B6773F">
      <w:pPr>
        <w:jc w:val="both"/>
        <w:rPr>
          <w:rFonts w:ascii="Arial" w:hAnsi="Arial"/>
          <w:sz w:val="22"/>
          <w:szCs w:val="22"/>
        </w:rPr>
      </w:pPr>
    </w:p>
    <w:p w:rsidR="00B6773F" w:rsidRPr="00F3502F" w:rsidRDefault="00B6773F" w:rsidP="00B6773F">
      <w:pPr>
        <w:jc w:val="both"/>
        <w:rPr>
          <w:rFonts w:ascii="Arial" w:hAnsi="Arial"/>
          <w:b/>
          <w:sz w:val="22"/>
          <w:szCs w:val="22"/>
        </w:rPr>
      </w:pPr>
      <w:r w:rsidRPr="00F3502F">
        <w:rPr>
          <w:rFonts w:ascii="Arial" w:hAnsi="Arial"/>
          <w:b/>
          <w:sz w:val="22"/>
          <w:szCs w:val="22"/>
        </w:rPr>
        <w:t>Benefits/harms</w:t>
      </w:r>
    </w:p>
    <w:p w:rsidR="00B6773F" w:rsidRPr="00FC349F" w:rsidRDefault="00B6773F" w:rsidP="00B6773F">
      <w:pPr>
        <w:jc w:val="both"/>
        <w:rPr>
          <w:rFonts w:ascii="Arial" w:hAnsi="Arial"/>
          <w:sz w:val="22"/>
          <w:szCs w:val="22"/>
        </w:rPr>
      </w:pPr>
    </w:p>
    <w:p w:rsidR="00FA6055" w:rsidRDefault="004803EE" w:rsidP="00D479CB">
      <w:pPr>
        <w:pStyle w:val="ListParagraph"/>
        <w:numPr>
          <w:ilvl w:val="1"/>
          <w:numId w:val="25"/>
        </w:numPr>
        <w:jc w:val="both"/>
        <w:rPr>
          <w:rFonts w:ascii="Arial" w:hAnsi="Arial"/>
          <w:sz w:val="22"/>
          <w:szCs w:val="22"/>
        </w:rPr>
      </w:pPr>
      <w:r w:rsidRPr="004803EE">
        <w:rPr>
          <w:rFonts w:ascii="Arial" w:hAnsi="Arial"/>
          <w:sz w:val="22"/>
          <w:szCs w:val="22"/>
        </w:rPr>
        <w:t>A summary of the comparative benefits and harms for cetuximab plus FOLFIRI versus bevacizumab plus FOLFIRI observed in th</w:t>
      </w:r>
      <w:r w:rsidR="00CE5D68">
        <w:rPr>
          <w:rFonts w:ascii="Arial" w:hAnsi="Arial"/>
          <w:sz w:val="22"/>
          <w:szCs w:val="22"/>
        </w:rPr>
        <w:t>e FIRE-3 trial is presented in the table below</w:t>
      </w:r>
      <w:r>
        <w:rPr>
          <w:rFonts w:ascii="Arial" w:hAnsi="Arial"/>
          <w:sz w:val="22"/>
          <w:szCs w:val="22"/>
        </w:rPr>
        <w:t>.</w:t>
      </w:r>
    </w:p>
    <w:p w:rsidR="004803EE" w:rsidRPr="004A6A1E" w:rsidRDefault="004803EE" w:rsidP="004A6A1E">
      <w:pPr>
        <w:jc w:val="both"/>
        <w:rPr>
          <w:rFonts w:ascii="Arial" w:hAnsi="Arial"/>
          <w:sz w:val="22"/>
          <w:szCs w:val="22"/>
        </w:rPr>
      </w:pPr>
    </w:p>
    <w:p w:rsidR="004803EE" w:rsidRPr="004803EE" w:rsidRDefault="004803EE" w:rsidP="004A6A1E">
      <w:pPr>
        <w:keepNext/>
        <w:widowControl w:val="0"/>
        <w:ind w:left="720"/>
        <w:contextualSpacing/>
        <w:jc w:val="both"/>
        <w:rPr>
          <w:rFonts w:ascii="Arial Narrow" w:hAnsi="Arial Narrow" w:cs="Arial"/>
          <w:b/>
          <w:snapToGrid w:val="0"/>
          <w:sz w:val="20"/>
          <w:szCs w:val="20"/>
          <w:lang w:eastAsia="en-US"/>
        </w:rPr>
      </w:pPr>
      <w:r w:rsidRPr="004803EE">
        <w:rPr>
          <w:rFonts w:ascii="Arial Narrow" w:hAnsi="Arial Narrow" w:cs="Arial"/>
          <w:b/>
          <w:snapToGrid w:val="0"/>
          <w:sz w:val="20"/>
          <w:szCs w:val="20"/>
          <w:lang w:eastAsia="en-US"/>
        </w:rPr>
        <w:t>FIRE-3: Summary of comparative benefits and harms for cetuximab plus FOLFIRI versus bevacizumab plus FOLFIRI in the RAS WT mCRC subgroup</w:t>
      </w:r>
    </w:p>
    <w:tbl>
      <w:tblPr>
        <w:tblStyle w:val="TableGrid"/>
        <w:tblW w:w="4700" w:type="pct"/>
        <w:tblInd w:w="698" w:type="dxa"/>
        <w:tblLayout w:type="fixed"/>
        <w:tblCellMar>
          <w:left w:w="28" w:type="dxa"/>
          <w:right w:w="28" w:type="dxa"/>
        </w:tblCellMar>
        <w:tblLook w:val="04A0" w:firstRow="1" w:lastRow="0" w:firstColumn="1" w:lastColumn="0" w:noHBand="0" w:noVBand="1"/>
      </w:tblPr>
      <w:tblGrid>
        <w:gridCol w:w="1317"/>
        <w:gridCol w:w="1139"/>
        <w:gridCol w:w="32"/>
        <w:gridCol w:w="1523"/>
        <w:gridCol w:w="32"/>
        <w:gridCol w:w="1525"/>
        <w:gridCol w:w="36"/>
        <w:gridCol w:w="814"/>
        <w:gridCol w:w="176"/>
        <w:gridCol w:w="934"/>
        <w:gridCol w:w="60"/>
        <w:gridCol w:w="949"/>
      </w:tblGrid>
      <w:tr w:rsidR="004803EE" w:rsidRPr="004803EE" w:rsidTr="00522796">
        <w:trPr>
          <w:trHeight w:val="150"/>
        </w:trPr>
        <w:tc>
          <w:tcPr>
            <w:tcW w:w="5000" w:type="pct"/>
            <w:gridSpan w:val="12"/>
            <w:shd w:val="clear" w:color="auto" w:fill="D9D9D9" w:themeFill="background1" w:themeFillShade="D9"/>
            <w:vAlign w:val="center"/>
          </w:tcPr>
          <w:p w:rsidR="004803EE" w:rsidRPr="004803EE" w:rsidRDefault="004803EE" w:rsidP="004803EE">
            <w:pPr>
              <w:widowControl w:val="0"/>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Benefits</w:t>
            </w:r>
          </w:p>
        </w:tc>
      </w:tr>
      <w:tr w:rsidR="004803EE" w:rsidRPr="004803EE" w:rsidTr="00522796">
        <w:trPr>
          <w:trHeight w:val="174"/>
        </w:trPr>
        <w:tc>
          <w:tcPr>
            <w:tcW w:w="5000" w:type="pct"/>
            <w:gridSpan w:val="12"/>
            <w:shd w:val="clear" w:color="auto" w:fill="FFFFFF" w:themeFill="background1"/>
            <w:vAlign w:val="center"/>
          </w:tcPr>
          <w:p w:rsidR="004803EE" w:rsidRPr="004803EE" w:rsidRDefault="004803EE" w:rsidP="004803EE">
            <w:pPr>
              <w:widowControl w:val="0"/>
              <w:rPr>
                <w:rFonts w:ascii="Arial Narrow" w:hAnsi="Arial Narrow" w:cs="Arial"/>
                <w:snapToGrid w:val="0"/>
                <w:color w:val="000000"/>
                <w:sz w:val="20"/>
                <w:szCs w:val="20"/>
                <w:lang w:eastAsia="en-US"/>
              </w:rPr>
            </w:pPr>
            <w:r w:rsidRPr="004803EE">
              <w:rPr>
                <w:rFonts w:ascii="Arial Narrow" w:hAnsi="Arial Narrow" w:cs="Arial"/>
                <w:snapToGrid w:val="0"/>
                <w:color w:val="000000"/>
                <w:sz w:val="20"/>
                <w:szCs w:val="20"/>
                <w:lang w:eastAsia="en-US"/>
              </w:rPr>
              <w:t>A non-inferiority claim was made on the basis of the primary endpoint, ORR. Overall survival was potentially confounded by post-progression treatments and so has not been reported.</w:t>
            </w:r>
          </w:p>
        </w:tc>
      </w:tr>
      <w:tr w:rsidR="004803EE" w:rsidRPr="004803EE" w:rsidTr="00522796">
        <w:trPr>
          <w:trHeight w:val="150"/>
        </w:trPr>
        <w:tc>
          <w:tcPr>
            <w:tcW w:w="771" w:type="pct"/>
            <w:vMerge w:val="restart"/>
            <w:shd w:val="clear" w:color="auto" w:fill="auto"/>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Outcome</w:t>
            </w:r>
          </w:p>
        </w:tc>
        <w:tc>
          <w:tcPr>
            <w:tcW w:w="686" w:type="pct"/>
            <w:gridSpan w:val="2"/>
            <w:vMerge w:val="restart"/>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Cmab + FOLFIRI</w:t>
            </w:r>
          </w:p>
        </w:tc>
        <w:tc>
          <w:tcPr>
            <w:tcW w:w="911" w:type="pct"/>
            <w:gridSpan w:val="2"/>
            <w:vMerge w:val="restart"/>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Bmab +</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FOLFIRI</w:t>
            </w:r>
          </w:p>
        </w:tc>
        <w:tc>
          <w:tcPr>
            <w:tcW w:w="914" w:type="pct"/>
            <w:gridSpan w:val="2"/>
            <w:vMerge w:val="restart"/>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RR/HR</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(95% CI)</w:t>
            </w:r>
          </w:p>
        </w:tc>
        <w:tc>
          <w:tcPr>
            <w:tcW w:w="1162" w:type="pct"/>
            <w:gridSpan w:val="4"/>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Event rate/100 patients</w:t>
            </w:r>
          </w:p>
        </w:tc>
        <w:tc>
          <w:tcPr>
            <w:tcW w:w="556" w:type="pct"/>
            <w:vMerge w:val="restart"/>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RD</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(95% CI)</w:t>
            </w:r>
          </w:p>
        </w:tc>
      </w:tr>
      <w:tr w:rsidR="004803EE" w:rsidRPr="004803EE" w:rsidTr="00522796">
        <w:trPr>
          <w:trHeight w:val="315"/>
        </w:trPr>
        <w:tc>
          <w:tcPr>
            <w:tcW w:w="771" w:type="pct"/>
            <w:vMerge/>
            <w:shd w:val="clear" w:color="auto" w:fill="auto"/>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c>
          <w:tcPr>
            <w:tcW w:w="686" w:type="pct"/>
            <w:gridSpan w:val="2"/>
            <w:vMerge/>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c>
          <w:tcPr>
            <w:tcW w:w="911" w:type="pct"/>
            <w:gridSpan w:val="2"/>
            <w:vMerge/>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c>
          <w:tcPr>
            <w:tcW w:w="914" w:type="pct"/>
            <w:gridSpan w:val="2"/>
            <w:vMerge/>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c>
          <w:tcPr>
            <w:tcW w:w="580" w:type="pct"/>
            <w:gridSpan w:val="2"/>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Cmab + FOLFIRI</w:t>
            </w:r>
          </w:p>
        </w:tc>
        <w:tc>
          <w:tcPr>
            <w:tcW w:w="582" w:type="pct"/>
            <w:gridSpan w:val="2"/>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Bmab + FOLFIRI</w:t>
            </w:r>
          </w:p>
        </w:tc>
        <w:tc>
          <w:tcPr>
            <w:tcW w:w="556" w:type="pct"/>
            <w:vMerge/>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r>
      <w:tr w:rsidR="004803EE" w:rsidRPr="004803EE" w:rsidTr="00522796">
        <w:trPr>
          <w:trHeight w:val="553"/>
        </w:trPr>
        <w:tc>
          <w:tcPr>
            <w:tcW w:w="771" w:type="pct"/>
            <w:shd w:val="clear" w:color="auto" w:fill="auto"/>
            <w:vAlign w:val="center"/>
          </w:tcPr>
          <w:p w:rsidR="004803EE" w:rsidRPr="004803EE" w:rsidRDefault="004803EE" w:rsidP="004803EE">
            <w:pPr>
              <w:widowControl w:val="0"/>
              <w:jc w:val="center"/>
              <w:rPr>
                <w:rFonts w:ascii="Arial Narrow" w:hAnsi="Arial Narrow" w:cs="Arial"/>
                <w:snapToGrid w:val="0"/>
                <w:color w:val="000000"/>
                <w:sz w:val="20"/>
                <w:szCs w:val="20"/>
                <w:lang w:eastAsia="en-US"/>
              </w:rPr>
            </w:pPr>
            <w:r w:rsidRPr="004803EE">
              <w:rPr>
                <w:rFonts w:ascii="Arial Narrow" w:hAnsi="Arial Narrow" w:cs="Arial"/>
                <w:snapToGrid w:val="0"/>
                <w:color w:val="000000"/>
                <w:sz w:val="20"/>
                <w:szCs w:val="20"/>
                <w:lang w:eastAsia="en-US"/>
              </w:rPr>
              <w:t>ORR, n/N</w:t>
            </w:r>
          </w:p>
        </w:tc>
        <w:tc>
          <w:tcPr>
            <w:tcW w:w="686" w:type="pct"/>
            <w:gridSpan w:val="2"/>
            <w:vAlign w:val="center"/>
          </w:tcPr>
          <w:p w:rsidR="004803EE" w:rsidRPr="004803EE" w:rsidRDefault="004803EE" w:rsidP="004803EE">
            <w:pPr>
              <w:widowControl w:val="0"/>
              <w:jc w:val="center"/>
              <w:rPr>
                <w:rFonts w:ascii="Arial Narrow" w:hAnsi="Arial Narrow" w:cs="Arial"/>
                <w:snapToGrid w:val="0"/>
                <w:color w:val="000000"/>
                <w:sz w:val="20"/>
                <w:szCs w:val="20"/>
                <w:lang w:eastAsia="en-US"/>
              </w:rPr>
            </w:pPr>
            <w:r w:rsidRPr="004803EE">
              <w:rPr>
                <w:rFonts w:ascii="Arial Narrow" w:hAnsi="Arial Narrow" w:cs="Arial"/>
                <w:snapToGrid w:val="0"/>
                <w:color w:val="000000"/>
                <w:sz w:val="20"/>
                <w:szCs w:val="20"/>
                <w:lang w:eastAsia="en-US"/>
              </w:rPr>
              <w:t>112/171</w:t>
            </w:r>
          </w:p>
        </w:tc>
        <w:tc>
          <w:tcPr>
            <w:tcW w:w="911" w:type="pct"/>
            <w:gridSpan w:val="2"/>
            <w:vAlign w:val="center"/>
          </w:tcPr>
          <w:p w:rsidR="004803EE" w:rsidRPr="004803EE" w:rsidRDefault="004803EE" w:rsidP="004803EE">
            <w:pPr>
              <w:widowControl w:val="0"/>
              <w:jc w:val="center"/>
              <w:rPr>
                <w:rFonts w:ascii="Arial Narrow" w:hAnsi="Arial Narrow" w:cs="Arial"/>
                <w:snapToGrid w:val="0"/>
                <w:color w:val="000000"/>
                <w:sz w:val="20"/>
                <w:szCs w:val="20"/>
                <w:lang w:eastAsia="en-US"/>
              </w:rPr>
            </w:pPr>
            <w:r w:rsidRPr="004803EE">
              <w:rPr>
                <w:rFonts w:ascii="Arial Narrow" w:hAnsi="Arial Narrow" w:cs="Arial"/>
                <w:snapToGrid w:val="0"/>
                <w:color w:val="000000"/>
                <w:sz w:val="20"/>
                <w:szCs w:val="20"/>
                <w:lang w:eastAsia="en-US"/>
              </w:rPr>
              <w:t>102/171</w:t>
            </w:r>
          </w:p>
        </w:tc>
        <w:tc>
          <w:tcPr>
            <w:tcW w:w="914" w:type="pct"/>
            <w:gridSpan w:val="2"/>
            <w:vAlign w:val="center"/>
          </w:tcPr>
          <w:p w:rsidR="004803EE" w:rsidRPr="004803EE" w:rsidRDefault="004803EE" w:rsidP="004803EE">
            <w:pPr>
              <w:widowControl w:val="0"/>
              <w:jc w:val="center"/>
              <w:rPr>
                <w:rFonts w:ascii="Arial Narrow" w:hAnsi="Arial Narrow" w:cs="Arial"/>
                <w:snapToGrid w:val="0"/>
                <w:color w:val="000000"/>
                <w:sz w:val="20"/>
                <w:szCs w:val="20"/>
                <w:lang w:eastAsia="en-US"/>
              </w:rPr>
            </w:pPr>
            <w:r w:rsidRPr="004803EE">
              <w:rPr>
                <w:rFonts w:ascii="Arial Narrow" w:hAnsi="Arial Narrow" w:cs="Arial"/>
                <w:snapToGrid w:val="0"/>
                <w:color w:val="000000"/>
                <w:sz w:val="20"/>
                <w:szCs w:val="20"/>
                <w:lang w:eastAsia="en-US"/>
              </w:rPr>
              <w:t>RR:1.10 (0.93, 1.29)</w:t>
            </w:r>
          </w:p>
        </w:tc>
        <w:tc>
          <w:tcPr>
            <w:tcW w:w="1718" w:type="pct"/>
            <w:gridSpan w:val="5"/>
            <w:vAlign w:val="center"/>
          </w:tcPr>
          <w:p w:rsidR="004803EE" w:rsidRPr="004803EE" w:rsidRDefault="004803EE" w:rsidP="004803EE">
            <w:pPr>
              <w:widowControl w:val="0"/>
              <w:jc w:val="center"/>
              <w:rPr>
                <w:rFonts w:ascii="Arial Narrow" w:hAnsi="Arial Narrow" w:cs="Arial"/>
                <w:snapToGrid w:val="0"/>
                <w:color w:val="000000"/>
                <w:sz w:val="20"/>
                <w:szCs w:val="20"/>
                <w:lang w:eastAsia="en-US"/>
              </w:rPr>
            </w:pPr>
            <w:r w:rsidRPr="004803EE">
              <w:rPr>
                <w:rFonts w:ascii="Arial Narrow" w:hAnsi="Arial Narrow" w:cs="Arial"/>
                <w:snapToGrid w:val="0"/>
                <w:color w:val="000000"/>
                <w:sz w:val="20"/>
                <w:szCs w:val="20"/>
                <w:lang w:eastAsia="en-US"/>
              </w:rPr>
              <w:t>No difference</w:t>
            </w:r>
          </w:p>
        </w:tc>
      </w:tr>
      <w:tr w:rsidR="004803EE" w:rsidRPr="004803EE" w:rsidTr="00522796">
        <w:trPr>
          <w:trHeight w:val="315"/>
        </w:trPr>
        <w:tc>
          <w:tcPr>
            <w:tcW w:w="771" w:type="pct"/>
            <w:shd w:val="clear" w:color="auto" w:fill="auto"/>
            <w:vAlign w:val="center"/>
          </w:tcPr>
          <w:p w:rsidR="004803EE" w:rsidRPr="004803EE" w:rsidRDefault="004803EE" w:rsidP="004803EE">
            <w:pPr>
              <w:widowControl w:val="0"/>
              <w:jc w:val="center"/>
              <w:rPr>
                <w:rFonts w:ascii="Arial Narrow" w:hAnsi="Arial Narrow" w:cs="Arial"/>
                <w:snapToGrid w:val="0"/>
                <w:color w:val="000000"/>
                <w:sz w:val="20"/>
                <w:szCs w:val="20"/>
                <w:lang w:eastAsia="en-US"/>
              </w:rPr>
            </w:pPr>
            <w:r w:rsidRPr="004803EE">
              <w:rPr>
                <w:rFonts w:ascii="Arial Narrow" w:hAnsi="Arial Narrow" w:cs="Arial"/>
                <w:snapToGrid w:val="0"/>
                <w:color w:val="000000"/>
                <w:sz w:val="20"/>
                <w:szCs w:val="20"/>
                <w:lang w:eastAsia="en-US"/>
              </w:rPr>
              <w:t>Median PFS, mths, (95% CI)</w:t>
            </w:r>
          </w:p>
        </w:tc>
        <w:tc>
          <w:tcPr>
            <w:tcW w:w="686" w:type="pct"/>
            <w:gridSpan w:val="2"/>
            <w:shd w:val="clear" w:color="auto" w:fill="auto"/>
            <w:vAlign w:val="center"/>
          </w:tcPr>
          <w:p w:rsidR="004803EE" w:rsidRPr="004803EE" w:rsidRDefault="004803EE" w:rsidP="004803EE">
            <w:pPr>
              <w:keepNext/>
              <w:widowControl w:val="0"/>
              <w:jc w:val="center"/>
              <w:rPr>
                <w:rFonts w:ascii="Arial Narrow" w:hAnsi="Arial Narrow" w:cs="Arial"/>
                <w:snapToGrid w:val="0"/>
                <w:sz w:val="20"/>
                <w:szCs w:val="20"/>
                <w:lang w:eastAsia="en-US"/>
              </w:rPr>
            </w:pPr>
            <w:r w:rsidRPr="004803EE">
              <w:rPr>
                <w:rFonts w:ascii="Arial Narrow" w:hAnsi="Arial Narrow" w:cs="Arial"/>
                <w:snapToGrid w:val="0"/>
                <w:sz w:val="20"/>
                <w:szCs w:val="20"/>
                <w:lang w:eastAsia="en-US"/>
              </w:rPr>
              <w:t>10.4</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snapToGrid w:val="0"/>
                <w:sz w:val="20"/>
                <w:szCs w:val="20"/>
                <w:lang w:eastAsia="en-US"/>
              </w:rPr>
              <w:t>(9.5, 12.2)</w:t>
            </w:r>
          </w:p>
        </w:tc>
        <w:tc>
          <w:tcPr>
            <w:tcW w:w="911" w:type="pct"/>
            <w:gridSpan w:val="2"/>
            <w:shd w:val="clear" w:color="auto" w:fill="auto"/>
            <w:vAlign w:val="center"/>
          </w:tcPr>
          <w:p w:rsidR="004803EE" w:rsidRPr="004803EE" w:rsidRDefault="004803EE" w:rsidP="004803EE">
            <w:pPr>
              <w:keepNext/>
              <w:widowControl w:val="0"/>
              <w:jc w:val="center"/>
              <w:rPr>
                <w:rFonts w:ascii="Arial Narrow" w:hAnsi="Arial Narrow" w:cs="Arial"/>
                <w:snapToGrid w:val="0"/>
                <w:sz w:val="20"/>
                <w:szCs w:val="20"/>
                <w:lang w:eastAsia="en-US"/>
              </w:rPr>
            </w:pPr>
            <w:r w:rsidRPr="004803EE">
              <w:rPr>
                <w:rFonts w:ascii="Arial Narrow" w:hAnsi="Arial Narrow" w:cs="Arial"/>
                <w:snapToGrid w:val="0"/>
                <w:sz w:val="20"/>
                <w:szCs w:val="20"/>
                <w:lang w:eastAsia="en-US"/>
              </w:rPr>
              <w:t>10.2</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snapToGrid w:val="0"/>
                <w:sz w:val="20"/>
                <w:szCs w:val="20"/>
                <w:lang w:eastAsia="en-US"/>
              </w:rPr>
              <w:t>(9.3, 11.5)</w:t>
            </w:r>
          </w:p>
        </w:tc>
        <w:tc>
          <w:tcPr>
            <w:tcW w:w="914" w:type="pct"/>
            <w:gridSpan w:val="2"/>
            <w:shd w:val="clear" w:color="auto" w:fill="auto"/>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snapToGrid w:val="0"/>
                <w:sz w:val="20"/>
                <w:szCs w:val="20"/>
                <w:lang w:eastAsia="en-US"/>
              </w:rPr>
              <w:t>HR:0.93 (0.74, 1.17)</w:t>
            </w:r>
          </w:p>
        </w:tc>
        <w:tc>
          <w:tcPr>
            <w:tcW w:w="1718" w:type="pct"/>
            <w:gridSpan w:val="5"/>
            <w:shd w:val="clear" w:color="auto" w:fill="auto"/>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snapToGrid w:val="0"/>
                <w:color w:val="000000"/>
                <w:sz w:val="20"/>
                <w:szCs w:val="20"/>
                <w:lang w:eastAsia="en-US"/>
              </w:rPr>
              <w:t>No difference</w:t>
            </w:r>
          </w:p>
        </w:tc>
      </w:tr>
      <w:tr w:rsidR="004803EE" w:rsidRPr="004803EE" w:rsidTr="00522796">
        <w:tc>
          <w:tcPr>
            <w:tcW w:w="5000" w:type="pct"/>
            <w:gridSpan w:val="12"/>
            <w:tcBorders>
              <w:top w:val="double" w:sz="4" w:space="0" w:color="auto"/>
            </w:tcBorders>
            <w:shd w:val="clear" w:color="auto" w:fill="D9D9D9" w:themeFill="background1" w:themeFillShade="D9"/>
            <w:vAlign w:val="center"/>
          </w:tcPr>
          <w:p w:rsidR="004803EE" w:rsidRPr="004803EE" w:rsidRDefault="004803EE" w:rsidP="004803EE">
            <w:pPr>
              <w:widowControl w:val="0"/>
              <w:jc w:val="both"/>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Harms</w:t>
            </w:r>
          </w:p>
        </w:tc>
      </w:tr>
      <w:tr w:rsidR="004803EE" w:rsidRPr="004803EE" w:rsidTr="00522796">
        <w:trPr>
          <w:trHeight w:val="70"/>
        </w:trPr>
        <w:tc>
          <w:tcPr>
            <w:tcW w:w="771" w:type="pct"/>
            <w:vMerge w:val="restart"/>
            <w:shd w:val="clear" w:color="auto" w:fill="auto"/>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sz w:val="20"/>
                <w:szCs w:val="20"/>
                <w:lang w:eastAsia="en-US"/>
              </w:rPr>
              <w:t xml:space="preserve">Grade ≥3 </w:t>
            </w:r>
            <w:r w:rsidRPr="004803EE">
              <w:rPr>
                <w:rFonts w:ascii="Arial Narrow" w:hAnsi="Arial Narrow" w:cs="Arial"/>
                <w:b/>
                <w:snapToGrid w:val="0"/>
                <w:color w:val="000000"/>
                <w:sz w:val="20"/>
                <w:szCs w:val="20"/>
                <w:lang w:eastAsia="en-US"/>
              </w:rPr>
              <w:t>AE</w:t>
            </w:r>
          </w:p>
        </w:tc>
        <w:tc>
          <w:tcPr>
            <w:tcW w:w="667" w:type="pct"/>
            <w:vMerge w:val="restart"/>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Cmab + FOLFIRI</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n/N</w:t>
            </w:r>
          </w:p>
        </w:tc>
        <w:tc>
          <w:tcPr>
            <w:tcW w:w="911" w:type="pct"/>
            <w:gridSpan w:val="2"/>
            <w:vMerge w:val="restart"/>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 xml:space="preserve">Bmab + </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FOLFIRI</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n/N</w:t>
            </w:r>
          </w:p>
        </w:tc>
        <w:tc>
          <w:tcPr>
            <w:tcW w:w="912" w:type="pct"/>
            <w:gridSpan w:val="2"/>
            <w:vMerge w:val="restart"/>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RR</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(95% CI)</w:t>
            </w:r>
          </w:p>
        </w:tc>
        <w:tc>
          <w:tcPr>
            <w:tcW w:w="1148" w:type="pct"/>
            <w:gridSpan w:val="4"/>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Event rate/100 patients</w:t>
            </w:r>
            <w:r w:rsidRPr="004803EE">
              <w:rPr>
                <w:rFonts w:ascii="Arial Narrow" w:hAnsi="Arial Narrow" w:cs="Arial"/>
                <w:b/>
                <w:snapToGrid w:val="0"/>
                <w:color w:val="000000"/>
                <w:sz w:val="20"/>
                <w:szCs w:val="20"/>
                <w:vertAlign w:val="superscript"/>
                <w:lang w:eastAsia="en-US"/>
              </w:rPr>
              <w:t>a</w:t>
            </w:r>
          </w:p>
        </w:tc>
        <w:tc>
          <w:tcPr>
            <w:tcW w:w="591" w:type="pct"/>
            <w:gridSpan w:val="2"/>
            <w:vMerge w:val="restart"/>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RD</w:t>
            </w:r>
          </w:p>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(95% CI)</w:t>
            </w:r>
          </w:p>
        </w:tc>
      </w:tr>
      <w:tr w:rsidR="004803EE" w:rsidRPr="004803EE" w:rsidTr="00522796">
        <w:trPr>
          <w:trHeight w:val="580"/>
        </w:trPr>
        <w:tc>
          <w:tcPr>
            <w:tcW w:w="771" w:type="pct"/>
            <w:vMerge/>
            <w:shd w:val="clear" w:color="auto" w:fill="auto"/>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c>
          <w:tcPr>
            <w:tcW w:w="667" w:type="pct"/>
            <w:vMerge/>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c>
          <w:tcPr>
            <w:tcW w:w="911" w:type="pct"/>
            <w:gridSpan w:val="2"/>
            <w:vMerge/>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c>
          <w:tcPr>
            <w:tcW w:w="912" w:type="pct"/>
            <w:gridSpan w:val="2"/>
            <w:vMerge/>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c>
          <w:tcPr>
            <w:tcW w:w="498" w:type="pct"/>
            <w:gridSpan w:val="2"/>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Cmab + FOLFIRI</w:t>
            </w:r>
          </w:p>
        </w:tc>
        <w:tc>
          <w:tcPr>
            <w:tcW w:w="650" w:type="pct"/>
            <w:gridSpan w:val="2"/>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r w:rsidRPr="004803EE">
              <w:rPr>
                <w:rFonts w:ascii="Arial Narrow" w:hAnsi="Arial Narrow" w:cs="Arial"/>
                <w:b/>
                <w:snapToGrid w:val="0"/>
                <w:color w:val="000000"/>
                <w:sz w:val="20"/>
                <w:szCs w:val="20"/>
                <w:lang w:eastAsia="en-US"/>
              </w:rPr>
              <w:t>Bmab + FOLFIRI</w:t>
            </w:r>
          </w:p>
        </w:tc>
        <w:tc>
          <w:tcPr>
            <w:tcW w:w="591" w:type="pct"/>
            <w:gridSpan w:val="2"/>
            <w:vMerge/>
            <w:vAlign w:val="center"/>
          </w:tcPr>
          <w:p w:rsidR="004803EE" w:rsidRPr="004803EE" w:rsidRDefault="004803EE" w:rsidP="004803EE">
            <w:pPr>
              <w:widowControl w:val="0"/>
              <w:jc w:val="center"/>
              <w:rPr>
                <w:rFonts w:ascii="Arial Narrow" w:hAnsi="Arial Narrow" w:cs="Arial"/>
                <w:b/>
                <w:snapToGrid w:val="0"/>
                <w:color w:val="000000"/>
                <w:sz w:val="20"/>
                <w:szCs w:val="20"/>
                <w:lang w:eastAsia="en-US"/>
              </w:rPr>
            </w:pPr>
          </w:p>
        </w:tc>
      </w:tr>
      <w:tr w:rsidR="004803EE" w:rsidRPr="004803EE" w:rsidTr="00522796">
        <w:tc>
          <w:tcPr>
            <w:tcW w:w="771" w:type="pct"/>
            <w:shd w:val="clear" w:color="auto" w:fill="auto"/>
            <w:vAlign w:val="center"/>
          </w:tcPr>
          <w:p w:rsidR="004803EE" w:rsidRPr="004803EE" w:rsidRDefault="004803EE" w:rsidP="004803EE">
            <w:pPr>
              <w:widowControl w:val="0"/>
              <w:jc w:val="center"/>
              <w:rPr>
                <w:rFonts w:ascii="Arial Narrow" w:hAnsi="Arial Narrow" w:cs="Arial"/>
                <w:snapToGrid w:val="0"/>
                <w:color w:val="000000"/>
                <w:sz w:val="20"/>
                <w:szCs w:val="20"/>
                <w:lang w:eastAsia="en-US"/>
              </w:rPr>
            </w:pPr>
            <w:r w:rsidRPr="004803EE">
              <w:rPr>
                <w:rFonts w:ascii="Arial Narrow" w:hAnsi="Arial Narrow" w:cs="Arial"/>
                <w:snapToGrid w:val="0"/>
                <w:color w:val="000000"/>
                <w:sz w:val="20"/>
                <w:szCs w:val="20"/>
                <w:lang w:eastAsia="en-US"/>
              </w:rPr>
              <w:t>Skin reaction</w:t>
            </w:r>
          </w:p>
        </w:tc>
        <w:tc>
          <w:tcPr>
            <w:tcW w:w="667" w:type="pct"/>
            <w:vAlign w:val="center"/>
          </w:tcPr>
          <w:p w:rsidR="004803EE" w:rsidRPr="00C00328" w:rsidRDefault="00C00328" w:rsidP="004803EE">
            <w:pPr>
              <w:widowControl w:val="0"/>
              <w:jc w:val="center"/>
              <w:rPr>
                <w:rFonts w:ascii="Arial Narrow" w:hAnsi="Arial Narrow" w:cs="Arial"/>
                <w:snapToGrid w:val="0"/>
                <w:color w:val="00000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11" w:type="pct"/>
            <w:gridSpan w:val="2"/>
            <w:vAlign w:val="center"/>
          </w:tcPr>
          <w:p w:rsidR="004803EE" w:rsidRPr="00C00328" w:rsidRDefault="00C00328" w:rsidP="004803EE">
            <w:pPr>
              <w:widowControl w:val="0"/>
              <w:jc w:val="center"/>
              <w:rPr>
                <w:rFonts w:ascii="Arial Narrow" w:hAnsi="Arial Narrow" w:cs="Arial"/>
                <w:snapToGrid w:val="0"/>
                <w:color w:val="00000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12" w:type="pct"/>
            <w:gridSpan w:val="2"/>
            <w:vAlign w:val="center"/>
          </w:tcPr>
          <w:p w:rsidR="004803EE" w:rsidRPr="00C00328" w:rsidRDefault="00C00328" w:rsidP="004803EE">
            <w:pPr>
              <w:widowControl w:val="0"/>
              <w:jc w:val="center"/>
              <w:rPr>
                <w:rFonts w:ascii="Arial Narrow" w:hAnsi="Arial Narrow" w:cs="Arial"/>
                <w:snapToGrid w:val="0"/>
                <w:color w:val="000000"/>
                <w:sz w:val="20"/>
                <w:szCs w:val="20"/>
                <w:highlight w:val="black"/>
                <w:lang w:eastAsia="en-US"/>
              </w:rPr>
            </w:pPr>
            <w:r>
              <w:rPr>
                <w:rFonts w:ascii="Arial Narrow" w:hAnsi="Arial Narrow" w:cs="Arial"/>
                <w:noProof/>
                <w:snapToGrid w:val="0"/>
                <w:color w:val="000000"/>
                <w:sz w:val="20"/>
                <w:szCs w:val="20"/>
                <w:highlight w:val="black"/>
                <w:lang w:eastAsia="en-US"/>
              </w:rPr>
              <w:t>''''''''''</w:t>
            </w:r>
          </w:p>
          <w:p w:rsidR="004803EE" w:rsidRPr="00C00328" w:rsidRDefault="00C00328" w:rsidP="004803EE">
            <w:pPr>
              <w:widowControl w:val="0"/>
              <w:jc w:val="center"/>
              <w:rPr>
                <w:rFonts w:ascii="Arial Narrow" w:hAnsi="Arial Narrow" w:cs="Arial"/>
                <w:snapToGrid w:val="0"/>
                <w:color w:val="000000"/>
                <w:sz w:val="20"/>
                <w:szCs w:val="20"/>
                <w:highlight w:val="black"/>
                <w:lang w:eastAsia="en-US"/>
              </w:rPr>
            </w:pPr>
            <w:r>
              <w:rPr>
                <w:rFonts w:ascii="Arial Narrow" w:hAnsi="Arial Narrow" w:cs="Arial"/>
                <w:noProof/>
                <w:snapToGrid w:val="0"/>
                <w:color w:val="000000"/>
                <w:sz w:val="20"/>
                <w:szCs w:val="20"/>
                <w:highlight w:val="black"/>
                <w:lang w:eastAsia="en-US"/>
              </w:rPr>
              <w:t>'''''''''''''''' ''''''''''''''''</w:t>
            </w:r>
          </w:p>
        </w:tc>
        <w:tc>
          <w:tcPr>
            <w:tcW w:w="498" w:type="pct"/>
            <w:gridSpan w:val="2"/>
            <w:vAlign w:val="center"/>
          </w:tcPr>
          <w:p w:rsidR="004803EE" w:rsidRPr="00C00328" w:rsidRDefault="00C00328" w:rsidP="004803EE">
            <w:pPr>
              <w:widowControl w:val="0"/>
              <w:jc w:val="center"/>
              <w:rPr>
                <w:rFonts w:ascii="Arial Narrow" w:hAnsi="Arial Narrow" w:cs="Arial"/>
                <w:snapToGrid w:val="0"/>
                <w:color w:val="00000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50" w:type="pct"/>
            <w:gridSpan w:val="2"/>
            <w:vAlign w:val="center"/>
          </w:tcPr>
          <w:p w:rsidR="004803EE" w:rsidRPr="00C00328" w:rsidRDefault="00C00328" w:rsidP="004803EE">
            <w:pPr>
              <w:widowControl w:val="0"/>
              <w:jc w:val="center"/>
              <w:rPr>
                <w:rFonts w:ascii="Arial Narrow" w:hAnsi="Arial Narrow" w:cs="Arial"/>
                <w:snapToGrid w:val="0"/>
                <w:color w:val="00000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91" w:type="pct"/>
            <w:gridSpan w:val="2"/>
            <w:vAlign w:val="center"/>
          </w:tcPr>
          <w:p w:rsidR="004803EE" w:rsidRPr="00C00328" w:rsidRDefault="00C00328" w:rsidP="004803EE">
            <w:pPr>
              <w:widowControl w:val="0"/>
              <w:jc w:val="center"/>
              <w:rPr>
                <w:rFonts w:ascii="Arial Narrow" w:hAnsi="Arial Narrow" w:cs="Arial"/>
                <w:snapToGrid w:val="0"/>
                <w:color w:val="000000"/>
                <w:sz w:val="20"/>
                <w:szCs w:val="20"/>
                <w:highlight w:val="black"/>
                <w:lang w:eastAsia="en-US"/>
              </w:rPr>
            </w:pPr>
            <w:r>
              <w:rPr>
                <w:rFonts w:ascii="Arial Narrow" w:hAnsi="Arial Narrow" w:cs="Arial"/>
                <w:noProof/>
                <w:snapToGrid w:val="0"/>
                <w:color w:val="000000"/>
                <w:sz w:val="20"/>
                <w:szCs w:val="20"/>
                <w:highlight w:val="black"/>
                <w:lang w:eastAsia="en-US"/>
              </w:rPr>
              <w:t>'''''''''''</w:t>
            </w:r>
          </w:p>
          <w:p w:rsidR="004803EE" w:rsidRPr="00C00328" w:rsidRDefault="00C00328" w:rsidP="004803EE">
            <w:pPr>
              <w:widowControl w:val="0"/>
              <w:jc w:val="center"/>
              <w:rPr>
                <w:rFonts w:ascii="Arial Narrow" w:hAnsi="Arial Narrow" w:cs="Arial"/>
                <w:snapToGrid w:val="0"/>
                <w:color w:val="000000"/>
                <w:sz w:val="20"/>
                <w:szCs w:val="20"/>
                <w:highlight w:val="black"/>
                <w:lang w:eastAsia="en-US"/>
              </w:rPr>
            </w:pPr>
            <w:r>
              <w:rPr>
                <w:rFonts w:ascii="Arial Narrow" w:hAnsi="Arial Narrow" w:cs="Arial"/>
                <w:noProof/>
                <w:snapToGrid w:val="0"/>
                <w:color w:val="000000"/>
                <w:sz w:val="20"/>
                <w:szCs w:val="20"/>
                <w:highlight w:val="black"/>
                <w:lang w:eastAsia="en-US"/>
              </w:rPr>
              <w:t>'''''''''''''' '''''''''''</w:t>
            </w:r>
          </w:p>
        </w:tc>
      </w:tr>
    </w:tbl>
    <w:p w:rsidR="004803EE" w:rsidRPr="004803EE" w:rsidRDefault="004803EE" w:rsidP="004803EE">
      <w:pPr>
        <w:widowControl w:val="0"/>
        <w:ind w:left="720"/>
        <w:jc w:val="both"/>
        <w:rPr>
          <w:rFonts w:ascii="Arial Narrow" w:hAnsi="Arial Narrow" w:cs="Arial"/>
          <w:snapToGrid w:val="0"/>
          <w:sz w:val="20"/>
          <w:szCs w:val="20"/>
          <w:lang w:eastAsia="en-US"/>
        </w:rPr>
      </w:pPr>
      <w:r w:rsidRPr="004803EE">
        <w:rPr>
          <w:rFonts w:ascii="Arial Narrow" w:hAnsi="Arial Narrow" w:cs="Arial"/>
          <w:snapToGrid w:val="0"/>
          <w:sz w:val="20"/>
          <w:szCs w:val="20"/>
          <w:vertAlign w:val="superscript"/>
          <w:lang w:eastAsia="en-US"/>
        </w:rPr>
        <w:t>a</w:t>
      </w:r>
      <w:r w:rsidRPr="004803EE">
        <w:rPr>
          <w:rFonts w:ascii="Arial Narrow" w:hAnsi="Arial Narrow" w:cs="Arial"/>
          <w:snapToGrid w:val="0"/>
          <w:sz w:val="20"/>
          <w:szCs w:val="20"/>
          <w:lang w:eastAsia="en-US"/>
        </w:rPr>
        <w:t>Median duration of follow-up in FIRE-3 for RAS WT was not provided. KRAS WT: 33 months and 39 months for cetuximab and bevacizumab arms, respectively.</w:t>
      </w:r>
    </w:p>
    <w:p w:rsidR="004803EE" w:rsidRPr="004803EE" w:rsidRDefault="004803EE" w:rsidP="004803EE">
      <w:pPr>
        <w:widowControl w:val="0"/>
        <w:ind w:left="720"/>
        <w:jc w:val="both"/>
        <w:rPr>
          <w:rFonts w:ascii="Arial Narrow" w:hAnsi="Arial Narrow" w:cs="Arial"/>
          <w:snapToGrid w:val="0"/>
          <w:sz w:val="20"/>
          <w:szCs w:val="20"/>
          <w:lang w:eastAsia="en-US"/>
        </w:rPr>
      </w:pPr>
      <w:r w:rsidRPr="004803EE">
        <w:rPr>
          <w:rFonts w:ascii="Arial Narrow" w:hAnsi="Arial Narrow" w:cs="Arial"/>
          <w:snapToGrid w:val="0"/>
          <w:sz w:val="20"/>
          <w:szCs w:val="20"/>
          <w:lang w:eastAsia="en-US"/>
        </w:rPr>
        <w:t>Cmab = Cetuximab; Bmab = Bevacizumab; RD = risk difference; RR = risk ratio, HR = hazard ratio; N = the number of patients in each arm; ORR = overall response rate (complete response plus partial response); PFS = progression-free survival; FOLFIRI = 5-fluorouracil, folinic acid and irinotecan; AE = adverse events</w:t>
      </w:r>
    </w:p>
    <w:p w:rsidR="004803EE" w:rsidRPr="004803EE" w:rsidRDefault="004803EE" w:rsidP="004803EE">
      <w:pPr>
        <w:widowControl w:val="0"/>
        <w:ind w:left="720"/>
        <w:jc w:val="both"/>
        <w:rPr>
          <w:rFonts w:ascii="Arial Narrow" w:hAnsi="Arial Narrow" w:cs="Arial"/>
          <w:snapToGrid w:val="0"/>
          <w:sz w:val="20"/>
          <w:szCs w:val="20"/>
          <w:lang w:eastAsia="en-US"/>
        </w:rPr>
      </w:pPr>
      <w:r w:rsidRPr="004803EE">
        <w:rPr>
          <w:rFonts w:ascii="Arial Narrow" w:hAnsi="Arial Narrow" w:cs="Arial"/>
          <w:snapToGrid w:val="0"/>
          <w:sz w:val="20"/>
          <w:szCs w:val="20"/>
          <w:lang w:eastAsia="en-US"/>
        </w:rPr>
        <w:t>Source: Compiled during the evaluation</w:t>
      </w:r>
    </w:p>
    <w:p w:rsidR="00DC27A9" w:rsidRDefault="00DC27A9">
      <w:pPr>
        <w:rPr>
          <w:rFonts w:ascii="Arial" w:hAnsi="Arial"/>
          <w:sz w:val="22"/>
          <w:szCs w:val="22"/>
        </w:rPr>
      </w:pPr>
      <w:r>
        <w:rPr>
          <w:rFonts w:ascii="Arial" w:hAnsi="Arial"/>
          <w:sz w:val="22"/>
          <w:szCs w:val="22"/>
        </w:rPr>
        <w:br w:type="page"/>
      </w:r>
    </w:p>
    <w:p w:rsidR="008E5870" w:rsidRDefault="004803EE" w:rsidP="00D479CB">
      <w:pPr>
        <w:pStyle w:val="ListParagraph"/>
        <w:numPr>
          <w:ilvl w:val="1"/>
          <w:numId w:val="25"/>
        </w:numPr>
        <w:jc w:val="both"/>
        <w:rPr>
          <w:rFonts w:ascii="Arial" w:hAnsi="Arial"/>
          <w:sz w:val="22"/>
          <w:szCs w:val="22"/>
        </w:rPr>
      </w:pPr>
      <w:r w:rsidRPr="004803EE">
        <w:rPr>
          <w:rFonts w:ascii="Arial" w:hAnsi="Arial"/>
          <w:sz w:val="22"/>
          <w:szCs w:val="22"/>
        </w:rPr>
        <w:lastRenderedPageBreak/>
        <w:t>On the basis of direct evidence provided by the FIRE-3 trial, for every 100 patients treated with cetuximab + FOLFIRI in comparison to bevacizumab + FOLFIRI</w:t>
      </w:r>
      <w:r>
        <w:rPr>
          <w:rFonts w:ascii="Arial" w:hAnsi="Arial"/>
          <w:sz w:val="22"/>
          <w:szCs w:val="22"/>
        </w:rPr>
        <w:t>:</w:t>
      </w:r>
    </w:p>
    <w:p w:rsidR="004803EE" w:rsidRPr="004803EE" w:rsidRDefault="004803EE" w:rsidP="004803EE">
      <w:pPr>
        <w:pStyle w:val="ListParagraph"/>
        <w:numPr>
          <w:ilvl w:val="0"/>
          <w:numId w:val="41"/>
        </w:numPr>
        <w:ind w:left="993" w:hanging="284"/>
        <w:jc w:val="both"/>
        <w:rPr>
          <w:rFonts w:ascii="Arial" w:hAnsi="Arial" w:cs="Arial"/>
          <w:sz w:val="22"/>
          <w:szCs w:val="22"/>
        </w:rPr>
      </w:pPr>
      <w:r w:rsidRPr="004803EE">
        <w:rPr>
          <w:rFonts w:ascii="Arial" w:hAnsi="Arial" w:cs="Arial"/>
          <w:sz w:val="22"/>
          <w:szCs w:val="22"/>
        </w:rPr>
        <w:t>there is no difference in overall response rate</w:t>
      </w:r>
    </w:p>
    <w:p w:rsidR="004803EE" w:rsidRPr="004803EE" w:rsidRDefault="004803EE" w:rsidP="004803EE">
      <w:pPr>
        <w:pStyle w:val="ListParagraph"/>
        <w:numPr>
          <w:ilvl w:val="0"/>
          <w:numId w:val="41"/>
        </w:numPr>
        <w:ind w:left="993" w:hanging="284"/>
        <w:jc w:val="both"/>
        <w:rPr>
          <w:rFonts w:ascii="Arial" w:hAnsi="Arial" w:cs="Arial"/>
          <w:sz w:val="22"/>
          <w:szCs w:val="22"/>
        </w:rPr>
      </w:pPr>
      <w:r w:rsidRPr="004803EE">
        <w:rPr>
          <w:rFonts w:ascii="Arial" w:hAnsi="Arial" w:cs="Arial"/>
          <w:sz w:val="22"/>
          <w:szCs w:val="22"/>
        </w:rPr>
        <w:t>there is no difference in progression-free survival</w:t>
      </w:r>
    </w:p>
    <w:p w:rsidR="004803EE" w:rsidRPr="004803EE" w:rsidRDefault="004803EE" w:rsidP="004803EE">
      <w:pPr>
        <w:pStyle w:val="ListParagraph"/>
        <w:numPr>
          <w:ilvl w:val="0"/>
          <w:numId w:val="41"/>
        </w:numPr>
        <w:ind w:left="993" w:hanging="284"/>
        <w:jc w:val="both"/>
        <w:rPr>
          <w:rFonts w:ascii="Arial" w:hAnsi="Arial" w:cs="Arial"/>
          <w:sz w:val="22"/>
          <w:szCs w:val="22"/>
        </w:rPr>
      </w:pPr>
      <w:r w:rsidRPr="004803EE">
        <w:rPr>
          <w:rFonts w:ascii="Arial" w:hAnsi="Arial" w:cs="Arial"/>
          <w:sz w:val="22"/>
          <w:szCs w:val="22"/>
        </w:rPr>
        <w:t>approximately 26 additional patients would have a Grade ≥ 3 skin reaction up until disease progression</w:t>
      </w:r>
    </w:p>
    <w:p w:rsidR="004803EE" w:rsidRPr="004803EE" w:rsidRDefault="004803EE" w:rsidP="004803EE">
      <w:pPr>
        <w:pStyle w:val="ListParagraph"/>
        <w:numPr>
          <w:ilvl w:val="0"/>
          <w:numId w:val="41"/>
        </w:numPr>
        <w:ind w:left="993" w:hanging="284"/>
        <w:jc w:val="both"/>
        <w:rPr>
          <w:rFonts w:ascii="Arial" w:hAnsi="Arial" w:cs="Arial"/>
          <w:sz w:val="22"/>
          <w:szCs w:val="22"/>
        </w:rPr>
      </w:pPr>
      <w:r w:rsidRPr="004803EE">
        <w:rPr>
          <w:rFonts w:ascii="Arial" w:hAnsi="Arial" w:cs="Arial"/>
          <w:sz w:val="22"/>
          <w:szCs w:val="22"/>
        </w:rPr>
        <w:t>approximately 6 additional patients would experience Grade ≥ 3 haemotoxicity</w:t>
      </w:r>
    </w:p>
    <w:p w:rsidR="004803EE" w:rsidRPr="004803EE" w:rsidRDefault="004803EE" w:rsidP="004A6A1E">
      <w:pPr>
        <w:pStyle w:val="ListParagraph"/>
        <w:numPr>
          <w:ilvl w:val="0"/>
          <w:numId w:val="41"/>
        </w:numPr>
        <w:ind w:left="993" w:hanging="284"/>
        <w:jc w:val="both"/>
        <w:rPr>
          <w:rFonts w:ascii="Arial" w:hAnsi="Arial" w:cs="Arial"/>
          <w:sz w:val="22"/>
          <w:szCs w:val="22"/>
        </w:rPr>
      </w:pPr>
      <w:r w:rsidRPr="004803EE">
        <w:rPr>
          <w:rFonts w:ascii="Arial" w:hAnsi="Arial" w:cs="Arial"/>
          <w:sz w:val="22"/>
          <w:szCs w:val="22"/>
        </w:rPr>
        <w:t xml:space="preserve">approximately </w:t>
      </w:r>
      <w:r w:rsidR="004A6A1E">
        <w:rPr>
          <w:rFonts w:ascii="Arial" w:hAnsi="Arial" w:cs="Arial"/>
          <w:sz w:val="22"/>
          <w:szCs w:val="22"/>
        </w:rPr>
        <w:t>6 additional</w:t>
      </w:r>
      <w:r w:rsidRPr="004803EE">
        <w:rPr>
          <w:rFonts w:ascii="Arial" w:hAnsi="Arial" w:cs="Arial"/>
          <w:sz w:val="22"/>
          <w:szCs w:val="22"/>
        </w:rPr>
        <w:t xml:space="preserve"> patients would experience Grade ≥ 3 </w:t>
      </w:r>
      <w:r w:rsidR="004A6A1E">
        <w:rPr>
          <w:rFonts w:ascii="Arial" w:hAnsi="Arial" w:cs="Arial"/>
          <w:sz w:val="22"/>
          <w:szCs w:val="22"/>
        </w:rPr>
        <w:t>hypokalaemia.</w:t>
      </w:r>
    </w:p>
    <w:p w:rsidR="00BB7EC3" w:rsidRDefault="00BB7EC3" w:rsidP="00BB7EC3">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82085" w:rsidRPr="00A1420E" w:rsidRDefault="00882085" w:rsidP="00882085">
      <w:pPr>
        <w:jc w:val="both"/>
        <w:rPr>
          <w:rFonts w:ascii="Arial" w:hAnsi="Arial"/>
          <w:sz w:val="22"/>
          <w:szCs w:val="22"/>
        </w:rPr>
      </w:pPr>
    </w:p>
    <w:p w:rsidR="005A3173" w:rsidRPr="00F3502F" w:rsidRDefault="005A3173" w:rsidP="00882085">
      <w:pPr>
        <w:jc w:val="both"/>
        <w:rPr>
          <w:rFonts w:ascii="Arial" w:hAnsi="Arial"/>
          <w:b/>
          <w:sz w:val="22"/>
          <w:szCs w:val="22"/>
        </w:rPr>
      </w:pPr>
      <w:r w:rsidRPr="00F3502F">
        <w:rPr>
          <w:rFonts w:ascii="Arial" w:hAnsi="Arial"/>
          <w:b/>
          <w:sz w:val="22"/>
          <w:szCs w:val="22"/>
        </w:rPr>
        <w:t>Clinical claim</w:t>
      </w:r>
    </w:p>
    <w:p w:rsidR="005A3173" w:rsidRPr="00882085" w:rsidRDefault="005A3173" w:rsidP="00882085">
      <w:pPr>
        <w:ind w:left="720" w:hanging="720"/>
        <w:jc w:val="both"/>
        <w:rPr>
          <w:rFonts w:ascii="Arial" w:hAnsi="Arial"/>
          <w:sz w:val="22"/>
          <w:szCs w:val="22"/>
        </w:rPr>
      </w:pPr>
    </w:p>
    <w:p w:rsidR="000B558D" w:rsidRDefault="008E6E51" w:rsidP="00D479CB">
      <w:pPr>
        <w:pStyle w:val="ListParagraph"/>
        <w:numPr>
          <w:ilvl w:val="1"/>
          <w:numId w:val="25"/>
        </w:numPr>
        <w:jc w:val="both"/>
        <w:rPr>
          <w:rFonts w:ascii="Arial" w:hAnsi="Arial"/>
          <w:sz w:val="22"/>
          <w:szCs w:val="22"/>
        </w:rPr>
      </w:pPr>
      <w:r>
        <w:rPr>
          <w:rFonts w:ascii="Arial" w:hAnsi="Arial"/>
          <w:sz w:val="22"/>
          <w:szCs w:val="22"/>
        </w:rPr>
        <w:t xml:space="preserve">The resubmission claims that </w:t>
      </w:r>
      <w:r w:rsidR="006F01EC" w:rsidRPr="006F01EC">
        <w:rPr>
          <w:rFonts w:ascii="Arial" w:hAnsi="Arial"/>
          <w:sz w:val="22"/>
          <w:szCs w:val="22"/>
        </w:rPr>
        <w:t xml:space="preserve">cetuximab is </w:t>
      </w:r>
      <w:r>
        <w:rPr>
          <w:rFonts w:ascii="Arial" w:hAnsi="Arial"/>
          <w:sz w:val="22"/>
          <w:szCs w:val="22"/>
        </w:rPr>
        <w:t>“…</w:t>
      </w:r>
      <w:r w:rsidR="006F01EC" w:rsidRPr="006F01EC">
        <w:rPr>
          <w:rFonts w:ascii="Arial" w:hAnsi="Arial"/>
          <w:sz w:val="22"/>
          <w:szCs w:val="22"/>
        </w:rPr>
        <w:t>at least as good as bevacizumab</w:t>
      </w:r>
      <w:r>
        <w:rPr>
          <w:rFonts w:ascii="Arial" w:hAnsi="Arial"/>
          <w:sz w:val="22"/>
          <w:szCs w:val="22"/>
        </w:rPr>
        <w:t>…</w:t>
      </w:r>
      <w:r w:rsidR="006F01EC" w:rsidRPr="006F01EC">
        <w:rPr>
          <w:rFonts w:ascii="Arial" w:hAnsi="Arial"/>
          <w:sz w:val="22"/>
          <w:szCs w:val="22"/>
        </w:rPr>
        <w:t>” in terms of eff</w:t>
      </w:r>
      <w:r w:rsidR="007E0833">
        <w:rPr>
          <w:rFonts w:ascii="Arial" w:hAnsi="Arial"/>
          <w:sz w:val="22"/>
          <w:szCs w:val="22"/>
        </w:rPr>
        <w:t>ectiveness</w:t>
      </w:r>
      <w:r w:rsidR="006F01EC" w:rsidRPr="006F01EC">
        <w:rPr>
          <w:rFonts w:ascii="Arial" w:hAnsi="Arial"/>
          <w:sz w:val="22"/>
          <w:szCs w:val="22"/>
        </w:rPr>
        <w:t xml:space="preserve"> and the two agents have different safety profiles. This claim </w:t>
      </w:r>
      <w:r w:rsidR="007E0833">
        <w:rPr>
          <w:rFonts w:ascii="Arial" w:hAnsi="Arial"/>
          <w:sz w:val="22"/>
          <w:szCs w:val="22"/>
        </w:rPr>
        <w:t>for</w:t>
      </w:r>
      <w:r w:rsidR="006F01EC" w:rsidRPr="006F01EC">
        <w:rPr>
          <w:rFonts w:ascii="Arial" w:hAnsi="Arial"/>
          <w:sz w:val="22"/>
          <w:szCs w:val="22"/>
        </w:rPr>
        <w:t xml:space="preserve"> comparative effectiveness is supported by the ORR and PFS results from the FIRE-3 trial. The OS results are difficult to interpret due to the uncertain impact of subsequent post-progression treatments. The claim </w:t>
      </w:r>
      <w:r w:rsidR="00A1420E">
        <w:rPr>
          <w:rFonts w:ascii="Arial" w:hAnsi="Arial"/>
          <w:sz w:val="22"/>
          <w:szCs w:val="22"/>
        </w:rPr>
        <w:t>for</w:t>
      </w:r>
      <w:r w:rsidR="006F01EC" w:rsidRPr="006F01EC">
        <w:rPr>
          <w:rFonts w:ascii="Arial" w:hAnsi="Arial"/>
          <w:sz w:val="22"/>
          <w:szCs w:val="22"/>
        </w:rPr>
        <w:t xml:space="preserve"> comparative safety is supported by the FIRE-3 trial safety data</w:t>
      </w:r>
      <w:r w:rsidR="00BB7EC3">
        <w:rPr>
          <w:rFonts w:ascii="Arial" w:hAnsi="Arial"/>
          <w:sz w:val="22"/>
          <w:szCs w:val="22"/>
        </w:rPr>
        <w:t>.</w:t>
      </w:r>
    </w:p>
    <w:p w:rsidR="00BB7EC3" w:rsidRPr="007E0833" w:rsidRDefault="00BB7EC3" w:rsidP="007E0833">
      <w:pPr>
        <w:jc w:val="both"/>
        <w:rPr>
          <w:rFonts w:ascii="Arial" w:hAnsi="Arial"/>
          <w:sz w:val="22"/>
          <w:szCs w:val="22"/>
        </w:rPr>
      </w:pPr>
    </w:p>
    <w:p w:rsidR="006F01EC" w:rsidRDefault="006F01EC" w:rsidP="00D479CB">
      <w:pPr>
        <w:pStyle w:val="ListParagraph"/>
        <w:numPr>
          <w:ilvl w:val="1"/>
          <w:numId w:val="25"/>
        </w:numPr>
        <w:jc w:val="both"/>
        <w:rPr>
          <w:rFonts w:ascii="Arial" w:hAnsi="Arial"/>
          <w:sz w:val="22"/>
          <w:szCs w:val="22"/>
        </w:rPr>
      </w:pPr>
      <w:r w:rsidRPr="006F01EC">
        <w:rPr>
          <w:rFonts w:ascii="Arial" w:hAnsi="Arial"/>
          <w:sz w:val="22"/>
          <w:szCs w:val="22"/>
        </w:rPr>
        <w:t>No claim is made in the resubmission regarding the addition of cetuximab to chemotherapy versus chemotherapy alone as bevacizumab was the only comparator nominated in the resubmission. The trials examining this comparison suggest that for the first-line RAS WT mCRC population, the addition of cetuximab to chemotherapy results in superior comparative effectiveness and inferior comparative safety. The extent of incremental benefit appears to vary with the choice of chemotherapy partner with the use of an oxaliplatin-based regimen being the less compelling chemotherapy partner</w:t>
      </w:r>
      <w:r>
        <w:rPr>
          <w:rFonts w:ascii="Arial" w:hAnsi="Arial"/>
          <w:sz w:val="22"/>
          <w:szCs w:val="22"/>
        </w:rPr>
        <w:t>.</w:t>
      </w:r>
    </w:p>
    <w:p w:rsidR="006F01EC" w:rsidRPr="007E0833" w:rsidRDefault="006F01EC" w:rsidP="007E0833">
      <w:pPr>
        <w:rPr>
          <w:rFonts w:ascii="Arial" w:hAnsi="Arial"/>
          <w:sz w:val="22"/>
          <w:szCs w:val="22"/>
        </w:rPr>
      </w:pPr>
    </w:p>
    <w:p w:rsidR="00BB7EC3" w:rsidRPr="006F01EC" w:rsidRDefault="006F01EC" w:rsidP="00D479CB">
      <w:pPr>
        <w:pStyle w:val="ListParagraph"/>
        <w:numPr>
          <w:ilvl w:val="1"/>
          <w:numId w:val="25"/>
        </w:numPr>
        <w:jc w:val="both"/>
        <w:rPr>
          <w:rFonts w:ascii="Arial" w:hAnsi="Arial"/>
          <w:sz w:val="22"/>
          <w:szCs w:val="22"/>
        </w:rPr>
      </w:pPr>
      <w:r w:rsidRPr="006F01EC">
        <w:rPr>
          <w:rFonts w:ascii="Arial" w:hAnsi="Arial"/>
          <w:sz w:val="22"/>
          <w:szCs w:val="22"/>
        </w:rPr>
        <w:t>The ESC noted preliminary analysis of the RAS WT subgroup data from the CALGB trial which compared bevacizumab and cetuximab using both oxaliplatin- and irinotecan-based chemotherapies, present</w:t>
      </w:r>
      <w:r w:rsidR="007E0833">
        <w:rPr>
          <w:rFonts w:ascii="Arial" w:hAnsi="Arial"/>
          <w:sz w:val="22"/>
          <w:szCs w:val="22"/>
        </w:rPr>
        <w:t>ed at the 2014 ESMO conference,</w:t>
      </w:r>
      <w:r w:rsidRPr="006F01EC">
        <w:rPr>
          <w:rFonts w:ascii="Arial" w:hAnsi="Arial"/>
          <w:sz w:val="22"/>
          <w:szCs w:val="22"/>
        </w:rPr>
        <w:t xml:space="preserve"> demonstrated no statistically significant difference in terms of overall survival and progression-free survival, but a statistically significantly higher response in the cetuximab arm (68.6% v 53.6%, p&lt;0.01).</w:t>
      </w:r>
    </w:p>
    <w:p w:rsidR="00BB7EC3" w:rsidRPr="00BB7EC3" w:rsidRDefault="00BB7EC3" w:rsidP="00BB7EC3">
      <w:pPr>
        <w:jc w:val="both"/>
        <w:rPr>
          <w:rFonts w:ascii="Arial" w:hAnsi="Arial"/>
          <w:sz w:val="22"/>
          <w:szCs w:val="22"/>
        </w:rPr>
      </w:pPr>
    </w:p>
    <w:p w:rsidR="00BB7EC3" w:rsidRPr="005F4226" w:rsidRDefault="00BB7EC3" w:rsidP="00D479CB">
      <w:pPr>
        <w:pStyle w:val="ListParagraph"/>
        <w:numPr>
          <w:ilvl w:val="1"/>
          <w:numId w:val="25"/>
        </w:numPr>
        <w:jc w:val="both"/>
        <w:rPr>
          <w:rFonts w:ascii="Arial" w:hAnsi="Arial"/>
          <w:sz w:val="22"/>
          <w:szCs w:val="22"/>
        </w:rPr>
      </w:pPr>
      <w:r w:rsidRPr="005F4226">
        <w:rPr>
          <w:rFonts w:ascii="Arial" w:hAnsi="Arial"/>
          <w:sz w:val="22"/>
          <w:szCs w:val="22"/>
        </w:rPr>
        <w:t>The PBAC consid</w:t>
      </w:r>
      <w:r w:rsidR="005F4226">
        <w:rPr>
          <w:rFonts w:ascii="Arial" w:hAnsi="Arial"/>
          <w:sz w:val="22"/>
          <w:szCs w:val="22"/>
        </w:rPr>
        <w:t xml:space="preserve">ered that the claim of non-inferior </w:t>
      </w:r>
      <w:r w:rsidRPr="005F4226">
        <w:rPr>
          <w:rFonts w:ascii="Arial" w:hAnsi="Arial"/>
          <w:sz w:val="22"/>
          <w:szCs w:val="22"/>
        </w:rPr>
        <w:t>comparative effec</w:t>
      </w:r>
      <w:r w:rsidR="005F4226">
        <w:rPr>
          <w:rFonts w:ascii="Arial" w:hAnsi="Arial"/>
          <w:sz w:val="22"/>
          <w:szCs w:val="22"/>
        </w:rPr>
        <w:t xml:space="preserve">tiveness was supported by </w:t>
      </w:r>
      <w:r w:rsidR="00F70522">
        <w:rPr>
          <w:rFonts w:ascii="Arial" w:hAnsi="Arial"/>
          <w:sz w:val="22"/>
          <w:szCs w:val="22"/>
        </w:rPr>
        <w:t xml:space="preserve">its assessment of </w:t>
      </w:r>
      <w:r w:rsidR="005F4226">
        <w:rPr>
          <w:rFonts w:ascii="Arial" w:hAnsi="Arial"/>
          <w:sz w:val="22"/>
          <w:szCs w:val="22"/>
        </w:rPr>
        <w:t xml:space="preserve">the </w:t>
      </w:r>
      <w:r w:rsidR="007E0833">
        <w:rPr>
          <w:rFonts w:ascii="Arial" w:hAnsi="Arial"/>
          <w:sz w:val="22"/>
          <w:szCs w:val="22"/>
        </w:rPr>
        <w:t xml:space="preserve">overall results of </w:t>
      </w:r>
      <w:r w:rsidR="00F70522">
        <w:rPr>
          <w:rFonts w:ascii="Arial" w:hAnsi="Arial"/>
          <w:sz w:val="22"/>
          <w:szCs w:val="22"/>
        </w:rPr>
        <w:t xml:space="preserve">both </w:t>
      </w:r>
      <w:r w:rsidR="00EA1D3A">
        <w:rPr>
          <w:rFonts w:ascii="Arial" w:hAnsi="Arial"/>
          <w:sz w:val="22"/>
          <w:szCs w:val="22"/>
        </w:rPr>
        <w:t>FIRE-3 and CALGB/SWOG 80405</w:t>
      </w:r>
      <w:r w:rsidRPr="005F4226">
        <w:rPr>
          <w:rFonts w:ascii="Arial" w:hAnsi="Arial"/>
          <w:sz w:val="22"/>
          <w:szCs w:val="22"/>
        </w:rPr>
        <w:t>.</w:t>
      </w:r>
    </w:p>
    <w:p w:rsidR="00BB7EC3" w:rsidRPr="007E0833" w:rsidRDefault="00BB7EC3" w:rsidP="007E0833">
      <w:pPr>
        <w:rPr>
          <w:rFonts w:ascii="Arial" w:hAnsi="Arial"/>
          <w:sz w:val="22"/>
          <w:szCs w:val="22"/>
        </w:rPr>
      </w:pPr>
    </w:p>
    <w:p w:rsidR="00BB7EC3" w:rsidRPr="007E0833" w:rsidRDefault="00BB7EC3" w:rsidP="00D479CB">
      <w:pPr>
        <w:pStyle w:val="ListParagraph"/>
        <w:numPr>
          <w:ilvl w:val="1"/>
          <w:numId w:val="25"/>
        </w:numPr>
        <w:jc w:val="both"/>
        <w:rPr>
          <w:rFonts w:ascii="Arial" w:hAnsi="Arial"/>
          <w:sz w:val="22"/>
          <w:szCs w:val="22"/>
        </w:rPr>
      </w:pPr>
      <w:r w:rsidRPr="005F4226">
        <w:rPr>
          <w:rFonts w:ascii="Arial" w:hAnsi="Arial"/>
          <w:sz w:val="22"/>
          <w:szCs w:val="22"/>
        </w:rPr>
        <w:t>The PBAC consid</w:t>
      </w:r>
      <w:r w:rsidR="005F4226">
        <w:rPr>
          <w:rFonts w:ascii="Arial" w:hAnsi="Arial"/>
          <w:sz w:val="22"/>
          <w:szCs w:val="22"/>
        </w:rPr>
        <w:t xml:space="preserve">ered that the claim of non-inferior </w:t>
      </w:r>
      <w:r w:rsidRPr="005F4226">
        <w:rPr>
          <w:rFonts w:ascii="Arial" w:hAnsi="Arial"/>
          <w:sz w:val="22"/>
          <w:szCs w:val="22"/>
        </w:rPr>
        <w:t>comparative safety was reasonable</w:t>
      </w:r>
      <w:r w:rsidR="005F4226">
        <w:rPr>
          <w:rFonts w:ascii="Arial" w:hAnsi="Arial"/>
          <w:sz w:val="22"/>
          <w:szCs w:val="22"/>
        </w:rPr>
        <w:t xml:space="preserve"> noting that cetuximab has a different safety profile compared to bevacizumab</w:t>
      </w:r>
      <w:r w:rsidRPr="005F4226">
        <w:rPr>
          <w:rFonts w:ascii="Arial" w:hAnsi="Arial"/>
          <w:sz w:val="22"/>
          <w:szCs w:val="22"/>
        </w:rPr>
        <w:t>.</w:t>
      </w:r>
    </w:p>
    <w:p w:rsidR="00BB7EC3" w:rsidRPr="007E0833" w:rsidRDefault="00BB7EC3" w:rsidP="007E0833">
      <w:pPr>
        <w:jc w:val="both"/>
        <w:rPr>
          <w:rFonts w:ascii="Arial" w:hAnsi="Arial"/>
          <w:sz w:val="22"/>
          <w:szCs w:val="22"/>
        </w:rPr>
      </w:pPr>
    </w:p>
    <w:p w:rsidR="005A3173" w:rsidRPr="00F3502F" w:rsidRDefault="005A3173" w:rsidP="00882085">
      <w:pPr>
        <w:ind w:left="720" w:hanging="720"/>
        <w:jc w:val="both"/>
        <w:rPr>
          <w:rFonts w:ascii="Arial" w:hAnsi="Arial"/>
          <w:b/>
          <w:sz w:val="22"/>
          <w:szCs w:val="22"/>
        </w:rPr>
      </w:pPr>
      <w:r w:rsidRPr="00F3502F">
        <w:rPr>
          <w:rFonts w:ascii="Arial" w:hAnsi="Arial"/>
          <w:b/>
          <w:sz w:val="22"/>
          <w:szCs w:val="22"/>
        </w:rPr>
        <w:t>Economic analysis</w:t>
      </w:r>
    </w:p>
    <w:p w:rsidR="005A3173" w:rsidRPr="00882085" w:rsidRDefault="005A3173" w:rsidP="00882085">
      <w:pPr>
        <w:ind w:left="720" w:hanging="720"/>
        <w:jc w:val="both"/>
        <w:rPr>
          <w:rFonts w:ascii="Arial" w:hAnsi="Arial"/>
          <w:sz w:val="22"/>
          <w:szCs w:val="22"/>
        </w:rPr>
      </w:pPr>
    </w:p>
    <w:p w:rsidR="00196307" w:rsidRDefault="00F80CEC" w:rsidP="00D479CB">
      <w:pPr>
        <w:pStyle w:val="ListParagraph"/>
        <w:numPr>
          <w:ilvl w:val="1"/>
          <w:numId w:val="25"/>
        </w:numPr>
        <w:jc w:val="both"/>
        <w:rPr>
          <w:rFonts w:ascii="Arial" w:hAnsi="Arial"/>
          <w:sz w:val="22"/>
          <w:szCs w:val="22"/>
        </w:rPr>
      </w:pPr>
      <w:r w:rsidRPr="00F80CEC">
        <w:rPr>
          <w:rFonts w:ascii="Arial" w:hAnsi="Arial"/>
          <w:sz w:val="22"/>
          <w:szCs w:val="22"/>
        </w:rPr>
        <w:t xml:space="preserve">The resubmission presents a cost-minimisation analysis based on a non-inferiority claim of cetuximab + FOLFIRI relative to bevacizumab + FOLFIRI as a first-line treatment in RAS WT mCRC patients. However, unlike the previous submission, this resubmission has included the cost of second-line cetuximab in the first-line </w:t>
      </w:r>
      <w:r w:rsidRPr="00F80CEC">
        <w:rPr>
          <w:rFonts w:ascii="Arial" w:hAnsi="Arial"/>
          <w:sz w:val="22"/>
          <w:szCs w:val="22"/>
        </w:rPr>
        <w:lastRenderedPageBreak/>
        <w:t>bevacizumab arm as a cost-offset without considering any costs of second-line treatments in the first-line cetuximab arm. This is inconsistent. In addition, the clinical claim relates to outcomes up until the point of progression (endpoint of ORR). By including costs past the point of progression, the non-inferiority claim would need to relate to overall survival. To maintain a claim of non-inferiority (while excluding the costs of second-line bevacizumab), overall survival would need to be no worse for patients solely receiving cetuximab + FOLFIRI relative to patients receiving bevacizumab + FOLFIRI plus second-line therapies (including cetuximab). This is not supported by evidence</w:t>
      </w:r>
      <w:r>
        <w:rPr>
          <w:rFonts w:ascii="Arial" w:hAnsi="Arial"/>
          <w:sz w:val="22"/>
          <w:szCs w:val="22"/>
        </w:rPr>
        <w:t>.</w:t>
      </w:r>
    </w:p>
    <w:p w:rsidR="00F80CEC" w:rsidRPr="007E0833" w:rsidRDefault="00F80CEC" w:rsidP="007E0833">
      <w:pPr>
        <w:jc w:val="both"/>
        <w:rPr>
          <w:rFonts w:ascii="Arial" w:hAnsi="Arial"/>
          <w:sz w:val="22"/>
          <w:szCs w:val="22"/>
        </w:rPr>
      </w:pPr>
    </w:p>
    <w:p w:rsidR="00F80CEC" w:rsidRDefault="00F80CEC" w:rsidP="00D479CB">
      <w:pPr>
        <w:pStyle w:val="ListParagraph"/>
        <w:numPr>
          <w:ilvl w:val="1"/>
          <w:numId w:val="25"/>
        </w:numPr>
        <w:jc w:val="both"/>
        <w:rPr>
          <w:rFonts w:ascii="Arial" w:hAnsi="Arial"/>
          <w:sz w:val="22"/>
          <w:szCs w:val="22"/>
        </w:rPr>
      </w:pPr>
      <w:r w:rsidRPr="00F80CEC">
        <w:rPr>
          <w:rFonts w:ascii="Arial" w:hAnsi="Arial"/>
          <w:sz w:val="22"/>
          <w:szCs w:val="22"/>
        </w:rPr>
        <w:t>The equi-effective doses presented in the resubmission are cetuximab 6,689mg and bevacizumab 3,816mg</w:t>
      </w:r>
      <w:r>
        <w:rPr>
          <w:rFonts w:ascii="Arial" w:hAnsi="Arial"/>
          <w:sz w:val="22"/>
          <w:szCs w:val="22"/>
        </w:rPr>
        <w:t>.</w:t>
      </w:r>
    </w:p>
    <w:p w:rsidR="00F80CEC" w:rsidRPr="007E0833" w:rsidRDefault="00F80CEC" w:rsidP="007E0833">
      <w:pPr>
        <w:rPr>
          <w:rFonts w:ascii="Arial" w:hAnsi="Arial"/>
          <w:sz w:val="22"/>
          <w:szCs w:val="22"/>
        </w:rPr>
      </w:pPr>
    </w:p>
    <w:p w:rsidR="00F80CEC" w:rsidRDefault="00F80CEC" w:rsidP="00D479CB">
      <w:pPr>
        <w:pStyle w:val="ListParagraph"/>
        <w:numPr>
          <w:ilvl w:val="1"/>
          <w:numId w:val="25"/>
        </w:numPr>
        <w:jc w:val="both"/>
        <w:rPr>
          <w:rFonts w:ascii="Arial" w:hAnsi="Arial"/>
          <w:sz w:val="22"/>
          <w:szCs w:val="22"/>
        </w:rPr>
      </w:pPr>
      <w:r w:rsidRPr="00F80CEC">
        <w:rPr>
          <w:rFonts w:ascii="Arial" w:hAnsi="Arial"/>
          <w:sz w:val="22"/>
          <w:szCs w:val="22"/>
        </w:rPr>
        <w:t>The equi-effective doses presented in the resubmission may be an underestimate given that the average dose intensity reported in the FIRE-3 trial appears to have included patients who have a break in treatment. Furthermore, the dose intensity for the loading dose of cetuximab is incorrect and is an underestimate. This has been revised during the evaluation to the full loading dose (400mg/m</w:t>
      </w:r>
      <w:r w:rsidRPr="00F80CEC">
        <w:rPr>
          <w:rFonts w:ascii="Arial" w:hAnsi="Arial"/>
          <w:sz w:val="22"/>
          <w:szCs w:val="22"/>
          <w:vertAlign w:val="superscript"/>
        </w:rPr>
        <w:t>2</w:t>
      </w:r>
      <w:r w:rsidRPr="00F80CEC">
        <w:rPr>
          <w:rFonts w:ascii="Arial" w:hAnsi="Arial"/>
          <w:sz w:val="22"/>
          <w:szCs w:val="22"/>
        </w:rPr>
        <w:t>) as used in the previous submission (July 2013</w:t>
      </w:r>
      <w:r>
        <w:rPr>
          <w:rFonts w:ascii="Arial" w:hAnsi="Arial"/>
          <w:sz w:val="22"/>
          <w:szCs w:val="22"/>
        </w:rPr>
        <w:t>).</w:t>
      </w:r>
    </w:p>
    <w:p w:rsidR="00F80CEC" w:rsidRPr="007E0833" w:rsidRDefault="00F80CEC" w:rsidP="007E0833">
      <w:pPr>
        <w:rPr>
          <w:rFonts w:ascii="Arial" w:hAnsi="Arial"/>
          <w:sz w:val="22"/>
          <w:szCs w:val="22"/>
        </w:rPr>
      </w:pPr>
    </w:p>
    <w:p w:rsidR="00F80CEC" w:rsidRDefault="00F80CEC" w:rsidP="00D479CB">
      <w:pPr>
        <w:pStyle w:val="ListParagraph"/>
        <w:numPr>
          <w:ilvl w:val="1"/>
          <w:numId w:val="25"/>
        </w:numPr>
        <w:jc w:val="both"/>
        <w:rPr>
          <w:rFonts w:ascii="Arial" w:hAnsi="Arial"/>
          <w:sz w:val="22"/>
          <w:szCs w:val="22"/>
        </w:rPr>
      </w:pPr>
      <w:r w:rsidRPr="00F80CEC">
        <w:rPr>
          <w:rFonts w:ascii="Arial" w:hAnsi="Arial"/>
          <w:sz w:val="22"/>
          <w:szCs w:val="22"/>
        </w:rPr>
        <w:t>The median numbers of treatment cycles of cetuximab and bevacizumab observed in FIRE-3 are used in the resubmission to calculate the costs of first-line treatment in the two arms. The mean number of cycles should have been used. This has been corrected during the evaluation</w:t>
      </w:r>
      <w:r>
        <w:rPr>
          <w:rFonts w:ascii="Arial" w:hAnsi="Arial"/>
          <w:sz w:val="22"/>
          <w:szCs w:val="22"/>
        </w:rPr>
        <w:t>.</w:t>
      </w:r>
    </w:p>
    <w:p w:rsidR="00F80CEC" w:rsidRPr="007E0833" w:rsidRDefault="00F80CEC" w:rsidP="007E0833">
      <w:pPr>
        <w:rPr>
          <w:rFonts w:ascii="Arial" w:hAnsi="Arial"/>
          <w:sz w:val="22"/>
          <w:szCs w:val="22"/>
        </w:rPr>
      </w:pPr>
    </w:p>
    <w:p w:rsidR="00F80CEC" w:rsidRDefault="00F80CEC" w:rsidP="00D479CB">
      <w:pPr>
        <w:pStyle w:val="ListParagraph"/>
        <w:numPr>
          <w:ilvl w:val="1"/>
          <w:numId w:val="25"/>
        </w:numPr>
        <w:jc w:val="both"/>
        <w:rPr>
          <w:rFonts w:ascii="Arial" w:hAnsi="Arial"/>
          <w:sz w:val="22"/>
          <w:szCs w:val="22"/>
        </w:rPr>
      </w:pPr>
      <w:r w:rsidRPr="00F80CEC">
        <w:rPr>
          <w:rFonts w:ascii="Arial" w:hAnsi="Arial"/>
          <w:sz w:val="22"/>
          <w:szCs w:val="22"/>
        </w:rPr>
        <w:t>The re-calculated equi-effective doses are cetuximab 8,356mg and bevacizumab 4,229mg. The ESC noted that the PSCR (p7) presented revised equi-effective doses of cetuximab 8,099mg and bevacizumab 4,134mg. The ESC considered that the evaluator-calculated equi-effective doses of 8,356mg cetuximab vs 4,229mg bevacizumab were more appropriate as it is not clear why the mean duration was rounded to the nearest cycle in the revised PSCR calculation (PSCR p6).</w:t>
      </w:r>
      <w:r w:rsidR="00067D2D">
        <w:rPr>
          <w:rFonts w:ascii="Arial" w:hAnsi="Arial"/>
          <w:sz w:val="22"/>
          <w:szCs w:val="22"/>
        </w:rPr>
        <w:t xml:space="preserve"> The pre-PBAC response did not comment on this advice.</w:t>
      </w:r>
    </w:p>
    <w:p w:rsidR="00F80CEC" w:rsidRPr="007E0833" w:rsidRDefault="00F80CEC" w:rsidP="007E0833">
      <w:pPr>
        <w:rPr>
          <w:rFonts w:ascii="Arial" w:hAnsi="Arial"/>
          <w:sz w:val="22"/>
          <w:szCs w:val="22"/>
        </w:rPr>
      </w:pPr>
    </w:p>
    <w:p w:rsidR="00F80CEC" w:rsidRDefault="00F80CEC" w:rsidP="00D479CB">
      <w:pPr>
        <w:pStyle w:val="ListParagraph"/>
        <w:numPr>
          <w:ilvl w:val="1"/>
          <w:numId w:val="25"/>
        </w:numPr>
        <w:jc w:val="both"/>
        <w:rPr>
          <w:rFonts w:ascii="Arial" w:hAnsi="Arial"/>
          <w:sz w:val="22"/>
          <w:szCs w:val="22"/>
        </w:rPr>
      </w:pPr>
      <w:r w:rsidRPr="00F80CEC">
        <w:rPr>
          <w:rFonts w:ascii="Arial" w:hAnsi="Arial"/>
          <w:sz w:val="22"/>
          <w:szCs w:val="22"/>
        </w:rPr>
        <w:t>The resubmission has used a 10% PBS sample to establish that 61% of patients who receive first-line chemotherapy will go on to receive second-line therapy. It is unclear whether this estimate is restricted to mCRC patients and whether it is applicable to the proposed listing of cetuximab for first-line therapy. Given that the claim of non-inferiority is based on the FIRE-3 trial, a trial-based estimate would be more appropriate. In the FIRE-3 trial, 25.7% of patients in the bevacizumab arm received second-line cetuximab. Therefore, the proportion of patients receiving second-line EGFR therapy has been sourced from FIRE-3 during the evaluation</w:t>
      </w:r>
      <w:r>
        <w:rPr>
          <w:rFonts w:ascii="Arial" w:hAnsi="Arial"/>
          <w:sz w:val="22"/>
          <w:szCs w:val="22"/>
        </w:rPr>
        <w:t>.</w:t>
      </w:r>
    </w:p>
    <w:p w:rsidR="00F80CEC" w:rsidRPr="00A1420E" w:rsidRDefault="00F80CEC" w:rsidP="00A1420E">
      <w:pPr>
        <w:rPr>
          <w:rFonts w:ascii="Arial" w:hAnsi="Arial"/>
          <w:sz w:val="22"/>
          <w:szCs w:val="22"/>
        </w:rPr>
      </w:pPr>
    </w:p>
    <w:p w:rsidR="00F80CEC" w:rsidRDefault="00F80CEC" w:rsidP="00D479CB">
      <w:pPr>
        <w:pStyle w:val="ListParagraph"/>
        <w:numPr>
          <w:ilvl w:val="1"/>
          <w:numId w:val="25"/>
        </w:numPr>
        <w:jc w:val="both"/>
        <w:rPr>
          <w:rFonts w:ascii="Arial" w:hAnsi="Arial"/>
          <w:sz w:val="22"/>
          <w:szCs w:val="22"/>
        </w:rPr>
      </w:pPr>
      <w:r w:rsidRPr="00F80CEC">
        <w:rPr>
          <w:rFonts w:ascii="Arial" w:hAnsi="Arial"/>
          <w:sz w:val="22"/>
          <w:szCs w:val="22"/>
        </w:rPr>
        <w:t>The results of the revised cost-minimisation</w:t>
      </w:r>
      <w:r w:rsidR="00CE5D68">
        <w:rPr>
          <w:rFonts w:ascii="Arial" w:hAnsi="Arial"/>
          <w:sz w:val="22"/>
          <w:szCs w:val="22"/>
        </w:rPr>
        <w:t xml:space="preserve"> analysis are summarised in the table below</w:t>
      </w:r>
      <w:r w:rsidRPr="00F80CEC">
        <w:rPr>
          <w:rFonts w:ascii="Arial" w:hAnsi="Arial"/>
          <w:sz w:val="22"/>
          <w:szCs w:val="22"/>
        </w:rPr>
        <w:t xml:space="preserve">. The listing of first-line cetuximab will cost the Government an additional of </w:t>
      </w:r>
      <w:r w:rsidR="00C00328">
        <w:rPr>
          <w:rFonts w:ascii="Arial" w:hAnsi="Arial"/>
          <w:noProof/>
          <w:color w:val="000000"/>
          <w:sz w:val="22"/>
          <w:szCs w:val="22"/>
          <w:highlight w:val="black"/>
        </w:rPr>
        <w:t>''''''''''''''''''</w:t>
      </w:r>
      <w:r w:rsidRPr="00F80CEC">
        <w:rPr>
          <w:rFonts w:ascii="Arial" w:hAnsi="Arial"/>
          <w:sz w:val="22"/>
          <w:szCs w:val="22"/>
        </w:rPr>
        <w:t xml:space="preserve"> per patient without considering the cost of later-line cetuximab. This reduces to an additional </w:t>
      </w:r>
      <w:r w:rsidR="00C00328">
        <w:rPr>
          <w:rFonts w:ascii="Arial" w:hAnsi="Arial"/>
          <w:noProof/>
          <w:color w:val="000000"/>
          <w:sz w:val="22"/>
          <w:szCs w:val="22"/>
          <w:highlight w:val="black"/>
        </w:rPr>
        <w:t>''''''''''''''''''''</w:t>
      </w:r>
      <w:r w:rsidRPr="00F80CEC">
        <w:rPr>
          <w:rFonts w:ascii="Arial" w:hAnsi="Arial"/>
          <w:sz w:val="22"/>
          <w:szCs w:val="22"/>
        </w:rPr>
        <w:t xml:space="preserve"> per patient when later-line cetuximab is a cost offset in the bevacizumab arm. This does not account for any special pricing arrangements currently in place for bevacizumab. The resubmission has proposed that listing first-line cetuximab will result in a cost-saving to Government of </w:t>
      </w:r>
      <w:r w:rsidR="00C00328">
        <w:rPr>
          <w:rFonts w:ascii="Arial" w:hAnsi="Arial"/>
          <w:noProof/>
          <w:color w:val="000000"/>
          <w:sz w:val="22"/>
          <w:szCs w:val="22"/>
          <w:highlight w:val="black"/>
        </w:rPr>
        <w:t>''''''''''''''''''</w:t>
      </w:r>
      <w:r w:rsidRPr="00F80CEC">
        <w:rPr>
          <w:rFonts w:ascii="Arial" w:hAnsi="Arial"/>
          <w:sz w:val="22"/>
          <w:szCs w:val="22"/>
        </w:rPr>
        <w:t xml:space="preserve"> per patient</w:t>
      </w:r>
      <w:r>
        <w:rPr>
          <w:rFonts w:ascii="Arial" w:hAnsi="Arial"/>
          <w:sz w:val="22"/>
          <w:szCs w:val="22"/>
        </w:rPr>
        <w:t>.</w:t>
      </w:r>
    </w:p>
    <w:p w:rsidR="00F80CEC" w:rsidRPr="00A1420E" w:rsidRDefault="00F80CEC" w:rsidP="00A1420E">
      <w:pPr>
        <w:rPr>
          <w:rFonts w:ascii="Arial" w:hAnsi="Arial"/>
          <w:sz w:val="22"/>
          <w:szCs w:val="22"/>
        </w:rPr>
      </w:pPr>
    </w:p>
    <w:p w:rsidR="00F80CEC" w:rsidRPr="00F80CEC" w:rsidRDefault="00F80CEC" w:rsidP="00F80CEC">
      <w:pPr>
        <w:keepNext/>
        <w:ind w:firstLine="720"/>
        <w:jc w:val="both"/>
        <w:rPr>
          <w:rFonts w:ascii="Arial Narrow" w:hAnsi="Arial Narrow" w:cs="Arial"/>
          <w:b/>
          <w:snapToGrid w:val="0"/>
          <w:sz w:val="20"/>
          <w:szCs w:val="16"/>
          <w:lang w:eastAsia="en-US"/>
        </w:rPr>
      </w:pPr>
      <w:r w:rsidRPr="00F80CEC">
        <w:rPr>
          <w:rFonts w:ascii="Arial Narrow" w:hAnsi="Arial Narrow" w:cs="Arial"/>
          <w:b/>
          <w:snapToGrid w:val="0"/>
          <w:sz w:val="20"/>
          <w:szCs w:val="16"/>
          <w:lang w:eastAsia="en-US"/>
        </w:rPr>
        <w:lastRenderedPageBreak/>
        <w:t>Cost-minimisation analysis based on FIRE-3: total cost to the Government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2035"/>
        <w:gridCol w:w="1948"/>
      </w:tblGrid>
      <w:tr w:rsidR="00F80CEC" w:rsidRPr="00F80CEC" w:rsidTr="00522796">
        <w:trPr>
          <w:trHeight w:val="267"/>
        </w:trPr>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rsidR="00F80CEC" w:rsidRPr="00F80CEC" w:rsidRDefault="00F80CEC" w:rsidP="00F80CEC">
            <w:pPr>
              <w:keepNext/>
              <w:rPr>
                <w:rFonts w:ascii="Arial Narrow" w:eastAsiaTheme="minorHAnsi" w:hAnsi="Arial Narrow" w:cstheme="minorBidi"/>
                <w:sz w:val="20"/>
                <w:szCs w:val="20"/>
                <w:lang w:eastAsia="zh-CN"/>
              </w:rPr>
            </w:pP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F80CEC" w:rsidRPr="00F80CEC" w:rsidRDefault="00F80CEC" w:rsidP="00F80CEC">
            <w:pPr>
              <w:keepNext/>
              <w:jc w:val="center"/>
              <w:rPr>
                <w:rFonts w:ascii="Arial Narrow" w:eastAsiaTheme="minorHAnsi" w:hAnsi="Arial Narrow" w:cstheme="minorBidi"/>
                <w:b/>
                <w:sz w:val="20"/>
                <w:szCs w:val="20"/>
                <w:lang w:eastAsia="zh-CN"/>
              </w:rPr>
            </w:pPr>
            <w:r w:rsidRPr="00F80CEC">
              <w:rPr>
                <w:rFonts w:ascii="Arial Narrow" w:eastAsiaTheme="minorHAnsi" w:hAnsi="Arial Narrow" w:cstheme="minorBidi"/>
                <w:b/>
                <w:sz w:val="20"/>
                <w:szCs w:val="20"/>
                <w:lang w:eastAsia="zh-CN"/>
              </w:rPr>
              <w:t>Cetuximab</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F80CEC" w:rsidRPr="00F80CEC" w:rsidRDefault="00F80CEC" w:rsidP="00F80CEC">
            <w:pPr>
              <w:keepNext/>
              <w:jc w:val="center"/>
              <w:rPr>
                <w:rFonts w:ascii="Arial Narrow" w:eastAsiaTheme="minorHAnsi" w:hAnsi="Arial Narrow" w:cstheme="minorBidi"/>
                <w:b/>
                <w:sz w:val="20"/>
                <w:szCs w:val="20"/>
                <w:lang w:eastAsia="zh-CN"/>
              </w:rPr>
            </w:pPr>
            <w:r w:rsidRPr="00F80CEC">
              <w:rPr>
                <w:rFonts w:ascii="Arial Narrow" w:eastAsiaTheme="minorHAnsi" w:hAnsi="Arial Narrow" w:cstheme="minorBidi"/>
                <w:b/>
                <w:sz w:val="20"/>
                <w:szCs w:val="20"/>
                <w:lang w:eastAsia="zh-CN"/>
              </w:rPr>
              <w:t>Bevacizumab</w:t>
            </w:r>
          </w:p>
        </w:tc>
      </w:tr>
      <w:tr w:rsidR="00F80CEC" w:rsidRPr="00F80CEC" w:rsidTr="00522796">
        <w:trPr>
          <w:trHeight w:val="267"/>
        </w:trPr>
        <w:tc>
          <w:tcPr>
            <w:tcW w:w="8425" w:type="dxa"/>
            <w:gridSpan w:val="3"/>
            <w:shd w:val="clear" w:color="auto" w:fill="D9D9D9" w:themeFill="background1" w:themeFillShade="D9"/>
            <w:vAlign w:val="center"/>
          </w:tcPr>
          <w:p w:rsidR="00F80CEC" w:rsidRPr="00F80CEC" w:rsidRDefault="00F80CEC" w:rsidP="00F80CEC">
            <w:pPr>
              <w:keepNext/>
              <w:jc w:val="center"/>
              <w:rPr>
                <w:rFonts w:ascii="Arial Narrow" w:eastAsiaTheme="minorHAnsi" w:hAnsi="Arial Narrow" w:cstheme="minorBidi"/>
                <w:sz w:val="20"/>
                <w:szCs w:val="20"/>
                <w:lang w:eastAsia="en-US"/>
              </w:rPr>
            </w:pPr>
            <w:r w:rsidRPr="00F80CEC">
              <w:rPr>
                <w:rFonts w:ascii="Arial Narrow" w:eastAsiaTheme="minorHAnsi" w:hAnsi="Arial Narrow" w:cstheme="minorBidi"/>
                <w:sz w:val="20"/>
                <w:szCs w:val="20"/>
                <w:lang w:eastAsia="zh-CN"/>
              </w:rPr>
              <w:t>First-line treatments</w:t>
            </w: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 xml:space="preserve">Average drug costs </w:t>
            </w:r>
          </w:p>
        </w:tc>
        <w:tc>
          <w:tcPr>
            <w:tcW w:w="2035"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theme="minorBidi"/>
                <w:noProof/>
                <w:color w:val="000000"/>
                <w:sz w:val="20"/>
                <w:szCs w:val="20"/>
                <w:highlight w:val="black"/>
                <w:lang w:eastAsia="en-US"/>
              </w:rPr>
              <w:t>''''''''''''''''''''''''''</w:t>
            </w:r>
          </w:p>
        </w:tc>
        <w:tc>
          <w:tcPr>
            <w:tcW w:w="1948"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theme="minorBidi"/>
                <w:noProof/>
                <w:color w:val="000000"/>
                <w:sz w:val="20"/>
                <w:szCs w:val="20"/>
                <w:highlight w:val="black"/>
                <w:lang w:eastAsia="en-US"/>
              </w:rPr>
              <w:t>'''''''''''''''''''''''''</w:t>
            </w: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 xml:space="preserve">Average infusion costs </w:t>
            </w:r>
          </w:p>
        </w:tc>
        <w:tc>
          <w:tcPr>
            <w:tcW w:w="2035"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theme="minorBidi"/>
                <w:noProof/>
                <w:color w:val="000000"/>
                <w:sz w:val="20"/>
                <w:szCs w:val="20"/>
                <w:highlight w:val="black"/>
                <w:lang w:eastAsia="en-US"/>
              </w:rPr>
              <w:t xml:space="preserve">''''''''''''''''''''''' </w:t>
            </w:r>
          </w:p>
        </w:tc>
        <w:tc>
          <w:tcPr>
            <w:tcW w:w="1948"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theme="minorBidi"/>
                <w:noProof/>
                <w:color w:val="000000"/>
                <w:sz w:val="20"/>
                <w:szCs w:val="20"/>
                <w:highlight w:val="black"/>
                <w:lang w:eastAsia="en-US"/>
              </w:rPr>
              <w:t xml:space="preserve">'''''''''''''''''''''' </w:t>
            </w: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 xml:space="preserve">Average cost to treat adverse events </w:t>
            </w:r>
          </w:p>
        </w:tc>
        <w:tc>
          <w:tcPr>
            <w:tcW w:w="2035"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Calibri"/>
                <w:noProof/>
                <w:color w:val="000000"/>
                <w:sz w:val="20"/>
                <w:szCs w:val="20"/>
                <w:highlight w:val="black"/>
                <w:lang w:eastAsia="zh-CN"/>
              </w:rPr>
              <w:t>'''''''''''''''''</w:t>
            </w:r>
          </w:p>
        </w:tc>
        <w:tc>
          <w:tcPr>
            <w:tcW w:w="1948"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Calibri"/>
                <w:noProof/>
                <w:color w:val="000000"/>
                <w:sz w:val="20"/>
                <w:szCs w:val="20"/>
                <w:highlight w:val="black"/>
                <w:lang w:eastAsia="zh-CN"/>
              </w:rPr>
              <w:t>'''</w:t>
            </w: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Total cost of first-line treatment</w:t>
            </w:r>
          </w:p>
        </w:tc>
        <w:tc>
          <w:tcPr>
            <w:tcW w:w="2035"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Calibri"/>
                <w:noProof/>
                <w:color w:val="000000"/>
                <w:sz w:val="20"/>
                <w:szCs w:val="20"/>
                <w:highlight w:val="black"/>
                <w:lang w:eastAsia="zh-CN"/>
              </w:rPr>
              <w:t>''''''''''''''''''''''''''''</w:t>
            </w:r>
          </w:p>
        </w:tc>
        <w:tc>
          <w:tcPr>
            <w:tcW w:w="1948"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Calibri"/>
                <w:noProof/>
                <w:color w:val="000000"/>
                <w:sz w:val="20"/>
                <w:szCs w:val="20"/>
                <w:highlight w:val="black"/>
                <w:lang w:eastAsia="zh-CN"/>
              </w:rPr>
              <w:t>''''''''''''''''''''''''''''</w:t>
            </w: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Difference (cetuximab – bevacizumab)</w:t>
            </w:r>
          </w:p>
        </w:tc>
        <w:tc>
          <w:tcPr>
            <w:tcW w:w="3983" w:type="dxa"/>
            <w:gridSpan w:val="2"/>
            <w:vAlign w:val="center"/>
          </w:tcPr>
          <w:p w:rsidR="00F80CEC" w:rsidRPr="00C00328" w:rsidRDefault="00C00328" w:rsidP="00F80CEC">
            <w:pPr>
              <w:keepNext/>
              <w:jc w:val="center"/>
              <w:rPr>
                <w:rFonts w:ascii="Arial Narrow" w:eastAsiaTheme="minorHAnsi" w:hAnsi="Arial Narrow" w:cs="Calibri"/>
                <w:b/>
                <w:color w:val="000000"/>
                <w:sz w:val="20"/>
                <w:szCs w:val="20"/>
                <w:highlight w:val="black"/>
                <w:lang w:eastAsia="zh-CN"/>
              </w:rPr>
            </w:pPr>
            <w:r>
              <w:rPr>
                <w:rFonts w:ascii="Arial Narrow" w:eastAsiaTheme="minorHAnsi" w:hAnsi="Arial Narrow" w:cs="Calibri"/>
                <w:b/>
                <w:noProof/>
                <w:color w:val="000000"/>
                <w:sz w:val="20"/>
                <w:szCs w:val="20"/>
                <w:highlight w:val="black"/>
                <w:lang w:eastAsia="zh-CN"/>
              </w:rPr>
              <w:t>'''''''''''''''''''''''</w:t>
            </w:r>
          </w:p>
        </w:tc>
      </w:tr>
      <w:tr w:rsidR="00F80CEC" w:rsidRPr="00F80CEC" w:rsidTr="00522796">
        <w:trPr>
          <w:trHeight w:val="267"/>
        </w:trPr>
        <w:tc>
          <w:tcPr>
            <w:tcW w:w="8425" w:type="dxa"/>
            <w:gridSpan w:val="3"/>
            <w:shd w:val="clear" w:color="auto" w:fill="D9D9D9" w:themeFill="background1" w:themeFillShade="D9"/>
            <w:vAlign w:val="center"/>
          </w:tcPr>
          <w:p w:rsidR="00F80CEC" w:rsidRPr="00F80CEC" w:rsidRDefault="00F80CEC" w:rsidP="00F80CEC">
            <w:pPr>
              <w:keepNext/>
              <w:jc w:val="center"/>
              <w:rPr>
                <w:rFonts w:ascii="Arial Narrow" w:eastAsiaTheme="minorHAnsi" w:hAnsi="Arial Narrow" w:cs="Calibri"/>
                <w:color w:val="000000"/>
                <w:sz w:val="20"/>
                <w:szCs w:val="20"/>
                <w:lang w:eastAsia="zh-CN"/>
              </w:rPr>
            </w:pPr>
            <w:r w:rsidRPr="00F80CEC">
              <w:rPr>
                <w:rFonts w:ascii="Arial Narrow" w:eastAsiaTheme="minorHAnsi" w:hAnsi="Arial Narrow" w:cstheme="minorBidi"/>
                <w:sz w:val="20"/>
                <w:szCs w:val="20"/>
                <w:lang w:eastAsia="zh-CN"/>
              </w:rPr>
              <w:t>Cost-offset for second-line cetuximab</w:t>
            </w: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 xml:space="preserve">Average drug costs </w:t>
            </w:r>
          </w:p>
        </w:tc>
        <w:tc>
          <w:tcPr>
            <w:tcW w:w="2035"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Calibri"/>
                <w:noProof/>
                <w:color w:val="000000"/>
                <w:sz w:val="20"/>
                <w:szCs w:val="20"/>
                <w:highlight w:val="black"/>
                <w:lang w:eastAsia="zh-CN"/>
              </w:rPr>
              <w:t>'''''''''''''''''''''''''</w:t>
            </w:r>
          </w:p>
        </w:tc>
        <w:tc>
          <w:tcPr>
            <w:tcW w:w="1948" w:type="dxa"/>
            <w:vAlign w:val="center"/>
          </w:tcPr>
          <w:p w:rsidR="00F80CEC" w:rsidRPr="00F80CEC" w:rsidRDefault="00F80CEC" w:rsidP="00F80CEC">
            <w:pPr>
              <w:keepNext/>
              <w:jc w:val="center"/>
              <w:rPr>
                <w:rFonts w:ascii="Arial Narrow" w:eastAsiaTheme="minorHAnsi" w:hAnsi="Arial Narrow" w:cs="Calibri"/>
                <w:color w:val="000000"/>
                <w:sz w:val="20"/>
                <w:szCs w:val="20"/>
                <w:lang w:eastAsia="zh-CN"/>
              </w:rPr>
            </w:pP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 xml:space="preserve">Average infusion costs </w:t>
            </w:r>
          </w:p>
        </w:tc>
        <w:tc>
          <w:tcPr>
            <w:tcW w:w="2035"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Calibri"/>
                <w:noProof/>
                <w:color w:val="000000"/>
                <w:sz w:val="20"/>
                <w:szCs w:val="20"/>
                <w:highlight w:val="black"/>
                <w:lang w:eastAsia="zh-CN"/>
              </w:rPr>
              <w:t>'''''''''''''''''''''''</w:t>
            </w:r>
          </w:p>
        </w:tc>
        <w:tc>
          <w:tcPr>
            <w:tcW w:w="1948" w:type="dxa"/>
            <w:vAlign w:val="center"/>
          </w:tcPr>
          <w:p w:rsidR="00F80CEC" w:rsidRPr="00F80CEC" w:rsidRDefault="00F80CEC" w:rsidP="00F80CEC">
            <w:pPr>
              <w:keepNext/>
              <w:jc w:val="center"/>
              <w:rPr>
                <w:rFonts w:ascii="Arial Narrow" w:eastAsiaTheme="minorHAnsi" w:hAnsi="Arial Narrow" w:cs="Calibri"/>
                <w:color w:val="000000"/>
                <w:sz w:val="20"/>
                <w:szCs w:val="20"/>
                <w:lang w:eastAsia="zh-CN"/>
              </w:rPr>
            </w:pP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Average cost to treat adverse events</w:t>
            </w:r>
          </w:p>
        </w:tc>
        <w:tc>
          <w:tcPr>
            <w:tcW w:w="2035"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Calibri"/>
                <w:noProof/>
                <w:color w:val="000000"/>
                <w:sz w:val="20"/>
                <w:szCs w:val="20"/>
                <w:highlight w:val="black"/>
                <w:lang w:eastAsia="zh-CN"/>
              </w:rPr>
              <w:t>'''''''''''''''</w:t>
            </w:r>
          </w:p>
        </w:tc>
        <w:tc>
          <w:tcPr>
            <w:tcW w:w="1948" w:type="dxa"/>
            <w:vAlign w:val="center"/>
          </w:tcPr>
          <w:p w:rsidR="00F80CEC" w:rsidRPr="00F80CEC" w:rsidRDefault="00F80CEC" w:rsidP="00F80CEC">
            <w:pPr>
              <w:keepNext/>
              <w:jc w:val="center"/>
              <w:rPr>
                <w:rFonts w:ascii="Arial Narrow" w:eastAsiaTheme="minorHAnsi" w:hAnsi="Arial Narrow" w:cs="Calibri"/>
                <w:color w:val="000000"/>
                <w:sz w:val="20"/>
                <w:szCs w:val="20"/>
                <w:lang w:eastAsia="zh-CN"/>
              </w:rPr>
            </w:pP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Total cost of second-line cetuximab</w:t>
            </w:r>
          </w:p>
        </w:tc>
        <w:tc>
          <w:tcPr>
            <w:tcW w:w="2035" w:type="dxa"/>
            <w:vAlign w:val="center"/>
          </w:tcPr>
          <w:p w:rsidR="00F80CEC" w:rsidRPr="00C00328" w:rsidRDefault="00C00328" w:rsidP="00F80CEC">
            <w:pPr>
              <w:keepNext/>
              <w:jc w:val="center"/>
              <w:rPr>
                <w:rFonts w:ascii="Arial Narrow" w:eastAsiaTheme="minorHAnsi" w:hAnsi="Arial Narrow" w:cs="Calibri"/>
                <w:color w:val="000000"/>
                <w:sz w:val="20"/>
                <w:szCs w:val="20"/>
                <w:highlight w:val="black"/>
                <w:lang w:eastAsia="zh-CN"/>
              </w:rPr>
            </w:pPr>
            <w:r>
              <w:rPr>
                <w:rFonts w:ascii="Arial Narrow" w:eastAsiaTheme="minorHAnsi" w:hAnsi="Arial Narrow" w:cs="Calibri"/>
                <w:noProof/>
                <w:color w:val="000000"/>
                <w:sz w:val="20"/>
                <w:szCs w:val="20"/>
                <w:highlight w:val="black"/>
                <w:lang w:eastAsia="zh-CN"/>
              </w:rPr>
              <w:t>''''''''''''''''''''''''</w:t>
            </w:r>
          </w:p>
        </w:tc>
        <w:tc>
          <w:tcPr>
            <w:tcW w:w="1948" w:type="dxa"/>
            <w:vAlign w:val="center"/>
          </w:tcPr>
          <w:p w:rsidR="00F80CEC" w:rsidRPr="00F80CEC" w:rsidRDefault="00F80CEC" w:rsidP="00F80CEC">
            <w:pPr>
              <w:keepNext/>
              <w:jc w:val="center"/>
              <w:rPr>
                <w:rFonts w:ascii="Arial Narrow" w:eastAsiaTheme="minorHAnsi" w:hAnsi="Arial Narrow" w:cs="Calibri"/>
                <w:color w:val="000000"/>
                <w:sz w:val="20"/>
                <w:szCs w:val="20"/>
                <w:lang w:eastAsia="zh-CN"/>
              </w:rPr>
            </w:pPr>
          </w:p>
        </w:tc>
      </w:tr>
      <w:tr w:rsidR="00F80CEC" w:rsidRPr="00F80CEC" w:rsidTr="00522796">
        <w:trPr>
          <w:trHeight w:val="267"/>
        </w:trPr>
        <w:tc>
          <w:tcPr>
            <w:tcW w:w="4442" w:type="dxa"/>
            <w:vAlign w:val="center"/>
          </w:tcPr>
          <w:p w:rsidR="00F80CEC" w:rsidRPr="00F80CEC" w:rsidRDefault="00F80CEC" w:rsidP="00F80CEC">
            <w:pPr>
              <w:keepNext/>
              <w:rPr>
                <w:rFonts w:ascii="Arial Narrow" w:eastAsiaTheme="minorHAnsi" w:hAnsi="Arial Narrow" w:cstheme="minorBidi"/>
                <w:sz w:val="20"/>
                <w:szCs w:val="20"/>
                <w:lang w:eastAsia="zh-CN"/>
              </w:rPr>
            </w:pPr>
            <w:r w:rsidRPr="00F80CEC">
              <w:rPr>
                <w:rFonts w:ascii="Arial Narrow" w:eastAsiaTheme="minorHAnsi" w:hAnsi="Arial Narrow" w:cstheme="minorBidi"/>
                <w:sz w:val="20"/>
                <w:szCs w:val="20"/>
                <w:lang w:eastAsia="zh-CN"/>
              </w:rPr>
              <w:t>Difference (cetuximab – (bevacizumab +</w:t>
            </w:r>
            <w:r w:rsidR="00C00328">
              <w:rPr>
                <w:rFonts w:ascii="Arial Narrow" w:eastAsiaTheme="minorHAnsi" w:hAnsi="Arial Narrow" w:cstheme="minorBidi"/>
                <w:noProof/>
                <w:color w:val="000000"/>
                <w:sz w:val="20"/>
                <w:szCs w:val="20"/>
                <w:highlight w:val="black"/>
                <w:lang w:eastAsia="zh-CN"/>
              </w:rPr>
              <w:t xml:space="preserve"> ''''''''''''''''</w:t>
            </w:r>
            <w:r w:rsidRPr="00F80CEC">
              <w:rPr>
                <w:rFonts w:ascii="Arial Narrow" w:eastAsiaTheme="minorHAnsi" w:hAnsi="Arial Narrow" w:cstheme="minorBidi"/>
                <w:sz w:val="20"/>
                <w:szCs w:val="20"/>
                <w:lang w:eastAsia="zh-CN"/>
              </w:rPr>
              <w:t xml:space="preserve"> second-line cetuximab))</w:t>
            </w:r>
          </w:p>
        </w:tc>
        <w:tc>
          <w:tcPr>
            <w:tcW w:w="3983" w:type="dxa"/>
            <w:gridSpan w:val="2"/>
            <w:vAlign w:val="center"/>
          </w:tcPr>
          <w:p w:rsidR="00F80CEC" w:rsidRPr="00C00328" w:rsidRDefault="00C00328" w:rsidP="00F80CEC">
            <w:pPr>
              <w:keepNext/>
              <w:jc w:val="center"/>
              <w:rPr>
                <w:rFonts w:ascii="Arial Narrow" w:eastAsiaTheme="minorHAnsi" w:hAnsi="Arial Narrow" w:cs="Calibri"/>
                <w:b/>
                <w:color w:val="000000"/>
                <w:sz w:val="20"/>
                <w:szCs w:val="20"/>
                <w:highlight w:val="black"/>
                <w:lang w:eastAsia="zh-CN"/>
              </w:rPr>
            </w:pPr>
            <w:r>
              <w:rPr>
                <w:rFonts w:ascii="Arial Narrow" w:eastAsiaTheme="minorHAnsi" w:hAnsi="Arial Narrow" w:cs="Calibri"/>
                <w:b/>
                <w:noProof/>
                <w:color w:val="000000"/>
                <w:sz w:val="20"/>
                <w:szCs w:val="20"/>
                <w:highlight w:val="black"/>
                <w:lang w:eastAsia="zh-CN"/>
              </w:rPr>
              <w:t>'''''''''''''''''''''</w:t>
            </w:r>
          </w:p>
        </w:tc>
      </w:tr>
    </w:tbl>
    <w:p w:rsidR="00F80CEC" w:rsidRPr="00F80CEC" w:rsidRDefault="00F80CEC" w:rsidP="00F80CEC">
      <w:pPr>
        <w:pStyle w:val="ListParagraph"/>
        <w:ind w:left="709"/>
        <w:jc w:val="both"/>
        <w:rPr>
          <w:rFonts w:ascii="Arial Narrow" w:hAnsi="Arial Narrow" w:cs="Arial"/>
          <w:snapToGrid w:val="0"/>
          <w:sz w:val="18"/>
          <w:szCs w:val="18"/>
          <w:lang w:eastAsia="en-US"/>
        </w:rPr>
      </w:pPr>
      <w:r w:rsidRPr="00F80CEC">
        <w:rPr>
          <w:rFonts w:ascii="Arial Narrow" w:hAnsi="Arial Narrow" w:cs="Arial"/>
          <w:snapToGrid w:val="0"/>
          <w:sz w:val="18"/>
          <w:szCs w:val="18"/>
          <w:lang w:eastAsia="en-US"/>
        </w:rPr>
        <w:t>Source: re-calculated during the evaluation from the cost-minimisation excel spreadsheet provided with the resubmission</w:t>
      </w:r>
    </w:p>
    <w:p w:rsidR="005A3C17" w:rsidRPr="00A1420E" w:rsidRDefault="005A3C17" w:rsidP="00A1420E">
      <w:pPr>
        <w:jc w:val="both"/>
        <w:rPr>
          <w:rFonts w:ascii="Arial" w:hAnsi="Arial"/>
          <w:sz w:val="22"/>
          <w:szCs w:val="22"/>
        </w:rPr>
      </w:pPr>
    </w:p>
    <w:p w:rsidR="00F80CEC" w:rsidRPr="00A233CD" w:rsidRDefault="00A233CD" w:rsidP="00D479CB">
      <w:pPr>
        <w:pStyle w:val="ListParagraph"/>
        <w:numPr>
          <w:ilvl w:val="1"/>
          <w:numId w:val="25"/>
        </w:numPr>
        <w:jc w:val="both"/>
        <w:rPr>
          <w:rFonts w:ascii="Arial" w:hAnsi="Arial"/>
          <w:sz w:val="22"/>
          <w:szCs w:val="22"/>
        </w:rPr>
      </w:pPr>
      <w:r w:rsidRPr="00A233CD">
        <w:rPr>
          <w:rFonts w:ascii="Arial" w:hAnsi="Arial"/>
          <w:sz w:val="22"/>
          <w:szCs w:val="22"/>
        </w:rPr>
        <w:t>The ESC noted that the cost-minimisation analysis presented in the resubmission and reiterated in the PSCR (p7) adopted the following:</w:t>
      </w:r>
    </w:p>
    <w:p w:rsidR="00A233CD" w:rsidRPr="00A233CD" w:rsidRDefault="00A233CD" w:rsidP="00A233CD">
      <w:pPr>
        <w:pStyle w:val="BodyText"/>
        <w:widowControl w:val="0"/>
        <w:numPr>
          <w:ilvl w:val="0"/>
          <w:numId w:val="42"/>
        </w:numPr>
        <w:spacing w:before="3" w:after="0" w:line="238" w:lineRule="auto"/>
        <w:ind w:left="1134" w:right="115"/>
        <w:jc w:val="both"/>
        <w:rPr>
          <w:rFonts w:ascii="Arial" w:hAnsi="Arial" w:cs="Arial"/>
          <w:sz w:val="22"/>
          <w:szCs w:val="22"/>
        </w:rPr>
      </w:pPr>
      <w:r w:rsidRPr="00A233CD">
        <w:rPr>
          <w:rFonts w:ascii="Arial" w:hAnsi="Arial" w:cs="Arial"/>
          <w:sz w:val="22"/>
          <w:szCs w:val="22"/>
        </w:rPr>
        <w:t>the costs of second-line cetuximab in the bevacizumab arm were included</w:t>
      </w:r>
    </w:p>
    <w:p w:rsidR="00A233CD" w:rsidRPr="00A233CD" w:rsidRDefault="00A233CD" w:rsidP="00A233CD">
      <w:pPr>
        <w:pStyle w:val="BodyText"/>
        <w:widowControl w:val="0"/>
        <w:numPr>
          <w:ilvl w:val="0"/>
          <w:numId w:val="42"/>
        </w:numPr>
        <w:spacing w:before="3" w:after="0" w:line="238" w:lineRule="auto"/>
        <w:ind w:left="1134" w:right="115"/>
        <w:jc w:val="both"/>
        <w:rPr>
          <w:rFonts w:ascii="Arial" w:hAnsi="Arial" w:cs="Arial"/>
          <w:sz w:val="22"/>
          <w:szCs w:val="22"/>
        </w:rPr>
      </w:pPr>
      <w:r w:rsidRPr="00A233CD">
        <w:rPr>
          <w:rFonts w:ascii="Arial" w:hAnsi="Arial" w:cs="Arial"/>
          <w:sz w:val="22"/>
          <w:szCs w:val="22"/>
        </w:rPr>
        <w:t>the costs of second-line bevacizumab in the cetuximab arm were excluded</w:t>
      </w:r>
    </w:p>
    <w:p w:rsidR="00A233CD" w:rsidRPr="00A233CD" w:rsidRDefault="00A233CD" w:rsidP="00A233CD">
      <w:pPr>
        <w:pStyle w:val="BodyText"/>
        <w:widowControl w:val="0"/>
        <w:numPr>
          <w:ilvl w:val="0"/>
          <w:numId w:val="42"/>
        </w:numPr>
        <w:spacing w:before="3" w:after="0" w:line="238" w:lineRule="auto"/>
        <w:ind w:left="1134" w:right="115"/>
        <w:jc w:val="both"/>
        <w:rPr>
          <w:rFonts w:ascii="Arial" w:hAnsi="Arial" w:cs="Arial"/>
          <w:sz w:val="22"/>
          <w:szCs w:val="22"/>
        </w:rPr>
      </w:pPr>
      <w:r w:rsidRPr="00A233CD">
        <w:rPr>
          <w:rFonts w:ascii="Arial" w:hAnsi="Arial" w:cs="Arial"/>
          <w:sz w:val="22"/>
          <w:szCs w:val="22"/>
        </w:rPr>
        <w:t xml:space="preserve">the proportion of patients receiving later-line cetuximab in the Australian setting </w:t>
      </w:r>
      <w:r w:rsidR="00C00328">
        <w:rPr>
          <w:rFonts w:ascii="Arial" w:hAnsi="Arial" w:cs="Arial"/>
          <w:noProof/>
          <w:color w:val="000000"/>
          <w:sz w:val="22"/>
          <w:szCs w:val="22"/>
          <w:highlight w:val="black"/>
        </w:rPr>
        <w:t>''''''''''''''</w:t>
      </w:r>
      <w:r w:rsidRPr="00A233CD">
        <w:rPr>
          <w:rFonts w:ascii="Arial" w:hAnsi="Arial" w:cs="Arial"/>
          <w:sz w:val="22"/>
          <w:szCs w:val="22"/>
        </w:rPr>
        <w:t xml:space="preserve"> were applied rather than that observed in the FIRE-3 trial (25.7%)</w:t>
      </w:r>
    </w:p>
    <w:p w:rsidR="00A233CD" w:rsidRDefault="00C00328" w:rsidP="00A233CD">
      <w:pPr>
        <w:pStyle w:val="BodyText"/>
        <w:widowControl w:val="0"/>
        <w:numPr>
          <w:ilvl w:val="0"/>
          <w:numId w:val="42"/>
        </w:numPr>
        <w:spacing w:before="3" w:after="0" w:line="238" w:lineRule="auto"/>
        <w:ind w:left="1134" w:right="115"/>
        <w:jc w:val="both"/>
        <w:rPr>
          <w:rFonts w:ascii="Arial" w:hAnsi="Arial" w:cs="Arial"/>
          <w:sz w:val="22"/>
          <w:szCs w:val="22"/>
        </w:rPr>
      </w:pPr>
      <w:r>
        <w:rPr>
          <w:rFonts w:ascii="Arial" w:hAnsi="Arial" w:cs="Arial"/>
          <w:noProof/>
          <w:color w:val="000000"/>
          <w:sz w:val="22"/>
          <w:szCs w:val="22"/>
          <w:highlight w:val="black"/>
        </w:rPr>
        <w:t>'''''''''''</w:t>
      </w:r>
      <w:r w:rsidR="00A233CD" w:rsidRPr="00A233CD">
        <w:rPr>
          <w:rFonts w:ascii="Arial" w:hAnsi="Arial" w:cs="Arial"/>
          <w:sz w:val="22"/>
          <w:szCs w:val="22"/>
        </w:rPr>
        <w:t xml:space="preserve"> of patients were assumed to receive cetuximab on a fortnightly basis</w:t>
      </w:r>
      <w:r w:rsidR="00A233CD">
        <w:rPr>
          <w:rFonts w:ascii="Arial" w:hAnsi="Arial" w:cs="Arial"/>
          <w:sz w:val="22"/>
          <w:szCs w:val="22"/>
        </w:rPr>
        <w:t>.</w:t>
      </w:r>
    </w:p>
    <w:p w:rsidR="00A233CD" w:rsidRPr="00A233CD" w:rsidRDefault="00A233CD" w:rsidP="00A1420E">
      <w:pPr>
        <w:pStyle w:val="BodyText"/>
        <w:widowControl w:val="0"/>
        <w:spacing w:before="3" w:after="0" w:line="238" w:lineRule="auto"/>
        <w:ind w:right="115"/>
        <w:jc w:val="both"/>
        <w:rPr>
          <w:rFonts w:ascii="Arial" w:hAnsi="Arial" w:cs="Arial"/>
          <w:sz w:val="22"/>
          <w:szCs w:val="22"/>
        </w:rPr>
      </w:pPr>
    </w:p>
    <w:p w:rsidR="00A233CD" w:rsidRPr="004C0541" w:rsidRDefault="00A233CD" w:rsidP="00D479CB">
      <w:pPr>
        <w:pStyle w:val="ListParagraph"/>
        <w:numPr>
          <w:ilvl w:val="1"/>
          <w:numId w:val="25"/>
        </w:numPr>
        <w:jc w:val="both"/>
        <w:rPr>
          <w:rFonts w:ascii="Arial" w:hAnsi="Arial"/>
          <w:sz w:val="22"/>
          <w:szCs w:val="22"/>
        </w:rPr>
      </w:pPr>
      <w:r w:rsidRPr="00A233CD">
        <w:rPr>
          <w:rFonts w:ascii="Arial" w:hAnsi="Arial"/>
          <w:sz w:val="22"/>
          <w:szCs w:val="22"/>
        </w:rPr>
        <w:t xml:space="preserve">The ESC considered those calculations were inappropriate because no evidence had been provided to support non-inferiority in these circumstances. The ESC considered that additional data would be required to support non-inferiority under the assumptions applied in the cost-minimisation analysis. </w:t>
      </w:r>
      <w:r w:rsidRPr="00A233CD">
        <w:rPr>
          <w:rFonts w:ascii="Arial" w:hAnsi="Arial"/>
          <w:sz w:val="22"/>
          <w:szCs w:val="22"/>
          <w:lang w:val="en-US"/>
        </w:rPr>
        <w:t>The ESC considered a pragmatic approach that costs treatments up until progression based on available data in FIRE-3 would be more appropriate.</w:t>
      </w:r>
    </w:p>
    <w:p w:rsidR="004C0541" w:rsidRPr="00A1420E" w:rsidRDefault="004C0541" w:rsidP="00A1420E">
      <w:pPr>
        <w:jc w:val="both"/>
        <w:rPr>
          <w:rFonts w:ascii="Arial" w:hAnsi="Arial"/>
          <w:sz w:val="22"/>
          <w:szCs w:val="22"/>
        </w:rPr>
      </w:pPr>
    </w:p>
    <w:p w:rsidR="00EA1D3A" w:rsidRPr="004646DD" w:rsidRDefault="00EB7B2C" w:rsidP="00D479CB">
      <w:pPr>
        <w:pStyle w:val="ListParagraph"/>
        <w:numPr>
          <w:ilvl w:val="1"/>
          <w:numId w:val="25"/>
        </w:numPr>
        <w:jc w:val="both"/>
        <w:rPr>
          <w:rFonts w:ascii="Arial" w:hAnsi="Arial"/>
          <w:sz w:val="22"/>
          <w:szCs w:val="22"/>
        </w:rPr>
      </w:pPr>
      <w:r>
        <w:rPr>
          <w:rFonts w:ascii="Arial" w:hAnsi="Arial"/>
          <w:sz w:val="22"/>
          <w:szCs w:val="22"/>
          <w:lang w:val="en-US"/>
        </w:rPr>
        <w:t xml:space="preserve">The PBAC </w:t>
      </w:r>
      <w:r w:rsidR="004C0541">
        <w:rPr>
          <w:rFonts w:ascii="Arial" w:hAnsi="Arial"/>
          <w:sz w:val="22"/>
          <w:szCs w:val="22"/>
          <w:lang w:val="en-US"/>
        </w:rPr>
        <w:t>agreed with the ESC that the cost</w:t>
      </w:r>
      <w:r w:rsidR="00A1420E">
        <w:rPr>
          <w:rFonts w:ascii="Arial" w:hAnsi="Arial"/>
          <w:sz w:val="22"/>
          <w:szCs w:val="22"/>
          <w:lang w:val="en-US"/>
        </w:rPr>
        <w:t>-</w:t>
      </w:r>
      <w:r w:rsidR="004C0541">
        <w:rPr>
          <w:rFonts w:ascii="Arial" w:hAnsi="Arial"/>
          <w:sz w:val="22"/>
          <w:szCs w:val="22"/>
          <w:lang w:val="en-US"/>
        </w:rPr>
        <w:t>minimi</w:t>
      </w:r>
      <w:r w:rsidR="00A1420E">
        <w:rPr>
          <w:rFonts w:ascii="Arial" w:hAnsi="Arial"/>
          <w:sz w:val="22"/>
          <w:szCs w:val="22"/>
          <w:lang w:val="en-US"/>
        </w:rPr>
        <w:t>s</w:t>
      </w:r>
      <w:r w:rsidR="004C0541">
        <w:rPr>
          <w:rFonts w:ascii="Arial" w:hAnsi="Arial"/>
          <w:sz w:val="22"/>
          <w:szCs w:val="22"/>
          <w:lang w:val="en-US"/>
        </w:rPr>
        <w:t>ation analysis should use only costing of first-line treatments and should not include cost offset of avoided second-line cetuximab.</w:t>
      </w:r>
      <w:r w:rsidR="004646DD">
        <w:rPr>
          <w:rFonts w:ascii="Arial" w:hAnsi="Arial"/>
          <w:sz w:val="22"/>
          <w:szCs w:val="22"/>
          <w:lang w:val="en-US"/>
        </w:rPr>
        <w:t xml:space="preserve"> The PBAC also agreed with the ESC that the equi-effective doses of </w:t>
      </w:r>
      <w:r w:rsidR="004646DD" w:rsidRPr="00F80CEC">
        <w:rPr>
          <w:rFonts w:ascii="Arial" w:hAnsi="Arial"/>
          <w:sz w:val="22"/>
          <w:szCs w:val="22"/>
        </w:rPr>
        <w:t>8,356mg cetuximab vs 4,229mg bevacizumab</w:t>
      </w:r>
      <w:r w:rsidR="004646DD">
        <w:rPr>
          <w:rFonts w:ascii="Arial" w:hAnsi="Arial"/>
          <w:sz w:val="22"/>
          <w:szCs w:val="22"/>
        </w:rPr>
        <w:t xml:space="preserve"> are appropriate.</w:t>
      </w:r>
    </w:p>
    <w:p w:rsidR="00BB7EC3" w:rsidRPr="00FC349F" w:rsidRDefault="00BB7EC3" w:rsidP="00FC349F">
      <w:pPr>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57A6D" w:rsidRDefault="00F57A6D" w:rsidP="00882085">
      <w:pPr>
        <w:ind w:left="720" w:hanging="720"/>
        <w:jc w:val="both"/>
        <w:rPr>
          <w:rFonts w:ascii="Arial" w:hAnsi="Arial"/>
          <w:sz w:val="22"/>
          <w:szCs w:val="22"/>
        </w:rPr>
      </w:pPr>
    </w:p>
    <w:p w:rsidR="005963BB" w:rsidRPr="00F3502F" w:rsidRDefault="005963BB" w:rsidP="00882085">
      <w:pPr>
        <w:ind w:left="720" w:hanging="720"/>
        <w:jc w:val="both"/>
        <w:rPr>
          <w:rFonts w:ascii="Arial" w:hAnsi="Arial"/>
          <w:b/>
          <w:sz w:val="22"/>
          <w:szCs w:val="22"/>
        </w:rPr>
      </w:pPr>
      <w:r w:rsidRPr="00F3502F">
        <w:rPr>
          <w:rFonts w:ascii="Arial" w:hAnsi="Arial"/>
          <w:b/>
          <w:sz w:val="22"/>
          <w:szCs w:val="22"/>
        </w:rPr>
        <w:t xml:space="preserve">Drug </w:t>
      </w:r>
      <w:r w:rsidR="00A233CD" w:rsidRPr="00F3502F">
        <w:rPr>
          <w:rFonts w:ascii="Arial" w:hAnsi="Arial"/>
          <w:b/>
          <w:sz w:val="22"/>
          <w:szCs w:val="22"/>
        </w:rPr>
        <w:t>cost/patient/course</w:t>
      </w:r>
    </w:p>
    <w:p w:rsidR="005963BB" w:rsidRDefault="005963BB" w:rsidP="00882085">
      <w:pPr>
        <w:ind w:left="720" w:hanging="720"/>
        <w:jc w:val="both"/>
        <w:rPr>
          <w:rFonts w:ascii="Arial" w:hAnsi="Arial"/>
          <w:sz w:val="22"/>
          <w:szCs w:val="22"/>
        </w:rPr>
      </w:pPr>
    </w:p>
    <w:p w:rsidR="005963BB" w:rsidRPr="005963BB" w:rsidRDefault="00A233CD" w:rsidP="00D479CB">
      <w:pPr>
        <w:pStyle w:val="ListParagraph"/>
        <w:numPr>
          <w:ilvl w:val="1"/>
          <w:numId w:val="25"/>
        </w:numPr>
        <w:jc w:val="both"/>
        <w:rPr>
          <w:rFonts w:ascii="Arial" w:hAnsi="Arial" w:cs="Arial"/>
          <w:snapToGrid w:val="0"/>
          <w:sz w:val="22"/>
          <w:szCs w:val="22"/>
          <w:lang w:eastAsia="en-US"/>
        </w:rPr>
      </w:pPr>
      <w:r w:rsidRPr="00A233CD">
        <w:rPr>
          <w:rFonts w:ascii="Arial" w:hAnsi="Arial" w:cs="Arial"/>
          <w:snapToGrid w:val="0"/>
          <w:sz w:val="22"/>
          <w:szCs w:val="22"/>
          <w:lang w:eastAsia="en-US"/>
        </w:rPr>
        <w:t xml:space="preserve">The average drug cost per patient is estimated to be </w:t>
      </w:r>
      <w:r w:rsidR="00C00328">
        <w:rPr>
          <w:rFonts w:ascii="Arial" w:hAnsi="Arial" w:cs="Arial"/>
          <w:noProof/>
          <w:snapToGrid w:val="0"/>
          <w:color w:val="000000"/>
          <w:sz w:val="22"/>
          <w:szCs w:val="22"/>
          <w:highlight w:val="black"/>
          <w:lang w:eastAsia="en-US"/>
        </w:rPr>
        <w:t>'''''''''''''''''''''</w:t>
      </w:r>
      <w:r w:rsidRPr="00A233CD">
        <w:rPr>
          <w:rFonts w:ascii="Arial" w:hAnsi="Arial" w:cs="Arial"/>
          <w:snapToGrid w:val="0"/>
          <w:sz w:val="22"/>
          <w:szCs w:val="22"/>
          <w:lang w:eastAsia="en-US"/>
        </w:rPr>
        <w:t xml:space="preserve"> based on the mean number of cycles of 12.4 (24.8 infusions), an average dose intensity of 71.7% as observed in FIRE-3 and an assumed full loading dose. The weighted cost is based on 25% use in a public hospital setting and 75% use in a community pharmacy setting. This is compared with a drug cost of </w:t>
      </w:r>
      <w:r w:rsidR="00C00328">
        <w:rPr>
          <w:rFonts w:ascii="Arial" w:hAnsi="Arial" w:cs="Arial"/>
          <w:noProof/>
          <w:snapToGrid w:val="0"/>
          <w:color w:val="000000"/>
          <w:sz w:val="22"/>
          <w:szCs w:val="22"/>
          <w:highlight w:val="black"/>
          <w:lang w:eastAsia="en-US"/>
        </w:rPr>
        <w:t>''''''''''''''''''</w:t>
      </w:r>
      <w:r w:rsidRPr="00A233CD">
        <w:rPr>
          <w:rFonts w:ascii="Arial" w:hAnsi="Arial" w:cs="Arial"/>
          <w:snapToGrid w:val="0"/>
          <w:sz w:val="22"/>
          <w:szCs w:val="22"/>
          <w:lang w:eastAsia="en-US"/>
        </w:rPr>
        <w:t xml:space="preserve"> per patient for bevacizumab</w:t>
      </w:r>
      <w:r>
        <w:rPr>
          <w:rFonts w:ascii="Arial" w:hAnsi="Arial" w:cs="Arial"/>
          <w:snapToGrid w:val="0"/>
          <w:sz w:val="22"/>
          <w:szCs w:val="22"/>
          <w:lang w:eastAsia="en-US"/>
        </w:rPr>
        <w:t>.</w:t>
      </w:r>
    </w:p>
    <w:p w:rsidR="005963BB" w:rsidRDefault="005963BB" w:rsidP="00882085">
      <w:pPr>
        <w:ind w:left="720" w:hanging="720"/>
        <w:jc w:val="both"/>
        <w:rPr>
          <w:rFonts w:ascii="Arial" w:hAnsi="Arial"/>
          <w:sz w:val="22"/>
          <w:szCs w:val="22"/>
        </w:rPr>
      </w:pPr>
    </w:p>
    <w:p w:rsidR="005A3173" w:rsidRPr="00F3502F" w:rsidRDefault="005A3173" w:rsidP="00882085">
      <w:pPr>
        <w:ind w:left="720" w:hanging="720"/>
        <w:jc w:val="both"/>
        <w:rPr>
          <w:rFonts w:ascii="Arial" w:hAnsi="Arial"/>
          <w:b/>
          <w:sz w:val="22"/>
          <w:szCs w:val="22"/>
        </w:rPr>
      </w:pPr>
      <w:r w:rsidRPr="00F3502F">
        <w:rPr>
          <w:rFonts w:ascii="Arial" w:hAnsi="Arial"/>
          <w:b/>
          <w:sz w:val="22"/>
          <w:szCs w:val="22"/>
        </w:rPr>
        <w:t>Estimated PBS usage &amp; financial implications</w:t>
      </w:r>
    </w:p>
    <w:p w:rsidR="005A3173" w:rsidRPr="00FC349F" w:rsidRDefault="005A3173" w:rsidP="00882085">
      <w:pPr>
        <w:ind w:left="720" w:hanging="720"/>
        <w:jc w:val="both"/>
        <w:rPr>
          <w:rFonts w:ascii="Arial" w:hAnsi="Arial"/>
          <w:i/>
          <w:sz w:val="22"/>
          <w:szCs w:val="22"/>
        </w:rPr>
      </w:pPr>
    </w:p>
    <w:p w:rsidR="007C728B" w:rsidRDefault="007C728B" w:rsidP="00D479CB">
      <w:pPr>
        <w:pStyle w:val="ListParagraph"/>
        <w:numPr>
          <w:ilvl w:val="1"/>
          <w:numId w:val="25"/>
        </w:numPr>
        <w:jc w:val="both"/>
        <w:rPr>
          <w:rFonts w:ascii="Arial" w:hAnsi="Arial"/>
          <w:sz w:val="22"/>
          <w:szCs w:val="22"/>
        </w:rPr>
      </w:pPr>
      <w:r w:rsidRPr="007C728B">
        <w:rPr>
          <w:rFonts w:ascii="Arial" w:hAnsi="Arial"/>
          <w:sz w:val="22"/>
          <w:szCs w:val="22"/>
        </w:rPr>
        <w:t>This resubmission was not considered by DUSC</w:t>
      </w:r>
      <w:r w:rsidR="00FC349F">
        <w:rPr>
          <w:rFonts w:ascii="Arial" w:hAnsi="Arial"/>
          <w:sz w:val="22"/>
          <w:szCs w:val="22"/>
        </w:rPr>
        <w:t>.</w:t>
      </w:r>
    </w:p>
    <w:p w:rsidR="007C728B" w:rsidRPr="00FC349F" w:rsidRDefault="007C728B" w:rsidP="00FC349F">
      <w:pPr>
        <w:jc w:val="both"/>
        <w:rPr>
          <w:rFonts w:ascii="Arial" w:hAnsi="Arial"/>
          <w:sz w:val="22"/>
          <w:szCs w:val="22"/>
        </w:rPr>
      </w:pPr>
    </w:p>
    <w:p w:rsidR="00BB7EC3" w:rsidRPr="007C728B" w:rsidRDefault="007C728B" w:rsidP="00D479CB">
      <w:pPr>
        <w:pStyle w:val="ListParagraph"/>
        <w:numPr>
          <w:ilvl w:val="1"/>
          <w:numId w:val="25"/>
        </w:numPr>
        <w:jc w:val="both"/>
        <w:rPr>
          <w:rFonts w:ascii="Arial" w:hAnsi="Arial"/>
          <w:sz w:val="22"/>
          <w:szCs w:val="22"/>
        </w:rPr>
      </w:pPr>
      <w:r w:rsidRPr="007C728B">
        <w:rPr>
          <w:rFonts w:ascii="Arial" w:hAnsi="Arial"/>
          <w:sz w:val="22"/>
          <w:szCs w:val="22"/>
        </w:rPr>
        <w:t>The resubmission uses an epidemiological approach to determine the eligible population with RAS WT mCRC and then applies a market share approach to determine the proportion of patients receiving first-line treatment with cetuximab. The costs of cetuximab and bevacizumab were re-calculated during the evaluation using the mean number of treatment cycles as observed in FIRE-3 and assuming a full loading dose of cetuximab. The estimated use and financial implica</w:t>
      </w:r>
      <w:r w:rsidR="00CE5D68">
        <w:rPr>
          <w:rFonts w:ascii="Arial" w:hAnsi="Arial"/>
          <w:sz w:val="22"/>
          <w:szCs w:val="22"/>
        </w:rPr>
        <w:t>tions are summarised in the table below</w:t>
      </w:r>
      <w:r w:rsidRPr="007C728B">
        <w:rPr>
          <w:rFonts w:ascii="Arial" w:hAnsi="Arial"/>
          <w:sz w:val="22"/>
          <w:szCs w:val="22"/>
        </w:rPr>
        <w:t>.</w:t>
      </w:r>
    </w:p>
    <w:p w:rsidR="00BB7EC3" w:rsidRPr="00FC349F" w:rsidRDefault="00BB7EC3" w:rsidP="00FC349F">
      <w:pPr>
        <w:jc w:val="both"/>
        <w:rPr>
          <w:rFonts w:ascii="Arial" w:hAnsi="Arial"/>
          <w:sz w:val="22"/>
          <w:szCs w:val="22"/>
        </w:rPr>
      </w:pPr>
    </w:p>
    <w:p w:rsidR="007C728B" w:rsidRPr="007C728B" w:rsidRDefault="007C728B" w:rsidP="007C728B">
      <w:pPr>
        <w:widowControl w:val="0"/>
        <w:ind w:firstLine="709"/>
        <w:jc w:val="both"/>
        <w:rPr>
          <w:rFonts w:ascii="Arial Narrow" w:hAnsi="Arial Narrow" w:cs="Arial"/>
          <w:b/>
          <w:snapToGrid w:val="0"/>
          <w:sz w:val="20"/>
          <w:szCs w:val="16"/>
          <w:lang w:eastAsia="en-US"/>
        </w:rPr>
      </w:pPr>
      <w:r w:rsidRPr="007C728B">
        <w:rPr>
          <w:rFonts w:ascii="Arial Narrow" w:hAnsi="Arial Narrow" w:cs="Arial"/>
          <w:b/>
          <w:snapToGrid w:val="0"/>
          <w:sz w:val="20"/>
          <w:szCs w:val="16"/>
          <w:lang w:eastAsia="en-US"/>
        </w:rPr>
        <w:t>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1140"/>
        <w:gridCol w:w="1133"/>
        <w:gridCol w:w="1133"/>
        <w:gridCol w:w="1135"/>
        <w:gridCol w:w="1252"/>
      </w:tblGrid>
      <w:tr w:rsidR="007C728B" w:rsidRPr="007C728B" w:rsidTr="00522796">
        <w:trPr>
          <w:tblHeader/>
        </w:trPr>
        <w:tc>
          <w:tcPr>
            <w:tcW w:w="1529" w:type="pct"/>
            <w:shd w:val="clear" w:color="auto" w:fill="auto"/>
            <w:vAlign w:val="center"/>
          </w:tcPr>
          <w:p w:rsidR="007C728B" w:rsidRPr="007C728B" w:rsidRDefault="007C728B" w:rsidP="007C728B">
            <w:pPr>
              <w:widowControl w:val="0"/>
              <w:tabs>
                <w:tab w:val="left" w:pos="142"/>
              </w:tabs>
              <w:ind w:right="93"/>
              <w:rPr>
                <w:rFonts w:ascii="Arial Narrow" w:hAnsi="Arial Narrow" w:cs="Arial"/>
                <w:b/>
                <w:snapToGrid w:val="0"/>
                <w:sz w:val="20"/>
                <w:szCs w:val="20"/>
                <w:lang w:eastAsia="en-US"/>
              </w:rPr>
            </w:pPr>
          </w:p>
        </w:tc>
        <w:tc>
          <w:tcPr>
            <w:tcW w:w="683" w:type="pct"/>
            <w:shd w:val="clear" w:color="auto" w:fill="auto"/>
            <w:vAlign w:val="center"/>
          </w:tcPr>
          <w:p w:rsidR="007C728B" w:rsidRPr="007C728B" w:rsidRDefault="007C728B" w:rsidP="007C728B">
            <w:pPr>
              <w:widowControl w:val="0"/>
              <w:ind w:right="93"/>
              <w:jc w:val="center"/>
              <w:rPr>
                <w:rFonts w:ascii="Arial Narrow" w:hAnsi="Arial Narrow" w:cs="Arial"/>
                <w:b/>
                <w:snapToGrid w:val="0"/>
                <w:sz w:val="20"/>
                <w:szCs w:val="20"/>
                <w:lang w:eastAsia="en-US"/>
              </w:rPr>
            </w:pPr>
            <w:r w:rsidRPr="007C728B">
              <w:rPr>
                <w:rFonts w:ascii="Arial Narrow" w:hAnsi="Arial Narrow" w:cs="Arial"/>
                <w:b/>
                <w:snapToGrid w:val="0"/>
                <w:sz w:val="20"/>
                <w:szCs w:val="20"/>
                <w:lang w:eastAsia="en-US"/>
              </w:rPr>
              <w:t>Year 1</w:t>
            </w:r>
          </w:p>
        </w:tc>
        <w:tc>
          <w:tcPr>
            <w:tcW w:w="679" w:type="pct"/>
            <w:shd w:val="clear" w:color="auto" w:fill="auto"/>
            <w:vAlign w:val="center"/>
          </w:tcPr>
          <w:p w:rsidR="007C728B" w:rsidRPr="007C728B" w:rsidRDefault="007C728B" w:rsidP="007C728B">
            <w:pPr>
              <w:widowControl w:val="0"/>
              <w:ind w:right="93"/>
              <w:jc w:val="center"/>
              <w:rPr>
                <w:rFonts w:ascii="Arial Narrow" w:hAnsi="Arial Narrow" w:cs="Arial"/>
                <w:b/>
                <w:snapToGrid w:val="0"/>
                <w:sz w:val="20"/>
                <w:szCs w:val="20"/>
                <w:lang w:eastAsia="en-US"/>
              </w:rPr>
            </w:pPr>
            <w:r w:rsidRPr="007C728B">
              <w:rPr>
                <w:rFonts w:ascii="Arial Narrow" w:hAnsi="Arial Narrow" w:cs="Arial"/>
                <w:b/>
                <w:snapToGrid w:val="0"/>
                <w:sz w:val="20"/>
                <w:szCs w:val="20"/>
                <w:lang w:eastAsia="en-US"/>
              </w:rPr>
              <w:t>Year 2</w:t>
            </w:r>
          </w:p>
        </w:tc>
        <w:tc>
          <w:tcPr>
            <w:tcW w:w="679" w:type="pct"/>
            <w:shd w:val="clear" w:color="auto" w:fill="auto"/>
            <w:vAlign w:val="center"/>
          </w:tcPr>
          <w:p w:rsidR="007C728B" w:rsidRPr="007C728B" w:rsidRDefault="007C728B" w:rsidP="007C728B">
            <w:pPr>
              <w:widowControl w:val="0"/>
              <w:ind w:right="93"/>
              <w:jc w:val="center"/>
              <w:rPr>
                <w:rFonts w:ascii="Arial Narrow" w:hAnsi="Arial Narrow" w:cs="Arial"/>
                <w:b/>
                <w:snapToGrid w:val="0"/>
                <w:sz w:val="20"/>
                <w:szCs w:val="20"/>
                <w:lang w:eastAsia="en-US"/>
              </w:rPr>
            </w:pPr>
            <w:r w:rsidRPr="007C728B">
              <w:rPr>
                <w:rFonts w:ascii="Arial Narrow" w:hAnsi="Arial Narrow" w:cs="Arial"/>
                <w:b/>
                <w:snapToGrid w:val="0"/>
                <w:sz w:val="20"/>
                <w:szCs w:val="20"/>
                <w:lang w:eastAsia="en-US"/>
              </w:rPr>
              <w:t>Year 3</w:t>
            </w:r>
          </w:p>
        </w:tc>
        <w:tc>
          <w:tcPr>
            <w:tcW w:w="680" w:type="pct"/>
            <w:shd w:val="clear" w:color="auto" w:fill="auto"/>
            <w:vAlign w:val="center"/>
          </w:tcPr>
          <w:p w:rsidR="007C728B" w:rsidRPr="007C728B" w:rsidRDefault="007C728B" w:rsidP="007C728B">
            <w:pPr>
              <w:widowControl w:val="0"/>
              <w:ind w:right="93"/>
              <w:jc w:val="center"/>
              <w:rPr>
                <w:rFonts w:ascii="Arial Narrow" w:hAnsi="Arial Narrow" w:cs="Arial"/>
                <w:b/>
                <w:snapToGrid w:val="0"/>
                <w:sz w:val="20"/>
                <w:szCs w:val="20"/>
                <w:lang w:eastAsia="en-US"/>
              </w:rPr>
            </w:pPr>
            <w:r w:rsidRPr="007C728B">
              <w:rPr>
                <w:rFonts w:ascii="Arial Narrow" w:hAnsi="Arial Narrow" w:cs="Arial"/>
                <w:b/>
                <w:snapToGrid w:val="0"/>
                <w:sz w:val="20"/>
                <w:szCs w:val="20"/>
                <w:lang w:eastAsia="en-US"/>
              </w:rPr>
              <w:t>Year 4</w:t>
            </w:r>
          </w:p>
        </w:tc>
        <w:tc>
          <w:tcPr>
            <w:tcW w:w="750" w:type="pct"/>
            <w:shd w:val="clear" w:color="auto" w:fill="auto"/>
            <w:vAlign w:val="center"/>
          </w:tcPr>
          <w:p w:rsidR="007C728B" w:rsidRPr="007C728B" w:rsidRDefault="007C728B" w:rsidP="007C728B">
            <w:pPr>
              <w:widowControl w:val="0"/>
              <w:ind w:right="93"/>
              <w:jc w:val="center"/>
              <w:rPr>
                <w:rFonts w:ascii="Arial Narrow" w:hAnsi="Arial Narrow" w:cs="Arial"/>
                <w:b/>
                <w:snapToGrid w:val="0"/>
                <w:sz w:val="20"/>
                <w:szCs w:val="20"/>
                <w:lang w:eastAsia="en-US"/>
              </w:rPr>
            </w:pPr>
            <w:r w:rsidRPr="007C728B">
              <w:rPr>
                <w:rFonts w:ascii="Arial Narrow" w:hAnsi="Arial Narrow" w:cs="Arial"/>
                <w:b/>
                <w:snapToGrid w:val="0"/>
                <w:sz w:val="20"/>
                <w:szCs w:val="20"/>
                <w:lang w:eastAsia="en-US"/>
              </w:rPr>
              <w:t>Year 5</w:t>
            </w:r>
          </w:p>
        </w:tc>
      </w:tr>
      <w:tr w:rsidR="007C728B" w:rsidRPr="007C728B" w:rsidTr="00522796">
        <w:tc>
          <w:tcPr>
            <w:tcW w:w="5000" w:type="pct"/>
            <w:gridSpan w:val="6"/>
            <w:shd w:val="clear" w:color="auto" w:fill="auto"/>
            <w:vAlign w:val="center"/>
          </w:tcPr>
          <w:p w:rsidR="007C728B" w:rsidRPr="007C728B" w:rsidRDefault="007C728B" w:rsidP="007C728B">
            <w:pPr>
              <w:widowControl w:val="0"/>
              <w:ind w:right="93"/>
              <w:rPr>
                <w:rFonts w:ascii="Arial Narrow" w:hAnsi="Arial Narrow" w:cs="Arial"/>
                <w:b/>
                <w:bCs/>
                <w:snapToGrid w:val="0"/>
                <w:color w:val="000000"/>
                <w:sz w:val="20"/>
                <w:szCs w:val="20"/>
                <w:lang w:eastAsia="en-US"/>
              </w:rPr>
            </w:pPr>
            <w:r w:rsidRPr="007C728B">
              <w:rPr>
                <w:rFonts w:ascii="Arial Narrow" w:hAnsi="Arial Narrow" w:cs="Arial"/>
                <w:b/>
                <w:bCs/>
                <w:snapToGrid w:val="0"/>
                <w:color w:val="000000"/>
                <w:sz w:val="20"/>
                <w:szCs w:val="20"/>
                <w:lang w:eastAsia="en-US"/>
              </w:rPr>
              <w:t>Estimated extent of use</w:t>
            </w:r>
          </w:p>
        </w:tc>
      </w:tr>
      <w:tr w:rsidR="007C728B" w:rsidRPr="007C728B" w:rsidTr="00522796">
        <w:tc>
          <w:tcPr>
            <w:tcW w:w="1529" w:type="pct"/>
            <w:shd w:val="clear" w:color="auto" w:fill="auto"/>
            <w:vAlign w:val="center"/>
          </w:tcPr>
          <w:p w:rsidR="007C728B" w:rsidRPr="007C728B" w:rsidRDefault="007C728B" w:rsidP="007C728B">
            <w:pPr>
              <w:widowControl w:val="0"/>
              <w:tabs>
                <w:tab w:val="left" w:pos="142"/>
              </w:tabs>
              <w:ind w:right="93"/>
              <w:rPr>
                <w:rFonts w:ascii="Arial Narrow" w:hAnsi="Arial Narrow" w:cs="Arial"/>
                <w:snapToGrid w:val="0"/>
                <w:sz w:val="20"/>
                <w:szCs w:val="20"/>
                <w:lang w:eastAsia="en-US"/>
              </w:rPr>
            </w:pPr>
            <w:r w:rsidRPr="007C728B">
              <w:rPr>
                <w:rFonts w:ascii="Arial Narrow" w:hAnsi="Arial Narrow" w:cs="Arial"/>
                <w:snapToGrid w:val="0"/>
                <w:sz w:val="20"/>
                <w:szCs w:val="20"/>
                <w:lang w:eastAsia="en-US"/>
              </w:rPr>
              <w:t>Number treated</w:t>
            </w:r>
          </w:p>
        </w:tc>
        <w:tc>
          <w:tcPr>
            <w:tcW w:w="683" w:type="pct"/>
            <w:shd w:val="clear" w:color="auto" w:fill="auto"/>
            <w:vAlign w:val="center"/>
          </w:tcPr>
          <w:p w:rsidR="007C728B" w:rsidRPr="00C00328" w:rsidRDefault="00C00328" w:rsidP="007C728B">
            <w:pPr>
              <w:widowControl w:val="0"/>
              <w:ind w:right="93"/>
              <w:jc w:val="center"/>
              <w:rPr>
                <w:rFonts w:ascii="Arial Narrow" w:hAnsi="Arial Narrow" w:cs="Arial"/>
                <w:b/>
                <w:bCs/>
                <w:snapToGrid w:val="0"/>
                <w:color w:val="000000"/>
                <w:sz w:val="20"/>
                <w:szCs w:val="20"/>
                <w:highlight w:val="black"/>
                <w:lang w:eastAsia="en-US"/>
              </w:rPr>
            </w:pPr>
            <w:r>
              <w:rPr>
                <w:rFonts w:ascii="Arial Narrow" w:hAnsi="Arial Narrow" w:cs="Arial"/>
                <w:noProof/>
                <w:snapToGrid w:val="0"/>
                <w:color w:val="000000"/>
                <w:sz w:val="20"/>
                <w:szCs w:val="16"/>
                <w:highlight w:val="black"/>
                <w:lang w:eastAsia="en-US"/>
              </w:rPr>
              <w:t>''''''''''''</w:t>
            </w:r>
          </w:p>
        </w:tc>
        <w:tc>
          <w:tcPr>
            <w:tcW w:w="679" w:type="pct"/>
            <w:shd w:val="clear" w:color="auto" w:fill="auto"/>
            <w:vAlign w:val="center"/>
          </w:tcPr>
          <w:p w:rsidR="007C728B" w:rsidRPr="00C00328" w:rsidRDefault="00C00328" w:rsidP="007C728B">
            <w:pPr>
              <w:widowControl w:val="0"/>
              <w:ind w:right="93"/>
              <w:jc w:val="center"/>
              <w:rPr>
                <w:rFonts w:ascii="Arial Narrow" w:hAnsi="Arial Narrow" w:cs="Arial"/>
                <w:b/>
                <w:bCs/>
                <w:snapToGrid w:val="0"/>
                <w:color w:val="000000"/>
                <w:sz w:val="20"/>
                <w:szCs w:val="20"/>
                <w:highlight w:val="black"/>
                <w:lang w:eastAsia="en-US"/>
              </w:rPr>
            </w:pPr>
            <w:r>
              <w:rPr>
                <w:rFonts w:ascii="Arial Narrow" w:hAnsi="Arial Narrow" w:cs="Arial"/>
                <w:noProof/>
                <w:snapToGrid w:val="0"/>
                <w:color w:val="000000"/>
                <w:sz w:val="20"/>
                <w:szCs w:val="16"/>
                <w:highlight w:val="black"/>
                <w:lang w:eastAsia="en-US"/>
              </w:rPr>
              <w:t>''''''''''''</w:t>
            </w:r>
          </w:p>
        </w:tc>
        <w:tc>
          <w:tcPr>
            <w:tcW w:w="679" w:type="pct"/>
            <w:shd w:val="clear" w:color="auto" w:fill="auto"/>
            <w:vAlign w:val="center"/>
          </w:tcPr>
          <w:p w:rsidR="007C728B" w:rsidRPr="00C00328" w:rsidRDefault="00C00328" w:rsidP="007C728B">
            <w:pPr>
              <w:widowControl w:val="0"/>
              <w:ind w:right="93"/>
              <w:jc w:val="center"/>
              <w:rPr>
                <w:rFonts w:ascii="Arial Narrow" w:hAnsi="Arial Narrow" w:cs="Arial"/>
                <w:b/>
                <w:bCs/>
                <w:snapToGrid w:val="0"/>
                <w:color w:val="000000"/>
                <w:sz w:val="20"/>
                <w:szCs w:val="20"/>
                <w:highlight w:val="black"/>
                <w:lang w:eastAsia="en-US"/>
              </w:rPr>
            </w:pPr>
            <w:r>
              <w:rPr>
                <w:rFonts w:ascii="Arial Narrow" w:hAnsi="Arial Narrow" w:cs="Arial"/>
                <w:noProof/>
                <w:snapToGrid w:val="0"/>
                <w:color w:val="000000"/>
                <w:sz w:val="20"/>
                <w:szCs w:val="16"/>
                <w:highlight w:val="black"/>
                <w:lang w:eastAsia="en-US"/>
              </w:rPr>
              <w:t>'''''''''''''</w:t>
            </w:r>
          </w:p>
        </w:tc>
        <w:tc>
          <w:tcPr>
            <w:tcW w:w="680" w:type="pct"/>
            <w:shd w:val="clear" w:color="auto" w:fill="auto"/>
            <w:vAlign w:val="center"/>
          </w:tcPr>
          <w:p w:rsidR="007C728B" w:rsidRPr="00C00328" w:rsidRDefault="00C00328" w:rsidP="007C728B">
            <w:pPr>
              <w:widowControl w:val="0"/>
              <w:ind w:right="93"/>
              <w:jc w:val="center"/>
              <w:rPr>
                <w:rFonts w:ascii="Arial Narrow" w:hAnsi="Arial Narrow" w:cs="Arial"/>
                <w:b/>
                <w:bCs/>
                <w:snapToGrid w:val="0"/>
                <w:color w:val="000000"/>
                <w:sz w:val="20"/>
                <w:szCs w:val="20"/>
                <w:highlight w:val="black"/>
                <w:lang w:eastAsia="en-US"/>
              </w:rPr>
            </w:pPr>
            <w:r>
              <w:rPr>
                <w:rFonts w:ascii="Arial Narrow" w:hAnsi="Arial Narrow" w:cs="Arial"/>
                <w:noProof/>
                <w:snapToGrid w:val="0"/>
                <w:color w:val="000000"/>
                <w:sz w:val="20"/>
                <w:szCs w:val="16"/>
                <w:highlight w:val="black"/>
                <w:lang w:eastAsia="en-US"/>
              </w:rPr>
              <w:t>''''''''''''</w:t>
            </w:r>
          </w:p>
        </w:tc>
        <w:tc>
          <w:tcPr>
            <w:tcW w:w="750" w:type="pct"/>
            <w:shd w:val="clear" w:color="auto" w:fill="auto"/>
            <w:vAlign w:val="center"/>
          </w:tcPr>
          <w:p w:rsidR="007C728B" w:rsidRPr="00C00328" w:rsidRDefault="00C00328" w:rsidP="007C728B">
            <w:pPr>
              <w:widowControl w:val="0"/>
              <w:ind w:right="93"/>
              <w:jc w:val="center"/>
              <w:rPr>
                <w:rFonts w:ascii="Arial Narrow" w:hAnsi="Arial Narrow" w:cs="Arial"/>
                <w:b/>
                <w:bCs/>
                <w:snapToGrid w:val="0"/>
                <w:color w:val="000000"/>
                <w:sz w:val="20"/>
                <w:szCs w:val="20"/>
                <w:highlight w:val="black"/>
                <w:lang w:eastAsia="en-US"/>
              </w:rPr>
            </w:pPr>
            <w:r>
              <w:rPr>
                <w:rFonts w:ascii="Arial Narrow" w:hAnsi="Arial Narrow" w:cs="Arial"/>
                <w:noProof/>
                <w:snapToGrid w:val="0"/>
                <w:color w:val="000000"/>
                <w:sz w:val="20"/>
                <w:szCs w:val="16"/>
                <w:highlight w:val="black"/>
                <w:lang w:eastAsia="en-US"/>
              </w:rPr>
              <w:t>''''''''''''</w:t>
            </w:r>
          </w:p>
        </w:tc>
      </w:tr>
      <w:tr w:rsidR="007C728B" w:rsidRPr="007C728B" w:rsidTr="00522796">
        <w:tc>
          <w:tcPr>
            <w:tcW w:w="1529" w:type="pct"/>
            <w:shd w:val="clear" w:color="auto" w:fill="auto"/>
            <w:vAlign w:val="center"/>
          </w:tcPr>
          <w:p w:rsidR="007C728B" w:rsidRPr="007C728B" w:rsidRDefault="007C728B" w:rsidP="007C728B">
            <w:pPr>
              <w:widowControl w:val="0"/>
              <w:tabs>
                <w:tab w:val="left" w:pos="142"/>
              </w:tabs>
              <w:ind w:right="93"/>
              <w:rPr>
                <w:rFonts w:ascii="Arial Narrow" w:hAnsi="Arial Narrow" w:cs="Arial"/>
                <w:snapToGrid w:val="0"/>
                <w:sz w:val="20"/>
                <w:szCs w:val="20"/>
                <w:lang w:eastAsia="en-US"/>
              </w:rPr>
            </w:pPr>
            <w:r w:rsidRPr="007C728B">
              <w:rPr>
                <w:rFonts w:ascii="Arial Narrow" w:hAnsi="Arial Narrow" w:cs="Arial"/>
                <w:snapToGrid w:val="0"/>
                <w:sz w:val="20"/>
                <w:szCs w:val="20"/>
                <w:lang w:eastAsia="en-US"/>
              </w:rPr>
              <w:t>Number treated* - Nov 2013</w:t>
            </w:r>
          </w:p>
        </w:tc>
        <w:tc>
          <w:tcPr>
            <w:tcW w:w="683" w:type="pct"/>
            <w:shd w:val="clear" w:color="auto" w:fill="auto"/>
            <w:vAlign w:val="center"/>
          </w:tcPr>
          <w:p w:rsidR="007C728B" w:rsidRPr="00C00328" w:rsidRDefault="00C00328" w:rsidP="007C728B">
            <w:pPr>
              <w:widowControl w:val="0"/>
              <w:ind w:right="93"/>
              <w:jc w:val="center"/>
              <w:rPr>
                <w:rFonts w:ascii="Arial Narrow" w:hAnsi="Arial Narrow" w:cs="Arial"/>
                <w:bCs/>
                <w:snapToGrid w:val="0"/>
                <w:sz w:val="20"/>
                <w:szCs w:val="20"/>
                <w:highlight w:val="black"/>
                <w:lang w:eastAsia="en-US"/>
              </w:rPr>
            </w:pPr>
            <w:r>
              <w:rPr>
                <w:rFonts w:ascii="Arial Narrow" w:eastAsia="SimSun" w:hAnsi="Arial Narrow" w:cs="Arial"/>
                <w:bCs/>
                <w:noProof/>
                <w:snapToGrid w:val="0"/>
                <w:color w:val="000000"/>
                <w:sz w:val="20"/>
                <w:szCs w:val="20"/>
                <w:highlight w:val="black"/>
              </w:rPr>
              <w:t>''''''''''''</w:t>
            </w:r>
          </w:p>
        </w:tc>
        <w:tc>
          <w:tcPr>
            <w:tcW w:w="679" w:type="pct"/>
            <w:shd w:val="clear" w:color="auto" w:fill="auto"/>
            <w:vAlign w:val="center"/>
          </w:tcPr>
          <w:p w:rsidR="007C728B" w:rsidRPr="00C00328" w:rsidRDefault="00C00328" w:rsidP="007C728B">
            <w:pPr>
              <w:widowControl w:val="0"/>
              <w:ind w:right="93"/>
              <w:jc w:val="center"/>
              <w:rPr>
                <w:rFonts w:ascii="Arial Narrow" w:hAnsi="Arial Narrow" w:cs="Arial"/>
                <w:bCs/>
                <w:snapToGrid w:val="0"/>
                <w:sz w:val="20"/>
                <w:szCs w:val="20"/>
                <w:highlight w:val="black"/>
                <w:lang w:eastAsia="en-US"/>
              </w:rPr>
            </w:pPr>
            <w:r>
              <w:rPr>
                <w:rFonts w:ascii="Arial Narrow" w:eastAsia="SimSun" w:hAnsi="Arial Narrow" w:cs="Arial"/>
                <w:bCs/>
                <w:noProof/>
                <w:snapToGrid w:val="0"/>
                <w:color w:val="000000"/>
                <w:sz w:val="20"/>
                <w:szCs w:val="20"/>
                <w:highlight w:val="black"/>
              </w:rPr>
              <w:t>''''''''''''</w:t>
            </w:r>
          </w:p>
        </w:tc>
        <w:tc>
          <w:tcPr>
            <w:tcW w:w="679" w:type="pct"/>
            <w:shd w:val="clear" w:color="auto" w:fill="auto"/>
            <w:vAlign w:val="center"/>
          </w:tcPr>
          <w:p w:rsidR="007C728B" w:rsidRPr="00C00328" w:rsidRDefault="00C00328" w:rsidP="007C728B">
            <w:pPr>
              <w:widowControl w:val="0"/>
              <w:ind w:right="93"/>
              <w:jc w:val="center"/>
              <w:rPr>
                <w:rFonts w:ascii="Arial Narrow" w:hAnsi="Arial Narrow" w:cs="Arial"/>
                <w:bCs/>
                <w:snapToGrid w:val="0"/>
                <w:sz w:val="20"/>
                <w:szCs w:val="20"/>
                <w:highlight w:val="black"/>
                <w:lang w:eastAsia="en-US"/>
              </w:rPr>
            </w:pPr>
            <w:r>
              <w:rPr>
                <w:rFonts w:ascii="Arial Narrow" w:eastAsia="SimSun" w:hAnsi="Arial Narrow" w:cs="Arial"/>
                <w:bCs/>
                <w:noProof/>
                <w:snapToGrid w:val="0"/>
                <w:color w:val="000000"/>
                <w:sz w:val="20"/>
                <w:szCs w:val="20"/>
                <w:highlight w:val="black"/>
              </w:rPr>
              <w:t>'''''''''''''''</w:t>
            </w:r>
          </w:p>
        </w:tc>
        <w:tc>
          <w:tcPr>
            <w:tcW w:w="680" w:type="pct"/>
            <w:shd w:val="clear" w:color="auto" w:fill="auto"/>
            <w:vAlign w:val="center"/>
          </w:tcPr>
          <w:p w:rsidR="007C728B" w:rsidRPr="00C00328" w:rsidRDefault="00C00328" w:rsidP="007C728B">
            <w:pPr>
              <w:widowControl w:val="0"/>
              <w:ind w:right="93"/>
              <w:jc w:val="center"/>
              <w:rPr>
                <w:rFonts w:ascii="Arial Narrow" w:hAnsi="Arial Narrow" w:cs="Arial"/>
                <w:bCs/>
                <w:snapToGrid w:val="0"/>
                <w:sz w:val="20"/>
                <w:szCs w:val="20"/>
                <w:highlight w:val="black"/>
                <w:lang w:eastAsia="en-US"/>
              </w:rPr>
            </w:pPr>
            <w:r>
              <w:rPr>
                <w:rFonts w:ascii="Arial Narrow" w:eastAsia="SimSun" w:hAnsi="Arial Narrow" w:cs="Arial"/>
                <w:bCs/>
                <w:noProof/>
                <w:snapToGrid w:val="0"/>
                <w:color w:val="000000"/>
                <w:sz w:val="20"/>
                <w:szCs w:val="20"/>
                <w:highlight w:val="black"/>
              </w:rPr>
              <w:t>''''''''''''''</w:t>
            </w:r>
          </w:p>
        </w:tc>
        <w:tc>
          <w:tcPr>
            <w:tcW w:w="750" w:type="pct"/>
            <w:shd w:val="clear" w:color="auto" w:fill="auto"/>
            <w:vAlign w:val="center"/>
          </w:tcPr>
          <w:p w:rsidR="007C728B" w:rsidRPr="00C00328" w:rsidRDefault="00C00328" w:rsidP="007C728B">
            <w:pPr>
              <w:widowControl w:val="0"/>
              <w:ind w:right="93"/>
              <w:jc w:val="center"/>
              <w:rPr>
                <w:rFonts w:ascii="Arial Narrow" w:hAnsi="Arial Narrow" w:cs="Arial"/>
                <w:bCs/>
                <w:snapToGrid w:val="0"/>
                <w:sz w:val="20"/>
                <w:szCs w:val="20"/>
                <w:highlight w:val="black"/>
                <w:lang w:eastAsia="en-US"/>
              </w:rPr>
            </w:pPr>
            <w:r>
              <w:rPr>
                <w:rFonts w:ascii="Arial Narrow" w:eastAsia="SimSun" w:hAnsi="Arial Narrow" w:cs="Arial"/>
                <w:bCs/>
                <w:noProof/>
                <w:snapToGrid w:val="0"/>
                <w:color w:val="000000"/>
                <w:sz w:val="20"/>
                <w:szCs w:val="20"/>
                <w:highlight w:val="black"/>
              </w:rPr>
              <w:t>''''''''''''</w:t>
            </w:r>
          </w:p>
        </w:tc>
      </w:tr>
      <w:tr w:rsidR="007C728B" w:rsidRPr="007C728B" w:rsidTr="00522796">
        <w:tc>
          <w:tcPr>
            <w:tcW w:w="1529" w:type="pct"/>
            <w:shd w:val="clear" w:color="auto" w:fill="auto"/>
            <w:vAlign w:val="center"/>
          </w:tcPr>
          <w:p w:rsidR="007C728B" w:rsidRPr="007C728B" w:rsidRDefault="007C728B" w:rsidP="007C728B">
            <w:pPr>
              <w:widowControl w:val="0"/>
              <w:tabs>
                <w:tab w:val="left" w:pos="142"/>
              </w:tabs>
              <w:ind w:right="93"/>
              <w:rPr>
                <w:rFonts w:ascii="Arial Narrow" w:hAnsi="Arial Narrow" w:cs="Arial"/>
                <w:snapToGrid w:val="0"/>
                <w:sz w:val="20"/>
                <w:szCs w:val="20"/>
                <w:lang w:eastAsia="en-US"/>
              </w:rPr>
            </w:pPr>
            <w:r w:rsidRPr="007C728B">
              <w:rPr>
                <w:rFonts w:ascii="Arial Narrow" w:hAnsi="Arial Narrow" w:cs="Arial"/>
                <w:snapToGrid w:val="0"/>
                <w:sz w:val="20"/>
                <w:szCs w:val="20"/>
                <w:lang w:eastAsia="en-US"/>
              </w:rPr>
              <w:t>Uptake rate</w:t>
            </w:r>
          </w:p>
        </w:tc>
        <w:tc>
          <w:tcPr>
            <w:tcW w:w="683" w:type="pct"/>
            <w:shd w:val="clear" w:color="auto" w:fill="auto"/>
            <w:vAlign w:val="center"/>
          </w:tcPr>
          <w:p w:rsidR="007C728B" w:rsidRPr="00C00328" w:rsidRDefault="00C00328" w:rsidP="007C728B">
            <w:pPr>
              <w:widowControl w:val="0"/>
              <w:ind w:right="93"/>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79" w:type="pct"/>
            <w:shd w:val="clear" w:color="auto" w:fill="auto"/>
            <w:vAlign w:val="center"/>
          </w:tcPr>
          <w:p w:rsidR="007C728B" w:rsidRPr="00C00328" w:rsidRDefault="00C00328" w:rsidP="007C728B">
            <w:pPr>
              <w:widowControl w:val="0"/>
              <w:ind w:right="93"/>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79" w:type="pct"/>
            <w:shd w:val="clear" w:color="auto" w:fill="auto"/>
            <w:vAlign w:val="center"/>
          </w:tcPr>
          <w:p w:rsidR="007C728B" w:rsidRPr="00C00328" w:rsidRDefault="00C00328" w:rsidP="007C728B">
            <w:pPr>
              <w:widowControl w:val="0"/>
              <w:ind w:right="93"/>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80" w:type="pct"/>
            <w:shd w:val="clear" w:color="auto" w:fill="auto"/>
            <w:vAlign w:val="center"/>
          </w:tcPr>
          <w:p w:rsidR="007C728B" w:rsidRPr="00C00328" w:rsidRDefault="00C00328" w:rsidP="007C728B">
            <w:pPr>
              <w:widowControl w:val="0"/>
              <w:ind w:right="93"/>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0" w:type="pct"/>
            <w:shd w:val="clear" w:color="auto" w:fill="auto"/>
            <w:vAlign w:val="center"/>
          </w:tcPr>
          <w:p w:rsidR="007C728B" w:rsidRPr="00C00328" w:rsidRDefault="00C00328" w:rsidP="007C728B">
            <w:pPr>
              <w:widowControl w:val="0"/>
              <w:ind w:right="93"/>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7C728B" w:rsidRPr="007C728B" w:rsidTr="00522796">
        <w:tc>
          <w:tcPr>
            <w:tcW w:w="1529" w:type="pct"/>
            <w:shd w:val="clear" w:color="auto" w:fill="auto"/>
            <w:vAlign w:val="center"/>
          </w:tcPr>
          <w:p w:rsidR="007C728B" w:rsidRPr="007C728B" w:rsidRDefault="007C728B" w:rsidP="007C728B">
            <w:pPr>
              <w:widowControl w:val="0"/>
              <w:tabs>
                <w:tab w:val="left" w:pos="142"/>
              </w:tabs>
              <w:ind w:right="93"/>
              <w:rPr>
                <w:rFonts w:ascii="Arial Narrow" w:hAnsi="Arial Narrow" w:cs="Arial"/>
                <w:snapToGrid w:val="0"/>
                <w:sz w:val="20"/>
                <w:szCs w:val="20"/>
                <w:lang w:eastAsia="en-US"/>
              </w:rPr>
            </w:pPr>
            <w:r w:rsidRPr="007C728B">
              <w:rPr>
                <w:rFonts w:ascii="Arial Narrow" w:hAnsi="Arial Narrow" w:cs="Arial"/>
                <w:snapToGrid w:val="0"/>
                <w:sz w:val="20"/>
                <w:szCs w:val="20"/>
                <w:lang w:eastAsia="en-US"/>
              </w:rPr>
              <w:t>Uptake rate Nov 2013</w:t>
            </w:r>
          </w:p>
        </w:tc>
        <w:tc>
          <w:tcPr>
            <w:tcW w:w="683" w:type="pct"/>
            <w:shd w:val="clear" w:color="auto" w:fill="auto"/>
            <w:vAlign w:val="center"/>
          </w:tcPr>
          <w:p w:rsidR="007C728B" w:rsidRPr="00C00328" w:rsidRDefault="00C00328" w:rsidP="007C728B">
            <w:pPr>
              <w:widowControl w:val="0"/>
              <w:tabs>
                <w:tab w:val="left" w:pos="1134"/>
              </w:tabs>
              <w:spacing w:line="223" w:lineRule="exact"/>
              <w:jc w:val="center"/>
              <w:rPr>
                <w:rFonts w:ascii="Arial Narrow" w:eastAsia="Arial Narrow" w:hAnsi="Arial Narrow" w:cs="Arial"/>
                <w:snapToGrid w:val="0"/>
                <w:sz w:val="20"/>
                <w:szCs w:val="20"/>
                <w:highlight w:val="black"/>
                <w:lang w:eastAsia="en-US"/>
              </w:rPr>
            </w:pPr>
            <w:r>
              <w:rPr>
                <w:rFonts w:ascii="Arial Narrow" w:eastAsia="Arial Narrow" w:hAnsi="Arial Narrow" w:cs="Arial"/>
                <w:noProof/>
                <w:snapToGrid w:val="0"/>
                <w:color w:val="000000"/>
                <w:sz w:val="20"/>
                <w:szCs w:val="20"/>
                <w:highlight w:val="black"/>
                <w:lang w:eastAsia="en-US"/>
              </w:rPr>
              <w:t>'''''''''''</w:t>
            </w:r>
          </w:p>
        </w:tc>
        <w:tc>
          <w:tcPr>
            <w:tcW w:w="679" w:type="pct"/>
            <w:shd w:val="clear" w:color="auto" w:fill="auto"/>
            <w:vAlign w:val="center"/>
          </w:tcPr>
          <w:p w:rsidR="007C728B" w:rsidRPr="00C00328" w:rsidRDefault="00C00328" w:rsidP="007C728B">
            <w:pPr>
              <w:widowControl w:val="0"/>
              <w:tabs>
                <w:tab w:val="left" w:pos="1134"/>
              </w:tabs>
              <w:spacing w:line="223" w:lineRule="exact"/>
              <w:jc w:val="center"/>
              <w:rPr>
                <w:rFonts w:ascii="Arial Narrow" w:eastAsia="Arial Narrow" w:hAnsi="Arial Narrow" w:cs="Arial"/>
                <w:snapToGrid w:val="0"/>
                <w:sz w:val="20"/>
                <w:szCs w:val="20"/>
                <w:highlight w:val="black"/>
                <w:lang w:eastAsia="en-US"/>
              </w:rPr>
            </w:pPr>
            <w:r>
              <w:rPr>
                <w:rFonts w:ascii="Arial Narrow" w:eastAsia="Arial Narrow" w:hAnsi="Arial Narrow" w:cs="Arial"/>
                <w:noProof/>
                <w:snapToGrid w:val="0"/>
                <w:color w:val="000000"/>
                <w:w w:val="99"/>
                <w:sz w:val="20"/>
                <w:szCs w:val="20"/>
                <w:highlight w:val="black"/>
                <w:lang w:eastAsia="en-US"/>
              </w:rPr>
              <w:t>''''''''''</w:t>
            </w:r>
          </w:p>
        </w:tc>
        <w:tc>
          <w:tcPr>
            <w:tcW w:w="679" w:type="pct"/>
            <w:shd w:val="clear" w:color="auto" w:fill="auto"/>
            <w:vAlign w:val="center"/>
          </w:tcPr>
          <w:p w:rsidR="007C728B" w:rsidRPr="00C00328" w:rsidRDefault="00C00328" w:rsidP="007C728B">
            <w:pPr>
              <w:widowControl w:val="0"/>
              <w:tabs>
                <w:tab w:val="left" w:pos="1134"/>
              </w:tabs>
              <w:spacing w:line="223" w:lineRule="exact"/>
              <w:jc w:val="center"/>
              <w:rPr>
                <w:rFonts w:ascii="Arial Narrow" w:eastAsia="Arial Narrow" w:hAnsi="Arial Narrow" w:cs="Arial"/>
                <w:snapToGrid w:val="0"/>
                <w:sz w:val="20"/>
                <w:szCs w:val="20"/>
                <w:highlight w:val="black"/>
                <w:lang w:eastAsia="en-US"/>
              </w:rPr>
            </w:pPr>
            <w:r>
              <w:rPr>
                <w:rFonts w:ascii="Arial Narrow" w:eastAsia="Arial Narrow" w:hAnsi="Arial Narrow" w:cs="Arial"/>
                <w:noProof/>
                <w:snapToGrid w:val="0"/>
                <w:color w:val="000000"/>
                <w:w w:val="99"/>
                <w:sz w:val="20"/>
                <w:szCs w:val="20"/>
                <w:highlight w:val="black"/>
                <w:lang w:eastAsia="en-US"/>
              </w:rPr>
              <w:t>'''''''''''</w:t>
            </w:r>
          </w:p>
        </w:tc>
        <w:tc>
          <w:tcPr>
            <w:tcW w:w="680" w:type="pct"/>
            <w:shd w:val="clear" w:color="auto" w:fill="auto"/>
            <w:vAlign w:val="center"/>
          </w:tcPr>
          <w:p w:rsidR="007C728B" w:rsidRPr="00C00328" w:rsidRDefault="00C00328" w:rsidP="007C728B">
            <w:pPr>
              <w:widowControl w:val="0"/>
              <w:tabs>
                <w:tab w:val="left" w:pos="1134"/>
              </w:tabs>
              <w:spacing w:line="223" w:lineRule="exact"/>
              <w:jc w:val="center"/>
              <w:rPr>
                <w:rFonts w:ascii="Arial Narrow" w:eastAsia="Arial Narrow" w:hAnsi="Arial Narrow" w:cs="Arial"/>
                <w:snapToGrid w:val="0"/>
                <w:sz w:val="20"/>
                <w:szCs w:val="20"/>
                <w:highlight w:val="black"/>
                <w:lang w:eastAsia="en-US"/>
              </w:rPr>
            </w:pPr>
            <w:r>
              <w:rPr>
                <w:rFonts w:ascii="Arial Narrow" w:eastAsia="Arial Narrow" w:hAnsi="Arial Narrow" w:cs="Arial"/>
                <w:noProof/>
                <w:snapToGrid w:val="0"/>
                <w:color w:val="000000"/>
                <w:w w:val="99"/>
                <w:sz w:val="20"/>
                <w:szCs w:val="20"/>
                <w:highlight w:val="black"/>
                <w:lang w:eastAsia="en-US"/>
              </w:rPr>
              <w:t>''''''''''</w:t>
            </w:r>
          </w:p>
        </w:tc>
        <w:tc>
          <w:tcPr>
            <w:tcW w:w="750" w:type="pct"/>
            <w:shd w:val="clear" w:color="auto" w:fill="auto"/>
            <w:vAlign w:val="center"/>
          </w:tcPr>
          <w:p w:rsidR="007C728B" w:rsidRPr="00C00328" w:rsidRDefault="00C00328" w:rsidP="007C728B">
            <w:pPr>
              <w:widowControl w:val="0"/>
              <w:tabs>
                <w:tab w:val="left" w:pos="1134"/>
              </w:tabs>
              <w:spacing w:line="223" w:lineRule="exact"/>
              <w:jc w:val="center"/>
              <w:rPr>
                <w:rFonts w:ascii="Arial Narrow" w:eastAsia="Arial Narrow" w:hAnsi="Arial Narrow" w:cs="Arial"/>
                <w:snapToGrid w:val="0"/>
                <w:sz w:val="20"/>
                <w:szCs w:val="20"/>
                <w:highlight w:val="black"/>
                <w:lang w:eastAsia="en-US"/>
              </w:rPr>
            </w:pPr>
            <w:r>
              <w:rPr>
                <w:rFonts w:ascii="Arial Narrow" w:eastAsia="Arial Narrow" w:hAnsi="Arial Narrow" w:cs="Arial"/>
                <w:noProof/>
                <w:snapToGrid w:val="0"/>
                <w:color w:val="000000"/>
                <w:w w:val="99"/>
                <w:sz w:val="20"/>
                <w:szCs w:val="20"/>
                <w:highlight w:val="black"/>
                <w:lang w:eastAsia="en-US"/>
              </w:rPr>
              <w:t>''''''''''</w:t>
            </w:r>
          </w:p>
        </w:tc>
      </w:tr>
      <w:tr w:rsidR="007C728B" w:rsidRPr="007C728B" w:rsidTr="00522796">
        <w:tc>
          <w:tcPr>
            <w:tcW w:w="1529" w:type="pct"/>
            <w:shd w:val="clear" w:color="auto" w:fill="auto"/>
            <w:vAlign w:val="center"/>
          </w:tcPr>
          <w:p w:rsidR="007C728B" w:rsidRPr="007C728B" w:rsidRDefault="007C728B" w:rsidP="007C728B">
            <w:pPr>
              <w:widowControl w:val="0"/>
              <w:tabs>
                <w:tab w:val="left" w:pos="142"/>
              </w:tabs>
              <w:ind w:right="93"/>
              <w:rPr>
                <w:rFonts w:ascii="Arial Narrow" w:hAnsi="Arial Narrow" w:cs="Arial"/>
                <w:i/>
                <w:snapToGrid w:val="0"/>
                <w:sz w:val="20"/>
                <w:szCs w:val="20"/>
                <w:lang w:eastAsia="en-US"/>
              </w:rPr>
            </w:pPr>
            <w:r w:rsidRPr="007C728B">
              <w:rPr>
                <w:rFonts w:ascii="Arial Narrow" w:hAnsi="Arial Narrow" w:cs="Arial"/>
                <w:i/>
                <w:snapToGrid w:val="0"/>
                <w:sz w:val="20"/>
                <w:szCs w:val="20"/>
                <w:lang w:eastAsia="en-US"/>
              </w:rPr>
              <w:t>Infusions</w:t>
            </w:r>
          </w:p>
        </w:tc>
        <w:tc>
          <w:tcPr>
            <w:tcW w:w="683" w:type="pct"/>
            <w:shd w:val="clear" w:color="auto" w:fill="auto"/>
            <w:vAlign w:val="center"/>
          </w:tcPr>
          <w:p w:rsidR="007C728B" w:rsidRPr="00C00328" w:rsidRDefault="00C00328" w:rsidP="007C728B">
            <w:pPr>
              <w:widowControl w:val="0"/>
              <w:ind w:right="93"/>
              <w:jc w:val="center"/>
              <w:rPr>
                <w:rFonts w:ascii="Arial Narrow" w:hAnsi="Arial Narrow" w:cs="Arial"/>
                <w:bCs/>
                <w:i/>
                <w:snapToGrid w:val="0"/>
                <w:color w:val="000000"/>
                <w:sz w:val="20"/>
                <w:szCs w:val="20"/>
                <w:highlight w:val="black"/>
                <w:lang w:eastAsia="en-US"/>
              </w:rPr>
            </w:pPr>
            <w:r>
              <w:rPr>
                <w:rFonts w:ascii="Arial Narrow" w:hAnsi="Arial Narrow" w:cs="Arial"/>
                <w:i/>
                <w:noProof/>
                <w:snapToGrid w:val="0"/>
                <w:color w:val="000000"/>
                <w:sz w:val="20"/>
                <w:szCs w:val="20"/>
                <w:highlight w:val="black"/>
                <w:lang w:eastAsia="en-US"/>
              </w:rPr>
              <w:t>''''''''''''''''''</w:t>
            </w:r>
          </w:p>
        </w:tc>
        <w:tc>
          <w:tcPr>
            <w:tcW w:w="679" w:type="pct"/>
            <w:shd w:val="clear" w:color="auto" w:fill="auto"/>
            <w:vAlign w:val="center"/>
          </w:tcPr>
          <w:p w:rsidR="007C728B" w:rsidRPr="00C00328" w:rsidRDefault="00C00328" w:rsidP="007C728B">
            <w:pPr>
              <w:widowControl w:val="0"/>
              <w:ind w:right="93"/>
              <w:jc w:val="center"/>
              <w:rPr>
                <w:rFonts w:ascii="Arial Narrow" w:hAnsi="Arial Narrow" w:cs="Arial"/>
                <w:bCs/>
                <w:i/>
                <w:snapToGrid w:val="0"/>
                <w:color w:val="000000"/>
                <w:sz w:val="20"/>
                <w:szCs w:val="20"/>
                <w:highlight w:val="black"/>
                <w:lang w:eastAsia="en-US"/>
              </w:rPr>
            </w:pPr>
            <w:r>
              <w:rPr>
                <w:rFonts w:ascii="Arial Narrow" w:hAnsi="Arial Narrow" w:cs="Arial"/>
                <w:i/>
                <w:noProof/>
                <w:snapToGrid w:val="0"/>
                <w:color w:val="000000"/>
                <w:sz w:val="20"/>
                <w:szCs w:val="20"/>
                <w:highlight w:val="black"/>
                <w:lang w:eastAsia="en-US"/>
              </w:rPr>
              <w:t>'''''''''''''''</w:t>
            </w:r>
          </w:p>
        </w:tc>
        <w:tc>
          <w:tcPr>
            <w:tcW w:w="679" w:type="pct"/>
            <w:shd w:val="clear" w:color="auto" w:fill="auto"/>
            <w:vAlign w:val="center"/>
          </w:tcPr>
          <w:p w:rsidR="007C728B" w:rsidRPr="00C00328" w:rsidRDefault="00C00328" w:rsidP="007C728B">
            <w:pPr>
              <w:widowControl w:val="0"/>
              <w:ind w:right="93"/>
              <w:jc w:val="center"/>
              <w:rPr>
                <w:rFonts w:ascii="Arial Narrow" w:hAnsi="Arial Narrow" w:cs="Arial"/>
                <w:bCs/>
                <w:i/>
                <w:snapToGrid w:val="0"/>
                <w:color w:val="000000"/>
                <w:sz w:val="20"/>
                <w:szCs w:val="20"/>
                <w:highlight w:val="black"/>
                <w:lang w:eastAsia="en-US"/>
              </w:rPr>
            </w:pPr>
            <w:r>
              <w:rPr>
                <w:rFonts w:ascii="Arial Narrow" w:hAnsi="Arial Narrow" w:cs="Arial"/>
                <w:i/>
                <w:noProof/>
                <w:snapToGrid w:val="0"/>
                <w:color w:val="000000"/>
                <w:sz w:val="20"/>
                <w:szCs w:val="20"/>
                <w:highlight w:val="black"/>
                <w:lang w:eastAsia="en-US"/>
              </w:rPr>
              <w:t>'''''''''''''''</w:t>
            </w:r>
          </w:p>
        </w:tc>
        <w:tc>
          <w:tcPr>
            <w:tcW w:w="680" w:type="pct"/>
            <w:shd w:val="clear" w:color="auto" w:fill="auto"/>
            <w:vAlign w:val="center"/>
          </w:tcPr>
          <w:p w:rsidR="007C728B" w:rsidRPr="00C00328" w:rsidRDefault="00C00328" w:rsidP="007C728B">
            <w:pPr>
              <w:widowControl w:val="0"/>
              <w:ind w:right="93"/>
              <w:jc w:val="center"/>
              <w:rPr>
                <w:rFonts w:ascii="Arial Narrow" w:hAnsi="Arial Narrow" w:cs="Arial"/>
                <w:bCs/>
                <w:i/>
                <w:snapToGrid w:val="0"/>
                <w:color w:val="000000"/>
                <w:sz w:val="20"/>
                <w:szCs w:val="20"/>
                <w:highlight w:val="black"/>
                <w:lang w:eastAsia="en-US"/>
              </w:rPr>
            </w:pPr>
            <w:r>
              <w:rPr>
                <w:rFonts w:ascii="Arial Narrow" w:hAnsi="Arial Narrow" w:cs="Arial"/>
                <w:i/>
                <w:noProof/>
                <w:snapToGrid w:val="0"/>
                <w:color w:val="000000"/>
                <w:sz w:val="20"/>
                <w:szCs w:val="20"/>
                <w:highlight w:val="black"/>
                <w:lang w:eastAsia="en-US"/>
              </w:rPr>
              <w:t>''''''''''''''''</w:t>
            </w:r>
          </w:p>
        </w:tc>
        <w:tc>
          <w:tcPr>
            <w:tcW w:w="750" w:type="pct"/>
            <w:shd w:val="clear" w:color="auto" w:fill="auto"/>
            <w:vAlign w:val="center"/>
          </w:tcPr>
          <w:p w:rsidR="007C728B" w:rsidRPr="00C00328" w:rsidRDefault="00C00328" w:rsidP="007C728B">
            <w:pPr>
              <w:widowControl w:val="0"/>
              <w:ind w:right="93"/>
              <w:jc w:val="center"/>
              <w:rPr>
                <w:rFonts w:ascii="Arial Narrow" w:hAnsi="Arial Narrow" w:cs="Arial"/>
                <w:bCs/>
                <w:i/>
                <w:snapToGrid w:val="0"/>
                <w:color w:val="000000"/>
                <w:sz w:val="20"/>
                <w:szCs w:val="20"/>
                <w:highlight w:val="black"/>
                <w:lang w:eastAsia="en-US"/>
              </w:rPr>
            </w:pPr>
            <w:r>
              <w:rPr>
                <w:rFonts w:ascii="Arial Narrow" w:hAnsi="Arial Narrow" w:cs="Arial"/>
                <w:i/>
                <w:noProof/>
                <w:snapToGrid w:val="0"/>
                <w:color w:val="000000"/>
                <w:sz w:val="20"/>
                <w:szCs w:val="20"/>
                <w:highlight w:val="black"/>
                <w:lang w:eastAsia="en-US"/>
              </w:rPr>
              <w:t>''''''''''''''''</w:t>
            </w:r>
          </w:p>
        </w:tc>
      </w:tr>
      <w:tr w:rsidR="007C728B" w:rsidRPr="007C728B" w:rsidTr="00522796">
        <w:tc>
          <w:tcPr>
            <w:tcW w:w="1529" w:type="pct"/>
            <w:shd w:val="clear" w:color="auto" w:fill="auto"/>
            <w:vAlign w:val="center"/>
          </w:tcPr>
          <w:p w:rsidR="007C728B" w:rsidRPr="007C728B" w:rsidRDefault="007C728B" w:rsidP="007C728B">
            <w:pPr>
              <w:widowControl w:val="0"/>
              <w:tabs>
                <w:tab w:val="left" w:pos="142"/>
              </w:tabs>
              <w:ind w:right="93"/>
              <w:rPr>
                <w:rFonts w:ascii="Arial Narrow" w:hAnsi="Arial Narrow" w:cs="Arial"/>
                <w:snapToGrid w:val="0"/>
                <w:color w:val="FF0000"/>
                <w:sz w:val="20"/>
                <w:szCs w:val="20"/>
                <w:lang w:eastAsia="en-US"/>
              </w:rPr>
            </w:pPr>
            <w:r w:rsidRPr="007C728B">
              <w:rPr>
                <w:rFonts w:ascii="Arial Narrow" w:hAnsi="Arial Narrow" w:cs="Arial"/>
                <w:snapToGrid w:val="0"/>
                <w:sz w:val="20"/>
                <w:szCs w:val="20"/>
                <w:lang w:eastAsia="en-US"/>
              </w:rPr>
              <w:t>Infusions - Nov 2013</w:t>
            </w:r>
          </w:p>
        </w:tc>
        <w:tc>
          <w:tcPr>
            <w:tcW w:w="683" w:type="pct"/>
            <w:shd w:val="clear" w:color="auto" w:fill="auto"/>
            <w:vAlign w:val="center"/>
          </w:tcPr>
          <w:p w:rsidR="007C728B" w:rsidRPr="00C00328" w:rsidRDefault="00C00328" w:rsidP="007C728B">
            <w:pPr>
              <w:jc w:val="center"/>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c>
          <w:tcPr>
            <w:tcW w:w="679" w:type="pct"/>
            <w:shd w:val="clear" w:color="auto" w:fill="auto"/>
            <w:vAlign w:val="center"/>
          </w:tcPr>
          <w:p w:rsidR="007C728B" w:rsidRPr="00C00328" w:rsidRDefault="00C00328" w:rsidP="007C728B">
            <w:pPr>
              <w:jc w:val="center"/>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c>
          <w:tcPr>
            <w:tcW w:w="679" w:type="pct"/>
            <w:shd w:val="clear" w:color="auto" w:fill="auto"/>
            <w:vAlign w:val="center"/>
          </w:tcPr>
          <w:p w:rsidR="007C728B" w:rsidRPr="00C00328" w:rsidRDefault="00C00328" w:rsidP="007C728B">
            <w:pPr>
              <w:jc w:val="center"/>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c>
          <w:tcPr>
            <w:tcW w:w="680" w:type="pct"/>
            <w:shd w:val="clear" w:color="auto" w:fill="auto"/>
            <w:vAlign w:val="center"/>
          </w:tcPr>
          <w:p w:rsidR="007C728B" w:rsidRPr="00C00328" w:rsidRDefault="00C00328" w:rsidP="007C728B">
            <w:pPr>
              <w:jc w:val="center"/>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c>
          <w:tcPr>
            <w:tcW w:w="750" w:type="pct"/>
            <w:shd w:val="clear" w:color="auto" w:fill="auto"/>
            <w:vAlign w:val="center"/>
          </w:tcPr>
          <w:p w:rsidR="007C728B" w:rsidRPr="00C00328" w:rsidRDefault="00C00328" w:rsidP="007C728B">
            <w:pPr>
              <w:jc w:val="center"/>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r>
      <w:tr w:rsidR="007C728B" w:rsidRPr="007C728B" w:rsidTr="00522796">
        <w:tc>
          <w:tcPr>
            <w:tcW w:w="5000" w:type="pct"/>
            <w:gridSpan w:val="6"/>
            <w:shd w:val="clear" w:color="auto" w:fill="auto"/>
            <w:vAlign w:val="center"/>
          </w:tcPr>
          <w:p w:rsidR="007C728B" w:rsidRPr="007C728B" w:rsidRDefault="007C728B" w:rsidP="007C728B">
            <w:pPr>
              <w:widowControl w:val="0"/>
              <w:ind w:right="93"/>
              <w:rPr>
                <w:rFonts w:ascii="Arial Narrow" w:hAnsi="Arial Narrow" w:cs="Arial"/>
                <w:b/>
                <w:bCs/>
                <w:snapToGrid w:val="0"/>
                <w:color w:val="000000"/>
                <w:sz w:val="20"/>
                <w:szCs w:val="20"/>
                <w:lang w:eastAsia="en-US"/>
              </w:rPr>
            </w:pPr>
            <w:r w:rsidRPr="007C728B">
              <w:rPr>
                <w:rFonts w:ascii="Arial Narrow" w:hAnsi="Arial Narrow" w:cs="Arial"/>
                <w:b/>
                <w:bCs/>
                <w:snapToGrid w:val="0"/>
                <w:color w:val="000000"/>
                <w:sz w:val="20"/>
                <w:szCs w:val="20"/>
                <w:lang w:eastAsia="en-US"/>
              </w:rPr>
              <w:t>Estimated net cost to PBS/MBS</w:t>
            </w:r>
          </w:p>
        </w:tc>
      </w:tr>
      <w:tr w:rsidR="007C728B" w:rsidRPr="007C728B" w:rsidTr="00522796">
        <w:tc>
          <w:tcPr>
            <w:tcW w:w="1529" w:type="pct"/>
            <w:shd w:val="clear" w:color="auto" w:fill="auto"/>
            <w:vAlign w:val="center"/>
          </w:tcPr>
          <w:p w:rsidR="007C728B" w:rsidRPr="007C728B" w:rsidRDefault="007C728B" w:rsidP="007C728B">
            <w:pPr>
              <w:rPr>
                <w:rFonts w:ascii="Arial Narrow" w:eastAsia="Arial Narrow" w:hAnsi="Arial Narrow"/>
                <w:sz w:val="20"/>
                <w:szCs w:val="22"/>
              </w:rPr>
            </w:pPr>
            <w:r w:rsidRPr="007C728B">
              <w:rPr>
                <w:rFonts w:ascii="Arial Narrow" w:eastAsia="Arial Narrow" w:hAnsi="Arial Narrow"/>
                <w:sz w:val="20"/>
                <w:szCs w:val="22"/>
              </w:rPr>
              <w:t xml:space="preserve">Net cost to PBS </w:t>
            </w:r>
          </w:p>
        </w:tc>
        <w:tc>
          <w:tcPr>
            <w:tcW w:w="683"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c>
          <w:tcPr>
            <w:tcW w:w="679"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c>
          <w:tcPr>
            <w:tcW w:w="679"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c>
          <w:tcPr>
            <w:tcW w:w="680"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c>
          <w:tcPr>
            <w:tcW w:w="750"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r>
      <w:tr w:rsidR="007C728B" w:rsidRPr="007C728B" w:rsidTr="00522796">
        <w:tc>
          <w:tcPr>
            <w:tcW w:w="1529" w:type="pct"/>
            <w:shd w:val="clear" w:color="auto" w:fill="auto"/>
            <w:vAlign w:val="center"/>
          </w:tcPr>
          <w:p w:rsidR="007C728B" w:rsidRPr="007C728B" w:rsidRDefault="007C728B" w:rsidP="007C728B">
            <w:pPr>
              <w:rPr>
                <w:rFonts w:ascii="Arial Narrow" w:eastAsia="Arial Narrow" w:hAnsi="Arial Narrow"/>
                <w:sz w:val="20"/>
                <w:szCs w:val="22"/>
              </w:rPr>
            </w:pPr>
            <w:r w:rsidRPr="007C728B">
              <w:rPr>
                <w:rFonts w:ascii="Arial Narrow" w:eastAsia="Arial Narrow" w:hAnsi="Arial Narrow"/>
                <w:sz w:val="20"/>
                <w:szCs w:val="22"/>
              </w:rPr>
              <w:t>Net cost to PBS Nov 2013**</w:t>
            </w:r>
          </w:p>
        </w:tc>
        <w:tc>
          <w:tcPr>
            <w:tcW w:w="683"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79"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79"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80"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0"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7C728B" w:rsidRPr="007C728B" w:rsidTr="00522796">
        <w:tc>
          <w:tcPr>
            <w:tcW w:w="1529" w:type="pct"/>
            <w:shd w:val="clear" w:color="auto" w:fill="auto"/>
            <w:vAlign w:val="center"/>
          </w:tcPr>
          <w:p w:rsidR="007C728B" w:rsidRPr="007C728B" w:rsidRDefault="007C728B" w:rsidP="007C728B">
            <w:pPr>
              <w:rPr>
                <w:rFonts w:ascii="Arial Narrow" w:eastAsia="Arial Narrow" w:hAnsi="Arial Narrow"/>
                <w:sz w:val="20"/>
                <w:szCs w:val="22"/>
              </w:rPr>
            </w:pPr>
            <w:r w:rsidRPr="007C728B">
              <w:rPr>
                <w:rFonts w:ascii="Arial Narrow" w:eastAsia="Arial Narrow" w:hAnsi="Arial Narrow"/>
                <w:sz w:val="20"/>
                <w:szCs w:val="22"/>
              </w:rPr>
              <w:t>Net cost to MBS</w:t>
            </w:r>
          </w:p>
        </w:tc>
        <w:tc>
          <w:tcPr>
            <w:tcW w:w="683"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c>
          <w:tcPr>
            <w:tcW w:w="679"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c>
          <w:tcPr>
            <w:tcW w:w="679"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c>
          <w:tcPr>
            <w:tcW w:w="680"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c>
          <w:tcPr>
            <w:tcW w:w="750" w:type="pct"/>
            <w:shd w:val="clear" w:color="auto" w:fill="auto"/>
            <w:vAlign w:val="bottom"/>
          </w:tcPr>
          <w:p w:rsidR="007C728B" w:rsidRPr="00C00328" w:rsidRDefault="00C00328" w:rsidP="007C728B">
            <w:pPr>
              <w:jc w:val="right"/>
              <w:rPr>
                <w:rFonts w:ascii="Arial Narrow" w:eastAsia="Arial Narrow" w:hAnsi="Arial Narrow"/>
                <w:i/>
                <w:sz w:val="20"/>
                <w:szCs w:val="22"/>
                <w:highlight w:val="black"/>
              </w:rPr>
            </w:pPr>
            <w:r>
              <w:rPr>
                <w:rFonts w:ascii="Arial Narrow" w:eastAsia="Arial Narrow" w:hAnsi="Arial Narrow"/>
                <w:i/>
                <w:noProof/>
                <w:color w:val="000000"/>
                <w:sz w:val="20"/>
                <w:szCs w:val="22"/>
                <w:highlight w:val="black"/>
              </w:rPr>
              <w:t>''''''''''''''''</w:t>
            </w:r>
          </w:p>
        </w:tc>
      </w:tr>
      <w:tr w:rsidR="007C728B" w:rsidRPr="007C728B" w:rsidTr="00522796">
        <w:tc>
          <w:tcPr>
            <w:tcW w:w="1529" w:type="pct"/>
            <w:shd w:val="clear" w:color="auto" w:fill="auto"/>
            <w:vAlign w:val="center"/>
          </w:tcPr>
          <w:p w:rsidR="007C728B" w:rsidRPr="007C728B" w:rsidRDefault="007C728B" w:rsidP="007C728B">
            <w:pPr>
              <w:rPr>
                <w:rFonts w:ascii="Arial Narrow" w:eastAsia="Arial Narrow" w:hAnsi="Arial Narrow"/>
                <w:sz w:val="20"/>
                <w:szCs w:val="22"/>
              </w:rPr>
            </w:pPr>
            <w:r w:rsidRPr="007C728B">
              <w:rPr>
                <w:rFonts w:ascii="Arial Narrow" w:eastAsia="Arial Narrow" w:hAnsi="Arial Narrow"/>
                <w:sz w:val="20"/>
                <w:szCs w:val="22"/>
              </w:rPr>
              <w:t>Net cost to MBS Nov 2013**</w:t>
            </w:r>
          </w:p>
        </w:tc>
        <w:tc>
          <w:tcPr>
            <w:tcW w:w="683"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79"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79"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80"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0" w:type="pct"/>
            <w:shd w:val="clear" w:color="auto" w:fill="auto"/>
            <w:vAlign w:val="center"/>
          </w:tcPr>
          <w:p w:rsidR="007C728B" w:rsidRPr="00C00328" w:rsidRDefault="00C00328" w:rsidP="007C728B">
            <w:pPr>
              <w:widowControl w:val="0"/>
              <w:ind w:right="93"/>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7C728B" w:rsidRPr="007C728B" w:rsidTr="00522796">
        <w:tc>
          <w:tcPr>
            <w:tcW w:w="5000" w:type="pct"/>
            <w:gridSpan w:val="6"/>
            <w:shd w:val="clear" w:color="auto" w:fill="auto"/>
            <w:vAlign w:val="center"/>
          </w:tcPr>
          <w:p w:rsidR="007C728B" w:rsidRPr="007C728B" w:rsidRDefault="007C728B" w:rsidP="007C728B">
            <w:pPr>
              <w:jc w:val="right"/>
              <w:rPr>
                <w:rFonts w:ascii="Arial Narrow" w:eastAsia="Arial Narrow" w:hAnsi="Arial Narrow"/>
                <w:sz w:val="20"/>
                <w:szCs w:val="22"/>
              </w:rPr>
            </w:pPr>
          </w:p>
        </w:tc>
      </w:tr>
      <w:tr w:rsidR="007C728B" w:rsidRPr="007C728B" w:rsidTr="00522796">
        <w:tc>
          <w:tcPr>
            <w:tcW w:w="1529" w:type="pct"/>
            <w:shd w:val="clear" w:color="auto" w:fill="auto"/>
            <w:vAlign w:val="center"/>
          </w:tcPr>
          <w:p w:rsidR="007C728B" w:rsidRPr="007C728B" w:rsidRDefault="007C728B" w:rsidP="007C728B">
            <w:pPr>
              <w:rPr>
                <w:rFonts w:ascii="Arial Narrow" w:eastAsia="Arial Narrow" w:hAnsi="Arial Narrow"/>
                <w:b/>
                <w:sz w:val="20"/>
                <w:szCs w:val="22"/>
              </w:rPr>
            </w:pPr>
            <w:r w:rsidRPr="007C728B">
              <w:rPr>
                <w:rFonts w:ascii="Arial Narrow" w:eastAsia="Arial Narrow" w:hAnsi="Arial Narrow"/>
                <w:b/>
                <w:sz w:val="20"/>
                <w:szCs w:val="22"/>
              </w:rPr>
              <w:t>Net cost PBS/MBS</w:t>
            </w:r>
          </w:p>
        </w:tc>
        <w:tc>
          <w:tcPr>
            <w:tcW w:w="683" w:type="pct"/>
            <w:shd w:val="clear" w:color="auto" w:fill="auto"/>
            <w:vAlign w:val="bottom"/>
          </w:tcPr>
          <w:p w:rsidR="007C728B" w:rsidRPr="00C00328" w:rsidRDefault="00C00328" w:rsidP="007C728B">
            <w:pPr>
              <w:jc w:val="right"/>
              <w:rPr>
                <w:rFonts w:ascii="Arial Narrow" w:eastAsia="Arial Narrow" w:hAnsi="Arial Narrow"/>
                <w:b/>
                <w:i/>
                <w:sz w:val="20"/>
                <w:szCs w:val="22"/>
                <w:highlight w:val="black"/>
              </w:rPr>
            </w:pPr>
            <w:r>
              <w:rPr>
                <w:rFonts w:ascii="Arial Narrow" w:eastAsia="Arial Narrow" w:hAnsi="Arial Narrow"/>
                <w:b/>
                <w:i/>
                <w:noProof/>
                <w:color w:val="000000"/>
                <w:sz w:val="20"/>
                <w:szCs w:val="22"/>
                <w:highlight w:val="black"/>
              </w:rPr>
              <w:t>'''''''''''''''''''''''</w:t>
            </w:r>
          </w:p>
        </w:tc>
        <w:tc>
          <w:tcPr>
            <w:tcW w:w="679" w:type="pct"/>
            <w:shd w:val="clear" w:color="auto" w:fill="auto"/>
            <w:vAlign w:val="bottom"/>
          </w:tcPr>
          <w:p w:rsidR="007C728B" w:rsidRPr="00C00328" w:rsidRDefault="00C00328" w:rsidP="007C728B">
            <w:pPr>
              <w:jc w:val="right"/>
              <w:rPr>
                <w:rFonts w:ascii="Arial Narrow" w:eastAsia="Arial Narrow" w:hAnsi="Arial Narrow"/>
                <w:b/>
                <w:i/>
                <w:sz w:val="20"/>
                <w:szCs w:val="22"/>
                <w:highlight w:val="black"/>
              </w:rPr>
            </w:pPr>
            <w:r>
              <w:rPr>
                <w:rFonts w:ascii="Arial Narrow" w:eastAsia="Arial Narrow" w:hAnsi="Arial Narrow"/>
                <w:b/>
                <w:i/>
                <w:noProof/>
                <w:color w:val="000000"/>
                <w:sz w:val="20"/>
                <w:szCs w:val="22"/>
                <w:highlight w:val="black"/>
              </w:rPr>
              <w:t>''''''''''''''''''''</w:t>
            </w:r>
          </w:p>
        </w:tc>
        <w:tc>
          <w:tcPr>
            <w:tcW w:w="679" w:type="pct"/>
            <w:shd w:val="clear" w:color="auto" w:fill="auto"/>
            <w:vAlign w:val="bottom"/>
          </w:tcPr>
          <w:p w:rsidR="007C728B" w:rsidRPr="00C00328" w:rsidRDefault="00C00328" w:rsidP="007C728B">
            <w:pPr>
              <w:jc w:val="right"/>
              <w:rPr>
                <w:rFonts w:ascii="Arial Narrow" w:eastAsia="Arial Narrow" w:hAnsi="Arial Narrow"/>
                <w:b/>
                <w:i/>
                <w:sz w:val="20"/>
                <w:szCs w:val="22"/>
                <w:highlight w:val="black"/>
              </w:rPr>
            </w:pPr>
            <w:r>
              <w:rPr>
                <w:rFonts w:ascii="Arial Narrow" w:eastAsia="Arial Narrow" w:hAnsi="Arial Narrow"/>
                <w:b/>
                <w:i/>
                <w:noProof/>
                <w:color w:val="000000"/>
                <w:sz w:val="20"/>
                <w:szCs w:val="22"/>
                <w:highlight w:val="black"/>
              </w:rPr>
              <w:t>''''''''''''''''''''</w:t>
            </w:r>
          </w:p>
        </w:tc>
        <w:tc>
          <w:tcPr>
            <w:tcW w:w="680" w:type="pct"/>
            <w:shd w:val="clear" w:color="auto" w:fill="auto"/>
            <w:vAlign w:val="bottom"/>
          </w:tcPr>
          <w:p w:rsidR="007C728B" w:rsidRPr="00C00328" w:rsidRDefault="00C00328" w:rsidP="007C728B">
            <w:pPr>
              <w:jc w:val="right"/>
              <w:rPr>
                <w:rFonts w:ascii="Arial Narrow" w:eastAsia="Arial Narrow" w:hAnsi="Arial Narrow"/>
                <w:b/>
                <w:i/>
                <w:sz w:val="20"/>
                <w:szCs w:val="22"/>
                <w:highlight w:val="black"/>
              </w:rPr>
            </w:pPr>
            <w:r>
              <w:rPr>
                <w:rFonts w:ascii="Arial Narrow" w:eastAsia="Arial Narrow" w:hAnsi="Arial Narrow"/>
                <w:b/>
                <w:i/>
                <w:noProof/>
                <w:color w:val="000000"/>
                <w:sz w:val="20"/>
                <w:szCs w:val="22"/>
                <w:highlight w:val="black"/>
              </w:rPr>
              <w:t>'''''''''''''''''''''</w:t>
            </w:r>
          </w:p>
        </w:tc>
        <w:tc>
          <w:tcPr>
            <w:tcW w:w="750" w:type="pct"/>
            <w:shd w:val="clear" w:color="auto" w:fill="auto"/>
            <w:vAlign w:val="bottom"/>
          </w:tcPr>
          <w:p w:rsidR="007C728B" w:rsidRPr="00C00328" w:rsidRDefault="00C00328" w:rsidP="007C728B">
            <w:pPr>
              <w:jc w:val="right"/>
              <w:rPr>
                <w:rFonts w:ascii="Arial Narrow" w:eastAsia="Arial Narrow" w:hAnsi="Arial Narrow"/>
                <w:b/>
                <w:i/>
                <w:sz w:val="20"/>
                <w:szCs w:val="22"/>
                <w:highlight w:val="black"/>
              </w:rPr>
            </w:pPr>
            <w:r>
              <w:rPr>
                <w:rFonts w:ascii="Arial Narrow" w:eastAsia="Arial Narrow" w:hAnsi="Arial Narrow"/>
                <w:b/>
                <w:i/>
                <w:noProof/>
                <w:color w:val="000000"/>
                <w:sz w:val="20"/>
                <w:szCs w:val="22"/>
                <w:highlight w:val="black"/>
              </w:rPr>
              <w:t>'''''''''''''''''''''''</w:t>
            </w:r>
          </w:p>
        </w:tc>
      </w:tr>
      <w:tr w:rsidR="007C728B" w:rsidRPr="007C728B" w:rsidTr="00522796">
        <w:tc>
          <w:tcPr>
            <w:tcW w:w="1529" w:type="pct"/>
            <w:shd w:val="clear" w:color="auto" w:fill="auto"/>
            <w:vAlign w:val="center"/>
          </w:tcPr>
          <w:p w:rsidR="007C728B" w:rsidRPr="007C728B" w:rsidRDefault="007C728B" w:rsidP="007C728B">
            <w:pPr>
              <w:rPr>
                <w:rFonts w:ascii="Arial Narrow" w:eastAsia="Arial Narrow" w:hAnsi="Arial Narrow"/>
                <w:sz w:val="20"/>
                <w:szCs w:val="22"/>
              </w:rPr>
            </w:pPr>
            <w:r w:rsidRPr="007C728B">
              <w:rPr>
                <w:rFonts w:ascii="Arial Narrow" w:eastAsia="Arial Narrow" w:hAnsi="Arial Narrow"/>
                <w:sz w:val="20"/>
                <w:szCs w:val="22"/>
              </w:rPr>
              <w:t>Net cost PBS/MBS Nov 2013**</w:t>
            </w:r>
          </w:p>
        </w:tc>
        <w:tc>
          <w:tcPr>
            <w:tcW w:w="683" w:type="pct"/>
            <w:shd w:val="clear" w:color="auto" w:fill="auto"/>
            <w:vAlign w:val="bottom"/>
          </w:tcPr>
          <w:p w:rsidR="007C728B" w:rsidRPr="00C00328" w:rsidRDefault="00C00328" w:rsidP="007C728B">
            <w:pPr>
              <w:jc w:val="right"/>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c>
          <w:tcPr>
            <w:tcW w:w="679" w:type="pct"/>
            <w:shd w:val="clear" w:color="auto" w:fill="auto"/>
            <w:vAlign w:val="bottom"/>
          </w:tcPr>
          <w:p w:rsidR="007C728B" w:rsidRPr="00C00328" w:rsidRDefault="00C00328" w:rsidP="007C728B">
            <w:pPr>
              <w:jc w:val="right"/>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c>
          <w:tcPr>
            <w:tcW w:w="679" w:type="pct"/>
            <w:shd w:val="clear" w:color="auto" w:fill="auto"/>
            <w:vAlign w:val="bottom"/>
          </w:tcPr>
          <w:p w:rsidR="007C728B" w:rsidRPr="00C00328" w:rsidRDefault="00C00328" w:rsidP="007C728B">
            <w:pPr>
              <w:jc w:val="right"/>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c>
          <w:tcPr>
            <w:tcW w:w="680" w:type="pct"/>
            <w:shd w:val="clear" w:color="auto" w:fill="auto"/>
            <w:vAlign w:val="bottom"/>
          </w:tcPr>
          <w:p w:rsidR="007C728B" w:rsidRPr="00C00328" w:rsidRDefault="00C00328" w:rsidP="007C728B">
            <w:pPr>
              <w:jc w:val="right"/>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c>
          <w:tcPr>
            <w:tcW w:w="750" w:type="pct"/>
            <w:shd w:val="clear" w:color="auto" w:fill="auto"/>
            <w:vAlign w:val="bottom"/>
          </w:tcPr>
          <w:p w:rsidR="007C728B" w:rsidRPr="00C00328" w:rsidRDefault="00C00328" w:rsidP="007C728B">
            <w:pPr>
              <w:jc w:val="right"/>
              <w:rPr>
                <w:rFonts w:ascii="Arial Narrow" w:eastAsia="Arial Narrow" w:hAnsi="Arial Narrow"/>
                <w:sz w:val="20"/>
                <w:szCs w:val="22"/>
                <w:highlight w:val="black"/>
              </w:rPr>
            </w:pPr>
            <w:r>
              <w:rPr>
                <w:rFonts w:ascii="Arial Narrow" w:eastAsia="Arial Narrow" w:hAnsi="Arial Narrow"/>
                <w:noProof/>
                <w:color w:val="000000"/>
                <w:sz w:val="20"/>
                <w:szCs w:val="22"/>
                <w:highlight w:val="black"/>
              </w:rPr>
              <w:t>'''''''''''''''''''''''''''''</w:t>
            </w:r>
          </w:p>
        </w:tc>
      </w:tr>
    </w:tbl>
    <w:p w:rsidR="007C728B" w:rsidRDefault="007C728B" w:rsidP="007C728B">
      <w:pPr>
        <w:pStyle w:val="TableFooter"/>
        <w:ind w:firstLine="709"/>
      </w:pPr>
      <w:r>
        <w:t>*The previous submission was for KRAS WT patient population</w:t>
      </w:r>
    </w:p>
    <w:p w:rsidR="007C728B" w:rsidRDefault="007C728B" w:rsidP="007C728B">
      <w:pPr>
        <w:pStyle w:val="TableFooter"/>
        <w:ind w:firstLine="709"/>
      </w:pPr>
      <w:r>
        <w:t>**revised estimates provided in PSCR for October 2013 ESC meeting.</w:t>
      </w:r>
    </w:p>
    <w:p w:rsidR="007C728B" w:rsidRDefault="007C728B" w:rsidP="007C728B">
      <w:pPr>
        <w:pStyle w:val="TableFooter"/>
        <w:ind w:firstLine="709"/>
        <w:rPr>
          <w:szCs w:val="22"/>
        </w:rPr>
      </w:pPr>
      <w:r w:rsidRPr="00EB690C">
        <w:t xml:space="preserve">Source: </w:t>
      </w:r>
      <w:r>
        <w:t>Compiled during the evaluation</w:t>
      </w:r>
    </w:p>
    <w:p w:rsidR="007C728B" w:rsidRDefault="007C728B" w:rsidP="00FC349F">
      <w:pPr>
        <w:jc w:val="both"/>
        <w:rPr>
          <w:rFonts w:ascii="Arial" w:hAnsi="Arial"/>
          <w:sz w:val="22"/>
          <w:szCs w:val="22"/>
        </w:rPr>
      </w:pPr>
    </w:p>
    <w:p w:rsidR="005A3C17" w:rsidRDefault="005A3C17" w:rsidP="005A3C17">
      <w:pPr>
        <w:ind w:left="709"/>
        <w:jc w:val="both"/>
        <w:rPr>
          <w:rFonts w:ascii="Arial" w:hAnsi="Arial"/>
          <w:sz w:val="22"/>
          <w:szCs w:val="22"/>
        </w:rPr>
      </w:pPr>
      <w:r>
        <w:rPr>
          <w:rFonts w:ascii="Arial" w:hAnsi="Arial"/>
          <w:sz w:val="22"/>
          <w:szCs w:val="22"/>
        </w:rPr>
        <w:t>The redacted table shows that the number of patients estimated to receive treatment with cetuximab is less than 10,000 per year. The estimated net cost to the PBS/MBS is less than $10 million per year.</w:t>
      </w:r>
    </w:p>
    <w:p w:rsidR="005A3C17" w:rsidRPr="00FC349F" w:rsidRDefault="005A3C17" w:rsidP="00FC349F">
      <w:pPr>
        <w:jc w:val="both"/>
        <w:rPr>
          <w:rFonts w:ascii="Arial" w:hAnsi="Arial"/>
          <w:sz w:val="22"/>
          <w:szCs w:val="22"/>
        </w:rPr>
      </w:pPr>
    </w:p>
    <w:p w:rsidR="007C728B" w:rsidRDefault="007C728B" w:rsidP="00D479CB">
      <w:pPr>
        <w:pStyle w:val="ListParagraph"/>
        <w:numPr>
          <w:ilvl w:val="1"/>
          <w:numId w:val="25"/>
        </w:numPr>
        <w:jc w:val="both"/>
        <w:rPr>
          <w:rFonts w:ascii="Arial" w:hAnsi="Arial"/>
          <w:sz w:val="22"/>
          <w:szCs w:val="22"/>
        </w:rPr>
      </w:pPr>
      <w:r w:rsidRPr="007C728B">
        <w:rPr>
          <w:rFonts w:ascii="Arial" w:hAnsi="Arial"/>
          <w:sz w:val="22"/>
          <w:szCs w:val="22"/>
        </w:rPr>
        <w:t>The resubmission estimates a net cost-saving to the PBS and to the government. This is not reasonable. Revised estimates using mean treatment duration from the FIRE-3 trial and a loading dose intensity of 400mg/m</w:t>
      </w:r>
      <w:r w:rsidRPr="007C728B">
        <w:rPr>
          <w:rFonts w:ascii="Arial" w:hAnsi="Arial"/>
          <w:sz w:val="22"/>
          <w:szCs w:val="22"/>
          <w:vertAlign w:val="superscript"/>
        </w:rPr>
        <w:t>2</w:t>
      </w:r>
      <w:r w:rsidRPr="007C728B">
        <w:rPr>
          <w:rFonts w:ascii="Arial" w:hAnsi="Arial"/>
          <w:sz w:val="22"/>
          <w:szCs w:val="22"/>
        </w:rPr>
        <w:t xml:space="preserve"> for cetuximab result in a </w:t>
      </w:r>
      <w:r w:rsidR="00C00328">
        <w:rPr>
          <w:rFonts w:ascii="Arial" w:hAnsi="Arial"/>
          <w:noProof/>
          <w:color w:val="000000"/>
          <w:sz w:val="22"/>
          <w:szCs w:val="22"/>
          <w:highlight w:val="black"/>
        </w:rPr>
        <w:t>'''''''''' ''''''''''''''''</w:t>
      </w:r>
      <w:r w:rsidRPr="007C728B">
        <w:rPr>
          <w:rFonts w:ascii="Arial" w:hAnsi="Arial"/>
          <w:sz w:val="22"/>
          <w:szCs w:val="22"/>
        </w:rPr>
        <w:t xml:space="preserve"> increase in cost to the Government rising to</w:t>
      </w:r>
      <w:r w:rsidR="00C00328">
        <w:rPr>
          <w:rFonts w:ascii="Arial" w:hAnsi="Arial"/>
          <w:noProof/>
          <w:color w:val="000000"/>
          <w:sz w:val="22"/>
          <w:szCs w:val="22"/>
          <w:highlight w:val="black"/>
        </w:rPr>
        <w:t xml:space="preserve"> '''''''''''' ''''''''''''''</w:t>
      </w:r>
      <w:r w:rsidRPr="007C728B">
        <w:rPr>
          <w:rFonts w:ascii="Arial" w:hAnsi="Arial"/>
          <w:sz w:val="22"/>
          <w:szCs w:val="22"/>
        </w:rPr>
        <w:t xml:space="preserve"> by Year 5.</w:t>
      </w:r>
    </w:p>
    <w:p w:rsidR="007C728B" w:rsidRPr="00FC349F" w:rsidRDefault="007C728B" w:rsidP="00FC349F">
      <w:pPr>
        <w:jc w:val="both"/>
        <w:rPr>
          <w:rFonts w:ascii="Arial" w:hAnsi="Arial"/>
          <w:sz w:val="22"/>
          <w:szCs w:val="22"/>
        </w:rPr>
      </w:pPr>
    </w:p>
    <w:p w:rsidR="007C728B" w:rsidRDefault="007C728B" w:rsidP="00D479CB">
      <w:pPr>
        <w:pStyle w:val="ListParagraph"/>
        <w:numPr>
          <w:ilvl w:val="1"/>
          <w:numId w:val="25"/>
        </w:numPr>
        <w:jc w:val="both"/>
        <w:rPr>
          <w:rFonts w:ascii="Arial" w:hAnsi="Arial"/>
          <w:sz w:val="22"/>
          <w:szCs w:val="22"/>
        </w:rPr>
      </w:pPr>
      <w:r w:rsidRPr="007C728B">
        <w:rPr>
          <w:rFonts w:ascii="Arial" w:hAnsi="Arial"/>
          <w:sz w:val="22"/>
          <w:szCs w:val="22"/>
        </w:rPr>
        <w:t>Infusion costs may be underestimated, the proportion of patients receiving second-line cetuximab and the duration of therapy with second-line cetuximab may be overestimated, and no substitution of chemotherapy alone has been considered for patients who would not have received first-line bevacizumab. Consequently, the revised figures may underestimate the cost to Government.</w:t>
      </w:r>
    </w:p>
    <w:p w:rsidR="00AE5BB6" w:rsidRPr="00FC349F" w:rsidRDefault="00AE5BB6" w:rsidP="00FC349F">
      <w:pPr>
        <w:rPr>
          <w:rFonts w:ascii="Arial" w:hAnsi="Arial"/>
          <w:sz w:val="22"/>
          <w:szCs w:val="22"/>
        </w:rPr>
      </w:pPr>
    </w:p>
    <w:p w:rsidR="00AE5BB6" w:rsidRDefault="00AE5BB6" w:rsidP="00D479CB">
      <w:pPr>
        <w:pStyle w:val="ListParagraph"/>
        <w:numPr>
          <w:ilvl w:val="1"/>
          <w:numId w:val="25"/>
        </w:numPr>
        <w:jc w:val="both"/>
        <w:rPr>
          <w:rFonts w:ascii="Arial" w:hAnsi="Arial"/>
          <w:sz w:val="22"/>
          <w:szCs w:val="22"/>
        </w:rPr>
      </w:pPr>
      <w:r>
        <w:rPr>
          <w:rFonts w:ascii="Arial" w:hAnsi="Arial"/>
          <w:sz w:val="22"/>
          <w:szCs w:val="22"/>
        </w:rPr>
        <w:t>The PBAC noted t</w:t>
      </w:r>
      <w:r w:rsidRPr="00AE5BB6">
        <w:rPr>
          <w:rFonts w:ascii="Arial" w:hAnsi="Arial"/>
          <w:sz w:val="22"/>
          <w:szCs w:val="22"/>
        </w:rPr>
        <w:t>he submission states that the sponsor has supported a number of quality use of medicines (QUM) initiatives to allow for the identification, management and treatment of the cetuximab-related rash, to ensure consumers and health care professionals use cetuximab safely and effectively, and thus maintain optimal health outcomes for patients for as long as possible</w:t>
      </w:r>
      <w:r w:rsidR="00FC349F">
        <w:rPr>
          <w:rFonts w:ascii="Arial" w:hAnsi="Arial"/>
          <w:sz w:val="22"/>
          <w:szCs w:val="22"/>
        </w:rPr>
        <w:t>.</w:t>
      </w:r>
    </w:p>
    <w:p w:rsidR="00402CD0" w:rsidRPr="00FC349F" w:rsidRDefault="00402CD0" w:rsidP="00FC349F">
      <w:pPr>
        <w:rPr>
          <w:rFonts w:ascii="Arial" w:hAnsi="Arial"/>
          <w:sz w:val="22"/>
          <w:szCs w:val="22"/>
        </w:rPr>
      </w:pPr>
    </w:p>
    <w:p w:rsidR="00402CD0" w:rsidRDefault="00402CD0" w:rsidP="00D479CB">
      <w:pPr>
        <w:pStyle w:val="ListParagraph"/>
        <w:numPr>
          <w:ilvl w:val="1"/>
          <w:numId w:val="25"/>
        </w:numPr>
        <w:jc w:val="both"/>
        <w:rPr>
          <w:rFonts w:ascii="Arial" w:hAnsi="Arial"/>
          <w:sz w:val="22"/>
          <w:szCs w:val="22"/>
        </w:rPr>
      </w:pPr>
      <w:r>
        <w:rPr>
          <w:rFonts w:ascii="Arial" w:hAnsi="Arial"/>
          <w:sz w:val="22"/>
          <w:szCs w:val="22"/>
        </w:rPr>
        <w:lastRenderedPageBreak/>
        <w:t xml:space="preserve">The PBAC noted cetuximab may be used beyond </w:t>
      </w:r>
      <w:r w:rsidR="00E976C9">
        <w:rPr>
          <w:rFonts w:ascii="Arial" w:hAnsi="Arial"/>
          <w:sz w:val="22"/>
          <w:szCs w:val="22"/>
        </w:rPr>
        <w:t xml:space="preserve">disease progression </w:t>
      </w:r>
      <w:r>
        <w:rPr>
          <w:rFonts w:ascii="Arial" w:hAnsi="Arial"/>
          <w:sz w:val="22"/>
          <w:szCs w:val="22"/>
        </w:rPr>
        <w:t xml:space="preserve">therefore, </w:t>
      </w:r>
      <w:r w:rsidR="00E976C9">
        <w:rPr>
          <w:rFonts w:ascii="Arial" w:hAnsi="Arial"/>
          <w:sz w:val="22"/>
          <w:szCs w:val="22"/>
        </w:rPr>
        <w:t xml:space="preserve">a </w:t>
      </w:r>
      <w:r w:rsidR="00E976C9" w:rsidRPr="00BB7EC3">
        <w:rPr>
          <w:rFonts w:ascii="Arial" w:hAnsi="Arial"/>
          <w:sz w:val="22"/>
          <w:szCs w:val="22"/>
        </w:rPr>
        <w:t>Risk Share Agreement (RSA)</w:t>
      </w:r>
      <w:r w:rsidR="00E976C9">
        <w:rPr>
          <w:rFonts w:ascii="Arial" w:hAnsi="Arial"/>
          <w:sz w:val="22"/>
          <w:szCs w:val="22"/>
        </w:rPr>
        <w:t xml:space="preserve"> and a note of the restriction stating “Patient must not switch chemotherapy partners whilst maintaining </w:t>
      </w:r>
      <w:r w:rsidR="00D83162">
        <w:rPr>
          <w:rFonts w:ascii="Arial" w:hAnsi="Arial"/>
          <w:sz w:val="22"/>
          <w:szCs w:val="22"/>
        </w:rPr>
        <w:t xml:space="preserve">an </w:t>
      </w:r>
      <w:r w:rsidR="00E976C9">
        <w:rPr>
          <w:rFonts w:ascii="Arial" w:hAnsi="Arial"/>
          <w:sz w:val="22"/>
          <w:szCs w:val="22"/>
        </w:rPr>
        <w:t>an</w:t>
      </w:r>
      <w:r w:rsidR="00FC349F">
        <w:rPr>
          <w:rFonts w:ascii="Arial" w:hAnsi="Arial"/>
          <w:sz w:val="22"/>
          <w:szCs w:val="22"/>
        </w:rPr>
        <w:t>t</w:t>
      </w:r>
      <w:r w:rsidR="00E976C9">
        <w:rPr>
          <w:rFonts w:ascii="Arial" w:hAnsi="Arial"/>
          <w:sz w:val="22"/>
          <w:szCs w:val="22"/>
        </w:rPr>
        <w:t xml:space="preserve">i-EGFR </w:t>
      </w:r>
      <w:r w:rsidR="00D83162">
        <w:rPr>
          <w:rFonts w:ascii="Arial" w:hAnsi="Arial"/>
          <w:sz w:val="22"/>
          <w:szCs w:val="22"/>
        </w:rPr>
        <w:t xml:space="preserve">antibody </w:t>
      </w:r>
      <w:r w:rsidR="00E976C9">
        <w:rPr>
          <w:rFonts w:ascii="Arial" w:hAnsi="Arial"/>
          <w:sz w:val="22"/>
          <w:szCs w:val="22"/>
        </w:rPr>
        <w:t>backbone in the face of progressive disease” are n</w:t>
      </w:r>
      <w:r w:rsidR="00FC349F">
        <w:rPr>
          <w:rFonts w:ascii="Arial" w:hAnsi="Arial"/>
          <w:sz w:val="22"/>
          <w:szCs w:val="22"/>
        </w:rPr>
        <w:t>ecessary for managing the risk.</w:t>
      </w:r>
    </w:p>
    <w:p w:rsidR="00AE5BB6" w:rsidRPr="00FC349F" w:rsidRDefault="00AE5BB6" w:rsidP="00FC349F">
      <w:pPr>
        <w:rPr>
          <w:rFonts w:ascii="Arial" w:hAnsi="Arial"/>
          <w:sz w:val="22"/>
          <w:szCs w:val="22"/>
        </w:rPr>
      </w:pPr>
    </w:p>
    <w:p w:rsidR="00AE5BB6" w:rsidRDefault="00AE5BB6" w:rsidP="00D479CB">
      <w:pPr>
        <w:pStyle w:val="ListParagraph"/>
        <w:numPr>
          <w:ilvl w:val="1"/>
          <w:numId w:val="25"/>
        </w:numPr>
        <w:jc w:val="both"/>
        <w:rPr>
          <w:rFonts w:ascii="Arial" w:hAnsi="Arial"/>
          <w:sz w:val="22"/>
          <w:szCs w:val="22"/>
        </w:rPr>
      </w:pPr>
      <w:r>
        <w:rPr>
          <w:rFonts w:ascii="Arial" w:hAnsi="Arial"/>
          <w:sz w:val="22"/>
          <w:szCs w:val="22"/>
        </w:rPr>
        <w:t>The PBAC noted</w:t>
      </w:r>
      <w:r w:rsidR="00225195">
        <w:rPr>
          <w:rFonts w:ascii="Arial" w:hAnsi="Arial"/>
          <w:sz w:val="22"/>
          <w:szCs w:val="22"/>
        </w:rPr>
        <w:t xml:space="preserve"> that</w:t>
      </w:r>
      <w:r>
        <w:rPr>
          <w:rFonts w:ascii="Arial" w:hAnsi="Arial"/>
          <w:sz w:val="22"/>
          <w:szCs w:val="22"/>
        </w:rPr>
        <w:t xml:space="preserve"> t</w:t>
      </w:r>
      <w:r w:rsidRPr="00AE5BB6">
        <w:rPr>
          <w:rFonts w:ascii="Arial" w:hAnsi="Arial"/>
          <w:sz w:val="22"/>
          <w:szCs w:val="22"/>
        </w:rPr>
        <w:t xml:space="preserve">he sponsor </w:t>
      </w:r>
      <w:r w:rsidR="00225195">
        <w:rPr>
          <w:rFonts w:ascii="Arial" w:hAnsi="Arial"/>
          <w:sz w:val="22"/>
          <w:szCs w:val="22"/>
        </w:rPr>
        <w:t>was</w:t>
      </w:r>
      <w:r w:rsidR="00225195" w:rsidRPr="00AE5BB6">
        <w:rPr>
          <w:rFonts w:ascii="Arial" w:hAnsi="Arial"/>
          <w:sz w:val="22"/>
          <w:szCs w:val="22"/>
        </w:rPr>
        <w:t xml:space="preserve"> </w:t>
      </w:r>
      <w:r w:rsidRPr="00AE5BB6">
        <w:rPr>
          <w:rFonts w:ascii="Arial" w:hAnsi="Arial"/>
          <w:sz w:val="22"/>
          <w:szCs w:val="22"/>
        </w:rPr>
        <w:t xml:space="preserve">willing to </w:t>
      </w:r>
      <w:r w:rsidR="000F25E8">
        <w:rPr>
          <w:rFonts w:ascii="Arial" w:hAnsi="Arial"/>
          <w:sz w:val="22"/>
          <w:szCs w:val="22"/>
        </w:rPr>
        <w:t xml:space="preserve">enter into </w:t>
      </w:r>
      <w:r w:rsidRPr="00AE5BB6">
        <w:rPr>
          <w:rFonts w:ascii="Arial" w:hAnsi="Arial"/>
          <w:sz w:val="22"/>
          <w:szCs w:val="22"/>
        </w:rPr>
        <w:t xml:space="preserve">a confidential </w:t>
      </w:r>
      <w:r w:rsidR="000F25E8">
        <w:rPr>
          <w:rFonts w:ascii="Arial" w:hAnsi="Arial"/>
          <w:sz w:val="22"/>
          <w:szCs w:val="22"/>
        </w:rPr>
        <w:t xml:space="preserve">RSA </w:t>
      </w:r>
      <w:r w:rsidRPr="00AE5BB6">
        <w:rPr>
          <w:rFonts w:ascii="Arial" w:hAnsi="Arial"/>
          <w:sz w:val="22"/>
          <w:szCs w:val="22"/>
        </w:rPr>
        <w:t xml:space="preserve">for cetuximab for first-line mCRC treatment, to </w:t>
      </w:r>
      <w:r w:rsidR="00225195">
        <w:rPr>
          <w:rFonts w:ascii="Arial" w:hAnsi="Arial"/>
          <w:sz w:val="22"/>
          <w:szCs w:val="22"/>
        </w:rPr>
        <w:t>prevent any increase to</w:t>
      </w:r>
      <w:r w:rsidR="00225195" w:rsidRPr="00AE5BB6">
        <w:rPr>
          <w:rFonts w:ascii="Arial" w:hAnsi="Arial"/>
          <w:sz w:val="22"/>
          <w:szCs w:val="22"/>
        </w:rPr>
        <w:t xml:space="preserve"> </w:t>
      </w:r>
      <w:r w:rsidRPr="00AE5BB6">
        <w:rPr>
          <w:rFonts w:ascii="Arial" w:hAnsi="Arial"/>
          <w:sz w:val="22"/>
          <w:szCs w:val="22"/>
        </w:rPr>
        <w:t xml:space="preserve">the </w:t>
      </w:r>
      <w:r w:rsidR="00225195">
        <w:rPr>
          <w:rFonts w:ascii="Arial" w:hAnsi="Arial"/>
          <w:sz w:val="22"/>
          <w:szCs w:val="22"/>
        </w:rPr>
        <w:t xml:space="preserve">current </w:t>
      </w:r>
      <w:r w:rsidRPr="00AE5BB6">
        <w:rPr>
          <w:rFonts w:ascii="Arial" w:hAnsi="Arial"/>
          <w:sz w:val="22"/>
          <w:szCs w:val="22"/>
        </w:rPr>
        <w:t xml:space="preserve">total cost to Government </w:t>
      </w:r>
      <w:r w:rsidR="00225195">
        <w:rPr>
          <w:rFonts w:ascii="Arial" w:hAnsi="Arial"/>
          <w:sz w:val="22"/>
          <w:szCs w:val="22"/>
        </w:rPr>
        <w:t>associated with</w:t>
      </w:r>
      <w:r w:rsidRPr="00AE5BB6">
        <w:rPr>
          <w:rFonts w:ascii="Arial" w:hAnsi="Arial"/>
          <w:sz w:val="22"/>
          <w:szCs w:val="22"/>
        </w:rPr>
        <w:t xml:space="preserve"> the first-line treatment of patients with mCRC</w:t>
      </w:r>
      <w:r w:rsidR="00225195">
        <w:rPr>
          <w:rFonts w:ascii="Arial" w:hAnsi="Arial"/>
          <w:sz w:val="22"/>
          <w:szCs w:val="22"/>
        </w:rPr>
        <w:t xml:space="preserve">, which currently includes </w:t>
      </w:r>
      <w:r w:rsidRPr="00AE5BB6">
        <w:rPr>
          <w:rFonts w:ascii="Arial" w:hAnsi="Arial"/>
          <w:sz w:val="22"/>
          <w:szCs w:val="22"/>
        </w:rPr>
        <w:t>treatment with bevacizumab</w:t>
      </w:r>
      <w:r w:rsidR="00225195">
        <w:rPr>
          <w:rFonts w:ascii="Arial" w:hAnsi="Arial"/>
          <w:sz w:val="22"/>
          <w:szCs w:val="22"/>
        </w:rPr>
        <w:t xml:space="preserve"> only</w:t>
      </w:r>
      <w:r w:rsidRPr="00AE5BB6">
        <w:rPr>
          <w:rFonts w:ascii="Arial" w:hAnsi="Arial"/>
          <w:sz w:val="22"/>
          <w:szCs w:val="22"/>
        </w:rPr>
        <w:t>.</w:t>
      </w:r>
      <w:r w:rsidRPr="00AE5BB6">
        <w:rPr>
          <w:rFonts w:ascii="Arial" w:hAnsi="Arial"/>
          <w:i/>
          <w:sz w:val="22"/>
          <w:szCs w:val="22"/>
        </w:rPr>
        <w:t xml:space="preserve"> </w:t>
      </w:r>
      <w:r w:rsidR="00225195">
        <w:rPr>
          <w:rFonts w:ascii="Arial" w:hAnsi="Arial"/>
          <w:i/>
          <w:sz w:val="22"/>
          <w:szCs w:val="22"/>
        </w:rPr>
        <w:t xml:space="preserve"> </w:t>
      </w:r>
      <w:r w:rsidRPr="00AE5BB6">
        <w:rPr>
          <w:rFonts w:ascii="Arial" w:hAnsi="Arial"/>
          <w:sz w:val="22"/>
          <w:szCs w:val="22"/>
        </w:rPr>
        <w:t xml:space="preserve">No change </w:t>
      </w:r>
      <w:r w:rsidR="00225195">
        <w:rPr>
          <w:rFonts w:ascii="Arial" w:hAnsi="Arial"/>
          <w:sz w:val="22"/>
          <w:szCs w:val="22"/>
        </w:rPr>
        <w:t>to the existing</w:t>
      </w:r>
      <w:r w:rsidR="00225195" w:rsidRPr="00AE5BB6">
        <w:rPr>
          <w:rFonts w:ascii="Arial" w:hAnsi="Arial"/>
          <w:sz w:val="22"/>
          <w:szCs w:val="22"/>
        </w:rPr>
        <w:t xml:space="preserve"> </w:t>
      </w:r>
      <w:r w:rsidR="000F25E8">
        <w:rPr>
          <w:rFonts w:ascii="Arial" w:hAnsi="Arial"/>
          <w:sz w:val="22"/>
          <w:szCs w:val="22"/>
        </w:rPr>
        <w:t xml:space="preserve">RSA </w:t>
      </w:r>
      <w:r w:rsidR="00225195">
        <w:rPr>
          <w:rFonts w:ascii="Arial" w:hAnsi="Arial"/>
          <w:sz w:val="22"/>
          <w:szCs w:val="22"/>
        </w:rPr>
        <w:t xml:space="preserve">for cetuximab in later line </w:t>
      </w:r>
      <w:r w:rsidRPr="00AE5BB6">
        <w:rPr>
          <w:rFonts w:ascii="Arial" w:hAnsi="Arial"/>
          <w:sz w:val="22"/>
          <w:szCs w:val="22"/>
        </w:rPr>
        <w:t xml:space="preserve">treatment of mCRC </w:t>
      </w:r>
      <w:r w:rsidR="00225195">
        <w:rPr>
          <w:rFonts w:ascii="Arial" w:hAnsi="Arial"/>
          <w:sz w:val="22"/>
          <w:szCs w:val="22"/>
        </w:rPr>
        <w:t>was proposed by the sponsor</w:t>
      </w:r>
      <w:r>
        <w:rPr>
          <w:rFonts w:ascii="Arial" w:hAnsi="Arial"/>
          <w:sz w:val="22"/>
          <w:szCs w:val="22"/>
        </w:rPr>
        <w:t>.</w:t>
      </w:r>
    </w:p>
    <w:p w:rsidR="005A3223" w:rsidRPr="00AE5BB6" w:rsidRDefault="005A3223" w:rsidP="00AE5BB6">
      <w:pPr>
        <w:rPr>
          <w:rFonts w:ascii="Arial" w:hAnsi="Arial"/>
          <w:sz w:val="22"/>
          <w:szCs w:val="22"/>
        </w:rPr>
      </w:pPr>
    </w:p>
    <w:p w:rsidR="00BB7EC3" w:rsidRPr="000476DA" w:rsidRDefault="00BB7EC3" w:rsidP="00D479CB">
      <w:pPr>
        <w:pStyle w:val="ListParagraph"/>
        <w:numPr>
          <w:ilvl w:val="1"/>
          <w:numId w:val="25"/>
        </w:numPr>
        <w:jc w:val="both"/>
        <w:rPr>
          <w:rFonts w:ascii="Arial" w:hAnsi="Arial"/>
          <w:sz w:val="22"/>
          <w:szCs w:val="22"/>
        </w:rPr>
      </w:pPr>
      <w:r w:rsidRPr="000476DA">
        <w:rPr>
          <w:rFonts w:ascii="Arial" w:hAnsi="Arial"/>
          <w:sz w:val="22"/>
          <w:szCs w:val="22"/>
        </w:rPr>
        <w:t xml:space="preserve">The PBAC considered, among other matters, that its assessment </w:t>
      </w:r>
      <w:r w:rsidR="00096E5B" w:rsidRPr="000476DA">
        <w:rPr>
          <w:rFonts w:ascii="Arial" w:hAnsi="Arial"/>
          <w:sz w:val="22"/>
          <w:szCs w:val="22"/>
        </w:rPr>
        <w:t xml:space="preserve">that the cost-effectiveness of cetuximab </w:t>
      </w:r>
      <w:r w:rsidRPr="000476DA">
        <w:rPr>
          <w:rFonts w:ascii="Arial" w:hAnsi="Arial"/>
          <w:sz w:val="22"/>
          <w:szCs w:val="22"/>
        </w:rPr>
        <w:t>would be acceptable if the measures below were implemented to contain risks associated with the cost of the drug to the PBS:</w:t>
      </w:r>
    </w:p>
    <w:p w:rsidR="00BB7EC3" w:rsidRDefault="000476DA" w:rsidP="00FC349F">
      <w:pPr>
        <w:pStyle w:val="ListParagraph"/>
        <w:numPr>
          <w:ilvl w:val="0"/>
          <w:numId w:val="41"/>
        </w:numPr>
        <w:ind w:left="993" w:hanging="284"/>
        <w:jc w:val="both"/>
        <w:rPr>
          <w:rFonts w:ascii="Arial" w:hAnsi="Arial"/>
          <w:sz w:val="22"/>
          <w:szCs w:val="22"/>
        </w:rPr>
      </w:pPr>
      <w:r>
        <w:rPr>
          <w:rFonts w:ascii="Arial" w:hAnsi="Arial"/>
          <w:sz w:val="22"/>
          <w:szCs w:val="22"/>
        </w:rPr>
        <w:t>Cetuximab in first-line mCRC join the</w:t>
      </w:r>
      <w:r w:rsidR="00096E5B">
        <w:rPr>
          <w:rFonts w:ascii="Arial" w:hAnsi="Arial"/>
          <w:sz w:val="22"/>
          <w:szCs w:val="22"/>
        </w:rPr>
        <w:t xml:space="preserve"> </w:t>
      </w:r>
      <w:r w:rsidR="00C71EC7">
        <w:rPr>
          <w:rFonts w:ascii="Arial" w:hAnsi="Arial"/>
          <w:sz w:val="22"/>
          <w:szCs w:val="22"/>
        </w:rPr>
        <w:t xml:space="preserve">bevacizumab </w:t>
      </w:r>
      <w:r w:rsidR="00096E5B" w:rsidRPr="00FC349F">
        <w:rPr>
          <w:rFonts w:ascii="Arial" w:hAnsi="Arial" w:cs="Arial"/>
          <w:sz w:val="22"/>
          <w:szCs w:val="22"/>
        </w:rPr>
        <w:t>RSA</w:t>
      </w:r>
      <w:r>
        <w:rPr>
          <w:rFonts w:ascii="Arial" w:hAnsi="Arial" w:cs="Arial"/>
          <w:sz w:val="22"/>
          <w:szCs w:val="22"/>
        </w:rPr>
        <w:t>, and associated costs be contained within the</w:t>
      </w:r>
      <w:r w:rsidR="00C71EC7">
        <w:rPr>
          <w:rFonts w:ascii="Arial" w:hAnsi="Arial" w:cs="Arial"/>
          <w:sz w:val="22"/>
          <w:szCs w:val="22"/>
        </w:rPr>
        <w:t xml:space="preserve"> existing</w:t>
      </w:r>
      <w:r>
        <w:rPr>
          <w:rFonts w:ascii="Arial" w:hAnsi="Arial" w:cs="Arial"/>
          <w:sz w:val="22"/>
          <w:szCs w:val="22"/>
        </w:rPr>
        <w:t xml:space="preserve"> Subsidisation Caps</w:t>
      </w:r>
      <w:r w:rsidR="00C71EC7">
        <w:rPr>
          <w:rFonts w:ascii="Arial" w:hAnsi="Arial" w:cs="Arial"/>
          <w:sz w:val="22"/>
          <w:szCs w:val="22"/>
        </w:rPr>
        <w:t>,</w:t>
      </w:r>
      <w:r w:rsidR="00096E5B">
        <w:rPr>
          <w:rFonts w:ascii="Arial" w:hAnsi="Arial"/>
          <w:sz w:val="22"/>
          <w:szCs w:val="22"/>
        </w:rPr>
        <w:t xml:space="preserve"> </w:t>
      </w:r>
      <w:r>
        <w:rPr>
          <w:rFonts w:ascii="Arial" w:hAnsi="Arial"/>
          <w:sz w:val="22"/>
          <w:szCs w:val="22"/>
        </w:rPr>
        <w:t>currently in place for this indication ;</w:t>
      </w:r>
      <w:r w:rsidR="00C71EC7">
        <w:rPr>
          <w:rFonts w:ascii="Arial" w:hAnsi="Arial"/>
          <w:sz w:val="22"/>
          <w:szCs w:val="22"/>
        </w:rPr>
        <w:t xml:space="preserve"> and</w:t>
      </w:r>
    </w:p>
    <w:p w:rsidR="000476DA" w:rsidRPr="00BB7EC3" w:rsidRDefault="00C71EC7" w:rsidP="00FC349F">
      <w:pPr>
        <w:pStyle w:val="ListParagraph"/>
        <w:numPr>
          <w:ilvl w:val="0"/>
          <w:numId w:val="41"/>
        </w:numPr>
        <w:ind w:left="993" w:hanging="284"/>
        <w:jc w:val="both"/>
        <w:rPr>
          <w:rFonts w:ascii="Arial" w:hAnsi="Arial"/>
          <w:sz w:val="22"/>
          <w:szCs w:val="22"/>
        </w:rPr>
      </w:pPr>
      <w:r>
        <w:rPr>
          <w:rFonts w:ascii="Arial" w:hAnsi="Arial"/>
          <w:sz w:val="22"/>
          <w:szCs w:val="22"/>
        </w:rPr>
        <w:t>If bevacizumab is in turn made available in second-line treatment of mCRC, to allow effective management of the agreement, the current RSA for cetuximab used in second-line should be combined with the RSA for first-line mCRC, with appropriate reduction in the Subsidisation Caps based on the new estimates and price.</w:t>
      </w:r>
    </w:p>
    <w:p w:rsidR="00BB7EC3" w:rsidRPr="00FC349F" w:rsidRDefault="00BB7EC3" w:rsidP="00FC349F">
      <w:pPr>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Default="00CE10C4" w:rsidP="00882085">
      <w:pPr>
        <w:jc w:val="both"/>
        <w:rPr>
          <w:rFonts w:ascii="Arial" w:hAnsi="Arial"/>
          <w:sz w:val="22"/>
          <w:szCs w:val="22"/>
        </w:rPr>
      </w:pPr>
    </w:p>
    <w:p w:rsidR="00D61685" w:rsidRPr="00FC349F" w:rsidRDefault="00D61685" w:rsidP="00882085">
      <w:pPr>
        <w:jc w:val="both"/>
        <w:rPr>
          <w:rFonts w:ascii="Arial" w:hAnsi="Arial"/>
          <w:sz w:val="22"/>
          <w:szCs w:val="22"/>
        </w:rPr>
      </w:pPr>
    </w:p>
    <w:p w:rsidR="009067B7" w:rsidRPr="00017811" w:rsidRDefault="00A62C1A" w:rsidP="00D479CB">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p>
    <w:p w:rsidR="00BB7EC3" w:rsidRPr="00D254B1" w:rsidRDefault="00BB7EC3" w:rsidP="00D254B1">
      <w:pPr>
        <w:rPr>
          <w:rFonts w:ascii="Arial" w:hAnsi="Arial"/>
          <w:sz w:val="22"/>
          <w:szCs w:val="22"/>
        </w:rPr>
      </w:pPr>
    </w:p>
    <w:p w:rsidR="00BB7EC3" w:rsidRDefault="00BB7EC3" w:rsidP="00D479CB">
      <w:pPr>
        <w:pStyle w:val="ListParagraph"/>
        <w:numPr>
          <w:ilvl w:val="1"/>
          <w:numId w:val="25"/>
        </w:numPr>
        <w:jc w:val="both"/>
        <w:rPr>
          <w:rFonts w:ascii="Arial" w:hAnsi="Arial"/>
          <w:sz w:val="22"/>
          <w:szCs w:val="22"/>
        </w:rPr>
      </w:pPr>
      <w:r>
        <w:rPr>
          <w:rFonts w:ascii="Arial" w:hAnsi="Arial"/>
          <w:sz w:val="22"/>
          <w:szCs w:val="22"/>
        </w:rPr>
        <w:t>The PBA</w:t>
      </w:r>
      <w:r w:rsidR="00D254B1">
        <w:rPr>
          <w:rFonts w:ascii="Arial" w:hAnsi="Arial"/>
          <w:sz w:val="22"/>
          <w:szCs w:val="22"/>
        </w:rPr>
        <w:t>C recommended the listing of cetuximab</w:t>
      </w:r>
      <w:r w:rsidR="00A117E8">
        <w:rPr>
          <w:rFonts w:ascii="Arial" w:hAnsi="Arial"/>
          <w:sz w:val="22"/>
          <w:szCs w:val="22"/>
        </w:rPr>
        <w:t xml:space="preserve"> for the first</w:t>
      </w:r>
      <w:r w:rsidR="000E6901">
        <w:rPr>
          <w:rFonts w:ascii="Arial" w:hAnsi="Arial"/>
          <w:sz w:val="22"/>
          <w:szCs w:val="22"/>
        </w:rPr>
        <w:t>-</w:t>
      </w:r>
      <w:r w:rsidR="001F0982">
        <w:rPr>
          <w:rFonts w:ascii="Arial" w:hAnsi="Arial"/>
          <w:sz w:val="22"/>
          <w:szCs w:val="22"/>
        </w:rPr>
        <w:t xml:space="preserve">line </w:t>
      </w:r>
      <w:r w:rsidR="00A117E8">
        <w:rPr>
          <w:rFonts w:ascii="Arial" w:hAnsi="Arial"/>
          <w:sz w:val="22"/>
          <w:szCs w:val="22"/>
        </w:rPr>
        <w:t>treatment of metastatic colorectal cancer</w:t>
      </w:r>
      <w:r>
        <w:rPr>
          <w:rFonts w:ascii="Arial" w:hAnsi="Arial"/>
          <w:sz w:val="22"/>
          <w:szCs w:val="22"/>
        </w:rPr>
        <w:t>, on</w:t>
      </w:r>
      <w:r w:rsidR="00D254B1">
        <w:rPr>
          <w:rFonts w:ascii="Arial" w:hAnsi="Arial"/>
          <w:sz w:val="22"/>
          <w:szCs w:val="22"/>
        </w:rPr>
        <w:t xml:space="preserve"> a cost-minimisation basis compared with bevacizumab.</w:t>
      </w:r>
      <w:r>
        <w:rPr>
          <w:rFonts w:ascii="Arial" w:hAnsi="Arial"/>
          <w:sz w:val="22"/>
          <w:szCs w:val="22"/>
        </w:rPr>
        <w:t xml:space="preserve"> </w:t>
      </w:r>
      <w:r w:rsidR="00D254B1">
        <w:rPr>
          <w:rFonts w:ascii="Arial" w:hAnsi="Arial"/>
          <w:sz w:val="22"/>
          <w:szCs w:val="22"/>
        </w:rPr>
        <w:t xml:space="preserve">The PBAC agreed that </w:t>
      </w:r>
      <w:r>
        <w:rPr>
          <w:rFonts w:ascii="Arial" w:hAnsi="Arial"/>
          <w:sz w:val="22"/>
          <w:szCs w:val="22"/>
        </w:rPr>
        <w:t xml:space="preserve">it should be available only under special </w:t>
      </w:r>
      <w:r w:rsidR="00D254B1">
        <w:rPr>
          <w:rFonts w:ascii="Arial" w:hAnsi="Arial"/>
          <w:sz w:val="22"/>
          <w:szCs w:val="22"/>
        </w:rPr>
        <w:t xml:space="preserve">arrangements under Section 100 - </w:t>
      </w:r>
      <w:r w:rsidR="00A117E8" w:rsidRPr="00A117E8">
        <w:rPr>
          <w:rFonts w:ascii="Arial" w:hAnsi="Arial"/>
          <w:sz w:val="22"/>
          <w:szCs w:val="22"/>
        </w:rPr>
        <w:t xml:space="preserve">Efficient Funding of Chemotherapy (EFC – </w:t>
      </w:r>
      <w:r w:rsidR="00A117E8">
        <w:rPr>
          <w:rFonts w:ascii="Arial" w:hAnsi="Arial"/>
          <w:sz w:val="22"/>
          <w:szCs w:val="22"/>
        </w:rPr>
        <w:t>Public /</w:t>
      </w:r>
      <w:r w:rsidR="00A117E8" w:rsidRPr="00A117E8">
        <w:rPr>
          <w:rFonts w:ascii="Arial" w:hAnsi="Arial"/>
          <w:sz w:val="22"/>
          <w:szCs w:val="22"/>
        </w:rPr>
        <w:t>Private Hospital</w:t>
      </w:r>
      <w:r w:rsidR="00A117E8">
        <w:rPr>
          <w:rFonts w:ascii="Arial" w:hAnsi="Arial"/>
          <w:sz w:val="22"/>
          <w:szCs w:val="22"/>
        </w:rPr>
        <w:t>)</w:t>
      </w:r>
      <w:r w:rsidR="00D254B1">
        <w:rPr>
          <w:rFonts w:ascii="Arial" w:hAnsi="Arial"/>
          <w:sz w:val="22"/>
          <w:szCs w:val="22"/>
        </w:rPr>
        <w:t>.</w:t>
      </w:r>
      <w:r w:rsidR="001D35B4">
        <w:rPr>
          <w:rFonts w:ascii="Arial" w:hAnsi="Arial"/>
          <w:sz w:val="22"/>
          <w:szCs w:val="22"/>
        </w:rPr>
        <w:t xml:space="preserve"> The PBAC recalled that the amendment of cetuximab later</w:t>
      </w:r>
      <w:r w:rsidR="000E6901">
        <w:rPr>
          <w:rFonts w:ascii="Arial" w:hAnsi="Arial"/>
          <w:sz w:val="22"/>
          <w:szCs w:val="22"/>
        </w:rPr>
        <w:t>-</w:t>
      </w:r>
      <w:r w:rsidR="001D35B4">
        <w:rPr>
          <w:rFonts w:ascii="Arial" w:hAnsi="Arial"/>
          <w:sz w:val="22"/>
          <w:szCs w:val="22"/>
        </w:rPr>
        <w:t xml:space="preserve">line restriction </w:t>
      </w:r>
      <w:r w:rsidR="00BD1D5A">
        <w:rPr>
          <w:rFonts w:ascii="Arial" w:hAnsi="Arial"/>
          <w:sz w:val="22"/>
          <w:szCs w:val="22"/>
        </w:rPr>
        <w:t xml:space="preserve">from </w:t>
      </w:r>
      <w:r w:rsidR="00BD1D5A" w:rsidRPr="001D7154">
        <w:rPr>
          <w:rFonts w:ascii="Arial" w:hAnsi="Arial"/>
          <w:sz w:val="22"/>
          <w:szCs w:val="22"/>
        </w:rPr>
        <w:t>KRAS WT to RAS WT status</w:t>
      </w:r>
      <w:r w:rsidR="00BD1D5A">
        <w:rPr>
          <w:rFonts w:ascii="Arial" w:hAnsi="Arial"/>
          <w:sz w:val="22"/>
          <w:szCs w:val="22"/>
        </w:rPr>
        <w:t xml:space="preserve"> </w:t>
      </w:r>
      <w:r w:rsidR="001D35B4">
        <w:rPr>
          <w:rFonts w:ascii="Arial" w:hAnsi="Arial"/>
          <w:sz w:val="22"/>
          <w:szCs w:val="22"/>
        </w:rPr>
        <w:t xml:space="preserve">was recommended </w:t>
      </w:r>
      <w:r w:rsidR="00F70522">
        <w:rPr>
          <w:rFonts w:ascii="Arial" w:hAnsi="Arial"/>
          <w:sz w:val="22"/>
          <w:szCs w:val="22"/>
        </w:rPr>
        <w:t>at</w:t>
      </w:r>
      <w:r w:rsidR="001D35B4">
        <w:rPr>
          <w:rFonts w:ascii="Arial" w:hAnsi="Arial"/>
          <w:sz w:val="22"/>
          <w:szCs w:val="22"/>
        </w:rPr>
        <w:t xml:space="preserve"> its July 2014 meeting when recommendation for the </w:t>
      </w:r>
      <w:r w:rsidR="00BD1D5A">
        <w:rPr>
          <w:rFonts w:ascii="Arial" w:hAnsi="Arial"/>
          <w:sz w:val="22"/>
          <w:szCs w:val="22"/>
        </w:rPr>
        <w:t xml:space="preserve">equivalent </w:t>
      </w:r>
      <w:r w:rsidR="001D35B4">
        <w:rPr>
          <w:rFonts w:ascii="Arial" w:hAnsi="Arial"/>
          <w:sz w:val="22"/>
          <w:szCs w:val="22"/>
        </w:rPr>
        <w:t>amendment of panitumumab PBS restriction was made.</w:t>
      </w:r>
    </w:p>
    <w:p w:rsidR="00BB7EC3" w:rsidRPr="00FC349F" w:rsidRDefault="00BB7EC3" w:rsidP="00FC349F">
      <w:pPr>
        <w:rPr>
          <w:rFonts w:ascii="Arial" w:hAnsi="Arial"/>
          <w:sz w:val="22"/>
          <w:szCs w:val="22"/>
        </w:rPr>
      </w:pPr>
    </w:p>
    <w:p w:rsidR="00BB7EC3" w:rsidRPr="00AC18AE" w:rsidRDefault="00967D02" w:rsidP="00D479CB">
      <w:pPr>
        <w:pStyle w:val="ListParagraph"/>
        <w:numPr>
          <w:ilvl w:val="1"/>
          <w:numId w:val="25"/>
        </w:numPr>
        <w:jc w:val="both"/>
        <w:rPr>
          <w:rFonts w:ascii="Arial" w:hAnsi="Arial"/>
          <w:sz w:val="22"/>
          <w:szCs w:val="22"/>
        </w:rPr>
      </w:pPr>
      <w:r w:rsidRPr="00967D02">
        <w:rPr>
          <w:rFonts w:ascii="Arial" w:hAnsi="Arial"/>
          <w:sz w:val="22"/>
          <w:szCs w:val="22"/>
        </w:rPr>
        <w:t>The</w:t>
      </w:r>
      <w:r w:rsidR="00AC18AE">
        <w:rPr>
          <w:rFonts w:ascii="Arial" w:hAnsi="Arial"/>
          <w:sz w:val="22"/>
          <w:szCs w:val="22"/>
        </w:rPr>
        <w:t xml:space="preserve"> PBAC agreed with ESC that the equi-effective doses are </w:t>
      </w:r>
      <w:r w:rsidR="00AC18AE" w:rsidRPr="00F80CEC">
        <w:rPr>
          <w:rFonts w:ascii="Arial" w:hAnsi="Arial"/>
          <w:sz w:val="22"/>
          <w:szCs w:val="22"/>
        </w:rPr>
        <w:t>8,356mg cetuximab vs 4,229mg bevacizumab</w:t>
      </w:r>
      <w:r w:rsidR="00AC18AE">
        <w:rPr>
          <w:rFonts w:ascii="Arial" w:hAnsi="Arial"/>
          <w:sz w:val="22"/>
          <w:szCs w:val="22"/>
        </w:rPr>
        <w:t xml:space="preserve"> based on the FIRE-3 trial data.</w:t>
      </w:r>
    </w:p>
    <w:p w:rsidR="00BB7EC3" w:rsidRPr="00FC349F" w:rsidRDefault="00BB7EC3" w:rsidP="00FC349F">
      <w:pPr>
        <w:jc w:val="both"/>
        <w:rPr>
          <w:rFonts w:ascii="Arial" w:hAnsi="Arial"/>
          <w:sz w:val="22"/>
          <w:szCs w:val="22"/>
        </w:rPr>
      </w:pPr>
    </w:p>
    <w:p w:rsidR="00BB7EC3" w:rsidRDefault="00E434D8" w:rsidP="00D479CB">
      <w:pPr>
        <w:pStyle w:val="ListParagraph"/>
        <w:numPr>
          <w:ilvl w:val="1"/>
          <w:numId w:val="25"/>
        </w:numPr>
        <w:jc w:val="both"/>
        <w:rPr>
          <w:rFonts w:ascii="Arial" w:hAnsi="Arial"/>
          <w:sz w:val="22"/>
          <w:szCs w:val="22"/>
        </w:rPr>
      </w:pPr>
      <w:r>
        <w:rPr>
          <w:rFonts w:ascii="Arial" w:hAnsi="Arial"/>
          <w:sz w:val="22"/>
          <w:szCs w:val="22"/>
        </w:rPr>
        <w:t xml:space="preserve">The PBAC considered that the </w:t>
      </w:r>
      <w:r w:rsidR="000F15C2">
        <w:rPr>
          <w:rFonts w:ascii="Arial" w:hAnsi="Arial"/>
          <w:sz w:val="22"/>
          <w:szCs w:val="22"/>
        </w:rPr>
        <w:t>requested</w:t>
      </w:r>
      <w:r>
        <w:rPr>
          <w:rFonts w:ascii="Arial" w:hAnsi="Arial"/>
          <w:sz w:val="22"/>
          <w:szCs w:val="22"/>
        </w:rPr>
        <w:t xml:space="preserve"> restriction should </w:t>
      </w:r>
      <w:r w:rsidR="000F15C2">
        <w:rPr>
          <w:rFonts w:ascii="Arial" w:hAnsi="Arial"/>
          <w:sz w:val="22"/>
          <w:szCs w:val="22"/>
        </w:rPr>
        <w:t xml:space="preserve">1) </w:t>
      </w:r>
      <w:r>
        <w:rPr>
          <w:rFonts w:ascii="Arial" w:hAnsi="Arial"/>
          <w:sz w:val="22"/>
          <w:szCs w:val="22"/>
        </w:rPr>
        <w:t xml:space="preserve">include a note stating “Patient must not switch chemotherapy partners whilst maintaining </w:t>
      </w:r>
      <w:r w:rsidR="00D83162">
        <w:rPr>
          <w:rFonts w:ascii="Arial" w:hAnsi="Arial"/>
          <w:sz w:val="22"/>
          <w:szCs w:val="22"/>
        </w:rPr>
        <w:t xml:space="preserve">an </w:t>
      </w:r>
      <w:r>
        <w:rPr>
          <w:rFonts w:ascii="Arial" w:hAnsi="Arial"/>
          <w:sz w:val="22"/>
          <w:szCs w:val="22"/>
        </w:rPr>
        <w:t>an</w:t>
      </w:r>
      <w:r w:rsidR="00FC349F">
        <w:rPr>
          <w:rFonts w:ascii="Arial" w:hAnsi="Arial"/>
          <w:sz w:val="22"/>
          <w:szCs w:val="22"/>
        </w:rPr>
        <w:t>t</w:t>
      </w:r>
      <w:r>
        <w:rPr>
          <w:rFonts w:ascii="Arial" w:hAnsi="Arial"/>
          <w:sz w:val="22"/>
          <w:szCs w:val="22"/>
        </w:rPr>
        <w:t xml:space="preserve">i-EGFR </w:t>
      </w:r>
      <w:r w:rsidR="00D83162">
        <w:rPr>
          <w:rFonts w:ascii="Arial" w:hAnsi="Arial"/>
          <w:sz w:val="22"/>
          <w:szCs w:val="22"/>
        </w:rPr>
        <w:t xml:space="preserve">antibody </w:t>
      </w:r>
      <w:r>
        <w:rPr>
          <w:rFonts w:ascii="Arial" w:hAnsi="Arial"/>
          <w:sz w:val="22"/>
          <w:szCs w:val="22"/>
        </w:rPr>
        <w:t xml:space="preserve">backbone in the face of progressive disease” in order to </w:t>
      </w:r>
      <w:r w:rsidR="004B227F">
        <w:rPr>
          <w:rFonts w:ascii="Arial" w:hAnsi="Arial"/>
          <w:sz w:val="22"/>
          <w:szCs w:val="22"/>
        </w:rPr>
        <w:t xml:space="preserve">help </w:t>
      </w:r>
      <w:r>
        <w:rPr>
          <w:rFonts w:ascii="Arial" w:hAnsi="Arial"/>
          <w:sz w:val="22"/>
          <w:szCs w:val="22"/>
        </w:rPr>
        <w:t xml:space="preserve">prevent cetuximab </w:t>
      </w:r>
      <w:r w:rsidR="004B227F">
        <w:rPr>
          <w:rFonts w:ascii="Arial" w:hAnsi="Arial"/>
          <w:sz w:val="22"/>
          <w:szCs w:val="22"/>
        </w:rPr>
        <w:t xml:space="preserve">being </w:t>
      </w:r>
      <w:r>
        <w:rPr>
          <w:rFonts w:ascii="Arial" w:hAnsi="Arial"/>
          <w:sz w:val="22"/>
          <w:szCs w:val="22"/>
        </w:rPr>
        <w:t>us</w:t>
      </w:r>
      <w:r w:rsidR="004B227F">
        <w:rPr>
          <w:rFonts w:ascii="Arial" w:hAnsi="Arial"/>
          <w:sz w:val="22"/>
          <w:szCs w:val="22"/>
        </w:rPr>
        <w:t>ed</w:t>
      </w:r>
      <w:r>
        <w:rPr>
          <w:rFonts w:ascii="Arial" w:hAnsi="Arial"/>
          <w:sz w:val="22"/>
          <w:szCs w:val="22"/>
        </w:rPr>
        <w:t xml:space="preserve"> beyond disease progression</w:t>
      </w:r>
      <w:r w:rsidR="000F15C2">
        <w:rPr>
          <w:rFonts w:ascii="Arial" w:hAnsi="Arial"/>
          <w:sz w:val="22"/>
          <w:szCs w:val="22"/>
        </w:rPr>
        <w:t xml:space="preserve">; 2) amend </w:t>
      </w:r>
      <w:r>
        <w:rPr>
          <w:rFonts w:ascii="Arial" w:hAnsi="Arial"/>
          <w:sz w:val="22"/>
          <w:szCs w:val="22"/>
        </w:rPr>
        <w:t>WHO performance status</w:t>
      </w:r>
      <w:r w:rsidR="000F15C2">
        <w:rPr>
          <w:rFonts w:ascii="Arial" w:hAnsi="Arial"/>
          <w:sz w:val="22"/>
          <w:szCs w:val="22"/>
        </w:rPr>
        <w:t xml:space="preserve"> to </w:t>
      </w:r>
      <w:r w:rsidR="00A25C06">
        <w:rPr>
          <w:rFonts w:ascii="Arial" w:hAnsi="Arial"/>
          <w:sz w:val="22"/>
          <w:szCs w:val="22"/>
        </w:rPr>
        <w:t xml:space="preserve">be 1 or less; 3) limit use </w:t>
      </w:r>
      <w:r w:rsidR="008B1600">
        <w:rPr>
          <w:rFonts w:ascii="Arial" w:hAnsi="Arial"/>
          <w:sz w:val="22"/>
          <w:szCs w:val="22"/>
        </w:rPr>
        <w:t xml:space="preserve">to </w:t>
      </w:r>
      <w:r w:rsidR="004B227F">
        <w:rPr>
          <w:rFonts w:ascii="Arial" w:hAnsi="Arial"/>
          <w:sz w:val="22"/>
          <w:szCs w:val="22"/>
        </w:rPr>
        <w:t xml:space="preserve">a course of </w:t>
      </w:r>
      <w:r w:rsidR="00A25C06">
        <w:rPr>
          <w:rFonts w:ascii="Arial" w:hAnsi="Arial"/>
          <w:sz w:val="22"/>
          <w:szCs w:val="22"/>
        </w:rPr>
        <w:t xml:space="preserve">cetuximab </w:t>
      </w:r>
      <w:r w:rsidR="004634F9">
        <w:rPr>
          <w:rFonts w:ascii="Arial" w:hAnsi="Arial"/>
          <w:sz w:val="22"/>
          <w:szCs w:val="22"/>
        </w:rPr>
        <w:t xml:space="preserve">for mCRC </w:t>
      </w:r>
      <w:r w:rsidR="00A25C06">
        <w:rPr>
          <w:rFonts w:ascii="Arial" w:hAnsi="Arial"/>
          <w:sz w:val="22"/>
          <w:szCs w:val="22"/>
        </w:rPr>
        <w:t>once in a life time</w:t>
      </w:r>
      <w:r w:rsidR="004B227F">
        <w:rPr>
          <w:rFonts w:ascii="Arial" w:hAnsi="Arial"/>
          <w:sz w:val="22"/>
          <w:szCs w:val="22"/>
        </w:rPr>
        <w:t xml:space="preserve"> (and allow a switch to panitumumab </w:t>
      </w:r>
      <w:r w:rsidR="00F70522">
        <w:rPr>
          <w:rFonts w:ascii="Arial" w:hAnsi="Arial"/>
          <w:sz w:val="22"/>
          <w:szCs w:val="22"/>
        </w:rPr>
        <w:t xml:space="preserve">during a course </w:t>
      </w:r>
      <w:r w:rsidR="004B227F">
        <w:rPr>
          <w:rFonts w:ascii="Arial" w:hAnsi="Arial"/>
          <w:sz w:val="22"/>
          <w:szCs w:val="22"/>
        </w:rPr>
        <w:t xml:space="preserve">only according to the arrangements already in place for </w:t>
      </w:r>
      <w:r w:rsidR="008B1600">
        <w:rPr>
          <w:rFonts w:ascii="Arial" w:hAnsi="Arial"/>
          <w:sz w:val="22"/>
          <w:szCs w:val="22"/>
        </w:rPr>
        <w:t xml:space="preserve">PBS subsidy of </w:t>
      </w:r>
      <w:r w:rsidR="004B227F">
        <w:rPr>
          <w:rFonts w:ascii="Arial" w:hAnsi="Arial"/>
          <w:sz w:val="22"/>
          <w:szCs w:val="22"/>
        </w:rPr>
        <w:t>later</w:t>
      </w:r>
      <w:r w:rsidR="00F70522">
        <w:rPr>
          <w:rFonts w:ascii="Arial" w:hAnsi="Arial"/>
          <w:sz w:val="22"/>
          <w:szCs w:val="22"/>
        </w:rPr>
        <w:t>-</w:t>
      </w:r>
      <w:r w:rsidR="004B227F">
        <w:rPr>
          <w:rFonts w:ascii="Arial" w:hAnsi="Arial"/>
          <w:sz w:val="22"/>
          <w:szCs w:val="22"/>
        </w:rPr>
        <w:t>line</w:t>
      </w:r>
      <w:r w:rsidR="00F70522">
        <w:rPr>
          <w:rFonts w:ascii="Arial" w:hAnsi="Arial"/>
          <w:sz w:val="22"/>
          <w:szCs w:val="22"/>
        </w:rPr>
        <w:t xml:space="preserve"> </w:t>
      </w:r>
      <w:r w:rsidR="004B227F">
        <w:rPr>
          <w:rFonts w:ascii="Arial" w:hAnsi="Arial"/>
          <w:sz w:val="22"/>
          <w:szCs w:val="22"/>
        </w:rPr>
        <w:t>therapy</w:t>
      </w:r>
      <w:r w:rsidR="008B1600">
        <w:rPr>
          <w:rFonts w:ascii="Arial" w:hAnsi="Arial"/>
          <w:sz w:val="22"/>
          <w:szCs w:val="22"/>
        </w:rPr>
        <w:t>)</w:t>
      </w:r>
      <w:r w:rsidR="00A25C06">
        <w:rPr>
          <w:rFonts w:ascii="Arial" w:hAnsi="Arial"/>
          <w:sz w:val="22"/>
          <w:szCs w:val="22"/>
        </w:rPr>
        <w:t>; 4) indicate anti-EGFR antibody and anti-VEGF antibody cannot be used at the same time.</w:t>
      </w:r>
    </w:p>
    <w:p w:rsidR="00BB7EC3" w:rsidRPr="00573ADB" w:rsidRDefault="00BB7EC3" w:rsidP="00573ADB">
      <w:pPr>
        <w:rPr>
          <w:rFonts w:ascii="Arial" w:hAnsi="Arial"/>
          <w:sz w:val="22"/>
          <w:szCs w:val="22"/>
        </w:rPr>
      </w:pPr>
    </w:p>
    <w:p w:rsidR="00BB7EC3" w:rsidRDefault="00573ADB" w:rsidP="00D479CB">
      <w:pPr>
        <w:pStyle w:val="ListParagraph"/>
        <w:numPr>
          <w:ilvl w:val="1"/>
          <w:numId w:val="25"/>
        </w:numPr>
        <w:jc w:val="both"/>
        <w:rPr>
          <w:rFonts w:ascii="Arial" w:hAnsi="Arial"/>
          <w:sz w:val="22"/>
          <w:szCs w:val="22"/>
        </w:rPr>
      </w:pPr>
      <w:r>
        <w:rPr>
          <w:rFonts w:ascii="Arial" w:hAnsi="Arial"/>
          <w:sz w:val="22"/>
          <w:szCs w:val="22"/>
        </w:rPr>
        <w:t xml:space="preserve">The PBAC considered </w:t>
      </w:r>
      <w:r w:rsidR="001512FE">
        <w:rPr>
          <w:rFonts w:ascii="Arial" w:hAnsi="Arial"/>
          <w:sz w:val="22"/>
          <w:szCs w:val="22"/>
        </w:rPr>
        <w:t xml:space="preserve">that the </w:t>
      </w:r>
      <w:r>
        <w:rPr>
          <w:rFonts w:ascii="Arial" w:hAnsi="Arial"/>
          <w:sz w:val="22"/>
          <w:szCs w:val="22"/>
        </w:rPr>
        <w:t xml:space="preserve">clinical need </w:t>
      </w:r>
      <w:r w:rsidR="001512FE">
        <w:rPr>
          <w:rFonts w:ascii="Arial" w:hAnsi="Arial"/>
          <w:sz w:val="22"/>
          <w:szCs w:val="22"/>
        </w:rPr>
        <w:t>for</w:t>
      </w:r>
      <w:r>
        <w:rPr>
          <w:rFonts w:ascii="Arial" w:hAnsi="Arial"/>
          <w:sz w:val="22"/>
          <w:szCs w:val="22"/>
        </w:rPr>
        <w:t xml:space="preserve"> first</w:t>
      </w:r>
      <w:r w:rsidR="000E6901">
        <w:rPr>
          <w:rFonts w:ascii="Arial" w:hAnsi="Arial"/>
          <w:sz w:val="22"/>
          <w:szCs w:val="22"/>
        </w:rPr>
        <w:t>-</w:t>
      </w:r>
      <w:r>
        <w:rPr>
          <w:rFonts w:ascii="Arial" w:hAnsi="Arial"/>
          <w:sz w:val="22"/>
          <w:szCs w:val="22"/>
        </w:rPr>
        <w:t xml:space="preserve">line cetuximab therapy is low because both bevacizumab and anti-EGFR antibodies (cetuximab and panitumumab) </w:t>
      </w:r>
      <w:r>
        <w:rPr>
          <w:rFonts w:ascii="Arial" w:hAnsi="Arial"/>
          <w:sz w:val="22"/>
          <w:szCs w:val="22"/>
        </w:rPr>
        <w:lastRenderedPageBreak/>
        <w:t xml:space="preserve">are already PBS subsidised. The </w:t>
      </w:r>
      <w:r w:rsidR="0073381B">
        <w:rPr>
          <w:rFonts w:ascii="Arial" w:hAnsi="Arial"/>
          <w:sz w:val="22"/>
          <w:szCs w:val="22"/>
        </w:rPr>
        <w:t xml:space="preserve">current PBS </w:t>
      </w:r>
      <w:r>
        <w:rPr>
          <w:rFonts w:ascii="Arial" w:hAnsi="Arial"/>
          <w:sz w:val="22"/>
          <w:szCs w:val="22"/>
        </w:rPr>
        <w:t>restriction</w:t>
      </w:r>
      <w:r w:rsidR="0073381B">
        <w:rPr>
          <w:rFonts w:ascii="Arial" w:hAnsi="Arial"/>
          <w:sz w:val="22"/>
          <w:szCs w:val="22"/>
        </w:rPr>
        <w:t>s</w:t>
      </w:r>
      <w:r>
        <w:rPr>
          <w:rFonts w:ascii="Arial" w:hAnsi="Arial"/>
          <w:sz w:val="22"/>
          <w:szCs w:val="22"/>
        </w:rPr>
        <w:t xml:space="preserve"> on practice </w:t>
      </w:r>
      <w:r w:rsidR="0073381B">
        <w:rPr>
          <w:rFonts w:ascii="Arial" w:hAnsi="Arial"/>
          <w:sz w:val="22"/>
          <w:szCs w:val="22"/>
        </w:rPr>
        <w:t>are</w:t>
      </w:r>
      <w:r>
        <w:rPr>
          <w:rFonts w:ascii="Arial" w:hAnsi="Arial"/>
          <w:sz w:val="22"/>
          <w:szCs w:val="22"/>
        </w:rPr>
        <w:t xml:space="preserve"> that bevacizumab needs to be used first</w:t>
      </w:r>
      <w:r w:rsidR="00FC349F">
        <w:rPr>
          <w:rFonts w:ascii="Arial" w:hAnsi="Arial"/>
          <w:sz w:val="22"/>
          <w:szCs w:val="22"/>
        </w:rPr>
        <w:t>-</w:t>
      </w:r>
      <w:r>
        <w:rPr>
          <w:rFonts w:ascii="Arial" w:hAnsi="Arial"/>
          <w:sz w:val="22"/>
          <w:szCs w:val="22"/>
        </w:rPr>
        <w:t>line</w:t>
      </w:r>
      <w:r w:rsidR="009F7FC4">
        <w:rPr>
          <w:rFonts w:ascii="Arial" w:hAnsi="Arial"/>
          <w:sz w:val="22"/>
          <w:szCs w:val="22"/>
        </w:rPr>
        <w:t xml:space="preserve"> (</w:t>
      </w:r>
      <w:r>
        <w:rPr>
          <w:rFonts w:ascii="Arial" w:hAnsi="Arial"/>
          <w:sz w:val="22"/>
          <w:szCs w:val="22"/>
        </w:rPr>
        <w:t>i</w:t>
      </w:r>
      <w:r w:rsidR="009F7FC4">
        <w:rPr>
          <w:rFonts w:ascii="Arial" w:hAnsi="Arial"/>
          <w:sz w:val="22"/>
          <w:szCs w:val="22"/>
        </w:rPr>
        <w:t>.</w:t>
      </w:r>
      <w:r>
        <w:rPr>
          <w:rFonts w:ascii="Arial" w:hAnsi="Arial"/>
          <w:sz w:val="22"/>
          <w:szCs w:val="22"/>
        </w:rPr>
        <w:t>e</w:t>
      </w:r>
      <w:r w:rsidR="009F7FC4">
        <w:rPr>
          <w:rFonts w:ascii="Arial" w:hAnsi="Arial"/>
          <w:sz w:val="22"/>
          <w:szCs w:val="22"/>
        </w:rPr>
        <w:t>.</w:t>
      </w:r>
      <w:r>
        <w:rPr>
          <w:rFonts w:ascii="Arial" w:hAnsi="Arial"/>
          <w:sz w:val="22"/>
          <w:szCs w:val="22"/>
        </w:rPr>
        <w:t xml:space="preserve"> before </w:t>
      </w:r>
      <w:r w:rsidR="001512FE">
        <w:rPr>
          <w:rFonts w:ascii="Arial" w:hAnsi="Arial"/>
          <w:sz w:val="22"/>
          <w:szCs w:val="22"/>
        </w:rPr>
        <w:t xml:space="preserve">an </w:t>
      </w:r>
      <w:r>
        <w:rPr>
          <w:rFonts w:ascii="Arial" w:hAnsi="Arial"/>
          <w:sz w:val="22"/>
          <w:szCs w:val="22"/>
        </w:rPr>
        <w:t>anti-EGFR antibod</w:t>
      </w:r>
      <w:r w:rsidR="0073381B">
        <w:rPr>
          <w:rFonts w:ascii="Arial" w:hAnsi="Arial"/>
          <w:sz w:val="22"/>
          <w:szCs w:val="22"/>
        </w:rPr>
        <w:t>y</w:t>
      </w:r>
      <w:r w:rsidR="009F7FC4">
        <w:rPr>
          <w:rFonts w:ascii="Arial" w:hAnsi="Arial"/>
          <w:sz w:val="22"/>
          <w:szCs w:val="22"/>
        </w:rPr>
        <w:t>)</w:t>
      </w:r>
      <w:r w:rsidR="0073381B">
        <w:rPr>
          <w:rFonts w:ascii="Arial" w:hAnsi="Arial"/>
          <w:sz w:val="22"/>
          <w:szCs w:val="22"/>
        </w:rPr>
        <w:t xml:space="preserve">, and </w:t>
      </w:r>
      <w:r w:rsidR="009F7FC4">
        <w:rPr>
          <w:rFonts w:ascii="Arial" w:hAnsi="Arial"/>
          <w:sz w:val="22"/>
          <w:szCs w:val="22"/>
        </w:rPr>
        <w:t>that</w:t>
      </w:r>
      <w:r w:rsidR="0073381B">
        <w:rPr>
          <w:rFonts w:ascii="Arial" w:hAnsi="Arial"/>
          <w:sz w:val="22"/>
          <w:szCs w:val="22"/>
        </w:rPr>
        <w:t xml:space="preserve"> anti-EGFR antibodies need to be used </w:t>
      </w:r>
      <w:r w:rsidR="009F7FC4">
        <w:rPr>
          <w:rFonts w:ascii="Arial" w:hAnsi="Arial"/>
          <w:sz w:val="22"/>
          <w:szCs w:val="22"/>
        </w:rPr>
        <w:t xml:space="preserve">in </w:t>
      </w:r>
      <w:r w:rsidR="0073381B">
        <w:rPr>
          <w:rFonts w:ascii="Arial" w:hAnsi="Arial"/>
          <w:sz w:val="22"/>
          <w:szCs w:val="22"/>
        </w:rPr>
        <w:t>later</w:t>
      </w:r>
      <w:r w:rsidR="009F7FC4">
        <w:rPr>
          <w:rFonts w:ascii="Arial" w:hAnsi="Arial"/>
          <w:sz w:val="22"/>
          <w:szCs w:val="22"/>
        </w:rPr>
        <w:t>-</w:t>
      </w:r>
      <w:r w:rsidR="0073381B">
        <w:rPr>
          <w:rFonts w:ascii="Arial" w:hAnsi="Arial"/>
          <w:sz w:val="22"/>
          <w:szCs w:val="22"/>
        </w:rPr>
        <w:t>line</w:t>
      </w:r>
      <w:r w:rsidR="009F7FC4">
        <w:rPr>
          <w:rFonts w:ascii="Arial" w:hAnsi="Arial"/>
          <w:sz w:val="22"/>
          <w:szCs w:val="22"/>
        </w:rPr>
        <w:t xml:space="preserve"> treatment</w:t>
      </w:r>
      <w:r>
        <w:rPr>
          <w:rFonts w:ascii="Arial" w:hAnsi="Arial"/>
          <w:sz w:val="22"/>
          <w:szCs w:val="22"/>
        </w:rPr>
        <w:t>.</w:t>
      </w:r>
      <w:r w:rsidR="009F7FC4">
        <w:rPr>
          <w:rFonts w:ascii="Arial" w:hAnsi="Arial"/>
          <w:sz w:val="22"/>
          <w:szCs w:val="22"/>
        </w:rPr>
        <w:t xml:space="preserve"> </w:t>
      </w:r>
      <w:r w:rsidR="0021412C">
        <w:rPr>
          <w:rFonts w:ascii="Arial" w:hAnsi="Arial"/>
          <w:sz w:val="22"/>
          <w:szCs w:val="22"/>
        </w:rPr>
        <w:t xml:space="preserve"> Listing of </w:t>
      </w:r>
      <w:r w:rsidR="009F7FC4">
        <w:rPr>
          <w:rFonts w:ascii="Arial" w:hAnsi="Arial"/>
          <w:sz w:val="22"/>
          <w:szCs w:val="22"/>
        </w:rPr>
        <w:t xml:space="preserve">a </w:t>
      </w:r>
      <w:r w:rsidR="0021412C">
        <w:rPr>
          <w:rFonts w:ascii="Arial" w:hAnsi="Arial"/>
          <w:sz w:val="22"/>
          <w:szCs w:val="22"/>
        </w:rPr>
        <w:t>first</w:t>
      </w:r>
      <w:r w:rsidR="000E6901">
        <w:rPr>
          <w:rFonts w:ascii="Arial" w:hAnsi="Arial"/>
          <w:sz w:val="22"/>
          <w:szCs w:val="22"/>
        </w:rPr>
        <w:t>-</w:t>
      </w:r>
      <w:r w:rsidR="0021412C">
        <w:rPr>
          <w:rFonts w:ascii="Arial" w:hAnsi="Arial"/>
          <w:sz w:val="22"/>
          <w:szCs w:val="22"/>
        </w:rPr>
        <w:t>line anti-EGFR antibody (cetuximab) would theoretically increase choice in terms of first</w:t>
      </w:r>
      <w:r w:rsidR="000E6901">
        <w:rPr>
          <w:rFonts w:ascii="Arial" w:hAnsi="Arial"/>
          <w:sz w:val="22"/>
          <w:szCs w:val="22"/>
        </w:rPr>
        <w:t>-</w:t>
      </w:r>
      <w:r w:rsidR="0021412C">
        <w:rPr>
          <w:rFonts w:ascii="Arial" w:hAnsi="Arial"/>
          <w:sz w:val="22"/>
          <w:szCs w:val="22"/>
        </w:rPr>
        <w:t>line treatment</w:t>
      </w:r>
      <w:r w:rsidR="00FC349F">
        <w:rPr>
          <w:rFonts w:ascii="Arial" w:hAnsi="Arial"/>
          <w:sz w:val="22"/>
          <w:szCs w:val="22"/>
        </w:rPr>
        <w:t>,</w:t>
      </w:r>
      <w:r w:rsidR="0021412C">
        <w:rPr>
          <w:rFonts w:ascii="Arial" w:hAnsi="Arial"/>
          <w:sz w:val="22"/>
          <w:szCs w:val="22"/>
        </w:rPr>
        <w:t xml:space="preserve"> but overall would reduce options for patients receiving first</w:t>
      </w:r>
      <w:r w:rsidR="000E6901">
        <w:rPr>
          <w:rFonts w:ascii="Arial" w:hAnsi="Arial"/>
          <w:sz w:val="22"/>
          <w:szCs w:val="22"/>
        </w:rPr>
        <w:t>-</w:t>
      </w:r>
      <w:r w:rsidR="0021412C">
        <w:rPr>
          <w:rFonts w:ascii="Arial" w:hAnsi="Arial"/>
          <w:sz w:val="22"/>
          <w:szCs w:val="22"/>
        </w:rPr>
        <w:t xml:space="preserve">line cetuximab as </w:t>
      </w:r>
      <w:r w:rsidR="009F7FC4">
        <w:rPr>
          <w:rFonts w:ascii="Arial" w:hAnsi="Arial"/>
          <w:sz w:val="22"/>
          <w:szCs w:val="22"/>
        </w:rPr>
        <w:t xml:space="preserve">bevacizumab is not currently PBS listed for second-line treatment and patients </w:t>
      </w:r>
      <w:r w:rsidR="0021412C">
        <w:rPr>
          <w:rFonts w:ascii="Arial" w:hAnsi="Arial"/>
          <w:sz w:val="22"/>
          <w:szCs w:val="22"/>
        </w:rPr>
        <w:t xml:space="preserve">would </w:t>
      </w:r>
      <w:r w:rsidR="009F7FC4">
        <w:rPr>
          <w:rFonts w:ascii="Arial" w:hAnsi="Arial"/>
          <w:sz w:val="22"/>
          <w:szCs w:val="22"/>
        </w:rPr>
        <w:t xml:space="preserve">therefore </w:t>
      </w:r>
      <w:r w:rsidR="0021412C">
        <w:rPr>
          <w:rFonts w:ascii="Arial" w:hAnsi="Arial"/>
          <w:sz w:val="22"/>
          <w:szCs w:val="22"/>
        </w:rPr>
        <w:t>not be eligible for bevacizumab. Therefore, second</w:t>
      </w:r>
      <w:r w:rsidR="000E6901">
        <w:rPr>
          <w:rFonts w:ascii="Arial" w:hAnsi="Arial"/>
          <w:sz w:val="22"/>
          <w:szCs w:val="22"/>
        </w:rPr>
        <w:t>-</w:t>
      </w:r>
      <w:r w:rsidR="0021412C">
        <w:rPr>
          <w:rFonts w:ascii="Arial" w:hAnsi="Arial"/>
          <w:sz w:val="22"/>
          <w:szCs w:val="22"/>
        </w:rPr>
        <w:t>line therapy of bevacizumab w</w:t>
      </w:r>
      <w:r w:rsidR="00FC349F">
        <w:rPr>
          <w:rFonts w:ascii="Arial" w:hAnsi="Arial"/>
          <w:sz w:val="22"/>
          <w:szCs w:val="22"/>
        </w:rPr>
        <w:t>ould</w:t>
      </w:r>
      <w:r w:rsidR="0021412C">
        <w:rPr>
          <w:rFonts w:ascii="Arial" w:hAnsi="Arial"/>
          <w:sz w:val="22"/>
          <w:szCs w:val="22"/>
        </w:rPr>
        <w:t xml:space="preserve"> need to be available for </w:t>
      </w:r>
      <w:r w:rsidR="00560206">
        <w:rPr>
          <w:rFonts w:ascii="Arial" w:hAnsi="Arial"/>
          <w:sz w:val="22"/>
          <w:szCs w:val="22"/>
        </w:rPr>
        <w:t>patients with a RAS wild type status who have failed first</w:t>
      </w:r>
      <w:r w:rsidR="000E6901">
        <w:rPr>
          <w:rFonts w:ascii="Arial" w:hAnsi="Arial"/>
          <w:sz w:val="22"/>
          <w:szCs w:val="22"/>
        </w:rPr>
        <w:t>-</w:t>
      </w:r>
      <w:r w:rsidR="00560206">
        <w:rPr>
          <w:rFonts w:ascii="Arial" w:hAnsi="Arial"/>
          <w:sz w:val="22"/>
          <w:szCs w:val="22"/>
        </w:rPr>
        <w:t>line treatment of cetuximab.</w:t>
      </w:r>
    </w:p>
    <w:p w:rsidR="00F70522" w:rsidRPr="00F70522" w:rsidRDefault="00F70522" w:rsidP="00F70522">
      <w:pPr>
        <w:jc w:val="both"/>
        <w:rPr>
          <w:rFonts w:ascii="Arial" w:hAnsi="Arial"/>
          <w:sz w:val="22"/>
          <w:szCs w:val="22"/>
        </w:rPr>
      </w:pPr>
    </w:p>
    <w:p w:rsidR="00F70522" w:rsidRDefault="00F70522" w:rsidP="00D479CB">
      <w:pPr>
        <w:pStyle w:val="ListParagraph"/>
        <w:numPr>
          <w:ilvl w:val="1"/>
          <w:numId w:val="25"/>
        </w:numPr>
        <w:jc w:val="both"/>
        <w:rPr>
          <w:rFonts w:ascii="Arial" w:hAnsi="Arial"/>
          <w:sz w:val="22"/>
          <w:szCs w:val="22"/>
        </w:rPr>
      </w:pPr>
      <w:r>
        <w:rPr>
          <w:rFonts w:ascii="Arial" w:hAnsi="Arial"/>
          <w:sz w:val="22"/>
          <w:szCs w:val="22"/>
        </w:rPr>
        <w:t xml:space="preserve">The PBAC noted that, in the FIRE3 </w:t>
      </w:r>
      <w:r w:rsidRPr="00880058">
        <w:rPr>
          <w:rFonts w:ascii="Arial" w:hAnsi="Arial"/>
          <w:sz w:val="22"/>
          <w:szCs w:val="22"/>
        </w:rPr>
        <w:t>trial</w:t>
      </w:r>
      <w:r>
        <w:rPr>
          <w:rFonts w:ascii="Arial" w:hAnsi="Arial"/>
          <w:sz w:val="22"/>
          <w:szCs w:val="22"/>
        </w:rPr>
        <w:t xml:space="preserve">, </w:t>
      </w:r>
      <w:r w:rsidRPr="00880058">
        <w:rPr>
          <w:rFonts w:ascii="Arial" w:hAnsi="Arial"/>
          <w:iCs/>
          <w:sz w:val="22"/>
          <w:szCs w:val="22"/>
        </w:rPr>
        <w:t xml:space="preserve">40% of patients in the bevacizumab + FOLFIRI arm (RAS WT subgroup) received an </w:t>
      </w:r>
      <w:r>
        <w:rPr>
          <w:rFonts w:ascii="Arial" w:hAnsi="Arial"/>
          <w:iCs/>
          <w:sz w:val="22"/>
          <w:szCs w:val="22"/>
        </w:rPr>
        <w:t>anti-</w:t>
      </w:r>
      <w:r w:rsidRPr="00880058">
        <w:rPr>
          <w:rFonts w:ascii="Arial" w:hAnsi="Arial"/>
          <w:iCs/>
          <w:sz w:val="22"/>
          <w:szCs w:val="22"/>
        </w:rPr>
        <w:t xml:space="preserve">EGFR </w:t>
      </w:r>
      <w:r>
        <w:rPr>
          <w:rFonts w:ascii="Arial" w:hAnsi="Arial"/>
          <w:iCs/>
          <w:sz w:val="22"/>
          <w:szCs w:val="22"/>
        </w:rPr>
        <w:t xml:space="preserve">antibody </w:t>
      </w:r>
      <w:r w:rsidRPr="00880058">
        <w:rPr>
          <w:rFonts w:ascii="Arial" w:hAnsi="Arial"/>
          <w:iCs/>
          <w:sz w:val="22"/>
          <w:szCs w:val="22"/>
        </w:rPr>
        <w:t>(panitumumab or cetuximab) as post-progression therapy. This option reflects the current PBS listings of these medicines. However, 44% of patients in the cetuximab + FOLFIRI arm received bevacizu</w:t>
      </w:r>
      <w:r>
        <w:rPr>
          <w:rFonts w:ascii="Arial" w:hAnsi="Arial"/>
          <w:iCs/>
          <w:sz w:val="22"/>
          <w:szCs w:val="22"/>
        </w:rPr>
        <w:t>mab as post-progression therapy,</w:t>
      </w:r>
      <w:r w:rsidRPr="00880058">
        <w:rPr>
          <w:rFonts w:ascii="Arial" w:hAnsi="Arial"/>
          <w:iCs/>
          <w:sz w:val="22"/>
          <w:szCs w:val="22"/>
        </w:rPr>
        <w:t xml:space="preserve"> which is not allowed using</w:t>
      </w:r>
      <w:r>
        <w:rPr>
          <w:rFonts w:ascii="Arial" w:hAnsi="Arial"/>
          <w:iCs/>
          <w:sz w:val="22"/>
          <w:szCs w:val="22"/>
        </w:rPr>
        <w:t xml:space="preserve"> the current PBS listing of bevacizumab</w:t>
      </w:r>
      <w:r>
        <w:rPr>
          <w:rFonts w:ascii="Arial" w:hAnsi="Arial"/>
          <w:sz w:val="22"/>
          <w:szCs w:val="22"/>
        </w:rPr>
        <w:t>. The PBAC considered that, as reflected in FIRE3, it is a standard practice to cross over use of an anti-EGFR antibody (cetuximab or panitumumab) and an anti-VEGF antibody (bevacizumab) at disease progression.</w:t>
      </w:r>
    </w:p>
    <w:p w:rsidR="00F70522" w:rsidRPr="007D2672" w:rsidRDefault="00F70522" w:rsidP="00F70522">
      <w:pPr>
        <w:rPr>
          <w:rFonts w:ascii="Arial" w:hAnsi="Arial"/>
          <w:sz w:val="22"/>
          <w:szCs w:val="22"/>
        </w:rPr>
      </w:pPr>
    </w:p>
    <w:p w:rsidR="008B1600" w:rsidRDefault="008B1600" w:rsidP="00D479CB">
      <w:pPr>
        <w:pStyle w:val="ListParagraph"/>
        <w:numPr>
          <w:ilvl w:val="1"/>
          <w:numId w:val="25"/>
        </w:numPr>
        <w:jc w:val="both"/>
        <w:rPr>
          <w:rFonts w:ascii="Arial" w:hAnsi="Arial"/>
          <w:sz w:val="22"/>
          <w:szCs w:val="22"/>
        </w:rPr>
      </w:pPr>
      <w:r>
        <w:rPr>
          <w:rFonts w:ascii="Arial" w:hAnsi="Arial"/>
          <w:sz w:val="22"/>
          <w:szCs w:val="22"/>
        </w:rPr>
        <w:t>As a consequence, the PBAC also signalled its intention to recommend that the restriction for bevacizumab in mCRC also be amended to allow its subsidised use after cetuximab</w:t>
      </w:r>
      <w:r w:rsidR="00F70522">
        <w:rPr>
          <w:rFonts w:ascii="Arial" w:hAnsi="Arial"/>
          <w:sz w:val="22"/>
          <w:szCs w:val="22"/>
        </w:rPr>
        <w:t xml:space="preserve"> in RAS WT mCRC</w:t>
      </w:r>
      <w:r>
        <w:rPr>
          <w:rFonts w:ascii="Arial" w:hAnsi="Arial"/>
          <w:sz w:val="22"/>
          <w:szCs w:val="22"/>
        </w:rPr>
        <w:t xml:space="preserve">. In this regard, the foreshadowed restriction would 1) include a note stating “Patient must not switch chemotherapy partners whilst maintaining </w:t>
      </w:r>
      <w:r w:rsidR="00D83162">
        <w:rPr>
          <w:rFonts w:ascii="Arial" w:hAnsi="Arial"/>
          <w:sz w:val="22"/>
          <w:szCs w:val="22"/>
        </w:rPr>
        <w:t xml:space="preserve">a </w:t>
      </w:r>
      <w:r>
        <w:rPr>
          <w:rFonts w:ascii="Arial" w:hAnsi="Arial"/>
          <w:sz w:val="22"/>
          <w:szCs w:val="22"/>
        </w:rPr>
        <w:t xml:space="preserve">bevacizumab backbone in the face of progressive disease” in order to help prevent bevacizumab being used beyond disease progression; 2) retain WHO performance status to be 1 or less; 3) limit use to a course of bevacizumab </w:t>
      </w:r>
      <w:r w:rsidR="004634F9">
        <w:rPr>
          <w:rFonts w:ascii="Arial" w:hAnsi="Arial"/>
          <w:sz w:val="22"/>
          <w:szCs w:val="22"/>
        </w:rPr>
        <w:t xml:space="preserve">for mCRC </w:t>
      </w:r>
      <w:r>
        <w:rPr>
          <w:rFonts w:ascii="Arial" w:hAnsi="Arial"/>
          <w:sz w:val="22"/>
          <w:szCs w:val="22"/>
        </w:rPr>
        <w:t>once in a life time; 4) indicate anti-EGFR antibody and anti-VEGF antibody cannot be used at the same time.</w:t>
      </w:r>
      <w:r w:rsidR="00C306B1">
        <w:rPr>
          <w:rFonts w:ascii="Arial" w:hAnsi="Arial"/>
          <w:sz w:val="22"/>
          <w:szCs w:val="22"/>
        </w:rPr>
        <w:t xml:space="preserve"> The PBAC also signalled that it would not support subsidising any increased bevacizumab dose in second-line compared to first-line therapy.</w:t>
      </w:r>
    </w:p>
    <w:p w:rsidR="00BB7EC3" w:rsidRPr="007D2672" w:rsidRDefault="00BB7EC3" w:rsidP="007D2672">
      <w:pPr>
        <w:rPr>
          <w:rFonts w:ascii="Arial" w:hAnsi="Arial"/>
          <w:sz w:val="22"/>
          <w:szCs w:val="22"/>
        </w:rPr>
      </w:pPr>
    </w:p>
    <w:p w:rsidR="00BB7EC3" w:rsidRDefault="00560206" w:rsidP="00D479CB">
      <w:pPr>
        <w:pStyle w:val="ListParagraph"/>
        <w:numPr>
          <w:ilvl w:val="1"/>
          <w:numId w:val="25"/>
        </w:numPr>
        <w:jc w:val="both"/>
        <w:rPr>
          <w:rFonts w:ascii="Arial" w:hAnsi="Arial"/>
          <w:sz w:val="22"/>
          <w:szCs w:val="22"/>
        </w:rPr>
      </w:pPr>
      <w:r>
        <w:rPr>
          <w:rFonts w:ascii="Arial" w:hAnsi="Arial"/>
          <w:sz w:val="22"/>
          <w:szCs w:val="22"/>
        </w:rPr>
        <w:t xml:space="preserve">The PBAC agreed </w:t>
      </w:r>
      <w:r w:rsidR="007D2672">
        <w:rPr>
          <w:rFonts w:ascii="Arial" w:hAnsi="Arial"/>
          <w:sz w:val="22"/>
          <w:szCs w:val="22"/>
        </w:rPr>
        <w:t xml:space="preserve">that </w:t>
      </w:r>
      <w:r>
        <w:rPr>
          <w:rFonts w:ascii="Arial" w:hAnsi="Arial"/>
          <w:sz w:val="22"/>
          <w:szCs w:val="22"/>
        </w:rPr>
        <w:t>bevacizumab is an appropriate comparator.</w:t>
      </w:r>
    </w:p>
    <w:p w:rsidR="00BB7EC3" w:rsidRPr="007D2672" w:rsidRDefault="00BB7EC3" w:rsidP="007D2672">
      <w:pPr>
        <w:rPr>
          <w:rFonts w:ascii="Arial" w:hAnsi="Arial"/>
          <w:sz w:val="22"/>
          <w:szCs w:val="22"/>
        </w:rPr>
      </w:pPr>
    </w:p>
    <w:p w:rsidR="00BB7EC3" w:rsidRDefault="005C5697" w:rsidP="00D479CB">
      <w:pPr>
        <w:pStyle w:val="ListParagraph"/>
        <w:numPr>
          <w:ilvl w:val="1"/>
          <w:numId w:val="25"/>
        </w:numPr>
        <w:jc w:val="both"/>
        <w:rPr>
          <w:rFonts w:ascii="Arial" w:hAnsi="Arial"/>
          <w:sz w:val="22"/>
          <w:szCs w:val="22"/>
        </w:rPr>
      </w:pPr>
      <w:r>
        <w:rPr>
          <w:rFonts w:ascii="Arial" w:hAnsi="Arial"/>
          <w:sz w:val="22"/>
          <w:szCs w:val="22"/>
        </w:rPr>
        <w:t xml:space="preserve">The </w:t>
      </w:r>
      <w:r w:rsidR="00C06316">
        <w:rPr>
          <w:rFonts w:ascii="Arial" w:hAnsi="Arial"/>
          <w:sz w:val="22"/>
          <w:szCs w:val="22"/>
        </w:rPr>
        <w:t>PBAC agreed</w:t>
      </w:r>
      <w:r>
        <w:rPr>
          <w:rFonts w:ascii="Arial" w:hAnsi="Arial"/>
          <w:sz w:val="22"/>
          <w:szCs w:val="22"/>
        </w:rPr>
        <w:t xml:space="preserve"> </w:t>
      </w:r>
      <w:r w:rsidR="00CE72C8">
        <w:rPr>
          <w:rFonts w:ascii="Arial" w:hAnsi="Arial"/>
          <w:sz w:val="22"/>
          <w:szCs w:val="22"/>
        </w:rPr>
        <w:t xml:space="preserve">that </w:t>
      </w:r>
      <w:r w:rsidR="00C06316">
        <w:rPr>
          <w:rFonts w:ascii="Arial" w:hAnsi="Arial"/>
          <w:sz w:val="22"/>
          <w:szCs w:val="22"/>
        </w:rPr>
        <w:t>cetuximab with FOLFIRI or FOLFOX is non-inferior in eff</w:t>
      </w:r>
      <w:r w:rsidR="007D2672">
        <w:rPr>
          <w:rFonts w:ascii="Arial" w:hAnsi="Arial"/>
          <w:sz w:val="22"/>
          <w:szCs w:val="22"/>
        </w:rPr>
        <w:t>ectiveness</w:t>
      </w:r>
      <w:r w:rsidR="00C06316">
        <w:rPr>
          <w:rFonts w:ascii="Arial" w:hAnsi="Arial"/>
          <w:sz w:val="22"/>
          <w:szCs w:val="22"/>
        </w:rPr>
        <w:t xml:space="preserve"> in first</w:t>
      </w:r>
      <w:r w:rsidR="000E6901">
        <w:rPr>
          <w:rFonts w:ascii="Arial" w:hAnsi="Arial"/>
          <w:sz w:val="22"/>
          <w:szCs w:val="22"/>
        </w:rPr>
        <w:t>-</w:t>
      </w:r>
      <w:r w:rsidR="00C06316">
        <w:rPr>
          <w:rFonts w:ascii="Arial" w:hAnsi="Arial"/>
          <w:sz w:val="22"/>
          <w:szCs w:val="22"/>
        </w:rPr>
        <w:t>line treatment of metastatic colorectal cancer compared with beva</w:t>
      </w:r>
      <w:r w:rsidR="007D2672">
        <w:rPr>
          <w:rFonts w:ascii="Arial" w:hAnsi="Arial"/>
          <w:sz w:val="22"/>
          <w:szCs w:val="22"/>
        </w:rPr>
        <w:t>c</w:t>
      </w:r>
      <w:r w:rsidR="00C06316">
        <w:rPr>
          <w:rFonts w:ascii="Arial" w:hAnsi="Arial"/>
          <w:sz w:val="22"/>
          <w:szCs w:val="22"/>
        </w:rPr>
        <w:t>izumab with FOLFIRI or FOLFOX</w:t>
      </w:r>
      <w:r w:rsidR="007D2672">
        <w:rPr>
          <w:rFonts w:ascii="Arial" w:hAnsi="Arial"/>
          <w:sz w:val="22"/>
          <w:szCs w:val="22"/>
        </w:rPr>
        <w:t>,</w:t>
      </w:r>
      <w:r w:rsidR="00C06316">
        <w:rPr>
          <w:rFonts w:ascii="Arial" w:hAnsi="Arial"/>
          <w:sz w:val="22"/>
          <w:szCs w:val="22"/>
        </w:rPr>
        <w:t xml:space="preserve"> noting </w:t>
      </w:r>
      <w:r w:rsidR="007D2672">
        <w:rPr>
          <w:rFonts w:ascii="Arial" w:hAnsi="Arial"/>
          <w:sz w:val="22"/>
          <w:szCs w:val="22"/>
        </w:rPr>
        <w:t xml:space="preserve">also </w:t>
      </w:r>
      <w:r w:rsidR="00C06316">
        <w:rPr>
          <w:rFonts w:ascii="Arial" w:hAnsi="Arial"/>
          <w:sz w:val="22"/>
          <w:szCs w:val="22"/>
        </w:rPr>
        <w:t>that cetuximab and beva</w:t>
      </w:r>
      <w:r w:rsidR="007D2672">
        <w:rPr>
          <w:rFonts w:ascii="Arial" w:hAnsi="Arial"/>
          <w:sz w:val="22"/>
          <w:szCs w:val="22"/>
        </w:rPr>
        <w:t>c</w:t>
      </w:r>
      <w:r w:rsidR="00C06316">
        <w:rPr>
          <w:rFonts w:ascii="Arial" w:hAnsi="Arial"/>
          <w:sz w:val="22"/>
          <w:szCs w:val="22"/>
        </w:rPr>
        <w:t>izumab have different safety profiles.</w:t>
      </w:r>
    </w:p>
    <w:p w:rsidR="00BB7EC3" w:rsidRPr="00C06316" w:rsidRDefault="00BB7EC3" w:rsidP="00C06316">
      <w:pPr>
        <w:rPr>
          <w:rFonts w:ascii="Arial" w:hAnsi="Arial"/>
          <w:sz w:val="22"/>
          <w:szCs w:val="22"/>
        </w:rPr>
      </w:pPr>
    </w:p>
    <w:p w:rsidR="00BB7EC3" w:rsidRDefault="00BF3102" w:rsidP="00D479CB">
      <w:pPr>
        <w:pStyle w:val="ListParagraph"/>
        <w:numPr>
          <w:ilvl w:val="1"/>
          <w:numId w:val="25"/>
        </w:numPr>
        <w:jc w:val="both"/>
        <w:rPr>
          <w:rFonts w:ascii="Arial" w:hAnsi="Arial"/>
          <w:sz w:val="22"/>
          <w:szCs w:val="22"/>
        </w:rPr>
      </w:pPr>
      <w:r>
        <w:rPr>
          <w:rFonts w:ascii="Arial" w:hAnsi="Arial"/>
          <w:sz w:val="22"/>
          <w:szCs w:val="22"/>
          <w:lang w:val="en-US"/>
        </w:rPr>
        <w:t>The PBAC agreed with the ESC that the cost</w:t>
      </w:r>
      <w:r w:rsidR="00A1420E">
        <w:rPr>
          <w:rFonts w:ascii="Arial" w:hAnsi="Arial"/>
          <w:sz w:val="22"/>
          <w:szCs w:val="22"/>
          <w:lang w:val="en-US"/>
        </w:rPr>
        <w:t>-</w:t>
      </w:r>
      <w:r>
        <w:rPr>
          <w:rFonts w:ascii="Arial" w:hAnsi="Arial"/>
          <w:sz w:val="22"/>
          <w:szCs w:val="22"/>
          <w:lang w:val="en-US"/>
        </w:rPr>
        <w:t>minimi</w:t>
      </w:r>
      <w:r w:rsidR="00A1420E">
        <w:rPr>
          <w:rFonts w:ascii="Arial" w:hAnsi="Arial"/>
          <w:sz w:val="22"/>
          <w:szCs w:val="22"/>
          <w:lang w:val="en-US"/>
        </w:rPr>
        <w:t>s</w:t>
      </w:r>
      <w:r>
        <w:rPr>
          <w:rFonts w:ascii="Arial" w:hAnsi="Arial"/>
          <w:sz w:val="22"/>
          <w:szCs w:val="22"/>
          <w:lang w:val="en-US"/>
        </w:rPr>
        <w:t>ation analysis should use only costing of first-line treatments and should not include cost</w:t>
      </w:r>
      <w:r w:rsidR="007D2672">
        <w:rPr>
          <w:rFonts w:ascii="Arial" w:hAnsi="Arial"/>
          <w:sz w:val="22"/>
          <w:szCs w:val="22"/>
          <w:lang w:val="en-US"/>
        </w:rPr>
        <w:t>-</w:t>
      </w:r>
      <w:r>
        <w:rPr>
          <w:rFonts w:ascii="Arial" w:hAnsi="Arial"/>
          <w:sz w:val="22"/>
          <w:szCs w:val="22"/>
          <w:lang w:val="en-US"/>
        </w:rPr>
        <w:t>offset</w:t>
      </w:r>
      <w:r w:rsidR="007D2672">
        <w:rPr>
          <w:rFonts w:ascii="Arial" w:hAnsi="Arial"/>
          <w:sz w:val="22"/>
          <w:szCs w:val="22"/>
          <w:lang w:val="en-US"/>
        </w:rPr>
        <w:t>s</w:t>
      </w:r>
      <w:r>
        <w:rPr>
          <w:rFonts w:ascii="Arial" w:hAnsi="Arial"/>
          <w:sz w:val="22"/>
          <w:szCs w:val="22"/>
          <w:lang w:val="en-US"/>
        </w:rPr>
        <w:t xml:space="preserve"> of avoided second-line cetuximab</w:t>
      </w:r>
      <w:r>
        <w:rPr>
          <w:rFonts w:ascii="Arial" w:hAnsi="Arial"/>
          <w:sz w:val="22"/>
          <w:szCs w:val="22"/>
        </w:rPr>
        <w:t xml:space="preserve"> because both cetuximab and bevacizumab were </w:t>
      </w:r>
      <w:r w:rsidR="00195639">
        <w:rPr>
          <w:rFonts w:ascii="Arial" w:hAnsi="Arial"/>
          <w:sz w:val="22"/>
          <w:szCs w:val="22"/>
        </w:rPr>
        <w:t>cross</w:t>
      </w:r>
      <w:r w:rsidR="007D2672">
        <w:rPr>
          <w:rFonts w:ascii="Arial" w:hAnsi="Arial"/>
          <w:sz w:val="22"/>
          <w:szCs w:val="22"/>
        </w:rPr>
        <w:t>ed</w:t>
      </w:r>
      <w:r w:rsidR="00195639">
        <w:rPr>
          <w:rFonts w:ascii="Arial" w:hAnsi="Arial"/>
          <w:sz w:val="22"/>
          <w:szCs w:val="22"/>
        </w:rPr>
        <w:t xml:space="preserve"> over </w:t>
      </w:r>
      <w:r w:rsidR="00CE72C8">
        <w:rPr>
          <w:rFonts w:ascii="Arial" w:hAnsi="Arial"/>
          <w:sz w:val="22"/>
          <w:szCs w:val="22"/>
        </w:rPr>
        <w:t xml:space="preserve">at disease progression </w:t>
      </w:r>
      <w:r w:rsidR="007D2672">
        <w:rPr>
          <w:rFonts w:ascii="Arial" w:hAnsi="Arial"/>
          <w:sz w:val="22"/>
          <w:szCs w:val="22"/>
        </w:rPr>
        <w:t>in</w:t>
      </w:r>
      <w:r w:rsidR="00195639">
        <w:rPr>
          <w:rFonts w:ascii="Arial" w:hAnsi="Arial"/>
          <w:sz w:val="22"/>
          <w:szCs w:val="22"/>
        </w:rPr>
        <w:t xml:space="preserve"> both arms </w:t>
      </w:r>
      <w:r w:rsidR="00CE72C8">
        <w:rPr>
          <w:rFonts w:ascii="Arial" w:hAnsi="Arial"/>
          <w:sz w:val="22"/>
          <w:szCs w:val="22"/>
        </w:rPr>
        <w:t>of</w:t>
      </w:r>
      <w:r w:rsidR="00195639">
        <w:rPr>
          <w:rFonts w:ascii="Arial" w:hAnsi="Arial"/>
          <w:sz w:val="22"/>
          <w:szCs w:val="22"/>
        </w:rPr>
        <w:t xml:space="preserve"> the FIRE 3 trial.</w:t>
      </w:r>
    </w:p>
    <w:p w:rsidR="00BB7EC3" w:rsidRPr="007D2672" w:rsidRDefault="00BB7EC3" w:rsidP="007D2672">
      <w:pPr>
        <w:rPr>
          <w:rFonts w:ascii="Arial" w:hAnsi="Arial"/>
          <w:sz w:val="22"/>
          <w:szCs w:val="22"/>
        </w:rPr>
      </w:pPr>
    </w:p>
    <w:p w:rsidR="00BB7EC3" w:rsidRDefault="006178FA" w:rsidP="00D479CB">
      <w:pPr>
        <w:pStyle w:val="ListParagraph"/>
        <w:numPr>
          <w:ilvl w:val="1"/>
          <w:numId w:val="25"/>
        </w:numPr>
        <w:jc w:val="both"/>
        <w:rPr>
          <w:rFonts w:ascii="Arial" w:hAnsi="Arial"/>
          <w:sz w:val="22"/>
          <w:szCs w:val="22"/>
        </w:rPr>
      </w:pPr>
      <w:r>
        <w:rPr>
          <w:rFonts w:ascii="Arial" w:hAnsi="Arial"/>
          <w:sz w:val="22"/>
          <w:szCs w:val="22"/>
        </w:rPr>
        <w:t>The PBAC agreed with the ESC that</w:t>
      </w:r>
      <w:r w:rsidR="000C33EA">
        <w:rPr>
          <w:rFonts w:ascii="Arial" w:hAnsi="Arial"/>
          <w:sz w:val="22"/>
          <w:szCs w:val="22"/>
        </w:rPr>
        <w:t xml:space="preserve"> the cost to Government may be underestimated due to the underestimate of infusion costs</w:t>
      </w:r>
      <w:r w:rsidR="002E07CB">
        <w:rPr>
          <w:rFonts w:ascii="Arial" w:hAnsi="Arial"/>
          <w:sz w:val="22"/>
          <w:szCs w:val="22"/>
        </w:rPr>
        <w:t xml:space="preserve"> and overestimate of </w:t>
      </w:r>
      <w:r w:rsidR="002E07CB" w:rsidRPr="007C728B">
        <w:rPr>
          <w:rFonts w:ascii="Arial" w:hAnsi="Arial"/>
          <w:sz w:val="22"/>
          <w:szCs w:val="22"/>
        </w:rPr>
        <w:t>the proportion of patients receiving second-line cetuximab and the duration of therapy with second-line cetuximab</w:t>
      </w:r>
      <w:r w:rsidR="00BB7EC3" w:rsidRPr="00882085">
        <w:rPr>
          <w:rFonts w:ascii="Arial" w:hAnsi="Arial"/>
          <w:sz w:val="22"/>
          <w:szCs w:val="22"/>
        </w:rPr>
        <w:t>.</w:t>
      </w:r>
    </w:p>
    <w:p w:rsidR="009C703C" w:rsidRPr="002E07CB" w:rsidRDefault="009C703C" w:rsidP="002E07CB">
      <w:pPr>
        <w:jc w:val="both"/>
        <w:rPr>
          <w:rFonts w:ascii="Arial" w:hAnsi="Arial"/>
          <w:sz w:val="22"/>
          <w:szCs w:val="22"/>
        </w:rPr>
      </w:pPr>
    </w:p>
    <w:p w:rsidR="00BB7EC3" w:rsidRDefault="00BB7EC3" w:rsidP="00D479CB">
      <w:pPr>
        <w:pStyle w:val="ListParagraph"/>
        <w:numPr>
          <w:ilvl w:val="1"/>
          <w:numId w:val="25"/>
        </w:numPr>
        <w:jc w:val="both"/>
        <w:rPr>
          <w:rFonts w:ascii="Arial" w:hAnsi="Arial"/>
          <w:sz w:val="22"/>
          <w:szCs w:val="22"/>
        </w:rPr>
      </w:pPr>
      <w:r>
        <w:rPr>
          <w:rFonts w:ascii="Arial" w:hAnsi="Arial"/>
          <w:sz w:val="22"/>
          <w:szCs w:val="22"/>
        </w:rPr>
        <w:t xml:space="preserve">The PBAC recommended that </w:t>
      </w:r>
      <w:r w:rsidR="00173C8B" w:rsidRPr="00173C8B">
        <w:rPr>
          <w:rFonts w:ascii="Arial" w:hAnsi="Arial"/>
          <w:sz w:val="22"/>
          <w:szCs w:val="22"/>
        </w:rPr>
        <w:t xml:space="preserve">cetuximab </w:t>
      </w:r>
      <w:r>
        <w:rPr>
          <w:rFonts w:ascii="Arial" w:hAnsi="Arial"/>
          <w:sz w:val="22"/>
          <w:szCs w:val="22"/>
        </w:rPr>
        <w:t>should not be treated as interchangeable</w:t>
      </w:r>
      <w:r w:rsidR="00173C8B">
        <w:rPr>
          <w:rFonts w:ascii="Arial" w:hAnsi="Arial"/>
          <w:sz w:val="22"/>
          <w:szCs w:val="22"/>
        </w:rPr>
        <w:t xml:space="preserve"> with any other drugs</w:t>
      </w:r>
      <w:r>
        <w:rPr>
          <w:rFonts w:ascii="Arial" w:hAnsi="Arial"/>
          <w:sz w:val="22"/>
          <w:szCs w:val="22"/>
        </w:rPr>
        <w:t>.</w:t>
      </w:r>
    </w:p>
    <w:p w:rsidR="00BB7EC3" w:rsidRPr="00BB7EC3" w:rsidRDefault="00BB7EC3" w:rsidP="00BB7EC3">
      <w:pPr>
        <w:jc w:val="both"/>
        <w:rPr>
          <w:rFonts w:ascii="Arial" w:hAnsi="Arial"/>
          <w:sz w:val="22"/>
          <w:szCs w:val="22"/>
        </w:rPr>
      </w:pPr>
    </w:p>
    <w:p w:rsidR="00BB7EC3" w:rsidRDefault="00173C8B" w:rsidP="00D479CB">
      <w:pPr>
        <w:pStyle w:val="ListParagraph"/>
        <w:numPr>
          <w:ilvl w:val="1"/>
          <w:numId w:val="25"/>
        </w:numPr>
        <w:jc w:val="both"/>
        <w:rPr>
          <w:rFonts w:ascii="Arial" w:hAnsi="Arial"/>
          <w:sz w:val="22"/>
          <w:szCs w:val="22"/>
        </w:rPr>
      </w:pPr>
      <w:r>
        <w:rPr>
          <w:rFonts w:ascii="Arial" w:hAnsi="Arial"/>
          <w:sz w:val="22"/>
          <w:szCs w:val="22"/>
        </w:rPr>
        <w:lastRenderedPageBreak/>
        <w:t xml:space="preserve">The PBAC advised that cetuximab is </w:t>
      </w:r>
      <w:r w:rsidR="00BB7EC3">
        <w:rPr>
          <w:rFonts w:ascii="Arial" w:hAnsi="Arial"/>
          <w:sz w:val="22"/>
          <w:szCs w:val="22"/>
        </w:rPr>
        <w:t xml:space="preserve">not suitable for prescribing by </w:t>
      </w:r>
      <w:r w:rsidR="00B43E90" w:rsidRPr="00882085">
        <w:rPr>
          <w:rFonts w:ascii="Arial" w:hAnsi="Arial"/>
          <w:sz w:val="22"/>
          <w:szCs w:val="22"/>
        </w:rPr>
        <w:t>nurse practitioner</w:t>
      </w:r>
      <w:r w:rsidR="007D2672">
        <w:rPr>
          <w:rFonts w:ascii="Arial" w:hAnsi="Arial"/>
          <w:sz w:val="22"/>
          <w:szCs w:val="22"/>
        </w:rPr>
        <w:t>s.</w:t>
      </w:r>
    </w:p>
    <w:p w:rsidR="00BB7EC3" w:rsidRPr="007D2672" w:rsidRDefault="00BB7EC3" w:rsidP="007D2672">
      <w:pPr>
        <w:rPr>
          <w:rFonts w:ascii="Arial" w:hAnsi="Arial"/>
          <w:sz w:val="22"/>
          <w:szCs w:val="22"/>
        </w:rPr>
      </w:pPr>
    </w:p>
    <w:p w:rsidR="00BB7EC3" w:rsidRDefault="00BB7EC3" w:rsidP="00D479CB">
      <w:pPr>
        <w:pStyle w:val="ListParagraph"/>
        <w:numPr>
          <w:ilvl w:val="1"/>
          <w:numId w:val="25"/>
        </w:numPr>
        <w:jc w:val="both"/>
        <w:rPr>
          <w:rFonts w:ascii="Arial" w:hAnsi="Arial"/>
          <w:sz w:val="22"/>
          <w:szCs w:val="22"/>
        </w:rPr>
      </w:pPr>
      <w:r>
        <w:rPr>
          <w:rFonts w:ascii="Arial" w:hAnsi="Arial"/>
          <w:sz w:val="22"/>
          <w:szCs w:val="22"/>
        </w:rPr>
        <w:t>The PBAC recommended that th</w:t>
      </w:r>
      <w:r w:rsidR="00173C8B">
        <w:rPr>
          <w:rFonts w:ascii="Arial" w:hAnsi="Arial"/>
          <w:sz w:val="22"/>
          <w:szCs w:val="22"/>
        </w:rPr>
        <w:t xml:space="preserve">e Safety Net 20 Day Rule </w:t>
      </w:r>
      <w:r>
        <w:rPr>
          <w:rFonts w:ascii="Arial" w:hAnsi="Arial"/>
          <w:sz w:val="22"/>
          <w:szCs w:val="22"/>
        </w:rPr>
        <w:t>should not apply.</w:t>
      </w:r>
    </w:p>
    <w:p w:rsidR="00BB7EC3" w:rsidRPr="007D2672" w:rsidRDefault="00BB7EC3" w:rsidP="007D2672">
      <w:pPr>
        <w:rPr>
          <w:rFonts w:ascii="Arial" w:hAnsi="Arial"/>
          <w:sz w:val="22"/>
          <w:szCs w:val="22"/>
        </w:rPr>
      </w:pPr>
    </w:p>
    <w:p w:rsidR="005A3223" w:rsidRPr="007D2672" w:rsidRDefault="00BB7EC3" w:rsidP="00D479CB">
      <w:pPr>
        <w:pStyle w:val="ListParagraph"/>
        <w:numPr>
          <w:ilvl w:val="1"/>
          <w:numId w:val="25"/>
        </w:numPr>
        <w:jc w:val="both"/>
        <w:rPr>
          <w:rFonts w:ascii="Arial" w:hAnsi="Arial"/>
          <w:bCs/>
          <w:sz w:val="22"/>
          <w:szCs w:val="22"/>
        </w:rPr>
      </w:pPr>
      <w:r>
        <w:rPr>
          <w:rFonts w:ascii="Arial" w:hAnsi="Arial"/>
          <w:sz w:val="22"/>
          <w:szCs w:val="22"/>
        </w:rPr>
        <w:t>The PBAC not</w:t>
      </w:r>
      <w:r w:rsidR="00173C8B">
        <w:rPr>
          <w:rFonts w:ascii="Arial" w:hAnsi="Arial"/>
          <w:sz w:val="22"/>
          <w:szCs w:val="22"/>
        </w:rPr>
        <w:t xml:space="preserve">ed that this submission </w:t>
      </w:r>
      <w:r>
        <w:rPr>
          <w:rFonts w:ascii="Arial" w:hAnsi="Arial"/>
          <w:sz w:val="22"/>
          <w:szCs w:val="22"/>
        </w:rPr>
        <w:t xml:space="preserve">is not </w:t>
      </w:r>
      <w:r w:rsidR="00B43E90" w:rsidRPr="00882085">
        <w:rPr>
          <w:rFonts w:ascii="Arial" w:hAnsi="Arial"/>
          <w:sz w:val="22"/>
          <w:szCs w:val="22"/>
        </w:rPr>
        <w:t>eligibl</w:t>
      </w:r>
      <w:r>
        <w:rPr>
          <w:rFonts w:ascii="Arial" w:hAnsi="Arial"/>
          <w:sz w:val="22"/>
          <w:szCs w:val="22"/>
        </w:rPr>
        <w:t>e</w:t>
      </w:r>
      <w:r w:rsidR="00B43E90" w:rsidRPr="00882085">
        <w:rPr>
          <w:rFonts w:ascii="Arial" w:hAnsi="Arial"/>
          <w:sz w:val="22"/>
          <w:szCs w:val="22"/>
        </w:rPr>
        <w:t xml:space="preserve"> for </w:t>
      </w:r>
      <w:r>
        <w:rPr>
          <w:rFonts w:ascii="Arial" w:hAnsi="Arial"/>
          <w:sz w:val="22"/>
          <w:szCs w:val="22"/>
        </w:rPr>
        <w:t xml:space="preserve">an </w:t>
      </w:r>
      <w:r w:rsidR="00B43E90" w:rsidRPr="00882085">
        <w:rPr>
          <w:rFonts w:ascii="Arial" w:hAnsi="Arial"/>
          <w:sz w:val="22"/>
          <w:szCs w:val="22"/>
        </w:rPr>
        <w:t>Independent Review.</w:t>
      </w:r>
    </w:p>
    <w:p w:rsidR="00DF26A7" w:rsidRDefault="00DF26A7" w:rsidP="00882085">
      <w:pPr>
        <w:jc w:val="both"/>
        <w:rPr>
          <w:rFonts w:ascii="Arial" w:hAnsi="Arial"/>
          <w:sz w:val="22"/>
          <w:szCs w:val="22"/>
        </w:rPr>
      </w:pPr>
    </w:p>
    <w:p w:rsidR="00F3502F" w:rsidRPr="00882085" w:rsidRDefault="00F3502F" w:rsidP="00882085">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 xml:space="preserve">Recommended </w:t>
      </w:r>
    </w:p>
    <w:p w:rsidR="004529A1" w:rsidRDefault="004529A1" w:rsidP="00882085">
      <w:pPr>
        <w:jc w:val="both"/>
        <w:rPr>
          <w:rFonts w:ascii="Arial" w:hAnsi="Arial"/>
          <w:sz w:val="22"/>
          <w:szCs w:val="22"/>
        </w:rPr>
      </w:pPr>
    </w:p>
    <w:p w:rsidR="00F3502F" w:rsidRPr="00882085" w:rsidRDefault="00F3502F" w:rsidP="00882085">
      <w:pPr>
        <w:jc w:val="both"/>
        <w:rPr>
          <w:rFonts w:ascii="Arial" w:hAnsi="Arial"/>
          <w:sz w:val="22"/>
          <w:szCs w:val="22"/>
        </w:rPr>
      </w:pPr>
    </w:p>
    <w:p w:rsidR="00E91B96" w:rsidRPr="00882085" w:rsidRDefault="007C0F57" w:rsidP="00D479CB">
      <w:pPr>
        <w:pStyle w:val="Header"/>
        <w:numPr>
          <w:ilvl w:val="0"/>
          <w:numId w:val="25"/>
        </w:numPr>
        <w:tabs>
          <w:tab w:val="clear" w:pos="4153"/>
          <w:tab w:val="clear" w:pos="8306"/>
        </w:tabs>
        <w:jc w:val="both"/>
        <w:rPr>
          <w:rFonts w:ascii="Arial" w:hAnsi="Arial"/>
          <w:b/>
          <w:i/>
          <w:sz w:val="22"/>
          <w:szCs w:val="22"/>
        </w:rPr>
      </w:pPr>
      <w:r w:rsidRPr="00882085">
        <w:rPr>
          <w:rFonts w:ascii="Arial" w:hAnsi="Arial" w:cs="Arial"/>
          <w:b/>
          <w:sz w:val="22"/>
          <w:szCs w:val="22"/>
        </w:rPr>
        <w:t>Recommend</w:t>
      </w:r>
      <w:r w:rsidR="00B43E90" w:rsidRPr="00882085">
        <w:rPr>
          <w:rFonts w:ascii="Arial" w:hAnsi="Arial" w:cs="Arial"/>
          <w:b/>
          <w:sz w:val="22"/>
          <w:szCs w:val="22"/>
        </w:rPr>
        <w:t>ed listing</w:t>
      </w:r>
    </w:p>
    <w:p w:rsidR="006906DB" w:rsidRPr="00882085" w:rsidRDefault="006906DB" w:rsidP="00882085">
      <w:pPr>
        <w:jc w:val="both"/>
        <w:rPr>
          <w:rFonts w:ascii="Arial" w:hAnsi="Arial"/>
          <w:sz w:val="22"/>
          <w:szCs w:val="22"/>
        </w:rPr>
      </w:pPr>
    </w:p>
    <w:p w:rsidR="00B91EC4" w:rsidRPr="00045F94" w:rsidRDefault="00B91EC4" w:rsidP="00B91EC4">
      <w:pPr>
        <w:pStyle w:val="ListParagraph"/>
        <w:numPr>
          <w:ilvl w:val="1"/>
          <w:numId w:val="25"/>
        </w:numPr>
        <w:jc w:val="both"/>
        <w:rPr>
          <w:rFonts w:ascii="Arial" w:hAnsi="Arial" w:cs="Arial"/>
          <w:sz w:val="22"/>
          <w:szCs w:val="22"/>
        </w:rPr>
      </w:pPr>
      <w:r w:rsidRPr="00045F94">
        <w:rPr>
          <w:rFonts w:ascii="Arial" w:hAnsi="Arial" w:cs="Arial"/>
          <w:sz w:val="22"/>
          <w:szCs w:val="22"/>
        </w:rPr>
        <w:t>Create new first-line cetuximab metastatic CRC listings as follows:</w:t>
      </w:r>
    </w:p>
    <w:p w:rsidR="00B91EC4" w:rsidRPr="00045F94" w:rsidRDefault="00B91EC4" w:rsidP="00B91EC4">
      <w:pPr>
        <w:rPr>
          <w:rFonts w:ascii="Arial" w:hAnsi="Arial" w:cs="Arial"/>
          <w:sz w:val="22"/>
          <w:szCs w:val="22"/>
        </w:rPr>
      </w:pPr>
    </w:p>
    <w:tbl>
      <w:tblPr>
        <w:tblW w:w="8505" w:type="dxa"/>
        <w:tblInd w:w="817" w:type="dxa"/>
        <w:tblLayout w:type="fixed"/>
        <w:tblLook w:val="0000" w:firstRow="0" w:lastRow="0" w:firstColumn="0" w:lastColumn="0" w:noHBand="0" w:noVBand="0"/>
      </w:tblPr>
      <w:tblGrid>
        <w:gridCol w:w="3544"/>
        <w:gridCol w:w="992"/>
        <w:gridCol w:w="851"/>
        <w:gridCol w:w="283"/>
        <w:gridCol w:w="1559"/>
        <w:gridCol w:w="1276"/>
      </w:tblGrid>
      <w:tr w:rsidR="00B91EC4" w:rsidRPr="00B91EC4" w:rsidTr="00B91EC4">
        <w:trPr>
          <w:cantSplit/>
          <w:trHeight w:val="471"/>
        </w:trPr>
        <w:tc>
          <w:tcPr>
            <w:tcW w:w="3544"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Name, Restriction,</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Manner of administration and form</w:t>
            </w:r>
          </w:p>
        </w:tc>
        <w:tc>
          <w:tcPr>
            <w:tcW w:w="992"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Max.</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Qty</w:t>
            </w:r>
          </w:p>
        </w:tc>
        <w:tc>
          <w:tcPr>
            <w:tcW w:w="851"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№.of</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Rpts</w:t>
            </w:r>
          </w:p>
        </w:tc>
        <w:tc>
          <w:tcPr>
            <w:tcW w:w="283"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p>
        </w:tc>
        <w:tc>
          <w:tcPr>
            <w:tcW w:w="2835" w:type="dxa"/>
            <w:gridSpan w:val="2"/>
            <w:tcBorders>
              <w:bottom w:val="single" w:sz="4" w:space="0" w:color="auto"/>
            </w:tcBorders>
          </w:tcPr>
          <w:p w:rsidR="00B91EC4" w:rsidRPr="00B91EC4" w:rsidRDefault="00B91EC4" w:rsidP="00AE5FD8">
            <w:pPr>
              <w:keepNext/>
              <w:widowControl w:val="0"/>
              <w:jc w:val="both"/>
              <w:rPr>
                <w:rFonts w:ascii="Arial" w:hAnsi="Arial" w:cs="Arial"/>
                <w:snapToGrid w:val="0"/>
                <w:sz w:val="20"/>
                <w:szCs w:val="22"/>
                <w:lang w:val="fr-FR" w:eastAsia="en-US"/>
              </w:rPr>
            </w:pPr>
            <w:r w:rsidRPr="00B91EC4">
              <w:rPr>
                <w:rFonts w:ascii="Arial" w:hAnsi="Arial" w:cs="Arial"/>
                <w:snapToGrid w:val="0"/>
                <w:sz w:val="20"/>
                <w:szCs w:val="22"/>
                <w:lang w:eastAsia="en-US"/>
              </w:rPr>
              <w:t>Proprietary Name and Manufacturer</w:t>
            </w:r>
          </w:p>
        </w:tc>
      </w:tr>
      <w:tr w:rsidR="00B91EC4" w:rsidRPr="00B91EC4" w:rsidTr="00B91EC4">
        <w:trPr>
          <w:cantSplit/>
          <w:trHeight w:val="577"/>
        </w:trPr>
        <w:tc>
          <w:tcPr>
            <w:tcW w:w="3544" w:type="dxa"/>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mallCaps/>
                <w:snapToGrid w:val="0"/>
                <w:sz w:val="20"/>
                <w:szCs w:val="22"/>
                <w:lang w:eastAsia="en-US"/>
              </w:rPr>
              <w:t>CETUXIMAB</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Injection, 100 mg/20 mL</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Injection, 500 mg/100 mL</w:t>
            </w:r>
          </w:p>
        </w:tc>
        <w:tc>
          <w:tcPr>
            <w:tcW w:w="992"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880 mg</w:t>
            </w:r>
          </w:p>
        </w:tc>
        <w:tc>
          <w:tcPr>
            <w:tcW w:w="851" w:type="dxa"/>
          </w:tcPr>
          <w:p w:rsidR="00B91EC4" w:rsidRPr="00B91EC4" w:rsidRDefault="00B91EC4" w:rsidP="00AE5FD8">
            <w:pPr>
              <w:keepNext/>
              <w:widowControl w:val="0"/>
              <w:ind w:left="-108"/>
              <w:jc w:val="both"/>
              <w:rPr>
                <w:rFonts w:ascii="Arial" w:hAnsi="Arial" w:cs="Arial"/>
                <w:snapToGrid w:val="0"/>
                <w:sz w:val="20"/>
                <w:szCs w:val="22"/>
                <w:lang w:eastAsia="en-US"/>
              </w:rPr>
            </w:pP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0</w:t>
            </w:r>
          </w:p>
        </w:tc>
        <w:tc>
          <w:tcPr>
            <w:tcW w:w="283" w:type="dxa"/>
          </w:tcPr>
          <w:p w:rsidR="00B91EC4" w:rsidRPr="00B91EC4" w:rsidRDefault="00B91EC4" w:rsidP="00AE5FD8">
            <w:pPr>
              <w:keepNext/>
              <w:widowControl w:val="0"/>
              <w:ind w:left="-108"/>
              <w:jc w:val="both"/>
              <w:rPr>
                <w:rFonts w:ascii="Arial" w:hAnsi="Arial" w:cs="Arial"/>
                <w:snapToGrid w:val="0"/>
                <w:sz w:val="20"/>
                <w:szCs w:val="22"/>
                <w:lang w:eastAsia="en-US"/>
              </w:rPr>
            </w:pPr>
          </w:p>
        </w:tc>
        <w:tc>
          <w:tcPr>
            <w:tcW w:w="1559"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Erbitux</w:t>
            </w:r>
          </w:p>
        </w:tc>
        <w:tc>
          <w:tcPr>
            <w:tcW w:w="1276"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SG</w:t>
            </w:r>
          </w:p>
        </w:tc>
      </w:tr>
    </w:tbl>
    <w:p w:rsidR="00B91EC4" w:rsidRPr="00B91EC4" w:rsidRDefault="00B91EC4" w:rsidP="00B91EC4">
      <w:pPr>
        <w:widowControl w:val="0"/>
        <w:contextualSpacing/>
        <w:jc w:val="both"/>
        <w:rPr>
          <w:rFonts w:ascii="Arial" w:hAnsi="Arial" w:cs="Arial"/>
          <w:snapToGrid w:val="0"/>
          <w:sz w:val="20"/>
          <w:szCs w:val="22"/>
          <w:lang w:eastAsia="en-US"/>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53"/>
      </w:tblGrid>
      <w:tr w:rsidR="00B91EC4" w:rsidRPr="00045F94" w:rsidTr="00B91EC4">
        <w:tc>
          <w:tcPr>
            <w:tcW w:w="2552"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 xml:space="preserve">Category / </w:t>
            </w:r>
          </w:p>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Program</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Section 100 (Efficient Funding of Chemotherapy (EFC))</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 xml:space="preserve"> for Public/Private Hospital Use</w:t>
            </w:r>
          </w:p>
        </w:tc>
      </w:tr>
      <w:tr w:rsidR="00B91EC4" w:rsidRPr="00045F94" w:rsidTr="00B91EC4">
        <w:tc>
          <w:tcPr>
            <w:tcW w:w="2552"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Prescriber type:</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fldChar w:fldCharType="begin">
                <w:ffData>
                  <w:name w:val="Check1"/>
                  <w:enabled/>
                  <w:calcOnExit w:val="0"/>
                  <w:checkBox>
                    <w:sizeAuto/>
                    <w:default w:val="0"/>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 xml:space="preserve">Dental  </w:t>
            </w:r>
            <w:r w:rsidRPr="00045F94">
              <w:rPr>
                <w:rFonts w:ascii="Arial" w:hAnsi="Arial" w:cs="Arial"/>
                <w:snapToGrid w:val="0"/>
                <w:sz w:val="20"/>
                <w:szCs w:val="20"/>
                <w:lang w:eastAsia="en-US"/>
              </w:rPr>
              <w:fldChar w:fldCharType="begin">
                <w:ffData>
                  <w:name w:val=""/>
                  <w:enabled/>
                  <w:calcOnExit w:val="0"/>
                  <w:checkBox>
                    <w:sizeAuto/>
                    <w:default w:val="1"/>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 xml:space="preserve">Medical Practitioners  </w:t>
            </w:r>
            <w:r w:rsidRPr="00045F94">
              <w:rPr>
                <w:rFonts w:ascii="Arial" w:hAnsi="Arial" w:cs="Arial"/>
                <w:snapToGrid w:val="0"/>
                <w:sz w:val="20"/>
                <w:szCs w:val="20"/>
                <w:lang w:eastAsia="en-US"/>
              </w:rPr>
              <w:fldChar w:fldCharType="begin">
                <w:ffData>
                  <w:name w:val="Check3"/>
                  <w:enabled/>
                  <w:calcOnExit w:val="0"/>
                  <w:checkBox>
                    <w:sizeAuto/>
                    <w:default w:val="0"/>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 xml:space="preserve">Nurse practitioners  </w:t>
            </w:r>
            <w:r w:rsidRPr="00045F94">
              <w:rPr>
                <w:rFonts w:ascii="Arial" w:hAnsi="Arial" w:cs="Arial"/>
                <w:snapToGrid w:val="0"/>
                <w:sz w:val="20"/>
                <w:szCs w:val="20"/>
                <w:lang w:eastAsia="en-US"/>
              </w:rPr>
              <w:fldChar w:fldCharType="begin">
                <w:ffData>
                  <w:name w:val=""/>
                  <w:enabled/>
                  <w:calcOnExit w:val="0"/>
                  <w:checkBox>
                    <w:sizeAuto/>
                    <w:default w:val="0"/>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Optometrists</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fldChar w:fldCharType="begin">
                <w:ffData>
                  <w:name w:val="Check5"/>
                  <w:enabled/>
                  <w:calcOnExit w:val="0"/>
                  <w:checkBox>
                    <w:sizeAuto/>
                    <w:default w:val="0"/>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Midwives</w:t>
            </w:r>
          </w:p>
        </w:tc>
      </w:tr>
      <w:tr w:rsidR="00B91EC4" w:rsidRPr="00045F94" w:rsidTr="00B91EC4">
        <w:tc>
          <w:tcPr>
            <w:tcW w:w="2552"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Severity:</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Metastatic</w:t>
            </w:r>
          </w:p>
        </w:tc>
      </w:tr>
      <w:tr w:rsidR="00B91EC4" w:rsidRPr="00045F94" w:rsidTr="00B91EC4">
        <w:tc>
          <w:tcPr>
            <w:tcW w:w="2552"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Condition:</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Colorectal cancer</w:t>
            </w:r>
          </w:p>
        </w:tc>
      </w:tr>
      <w:tr w:rsidR="00B91EC4" w:rsidRPr="00045F94" w:rsidTr="00B91EC4">
        <w:tc>
          <w:tcPr>
            <w:tcW w:w="2552" w:type="dxa"/>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Treatment phase:</w:t>
            </w:r>
          </w:p>
        </w:tc>
        <w:tc>
          <w:tcPr>
            <w:tcW w:w="5953" w:type="dxa"/>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Initial treatment</w:t>
            </w:r>
          </w:p>
        </w:tc>
      </w:tr>
      <w:tr w:rsidR="00B91EC4" w:rsidRPr="00045F94" w:rsidTr="00B91EC4">
        <w:tc>
          <w:tcPr>
            <w:tcW w:w="2552" w:type="dxa"/>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Restriction Level / Method:</w:t>
            </w:r>
          </w:p>
        </w:tc>
        <w:tc>
          <w:tcPr>
            <w:tcW w:w="5953" w:type="dxa"/>
            <w:shd w:val="clear" w:color="auto" w:fill="auto"/>
          </w:tcPr>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Check1"/>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Restricted benefit</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Authority Required - In Writing</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Authority Required - Telephone</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Authority Required – Emergency</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Check5"/>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Authority Required – Electronic</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t>OR</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rPr>
              <w:fldChar w:fldCharType="begin">
                <w:ffData>
                  <w:name w:val=""/>
                  <w:enabled/>
                  <w:calcOnExit w:val="0"/>
                  <w:checkBox>
                    <w:sizeAuto/>
                    <w:default w:val="1"/>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Streamlined</w:t>
            </w:r>
          </w:p>
        </w:tc>
      </w:tr>
      <w:tr w:rsidR="00B91EC4" w:rsidRPr="00045F94" w:rsidTr="00B91EC4">
        <w:tc>
          <w:tcPr>
            <w:tcW w:w="2552" w:type="dxa"/>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Clinical criteria:</w:t>
            </w:r>
          </w:p>
        </w:tc>
        <w:tc>
          <w:tcPr>
            <w:tcW w:w="5953" w:type="dxa"/>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Patient must have RAS wild-type metastatic colorectal cancer,</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AND</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Patient must have a WHO performance status of 1 or less,</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AND</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The condition must be previously untreated,</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AND</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2"/>
                <w:lang w:eastAsia="en-US"/>
              </w:rPr>
            </w:pPr>
            <w:r w:rsidRPr="00045F94">
              <w:rPr>
                <w:rFonts w:ascii="Arial" w:hAnsi="Arial" w:cs="Arial"/>
                <w:snapToGrid w:val="0"/>
                <w:sz w:val="20"/>
                <w:szCs w:val="20"/>
                <w:lang w:eastAsia="en-US"/>
              </w:rPr>
              <w:t>The treatm</w:t>
            </w:r>
            <w:r w:rsidRPr="00045F94">
              <w:rPr>
                <w:rFonts w:ascii="Arial" w:hAnsi="Arial" w:cs="Arial"/>
                <w:snapToGrid w:val="0"/>
                <w:sz w:val="20"/>
                <w:szCs w:val="22"/>
                <w:lang w:eastAsia="en-US"/>
              </w:rPr>
              <w:t>ent must be in combination with first-line chemotherapy,</w:t>
            </w:r>
          </w:p>
          <w:p w:rsidR="00B91EC4" w:rsidRPr="00045F94" w:rsidRDefault="00B91EC4" w:rsidP="00AE5FD8">
            <w:pPr>
              <w:widowControl w:val="0"/>
              <w:jc w:val="both"/>
              <w:rPr>
                <w:rFonts w:ascii="Arial" w:hAnsi="Arial" w:cs="Arial"/>
                <w:snapToGrid w:val="0"/>
                <w:sz w:val="20"/>
                <w:szCs w:val="22"/>
                <w:lang w:eastAsia="en-US"/>
              </w:rPr>
            </w:pPr>
          </w:p>
          <w:p w:rsidR="00B91EC4" w:rsidRPr="00045F94" w:rsidRDefault="00B91EC4" w:rsidP="00AE5FD8">
            <w:pPr>
              <w:widowControl w:val="0"/>
              <w:jc w:val="both"/>
              <w:rPr>
                <w:rFonts w:ascii="Arial" w:hAnsi="Arial" w:cs="Arial"/>
                <w:snapToGrid w:val="0"/>
                <w:sz w:val="20"/>
                <w:szCs w:val="22"/>
                <w:lang w:eastAsia="en-US"/>
              </w:rPr>
            </w:pPr>
            <w:r w:rsidRPr="00045F94">
              <w:rPr>
                <w:rFonts w:ascii="Arial" w:hAnsi="Arial" w:cs="Arial"/>
                <w:snapToGrid w:val="0"/>
                <w:sz w:val="20"/>
                <w:szCs w:val="22"/>
                <w:lang w:eastAsia="en-US"/>
              </w:rPr>
              <w:t>AND</w:t>
            </w:r>
          </w:p>
          <w:p w:rsidR="00B91EC4" w:rsidRPr="00045F94" w:rsidRDefault="00B91EC4" w:rsidP="00AE5FD8">
            <w:pPr>
              <w:widowControl w:val="0"/>
              <w:jc w:val="both"/>
              <w:rPr>
                <w:rFonts w:ascii="Arial" w:hAnsi="Arial" w:cs="Arial"/>
                <w:snapToGrid w:val="0"/>
                <w:sz w:val="20"/>
                <w:szCs w:val="22"/>
                <w:lang w:eastAsia="en-US"/>
              </w:rPr>
            </w:pPr>
          </w:p>
          <w:p w:rsidR="00B91EC4" w:rsidRPr="00045F94" w:rsidRDefault="00B91EC4" w:rsidP="00AE5FD8">
            <w:pPr>
              <w:widowControl w:val="0"/>
              <w:jc w:val="both"/>
              <w:rPr>
                <w:rFonts w:ascii="Arial" w:hAnsi="Arial" w:cs="Arial"/>
                <w:snapToGrid w:val="0"/>
                <w:sz w:val="20"/>
                <w:szCs w:val="22"/>
                <w:lang w:eastAsia="en-US"/>
              </w:rPr>
            </w:pPr>
            <w:r w:rsidRPr="00045F94">
              <w:rPr>
                <w:rFonts w:ascii="Arial" w:hAnsi="Arial" w:cs="Arial"/>
                <w:snapToGrid w:val="0"/>
                <w:sz w:val="20"/>
                <w:szCs w:val="22"/>
                <w:lang w:eastAsia="en-US"/>
              </w:rPr>
              <w:lastRenderedPageBreak/>
              <w:t>The treatment must be the sole PBS-subsidised anti-EGFR antibody therapy for this condition.</w:t>
            </w:r>
          </w:p>
          <w:p w:rsidR="00B91EC4" w:rsidRPr="00045F94" w:rsidRDefault="00B91EC4" w:rsidP="00AE5FD8">
            <w:pPr>
              <w:widowControl w:val="0"/>
              <w:jc w:val="both"/>
              <w:rPr>
                <w:rFonts w:ascii="Arial" w:hAnsi="Arial" w:cs="Arial"/>
                <w:snapToGrid w:val="0"/>
                <w:sz w:val="20"/>
                <w:szCs w:val="20"/>
                <w:lang w:eastAsia="en-US"/>
              </w:rPr>
            </w:pPr>
          </w:p>
        </w:tc>
      </w:tr>
      <w:tr w:rsidR="00B91EC4" w:rsidRPr="00045F94" w:rsidTr="00B91EC4">
        <w:tc>
          <w:tcPr>
            <w:tcW w:w="2552"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lastRenderedPageBreak/>
              <w:t>Administrative advice</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Note</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Special Pricing Arrangements apply.</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Note</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 xml:space="preserve">Cetuximab is not PBS-subsidised for use in combination with </w:t>
            </w:r>
            <w:r w:rsidRPr="00045F94">
              <w:rPr>
                <w:rFonts w:ascii="Arial" w:hAnsi="Arial" w:cs="Arial"/>
                <w:snapToGrid w:val="0"/>
                <w:sz w:val="20"/>
                <w:szCs w:val="22"/>
                <w:lang w:eastAsia="en-US"/>
              </w:rPr>
              <w:t>another anti-EGFR antibody or in combination with an anti-VEGF antibody.</w:t>
            </w:r>
          </w:p>
          <w:p w:rsidR="00B91EC4" w:rsidRPr="00045F94" w:rsidRDefault="00B91EC4" w:rsidP="00AE5FD8">
            <w:pPr>
              <w:widowControl w:val="0"/>
              <w:jc w:val="both"/>
              <w:rPr>
                <w:rFonts w:ascii="Arial" w:hAnsi="Arial" w:cs="Arial"/>
                <w:snapToGrid w:val="0"/>
                <w:sz w:val="20"/>
                <w:szCs w:val="20"/>
                <w:lang w:eastAsia="en-US"/>
              </w:rPr>
            </w:pPr>
          </w:p>
        </w:tc>
      </w:tr>
    </w:tbl>
    <w:p w:rsidR="00B91EC4" w:rsidRPr="00045F94" w:rsidRDefault="00B91EC4" w:rsidP="00B91EC4">
      <w:pPr>
        <w:widowControl w:val="0"/>
        <w:contextualSpacing/>
        <w:jc w:val="both"/>
        <w:rPr>
          <w:rFonts w:ascii="Arial" w:hAnsi="Arial" w:cs="Arial"/>
          <w:snapToGrid w:val="0"/>
          <w:sz w:val="22"/>
          <w:szCs w:val="22"/>
          <w:lang w:eastAsia="en-US"/>
        </w:rPr>
      </w:pPr>
    </w:p>
    <w:p w:rsidR="00B91EC4" w:rsidRPr="00045F94" w:rsidRDefault="00B91EC4" w:rsidP="00B91EC4">
      <w:pPr>
        <w:widowControl w:val="0"/>
        <w:contextualSpacing/>
        <w:jc w:val="both"/>
        <w:rPr>
          <w:rFonts w:ascii="Arial" w:hAnsi="Arial" w:cs="Arial"/>
          <w:snapToGrid w:val="0"/>
          <w:sz w:val="22"/>
          <w:szCs w:val="22"/>
          <w:lang w:eastAsia="en-US"/>
        </w:rPr>
      </w:pPr>
    </w:p>
    <w:tbl>
      <w:tblPr>
        <w:tblW w:w="8232" w:type="dxa"/>
        <w:tblInd w:w="817" w:type="dxa"/>
        <w:tblLayout w:type="fixed"/>
        <w:tblLook w:val="0000" w:firstRow="0" w:lastRow="0" w:firstColumn="0" w:lastColumn="0" w:noHBand="0" w:noVBand="0"/>
      </w:tblPr>
      <w:tblGrid>
        <w:gridCol w:w="3554"/>
        <w:gridCol w:w="1134"/>
        <w:gridCol w:w="709"/>
        <w:gridCol w:w="1559"/>
        <w:gridCol w:w="1276"/>
      </w:tblGrid>
      <w:tr w:rsidR="00B91EC4" w:rsidRPr="00B91EC4" w:rsidTr="00B91EC4">
        <w:trPr>
          <w:cantSplit/>
          <w:trHeight w:val="471"/>
        </w:trPr>
        <w:tc>
          <w:tcPr>
            <w:tcW w:w="3554"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Name, Restriction,</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Manner of administration and form</w:t>
            </w:r>
          </w:p>
        </w:tc>
        <w:tc>
          <w:tcPr>
            <w:tcW w:w="1134"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Max.</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Qty</w:t>
            </w:r>
          </w:p>
        </w:tc>
        <w:tc>
          <w:tcPr>
            <w:tcW w:w="709"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№.of</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Rpts</w:t>
            </w:r>
          </w:p>
        </w:tc>
        <w:tc>
          <w:tcPr>
            <w:tcW w:w="2835" w:type="dxa"/>
            <w:gridSpan w:val="2"/>
            <w:tcBorders>
              <w:bottom w:val="single" w:sz="4" w:space="0" w:color="auto"/>
            </w:tcBorders>
          </w:tcPr>
          <w:p w:rsidR="00B91EC4" w:rsidRPr="00B91EC4" w:rsidRDefault="00B91EC4" w:rsidP="00AE5FD8">
            <w:pPr>
              <w:keepNext/>
              <w:widowControl w:val="0"/>
              <w:jc w:val="both"/>
              <w:rPr>
                <w:rFonts w:ascii="Arial" w:hAnsi="Arial" w:cs="Arial"/>
                <w:snapToGrid w:val="0"/>
                <w:sz w:val="20"/>
                <w:szCs w:val="22"/>
                <w:lang w:val="fr-FR" w:eastAsia="en-US"/>
              </w:rPr>
            </w:pPr>
            <w:r w:rsidRPr="00B91EC4">
              <w:rPr>
                <w:rFonts w:ascii="Arial" w:hAnsi="Arial" w:cs="Arial"/>
                <w:snapToGrid w:val="0"/>
                <w:sz w:val="20"/>
                <w:szCs w:val="22"/>
                <w:lang w:eastAsia="en-US"/>
              </w:rPr>
              <w:t>Proprietary Name and Manufacturer</w:t>
            </w:r>
          </w:p>
        </w:tc>
      </w:tr>
      <w:tr w:rsidR="00B91EC4" w:rsidRPr="00B91EC4" w:rsidTr="00B91EC4">
        <w:trPr>
          <w:cantSplit/>
          <w:trHeight w:val="577"/>
        </w:trPr>
        <w:tc>
          <w:tcPr>
            <w:tcW w:w="3554" w:type="dxa"/>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mallCaps/>
                <w:snapToGrid w:val="0"/>
                <w:sz w:val="20"/>
                <w:szCs w:val="22"/>
                <w:lang w:eastAsia="en-US"/>
              </w:rPr>
              <w:t>CETUXIMAB</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Injection, 100 mg/20 mL</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Injection, 500 mg/100 mL</w:t>
            </w:r>
          </w:p>
        </w:tc>
        <w:tc>
          <w:tcPr>
            <w:tcW w:w="1134"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550 mg</w:t>
            </w:r>
          </w:p>
        </w:tc>
        <w:tc>
          <w:tcPr>
            <w:tcW w:w="709" w:type="dxa"/>
          </w:tcPr>
          <w:p w:rsidR="00B91EC4" w:rsidRPr="00B91EC4" w:rsidRDefault="00B91EC4" w:rsidP="00AE5FD8">
            <w:pPr>
              <w:keepNext/>
              <w:widowControl w:val="0"/>
              <w:ind w:left="-108"/>
              <w:jc w:val="both"/>
              <w:rPr>
                <w:rFonts w:ascii="Arial" w:hAnsi="Arial" w:cs="Arial"/>
                <w:snapToGrid w:val="0"/>
                <w:sz w:val="20"/>
                <w:szCs w:val="22"/>
                <w:lang w:eastAsia="en-US"/>
              </w:rPr>
            </w:pP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18</w:t>
            </w:r>
          </w:p>
        </w:tc>
        <w:tc>
          <w:tcPr>
            <w:tcW w:w="1559"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Erbitux</w:t>
            </w:r>
          </w:p>
        </w:tc>
        <w:tc>
          <w:tcPr>
            <w:tcW w:w="1276"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SG</w:t>
            </w:r>
          </w:p>
        </w:tc>
      </w:tr>
    </w:tbl>
    <w:p w:rsidR="00B91EC4" w:rsidRPr="00045F94" w:rsidRDefault="00B91EC4" w:rsidP="00B91EC4">
      <w:pPr>
        <w:widowControl w:val="0"/>
        <w:contextualSpacing/>
        <w:jc w:val="both"/>
        <w:rPr>
          <w:rFonts w:ascii="Arial" w:hAnsi="Arial" w:cs="Arial"/>
          <w:snapToGrid w:val="0"/>
          <w:sz w:val="22"/>
          <w:szCs w:val="22"/>
          <w:lang w:eastAsia="en-US"/>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99"/>
      </w:tblGrid>
      <w:tr w:rsidR="00B91EC4" w:rsidRPr="00045F9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 xml:space="preserve">Category / </w:t>
            </w:r>
          </w:p>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Program</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Section 100 (Efficient Funding of Chemotherapy (EFC))</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 xml:space="preserve"> for Public/Private Hospital Use</w:t>
            </w:r>
          </w:p>
        </w:tc>
      </w:tr>
      <w:tr w:rsidR="00B91EC4" w:rsidRPr="00045F9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Prescriber type:</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fldChar w:fldCharType="begin">
                <w:ffData>
                  <w:name w:val="Check1"/>
                  <w:enabled/>
                  <w:calcOnExit w:val="0"/>
                  <w:checkBox>
                    <w:sizeAuto/>
                    <w:default w:val="0"/>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 xml:space="preserve">Dental  </w:t>
            </w:r>
            <w:r w:rsidRPr="00045F94">
              <w:rPr>
                <w:rFonts w:ascii="Arial" w:hAnsi="Arial" w:cs="Arial"/>
                <w:snapToGrid w:val="0"/>
                <w:sz w:val="20"/>
                <w:szCs w:val="20"/>
                <w:lang w:eastAsia="en-US"/>
              </w:rPr>
              <w:fldChar w:fldCharType="begin">
                <w:ffData>
                  <w:name w:val=""/>
                  <w:enabled/>
                  <w:calcOnExit w:val="0"/>
                  <w:checkBox>
                    <w:sizeAuto/>
                    <w:default w:val="1"/>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 xml:space="preserve">Medical Practitioners  </w:t>
            </w:r>
            <w:r w:rsidRPr="00045F94">
              <w:rPr>
                <w:rFonts w:ascii="Arial" w:hAnsi="Arial" w:cs="Arial"/>
                <w:snapToGrid w:val="0"/>
                <w:sz w:val="20"/>
                <w:szCs w:val="20"/>
                <w:lang w:eastAsia="en-US"/>
              </w:rPr>
              <w:fldChar w:fldCharType="begin">
                <w:ffData>
                  <w:name w:val="Check3"/>
                  <w:enabled/>
                  <w:calcOnExit w:val="0"/>
                  <w:checkBox>
                    <w:sizeAuto/>
                    <w:default w:val="0"/>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 xml:space="preserve">Nurse practitioners  </w:t>
            </w:r>
            <w:r w:rsidRPr="00045F94">
              <w:rPr>
                <w:rFonts w:ascii="Arial" w:hAnsi="Arial" w:cs="Arial"/>
                <w:snapToGrid w:val="0"/>
                <w:sz w:val="20"/>
                <w:szCs w:val="20"/>
                <w:lang w:eastAsia="en-US"/>
              </w:rPr>
              <w:fldChar w:fldCharType="begin">
                <w:ffData>
                  <w:name w:val=""/>
                  <w:enabled/>
                  <w:calcOnExit w:val="0"/>
                  <w:checkBox>
                    <w:sizeAuto/>
                    <w:default w:val="0"/>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Optometrists</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fldChar w:fldCharType="begin">
                <w:ffData>
                  <w:name w:val="Check5"/>
                  <w:enabled/>
                  <w:calcOnExit w:val="0"/>
                  <w:checkBox>
                    <w:sizeAuto/>
                    <w:default w:val="0"/>
                  </w:checkBox>
                </w:ffData>
              </w:fldChar>
            </w:r>
            <w:r w:rsidRPr="00045F9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045F94">
              <w:rPr>
                <w:rFonts w:ascii="Arial" w:hAnsi="Arial" w:cs="Arial"/>
                <w:snapToGrid w:val="0"/>
                <w:sz w:val="20"/>
                <w:szCs w:val="20"/>
                <w:lang w:eastAsia="en-US"/>
              </w:rPr>
              <w:fldChar w:fldCharType="end"/>
            </w:r>
            <w:r w:rsidRPr="00045F94">
              <w:rPr>
                <w:rFonts w:ascii="Arial" w:hAnsi="Arial" w:cs="Arial"/>
                <w:snapToGrid w:val="0"/>
                <w:sz w:val="20"/>
                <w:szCs w:val="20"/>
                <w:lang w:eastAsia="en-US"/>
              </w:rPr>
              <w:t>Midwives</w:t>
            </w:r>
          </w:p>
        </w:tc>
      </w:tr>
      <w:tr w:rsidR="00B91EC4" w:rsidRPr="00045F9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Severity: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Metastatic</w:t>
            </w:r>
          </w:p>
        </w:tc>
      </w:tr>
      <w:tr w:rsidR="00B91EC4" w:rsidRPr="00045F9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Condition: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Colorectal cancer</w:t>
            </w:r>
          </w:p>
        </w:tc>
      </w:tr>
      <w:tr w:rsidR="00B91EC4" w:rsidRPr="00045F94" w:rsidTr="00B91EC4">
        <w:tc>
          <w:tcPr>
            <w:tcW w:w="1276" w:type="dxa"/>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Treatment phase:</w:t>
            </w:r>
          </w:p>
        </w:tc>
        <w:tc>
          <w:tcPr>
            <w:tcW w:w="7229" w:type="dxa"/>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Continuing treatment</w:t>
            </w:r>
          </w:p>
        </w:tc>
      </w:tr>
      <w:tr w:rsidR="00B91EC4" w:rsidRPr="00045F94" w:rsidTr="00B91EC4">
        <w:tc>
          <w:tcPr>
            <w:tcW w:w="1276" w:type="dxa"/>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Restriction Level / Method:</w:t>
            </w:r>
          </w:p>
        </w:tc>
        <w:tc>
          <w:tcPr>
            <w:tcW w:w="7229" w:type="dxa"/>
            <w:shd w:val="clear" w:color="auto" w:fill="auto"/>
          </w:tcPr>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Check1"/>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Restricted benefit</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Authority Required - In Writing</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Authority Required - Telephone</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Authority Required – Emergency</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fldChar w:fldCharType="begin">
                <w:ffData>
                  <w:name w:val="Check5"/>
                  <w:enabled/>
                  <w:calcOnExit w:val="0"/>
                  <w:checkBox>
                    <w:sizeAuto/>
                    <w:default w:val="0"/>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Authority Required – Electronic</w:t>
            </w:r>
          </w:p>
          <w:p w:rsidR="00B91EC4" w:rsidRPr="00045F94" w:rsidRDefault="00B91EC4" w:rsidP="00AE5FD8">
            <w:pPr>
              <w:rPr>
                <w:rFonts w:ascii="Arial" w:hAnsi="Arial" w:cs="Arial"/>
                <w:snapToGrid w:val="0"/>
                <w:sz w:val="20"/>
                <w:szCs w:val="20"/>
              </w:rPr>
            </w:pPr>
            <w:r w:rsidRPr="00045F94">
              <w:rPr>
                <w:rFonts w:ascii="Arial" w:hAnsi="Arial" w:cs="Arial"/>
                <w:snapToGrid w:val="0"/>
                <w:sz w:val="20"/>
                <w:szCs w:val="20"/>
              </w:rPr>
              <w:t>OR</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rPr>
              <w:fldChar w:fldCharType="begin">
                <w:ffData>
                  <w:name w:val=""/>
                  <w:enabled/>
                  <w:calcOnExit w:val="0"/>
                  <w:checkBox>
                    <w:sizeAuto/>
                    <w:default w:val="1"/>
                  </w:checkBox>
                </w:ffData>
              </w:fldChar>
            </w:r>
            <w:r w:rsidRPr="00045F9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045F94">
              <w:rPr>
                <w:rFonts w:ascii="Arial" w:hAnsi="Arial" w:cs="Arial"/>
                <w:snapToGrid w:val="0"/>
                <w:sz w:val="20"/>
                <w:szCs w:val="20"/>
              </w:rPr>
              <w:fldChar w:fldCharType="end"/>
            </w:r>
            <w:r w:rsidRPr="00045F94">
              <w:rPr>
                <w:rFonts w:ascii="Arial" w:hAnsi="Arial" w:cs="Arial"/>
                <w:snapToGrid w:val="0"/>
                <w:sz w:val="20"/>
                <w:szCs w:val="20"/>
              </w:rPr>
              <w:t>Streamlined</w:t>
            </w:r>
          </w:p>
        </w:tc>
      </w:tr>
      <w:tr w:rsidR="00B91EC4" w:rsidRPr="00045F94" w:rsidTr="00B91EC4">
        <w:tc>
          <w:tcPr>
            <w:tcW w:w="1276" w:type="dxa"/>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Clinical criteria:</w:t>
            </w:r>
          </w:p>
        </w:tc>
        <w:tc>
          <w:tcPr>
            <w:tcW w:w="7229" w:type="dxa"/>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Patient must have received an initial authority prescription for cetuximab for first-line treatment of RAS wild-type metastatic colorectal cancer,</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AND</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Patient must not have progressive disease,</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AND</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2"/>
                <w:lang w:eastAsia="en-US"/>
              </w:rPr>
            </w:pPr>
            <w:r w:rsidRPr="00045F94">
              <w:rPr>
                <w:rFonts w:ascii="Arial" w:hAnsi="Arial" w:cs="Arial"/>
                <w:snapToGrid w:val="0"/>
                <w:sz w:val="20"/>
                <w:szCs w:val="20"/>
                <w:lang w:eastAsia="en-US"/>
              </w:rPr>
              <w:t xml:space="preserve">The </w:t>
            </w:r>
            <w:r w:rsidRPr="00045F94">
              <w:rPr>
                <w:rFonts w:ascii="Arial" w:hAnsi="Arial" w:cs="Arial"/>
                <w:snapToGrid w:val="0"/>
                <w:sz w:val="20"/>
                <w:szCs w:val="22"/>
                <w:lang w:eastAsia="en-US"/>
              </w:rPr>
              <w:t>treatment must be in combination with first-line chemotherapy,</w:t>
            </w:r>
          </w:p>
          <w:p w:rsidR="00B91EC4" w:rsidRPr="00045F94" w:rsidRDefault="00B91EC4" w:rsidP="00AE5FD8">
            <w:pPr>
              <w:widowControl w:val="0"/>
              <w:jc w:val="both"/>
              <w:rPr>
                <w:rFonts w:ascii="Arial" w:hAnsi="Arial" w:cs="Arial"/>
                <w:snapToGrid w:val="0"/>
                <w:sz w:val="20"/>
                <w:szCs w:val="22"/>
                <w:lang w:eastAsia="en-US"/>
              </w:rPr>
            </w:pPr>
          </w:p>
          <w:p w:rsidR="00B91EC4" w:rsidRPr="00045F94" w:rsidRDefault="00B91EC4" w:rsidP="00AE5FD8">
            <w:pPr>
              <w:widowControl w:val="0"/>
              <w:jc w:val="both"/>
              <w:rPr>
                <w:rFonts w:ascii="Arial" w:hAnsi="Arial" w:cs="Arial"/>
                <w:snapToGrid w:val="0"/>
                <w:sz w:val="20"/>
                <w:szCs w:val="22"/>
                <w:lang w:eastAsia="en-US"/>
              </w:rPr>
            </w:pPr>
            <w:r w:rsidRPr="00045F94">
              <w:rPr>
                <w:rFonts w:ascii="Arial" w:hAnsi="Arial" w:cs="Arial"/>
                <w:snapToGrid w:val="0"/>
                <w:sz w:val="20"/>
                <w:szCs w:val="22"/>
                <w:lang w:eastAsia="en-US"/>
              </w:rPr>
              <w:t>AND</w:t>
            </w:r>
          </w:p>
          <w:p w:rsidR="00B91EC4" w:rsidRPr="00045F94" w:rsidRDefault="00B91EC4" w:rsidP="00AE5FD8">
            <w:pPr>
              <w:widowControl w:val="0"/>
              <w:jc w:val="both"/>
              <w:rPr>
                <w:rFonts w:ascii="Arial" w:hAnsi="Arial" w:cs="Arial"/>
                <w:snapToGrid w:val="0"/>
                <w:sz w:val="20"/>
                <w:szCs w:val="22"/>
                <w:lang w:eastAsia="en-US"/>
              </w:rPr>
            </w:pPr>
          </w:p>
          <w:p w:rsidR="00B91EC4" w:rsidRPr="00045F94" w:rsidRDefault="00B91EC4" w:rsidP="00AE5FD8">
            <w:pPr>
              <w:widowControl w:val="0"/>
              <w:jc w:val="both"/>
              <w:rPr>
                <w:rFonts w:ascii="Arial" w:hAnsi="Arial" w:cs="Arial"/>
                <w:snapToGrid w:val="0"/>
                <w:sz w:val="20"/>
                <w:szCs w:val="22"/>
                <w:lang w:eastAsia="en-US"/>
              </w:rPr>
            </w:pPr>
            <w:r w:rsidRPr="00045F94">
              <w:rPr>
                <w:rFonts w:ascii="Arial" w:hAnsi="Arial" w:cs="Arial"/>
                <w:snapToGrid w:val="0"/>
                <w:sz w:val="20"/>
                <w:szCs w:val="22"/>
                <w:lang w:eastAsia="en-US"/>
              </w:rPr>
              <w:t>The treatment must be the sole PBS-subsidised anti-EGFR antibody therapy for this condition.</w:t>
            </w:r>
          </w:p>
          <w:p w:rsidR="00B91EC4" w:rsidRPr="00045F94" w:rsidRDefault="00B91EC4" w:rsidP="00AE5FD8">
            <w:pPr>
              <w:widowControl w:val="0"/>
              <w:jc w:val="both"/>
              <w:rPr>
                <w:rFonts w:ascii="Arial" w:hAnsi="Arial" w:cs="Arial"/>
                <w:snapToGrid w:val="0"/>
                <w:sz w:val="20"/>
                <w:szCs w:val="20"/>
                <w:lang w:eastAsia="en-US"/>
              </w:rPr>
            </w:pPr>
          </w:p>
        </w:tc>
      </w:tr>
      <w:tr w:rsidR="00B91EC4" w:rsidRPr="00045F9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b/>
                <w:snapToGrid w:val="0"/>
                <w:sz w:val="20"/>
                <w:szCs w:val="20"/>
                <w:lang w:eastAsia="en-US"/>
              </w:rPr>
            </w:pPr>
            <w:r w:rsidRPr="00045F94">
              <w:rPr>
                <w:rFonts w:ascii="Arial" w:hAnsi="Arial" w:cs="Arial"/>
                <w:b/>
                <w:snapToGrid w:val="0"/>
                <w:sz w:val="20"/>
                <w:szCs w:val="20"/>
                <w:lang w:eastAsia="en-US"/>
              </w:rPr>
              <w:t>Administrative advice</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Note</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Special Pricing Arrangements apply.</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Note</w:t>
            </w:r>
          </w:p>
          <w:p w:rsidR="00B91EC4" w:rsidRPr="00045F94" w:rsidRDefault="00B91EC4" w:rsidP="00AE5FD8">
            <w:pPr>
              <w:widowControl w:val="0"/>
              <w:jc w:val="both"/>
              <w:rPr>
                <w:rFonts w:ascii="Arial" w:hAnsi="Arial" w:cs="Arial"/>
                <w:snapToGrid w:val="0"/>
                <w:sz w:val="20"/>
                <w:szCs w:val="22"/>
                <w:lang w:eastAsia="en-US"/>
              </w:rPr>
            </w:pPr>
            <w:r w:rsidRPr="00045F94">
              <w:rPr>
                <w:rFonts w:ascii="Arial" w:hAnsi="Arial" w:cs="Arial"/>
                <w:snapToGrid w:val="0"/>
                <w:sz w:val="20"/>
                <w:szCs w:val="20"/>
                <w:lang w:eastAsia="en-US"/>
              </w:rPr>
              <w:t xml:space="preserve">Cetuximab is not PBS-subsidised for use in combination with </w:t>
            </w:r>
            <w:r w:rsidRPr="00045F94">
              <w:rPr>
                <w:rFonts w:ascii="Arial" w:hAnsi="Arial" w:cs="Arial"/>
                <w:snapToGrid w:val="0"/>
                <w:sz w:val="20"/>
                <w:szCs w:val="22"/>
                <w:lang w:eastAsia="en-US"/>
              </w:rPr>
              <w:t>another anti-</w:t>
            </w:r>
            <w:r w:rsidRPr="00045F94">
              <w:rPr>
                <w:rFonts w:ascii="Arial" w:hAnsi="Arial" w:cs="Arial"/>
                <w:snapToGrid w:val="0"/>
                <w:sz w:val="20"/>
                <w:szCs w:val="22"/>
                <w:lang w:eastAsia="en-US"/>
              </w:rPr>
              <w:lastRenderedPageBreak/>
              <w:t>EGFR antibody or in combination with an anti-VEGF antibody.</w:t>
            </w:r>
          </w:p>
          <w:p w:rsidR="00B91EC4" w:rsidRPr="00045F94" w:rsidRDefault="00B91EC4" w:rsidP="00AE5FD8">
            <w:pPr>
              <w:widowControl w:val="0"/>
              <w:jc w:val="both"/>
              <w:rPr>
                <w:rFonts w:ascii="Arial" w:hAnsi="Arial" w:cs="Arial"/>
                <w:snapToGrid w:val="0"/>
                <w:sz w:val="20"/>
                <w:szCs w:val="22"/>
                <w:lang w:eastAsia="en-US"/>
              </w:rPr>
            </w:pPr>
          </w:p>
          <w:p w:rsidR="00B91EC4" w:rsidRPr="00045F94" w:rsidRDefault="00B91EC4" w:rsidP="00AE5FD8">
            <w:pPr>
              <w:widowControl w:val="0"/>
              <w:jc w:val="both"/>
              <w:rPr>
                <w:rFonts w:ascii="Arial" w:hAnsi="Arial" w:cs="Arial"/>
                <w:snapToGrid w:val="0"/>
                <w:sz w:val="20"/>
                <w:szCs w:val="22"/>
                <w:lang w:eastAsia="en-US"/>
              </w:rPr>
            </w:pPr>
            <w:r w:rsidRPr="00045F94">
              <w:rPr>
                <w:rFonts w:ascii="Arial" w:hAnsi="Arial" w:cs="Arial"/>
                <w:snapToGrid w:val="0"/>
                <w:sz w:val="20"/>
                <w:szCs w:val="22"/>
                <w:lang w:eastAsia="en-US"/>
              </w:rPr>
              <w:t>Note</w:t>
            </w: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2"/>
                <w:lang w:eastAsia="en-US"/>
              </w:rPr>
              <w:t>Cetuximab is not PBS-subsidised when chemotherapy partners are switched whilst maintaining an anti-EGFR antibody backbone in the face of progressive disease.</w:t>
            </w:r>
          </w:p>
          <w:p w:rsidR="00B91EC4" w:rsidRPr="00045F94" w:rsidRDefault="00B91EC4" w:rsidP="00AE5FD8">
            <w:pPr>
              <w:widowControl w:val="0"/>
              <w:jc w:val="both"/>
              <w:rPr>
                <w:rFonts w:ascii="Arial" w:hAnsi="Arial" w:cs="Arial"/>
                <w:snapToGrid w:val="0"/>
                <w:sz w:val="20"/>
                <w:szCs w:val="20"/>
                <w:lang w:eastAsia="en-US"/>
              </w:rPr>
            </w:pPr>
          </w:p>
          <w:p w:rsidR="00B91EC4" w:rsidRPr="00045F94" w:rsidRDefault="00B91EC4" w:rsidP="00AE5FD8">
            <w:pPr>
              <w:widowControl w:val="0"/>
              <w:jc w:val="both"/>
              <w:rPr>
                <w:rFonts w:ascii="Arial" w:hAnsi="Arial" w:cs="Arial"/>
                <w:snapToGrid w:val="0"/>
                <w:sz w:val="20"/>
                <w:szCs w:val="20"/>
                <w:lang w:eastAsia="en-US"/>
              </w:rPr>
            </w:pPr>
            <w:r w:rsidRPr="00045F94">
              <w:rPr>
                <w:rFonts w:ascii="Arial" w:hAnsi="Arial" w:cs="Arial"/>
                <w:snapToGrid w:val="0"/>
                <w:sz w:val="20"/>
                <w:szCs w:val="20"/>
                <w:lang w:eastAsia="en-US"/>
              </w:rPr>
              <w:t>Note</w:t>
            </w:r>
          </w:p>
          <w:p w:rsidR="00B91EC4" w:rsidRPr="00045F94" w:rsidRDefault="00B91EC4" w:rsidP="00AE5FD8">
            <w:pPr>
              <w:widowControl w:val="0"/>
              <w:jc w:val="both"/>
              <w:rPr>
                <w:rFonts w:ascii="Arial" w:hAnsi="Arial" w:cs="Arial"/>
                <w:snapToGrid w:val="0"/>
                <w:sz w:val="20"/>
                <w:szCs w:val="22"/>
                <w:lang w:eastAsia="en-US"/>
              </w:rPr>
            </w:pPr>
            <w:r w:rsidRPr="00045F94">
              <w:rPr>
                <w:rFonts w:ascii="Arial" w:hAnsi="Arial" w:cs="Arial"/>
                <w:snapToGrid w:val="0"/>
                <w:sz w:val="20"/>
                <w:szCs w:val="22"/>
                <w:lang w:eastAsia="en-US"/>
              </w:rPr>
              <w:t>The treatment must not exceed a single course of therapy with cetuximab for metastatic colorectal cancer in a patient’s lifetime.</w:t>
            </w:r>
          </w:p>
          <w:p w:rsidR="00B91EC4" w:rsidRPr="00045F94" w:rsidRDefault="00B91EC4" w:rsidP="00AE5FD8">
            <w:pPr>
              <w:widowControl w:val="0"/>
              <w:jc w:val="both"/>
              <w:rPr>
                <w:rFonts w:ascii="Arial" w:hAnsi="Arial" w:cs="Arial"/>
                <w:snapToGrid w:val="0"/>
                <w:sz w:val="20"/>
                <w:szCs w:val="20"/>
                <w:lang w:eastAsia="en-US"/>
              </w:rPr>
            </w:pPr>
          </w:p>
        </w:tc>
      </w:tr>
    </w:tbl>
    <w:p w:rsidR="00B91EC4" w:rsidRPr="00045F94" w:rsidRDefault="00B91EC4" w:rsidP="00B91EC4">
      <w:pPr>
        <w:rPr>
          <w:rFonts w:ascii="Arial" w:hAnsi="Arial" w:cs="Arial"/>
          <w:sz w:val="22"/>
          <w:szCs w:val="22"/>
        </w:rPr>
      </w:pPr>
    </w:p>
    <w:p w:rsidR="00B91EC4" w:rsidRPr="00045F94" w:rsidRDefault="00B91EC4" w:rsidP="00B91EC4">
      <w:pPr>
        <w:rPr>
          <w:rFonts w:ascii="Arial" w:hAnsi="Arial" w:cs="Arial"/>
          <w:sz w:val="22"/>
          <w:szCs w:val="22"/>
        </w:rPr>
      </w:pPr>
    </w:p>
    <w:p w:rsidR="00B91EC4" w:rsidRPr="00045F94" w:rsidRDefault="00B91EC4" w:rsidP="00B91EC4">
      <w:pPr>
        <w:pStyle w:val="ListParagraph"/>
        <w:numPr>
          <w:ilvl w:val="1"/>
          <w:numId w:val="25"/>
        </w:numPr>
        <w:jc w:val="both"/>
        <w:rPr>
          <w:rFonts w:ascii="Arial" w:hAnsi="Arial" w:cs="Arial"/>
          <w:sz w:val="22"/>
          <w:szCs w:val="22"/>
        </w:rPr>
      </w:pPr>
      <w:r w:rsidRPr="00045F94">
        <w:rPr>
          <w:rFonts w:ascii="Arial" w:hAnsi="Arial" w:cs="Arial"/>
          <w:sz w:val="22"/>
          <w:szCs w:val="22"/>
        </w:rPr>
        <w:t>Amend existing cetuximab second-line metastatic CRC listings as follows (recommended amendments in bold type face):</w:t>
      </w:r>
    </w:p>
    <w:p w:rsidR="00B91EC4" w:rsidRPr="00045F94" w:rsidRDefault="00B91EC4" w:rsidP="00B91EC4">
      <w:pPr>
        <w:rPr>
          <w:rFonts w:ascii="Arial" w:hAnsi="Arial" w:cs="Arial"/>
          <w:sz w:val="22"/>
          <w:szCs w:val="22"/>
        </w:rPr>
      </w:pPr>
    </w:p>
    <w:tbl>
      <w:tblPr>
        <w:tblW w:w="8223" w:type="dxa"/>
        <w:tblInd w:w="817" w:type="dxa"/>
        <w:tblLayout w:type="fixed"/>
        <w:tblLook w:val="0000" w:firstRow="0" w:lastRow="0" w:firstColumn="0" w:lastColumn="0" w:noHBand="0" w:noVBand="0"/>
      </w:tblPr>
      <w:tblGrid>
        <w:gridCol w:w="3404"/>
        <w:gridCol w:w="1134"/>
        <w:gridCol w:w="850"/>
        <w:gridCol w:w="1559"/>
        <w:gridCol w:w="1276"/>
      </w:tblGrid>
      <w:tr w:rsidR="00B91EC4" w:rsidRPr="00B91EC4" w:rsidTr="00B91EC4">
        <w:trPr>
          <w:cantSplit/>
          <w:trHeight w:val="471"/>
        </w:trPr>
        <w:tc>
          <w:tcPr>
            <w:tcW w:w="3404"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Name, Restriction,</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Manner of administration and form</w:t>
            </w:r>
          </w:p>
        </w:tc>
        <w:tc>
          <w:tcPr>
            <w:tcW w:w="1134"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Max.</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Qty</w:t>
            </w:r>
          </w:p>
        </w:tc>
        <w:tc>
          <w:tcPr>
            <w:tcW w:w="850"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№.of</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Rpts</w:t>
            </w:r>
          </w:p>
        </w:tc>
        <w:tc>
          <w:tcPr>
            <w:tcW w:w="2835" w:type="dxa"/>
            <w:gridSpan w:val="2"/>
            <w:tcBorders>
              <w:bottom w:val="single" w:sz="4" w:space="0" w:color="auto"/>
            </w:tcBorders>
          </w:tcPr>
          <w:p w:rsidR="00B91EC4" w:rsidRPr="00B91EC4" w:rsidRDefault="00B91EC4" w:rsidP="00AE5FD8">
            <w:pPr>
              <w:keepNext/>
              <w:widowControl w:val="0"/>
              <w:jc w:val="both"/>
              <w:rPr>
                <w:rFonts w:ascii="Arial" w:hAnsi="Arial" w:cs="Arial"/>
                <w:snapToGrid w:val="0"/>
                <w:sz w:val="20"/>
                <w:szCs w:val="22"/>
                <w:lang w:val="fr-FR" w:eastAsia="en-US"/>
              </w:rPr>
            </w:pPr>
            <w:r w:rsidRPr="00B91EC4">
              <w:rPr>
                <w:rFonts w:ascii="Arial" w:hAnsi="Arial" w:cs="Arial"/>
                <w:snapToGrid w:val="0"/>
                <w:sz w:val="20"/>
                <w:szCs w:val="22"/>
                <w:lang w:eastAsia="en-US"/>
              </w:rPr>
              <w:t>Proprietary Name and Manufacturer</w:t>
            </w:r>
          </w:p>
        </w:tc>
      </w:tr>
      <w:tr w:rsidR="00B91EC4" w:rsidRPr="00B91EC4" w:rsidTr="00B91EC4">
        <w:trPr>
          <w:cantSplit/>
          <w:trHeight w:val="577"/>
        </w:trPr>
        <w:tc>
          <w:tcPr>
            <w:tcW w:w="3404" w:type="dxa"/>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mallCaps/>
                <w:snapToGrid w:val="0"/>
                <w:sz w:val="20"/>
                <w:szCs w:val="22"/>
                <w:lang w:eastAsia="en-US"/>
              </w:rPr>
              <w:t>CETUXIMAB</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Injection, 100 mg/20 mL</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Injection, 500 mg/100 mL</w:t>
            </w:r>
          </w:p>
        </w:tc>
        <w:tc>
          <w:tcPr>
            <w:tcW w:w="1134"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880 mg</w:t>
            </w:r>
          </w:p>
        </w:tc>
        <w:tc>
          <w:tcPr>
            <w:tcW w:w="850" w:type="dxa"/>
          </w:tcPr>
          <w:p w:rsidR="00B91EC4" w:rsidRPr="00B91EC4" w:rsidRDefault="00B91EC4" w:rsidP="00AE5FD8">
            <w:pPr>
              <w:keepNext/>
              <w:widowControl w:val="0"/>
              <w:ind w:left="-108"/>
              <w:jc w:val="both"/>
              <w:rPr>
                <w:rFonts w:ascii="Arial" w:hAnsi="Arial" w:cs="Arial"/>
                <w:snapToGrid w:val="0"/>
                <w:sz w:val="20"/>
                <w:szCs w:val="22"/>
                <w:lang w:eastAsia="en-US"/>
              </w:rPr>
            </w:pP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0</w:t>
            </w:r>
          </w:p>
        </w:tc>
        <w:tc>
          <w:tcPr>
            <w:tcW w:w="1559"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Erbitux</w:t>
            </w:r>
          </w:p>
        </w:tc>
        <w:tc>
          <w:tcPr>
            <w:tcW w:w="1276"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SG</w:t>
            </w:r>
          </w:p>
        </w:tc>
      </w:tr>
    </w:tbl>
    <w:p w:rsidR="00B91EC4" w:rsidRPr="00045F94" w:rsidRDefault="00B91EC4" w:rsidP="00B91EC4">
      <w:pPr>
        <w:widowControl w:val="0"/>
        <w:contextualSpacing/>
        <w:jc w:val="both"/>
        <w:rPr>
          <w:rFonts w:ascii="Arial" w:hAnsi="Arial" w:cs="Arial"/>
          <w:snapToGrid w:val="0"/>
          <w:sz w:val="22"/>
          <w:szCs w:val="22"/>
          <w:lang w:eastAsia="en-US"/>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99"/>
      </w:tblGrid>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 xml:space="preserve">Category / </w:t>
            </w: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Program</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Section 100 (Efficient Funding of Chemotherapy (EFC))</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 xml:space="preserve"> for Public/Private Hospital Use</w:t>
            </w: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Prescriber type:</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fldChar w:fldCharType="begin">
                <w:ffData>
                  <w:name w:val="Check1"/>
                  <w:enabled/>
                  <w:calcOnExit w:val="0"/>
                  <w:checkBox>
                    <w:sizeAuto/>
                    <w:default w:val="0"/>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 xml:space="preserve">Dental  </w:t>
            </w:r>
            <w:r w:rsidRPr="00B91EC4">
              <w:rPr>
                <w:rFonts w:ascii="Arial" w:hAnsi="Arial" w:cs="Arial"/>
                <w:snapToGrid w:val="0"/>
                <w:sz w:val="20"/>
                <w:szCs w:val="20"/>
                <w:lang w:eastAsia="en-US"/>
              </w:rPr>
              <w:fldChar w:fldCharType="begin">
                <w:ffData>
                  <w:name w:val=""/>
                  <w:enabled/>
                  <w:calcOnExit w:val="0"/>
                  <w:checkBox>
                    <w:sizeAuto/>
                    <w:default w:val="1"/>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 xml:space="preserve">Medical Practitioners  </w:t>
            </w:r>
            <w:r w:rsidRPr="00B91EC4">
              <w:rPr>
                <w:rFonts w:ascii="Arial" w:hAnsi="Arial" w:cs="Arial"/>
                <w:snapToGrid w:val="0"/>
                <w:sz w:val="20"/>
                <w:szCs w:val="20"/>
                <w:lang w:eastAsia="en-US"/>
              </w:rPr>
              <w:fldChar w:fldCharType="begin">
                <w:ffData>
                  <w:name w:val="Check3"/>
                  <w:enabled/>
                  <w:calcOnExit w:val="0"/>
                  <w:checkBox>
                    <w:sizeAuto/>
                    <w:default w:val="0"/>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 xml:space="preserve">Nurse practitioners  </w:t>
            </w:r>
            <w:r w:rsidRPr="00B91EC4">
              <w:rPr>
                <w:rFonts w:ascii="Arial" w:hAnsi="Arial" w:cs="Arial"/>
                <w:snapToGrid w:val="0"/>
                <w:sz w:val="20"/>
                <w:szCs w:val="20"/>
                <w:lang w:eastAsia="en-US"/>
              </w:rPr>
              <w:fldChar w:fldCharType="begin">
                <w:ffData>
                  <w:name w:val=""/>
                  <w:enabled/>
                  <w:calcOnExit w:val="0"/>
                  <w:checkBox>
                    <w:sizeAuto/>
                    <w:default w:val="0"/>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Optometrists</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fldChar w:fldCharType="begin">
                <w:ffData>
                  <w:name w:val="Check5"/>
                  <w:enabled/>
                  <w:calcOnExit w:val="0"/>
                  <w:checkBox>
                    <w:sizeAuto/>
                    <w:default w:val="0"/>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Midwives</w:t>
            </w: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Severity: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Metastatic</w:t>
            </w: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Condition: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Colorectal cancer</w:t>
            </w:r>
          </w:p>
        </w:tc>
      </w:tr>
      <w:tr w:rsidR="00B91EC4" w:rsidRPr="00B91EC4" w:rsidTr="00B91EC4">
        <w:tc>
          <w:tcPr>
            <w:tcW w:w="1276" w:type="dxa"/>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Treatment phase:</w:t>
            </w:r>
          </w:p>
        </w:tc>
        <w:tc>
          <w:tcPr>
            <w:tcW w:w="7229" w:type="dxa"/>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Initial treatment</w:t>
            </w:r>
          </w:p>
        </w:tc>
      </w:tr>
      <w:tr w:rsidR="00B91EC4" w:rsidRPr="00B91EC4" w:rsidTr="00B91EC4">
        <w:tc>
          <w:tcPr>
            <w:tcW w:w="1276" w:type="dxa"/>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Restriction Level / Method:</w:t>
            </w:r>
          </w:p>
        </w:tc>
        <w:tc>
          <w:tcPr>
            <w:tcW w:w="7229" w:type="dxa"/>
            <w:shd w:val="clear" w:color="auto" w:fill="auto"/>
          </w:tcPr>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Check1"/>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Restricted benefit</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Authority Required - In Writing</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Authority Required - Telephone</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Authority Required – Emergency</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Check5"/>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Authority Required – Electronic</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t>OR</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rPr>
              <w:fldChar w:fldCharType="begin">
                <w:ffData>
                  <w:name w:val=""/>
                  <w:enabled/>
                  <w:calcOnExit w:val="0"/>
                  <w:checkBox>
                    <w:sizeAuto/>
                    <w:default w:val="1"/>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Streamlined</w:t>
            </w:r>
          </w:p>
        </w:tc>
      </w:tr>
      <w:tr w:rsidR="00B91EC4" w:rsidRPr="00B91EC4" w:rsidTr="00B91EC4">
        <w:tc>
          <w:tcPr>
            <w:tcW w:w="1276" w:type="dxa"/>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Clinical criteria:</w:t>
            </w:r>
          </w:p>
        </w:tc>
        <w:tc>
          <w:tcPr>
            <w:tcW w:w="7229" w:type="dxa"/>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 xml:space="preserve">Patient must have </w:t>
            </w:r>
            <w:r w:rsidRPr="00B91EC4">
              <w:rPr>
                <w:rFonts w:ascii="Arial" w:hAnsi="Arial" w:cs="Arial"/>
                <w:b/>
                <w:strike/>
                <w:snapToGrid w:val="0"/>
                <w:sz w:val="20"/>
                <w:szCs w:val="20"/>
                <w:lang w:eastAsia="en-US"/>
              </w:rPr>
              <w:t>K-</w:t>
            </w:r>
            <w:r w:rsidRPr="00B91EC4">
              <w:rPr>
                <w:rFonts w:ascii="Arial" w:hAnsi="Arial" w:cs="Arial"/>
                <w:b/>
                <w:snapToGrid w:val="0"/>
                <w:sz w:val="20"/>
                <w:szCs w:val="20"/>
                <w:lang w:eastAsia="en-US"/>
              </w:rPr>
              <w:t>RAS</w:t>
            </w:r>
            <w:r w:rsidRPr="00B91EC4">
              <w:rPr>
                <w:rFonts w:ascii="Arial" w:hAnsi="Arial" w:cs="Arial"/>
                <w:snapToGrid w:val="0"/>
                <w:sz w:val="20"/>
                <w:szCs w:val="20"/>
                <w:lang w:eastAsia="en-US"/>
              </w:rPr>
              <w:t xml:space="preserve"> wild-type metastatic colorectal cancer,</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AND</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Patient must have a WHO performance status of 2 or less,</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AND</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The condition must have failed to respond to first-line chemotherapy,</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AND</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 xml:space="preserve">The treatment must be in combination with </w:t>
            </w:r>
            <w:r w:rsidRPr="00B91EC4">
              <w:rPr>
                <w:rFonts w:ascii="Arial" w:hAnsi="Arial" w:cs="Arial"/>
                <w:b/>
                <w:strike/>
                <w:snapToGrid w:val="0"/>
                <w:sz w:val="20"/>
                <w:szCs w:val="20"/>
                <w:lang w:eastAsia="en-US"/>
              </w:rPr>
              <w:t>irinotecan based</w:t>
            </w:r>
            <w:r w:rsidRPr="00B91EC4">
              <w:rPr>
                <w:rFonts w:ascii="Arial" w:hAnsi="Arial" w:cs="Arial"/>
                <w:snapToGrid w:val="0"/>
                <w:sz w:val="20"/>
                <w:szCs w:val="20"/>
                <w:lang w:eastAsia="en-US"/>
              </w:rPr>
              <w:t xml:space="preserve"> chemotherapy; OR</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The treatment must be as monotherapy,</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AND</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lastRenderedPageBreak/>
              <w:t>The treatment must be the sole PBS-subsidised anti-EGFR antibody therapy for this condition.</w:t>
            </w:r>
          </w:p>
          <w:p w:rsidR="00B91EC4" w:rsidRPr="00B91EC4" w:rsidRDefault="00B91EC4" w:rsidP="00AE5FD8">
            <w:pPr>
              <w:widowControl w:val="0"/>
              <w:jc w:val="both"/>
              <w:rPr>
                <w:rFonts w:ascii="Arial" w:hAnsi="Arial" w:cs="Arial"/>
                <w:snapToGrid w:val="0"/>
                <w:sz w:val="20"/>
                <w:szCs w:val="20"/>
                <w:lang w:eastAsia="en-US"/>
              </w:rPr>
            </w:pP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lastRenderedPageBreak/>
              <w:t>Prescriber Instructions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Patients who have progressive disease on panitumumab are not eligible to receive PBS-subsidised cetuximab.</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Patients who have developed intolerance to panitumumab of a severity necessitating permanent treatment withdrawal are eligible to receive PBS-subsidised cetuximab.</w:t>
            </w:r>
          </w:p>
          <w:p w:rsidR="00B91EC4" w:rsidRPr="00B91EC4" w:rsidRDefault="00B91EC4" w:rsidP="00AE5FD8">
            <w:pPr>
              <w:widowControl w:val="0"/>
              <w:jc w:val="both"/>
              <w:rPr>
                <w:rFonts w:ascii="Arial" w:hAnsi="Arial" w:cs="Arial"/>
                <w:snapToGrid w:val="0"/>
                <w:sz w:val="20"/>
                <w:szCs w:val="20"/>
                <w:lang w:eastAsia="en-US"/>
              </w:rPr>
            </w:pP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Administrative advice</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Note</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Special Pricing Arrangements apply.</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Note</w:t>
            </w: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snapToGrid w:val="0"/>
                <w:sz w:val="20"/>
                <w:szCs w:val="20"/>
                <w:lang w:eastAsia="en-US"/>
              </w:rPr>
              <w:t xml:space="preserve">Cetuximab is not PBS-subsidised for use in combination with </w:t>
            </w:r>
            <w:r w:rsidRPr="00B91EC4">
              <w:rPr>
                <w:rFonts w:ascii="Arial" w:hAnsi="Arial" w:cs="Arial"/>
                <w:b/>
                <w:strike/>
                <w:snapToGrid w:val="0"/>
                <w:sz w:val="20"/>
                <w:szCs w:val="20"/>
                <w:lang w:eastAsia="en-US"/>
              </w:rPr>
              <w:t>oxaliplatin-based therapies</w:t>
            </w:r>
            <w:r w:rsidRPr="00B91EC4">
              <w:rPr>
                <w:rFonts w:ascii="Arial" w:hAnsi="Arial" w:cs="Arial"/>
                <w:b/>
                <w:snapToGrid w:val="0"/>
                <w:sz w:val="20"/>
                <w:szCs w:val="20"/>
                <w:lang w:eastAsia="en-US"/>
              </w:rPr>
              <w:t xml:space="preserve"> another anti-EGFR antibody or in combination with an anti-VEGF antibody.</w:t>
            </w:r>
          </w:p>
          <w:p w:rsidR="00B91EC4" w:rsidRPr="00B91EC4" w:rsidRDefault="00B91EC4" w:rsidP="00AE5FD8">
            <w:pPr>
              <w:widowControl w:val="0"/>
              <w:jc w:val="both"/>
              <w:rPr>
                <w:rFonts w:ascii="Arial" w:hAnsi="Arial" w:cs="Arial"/>
                <w:snapToGrid w:val="0"/>
                <w:sz w:val="20"/>
                <w:szCs w:val="20"/>
                <w:lang w:eastAsia="en-US"/>
              </w:rPr>
            </w:pPr>
          </w:p>
        </w:tc>
      </w:tr>
    </w:tbl>
    <w:p w:rsidR="00B91EC4" w:rsidRPr="00045F94" w:rsidRDefault="00B91EC4" w:rsidP="00B91EC4">
      <w:pPr>
        <w:widowControl w:val="0"/>
        <w:contextualSpacing/>
        <w:jc w:val="both"/>
        <w:rPr>
          <w:rFonts w:ascii="Arial" w:hAnsi="Arial" w:cs="Arial"/>
          <w:snapToGrid w:val="0"/>
          <w:sz w:val="22"/>
          <w:szCs w:val="22"/>
          <w:lang w:eastAsia="en-US"/>
        </w:rPr>
      </w:pPr>
    </w:p>
    <w:tbl>
      <w:tblPr>
        <w:tblW w:w="7655" w:type="dxa"/>
        <w:tblInd w:w="817" w:type="dxa"/>
        <w:tblLayout w:type="fixed"/>
        <w:tblLook w:val="0000" w:firstRow="0" w:lastRow="0" w:firstColumn="0" w:lastColumn="0" w:noHBand="0" w:noVBand="0"/>
      </w:tblPr>
      <w:tblGrid>
        <w:gridCol w:w="2977"/>
        <w:gridCol w:w="1134"/>
        <w:gridCol w:w="709"/>
        <w:gridCol w:w="1559"/>
        <w:gridCol w:w="1276"/>
      </w:tblGrid>
      <w:tr w:rsidR="00B91EC4" w:rsidRPr="00B91EC4" w:rsidTr="00B91EC4">
        <w:trPr>
          <w:cantSplit/>
          <w:trHeight w:val="471"/>
        </w:trPr>
        <w:tc>
          <w:tcPr>
            <w:tcW w:w="2977"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Name, Restriction,</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Manner of administration and form</w:t>
            </w:r>
          </w:p>
        </w:tc>
        <w:tc>
          <w:tcPr>
            <w:tcW w:w="1134"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Max.</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Qty</w:t>
            </w:r>
          </w:p>
        </w:tc>
        <w:tc>
          <w:tcPr>
            <w:tcW w:w="709" w:type="dxa"/>
            <w:tcBorders>
              <w:bottom w:val="single" w:sz="4" w:space="0" w:color="auto"/>
            </w:tcBorders>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№.of</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Rpts</w:t>
            </w:r>
          </w:p>
        </w:tc>
        <w:tc>
          <w:tcPr>
            <w:tcW w:w="2835" w:type="dxa"/>
            <w:gridSpan w:val="2"/>
            <w:tcBorders>
              <w:bottom w:val="single" w:sz="4" w:space="0" w:color="auto"/>
            </w:tcBorders>
          </w:tcPr>
          <w:p w:rsidR="00B91EC4" w:rsidRPr="00B91EC4" w:rsidRDefault="00B91EC4" w:rsidP="00AE5FD8">
            <w:pPr>
              <w:keepNext/>
              <w:widowControl w:val="0"/>
              <w:jc w:val="both"/>
              <w:rPr>
                <w:rFonts w:ascii="Arial" w:hAnsi="Arial" w:cs="Arial"/>
                <w:snapToGrid w:val="0"/>
                <w:sz w:val="20"/>
                <w:szCs w:val="22"/>
                <w:lang w:val="fr-FR" w:eastAsia="en-US"/>
              </w:rPr>
            </w:pPr>
            <w:r w:rsidRPr="00B91EC4">
              <w:rPr>
                <w:rFonts w:ascii="Arial" w:hAnsi="Arial" w:cs="Arial"/>
                <w:snapToGrid w:val="0"/>
                <w:sz w:val="20"/>
                <w:szCs w:val="22"/>
                <w:lang w:eastAsia="en-US"/>
              </w:rPr>
              <w:t>Proprietary Name and Manufacturer</w:t>
            </w:r>
          </w:p>
        </w:tc>
      </w:tr>
      <w:tr w:rsidR="00B91EC4" w:rsidRPr="00B91EC4" w:rsidTr="00B91EC4">
        <w:trPr>
          <w:cantSplit/>
          <w:trHeight w:val="577"/>
        </w:trPr>
        <w:tc>
          <w:tcPr>
            <w:tcW w:w="2977" w:type="dxa"/>
          </w:tcPr>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mallCaps/>
                <w:snapToGrid w:val="0"/>
                <w:sz w:val="20"/>
                <w:szCs w:val="22"/>
                <w:lang w:eastAsia="en-US"/>
              </w:rPr>
              <w:t>CETUXIMAB</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Injection, 100 mg/20 mL</w:t>
            </w: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Injection, 500 mg/100 mL</w:t>
            </w:r>
          </w:p>
        </w:tc>
        <w:tc>
          <w:tcPr>
            <w:tcW w:w="1134"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550 mg</w:t>
            </w:r>
          </w:p>
        </w:tc>
        <w:tc>
          <w:tcPr>
            <w:tcW w:w="709" w:type="dxa"/>
          </w:tcPr>
          <w:p w:rsidR="00B91EC4" w:rsidRPr="00B91EC4" w:rsidRDefault="00B91EC4" w:rsidP="00AE5FD8">
            <w:pPr>
              <w:keepNext/>
              <w:widowControl w:val="0"/>
              <w:ind w:left="-108"/>
              <w:jc w:val="both"/>
              <w:rPr>
                <w:rFonts w:ascii="Arial" w:hAnsi="Arial" w:cs="Arial"/>
                <w:snapToGrid w:val="0"/>
                <w:sz w:val="20"/>
                <w:szCs w:val="22"/>
                <w:lang w:eastAsia="en-US"/>
              </w:rPr>
            </w:pPr>
          </w:p>
          <w:p w:rsidR="00B91EC4" w:rsidRPr="00B91EC4" w:rsidRDefault="00B91EC4" w:rsidP="00AE5FD8">
            <w:pPr>
              <w:keepNext/>
              <w:widowControl w:val="0"/>
              <w:ind w:left="-108"/>
              <w:jc w:val="both"/>
              <w:rPr>
                <w:rFonts w:ascii="Arial" w:hAnsi="Arial" w:cs="Arial"/>
                <w:snapToGrid w:val="0"/>
                <w:sz w:val="20"/>
                <w:szCs w:val="22"/>
                <w:lang w:eastAsia="en-US"/>
              </w:rPr>
            </w:pPr>
            <w:r w:rsidRPr="00B91EC4">
              <w:rPr>
                <w:rFonts w:ascii="Arial" w:hAnsi="Arial" w:cs="Arial"/>
                <w:snapToGrid w:val="0"/>
                <w:sz w:val="20"/>
                <w:szCs w:val="22"/>
                <w:lang w:eastAsia="en-US"/>
              </w:rPr>
              <w:t>11</w:t>
            </w:r>
          </w:p>
        </w:tc>
        <w:tc>
          <w:tcPr>
            <w:tcW w:w="1559"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Erbitux</w:t>
            </w:r>
          </w:p>
        </w:tc>
        <w:tc>
          <w:tcPr>
            <w:tcW w:w="1276" w:type="dxa"/>
          </w:tcPr>
          <w:p w:rsidR="00B91EC4" w:rsidRPr="00B91EC4" w:rsidRDefault="00B91EC4" w:rsidP="00AE5FD8">
            <w:pPr>
              <w:keepNext/>
              <w:widowControl w:val="0"/>
              <w:jc w:val="both"/>
              <w:rPr>
                <w:rFonts w:ascii="Arial" w:hAnsi="Arial" w:cs="Arial"/>
                <w:snapToGrid w:val="0"/>
                <w:sz w:val="20"/>
                <w:szCs w:val="22"/>
                <w:lang w:eastAsia="en-US"/>
              </w:rPr>
            </w:pPr>
          </w:p>
          <w:p w:rsidR="00B91EC4" w:rsidRPr="00B91EC4" w:rsidRDefault="00B91EC4" w:rsidP="00AE5FD8">
            <w:pPr>
              <w:keepNext/>
              <w:widowControl w:val="0"/>
              <w:jc w:val="both"/>
              <w:rPr>
                <w:rFonts w:ascii="Arial" w:hAnsi="Arial" w:cs="Arial"/>
                <w:snapToGrid w:val="0"/>
                <w:sz w:val="20"/>
                <w:szCs w:val="22"/>
                <w:lang w:eastAsia="en-US"/>
              </w:rPr>
            </w:pPr>
            <w:r w:rsidRPr="00B91EC4">
              <w:rPr>
                <w:rFonts w:ascii="Arial" w:hAnsi="Arial" w:cs="Arial"/>
                <w:snapToGrid w:val="0"/>
                <w:sz w:val="20"/>
                <w:szCs w:val="22"/>
                <w:lang w:eastAsia="en-US"/>
              </w:rPr>
              <w:t>SG</w:t>
            </w:r>
          </w:p>
        </w:tc>
      </w:tr>
    </w:tbl>
    <w:p w:rsidR="00B91EC4" w:rsidRPr="00045F94" w:rsidRDefault="00B91EC4" w:rsidP="00B91EC4">
      <w:pPr>
        <w:widowControl w:val="0"/>
        <w:contextualSpacing/>
        <w:jc w:val="both"/>
        <w:rPr>
          <w:rFonts w:ascii="Arial" w:hAnsi="Arial" w:cs="Arial"/>
          <w:snapToGrid w:val="0"/>
          <w:sz w:val="22"/>
          <w:szCs w:val="22"/>
          <w:lang w:eastAsia="en-US"/>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99"/>
      </w:tblGrid>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 xml:space="preserve">Category / </w:t>
            </w: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Program</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Section 100 (Efficient Funding of Chemotherapy (EFC))</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 xml:space="preserve"> for Public/Private Hospital Use</w:t>
            </w: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Prescriber type:</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fldChar w:fldCharType="begin">
                <w:ffData>
                  <w:name w:val="Check1"/>
                  <w:enabled/>
                  <w:calcOnExit w:val="0"/>
                  <w:checkBox>
                    <w:sizeAuto/>
                    <w:default w:val="0"/>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 xml:space="preserve">Dental  </w:t>
            </w:r>
            <w:r w:rsidRPr="00B91EC4">
              <w:rPr>
                <w:rFonts w:ascii="Arial" w:hAnsi="Arial" w:cs="Arial"/>
                <w:snapToGrid w:val="0"/>
                <w:sz w:val="20"/>
                <w:szCs w:val="20"/>
                <w:lang w:eastAsia="en-US"/>
              </w:rPr>
              <w:fldChar w:fldCharType="begin">
                <w:ffData>
                  <w:name w:val=""/>
                  <w:enabled/>
                  <w:calcOnExit w:val="0"/>
                  <w:checkBox>
                    <w:sizeAuto/>
                    <w:default w:val="1"/>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 xml:space="preserve">Medical Practitioners  </w:t>
            </w:r>
            <w:r w:rsidRPr="00B91EC4">
              <w:rPr>
                <w:rFonts w:ascii="Arial" w:hAnsi="Arial" w:cs="Arial"/>
                <w:snapToGrid w:val="0"/>
                <w:sz w:val="20"/>
                <w:szCs w:val="20"/>
                <w:lang w:eastAsia="en-US"/>
              </w:rPr>
              <w:fldChar w:fldCharType="begin">
                <w:ffData>
                  <w:name w:val="Check3"/>
                  <w:enabled/>
                  <w:calcOnExit w:val="0"/>
                  <w:checkBox>
                    <w:sizeAuto/>
                    <w:default w:val="0"/>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 xml:space="preserve">Nurse practitioners  </w:t>
            </w:r>
            <w:r w:rsidRPr="00B91EC4">
              <w:rPr>
                <w:rFonts w:ascii="Arial" w:hAnsi="Arial" w:cs="Arial"/>
                <w:snapToGrid w:val="0"/>
                <w:sz w:val="20"/>
                <w:szCs w:val="20"/>
                <w:lang w:eastAsia="en-US"/>
              </w:rPr>
              <w:fldChar w:fldCharType="begin">
                <w:ffData>
                  <w:name w:val=""/>
                  <w:enabled/>
                  <w:calcOnExit w:val="0"/>
                  <w:checkBox>
                    <w:sizeAuto/>
                    <w:default w:val="0"/>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Optometrists</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fldChar w:fldCharType="begin">
                <w:ffData>
                  <w:name w:val="Check5"/>
                  <w:enabled/>
                  <w:calcOnExit w:val="0"/>
                  <w:checkBox>
                    <w:sizeAuto/>
                    <w:default w:val="0"/>
                  </w:checkBox>
                </w:ffData>
              </w:fldChar>
            </w:r>
            <w:r w:rsidRPr="00B91EC4">
              <w:rPr>
                <w:rFonts w:ascii="Arial" w:hAnsi="Arial" w:cs="Arial"/>
                <w:snapToGrid w:val="0"/>
                <w:sz w:val="20"/>
                <w:szCs w:val="20"/>
                <w:lang w:eastAsia="en-US"/>
              </w:rPr>
              <w:instrText xml:space="preserve"> FORMCHECKBOX </w:instrText>
            </w:r>
            <w:r w:rsidR="00DB2A91">
              <w:rPr>
                <w:rFonts w:ascii="Arial" w:hAnsi="Arial" w:cs="Arial"/>
                <w:snapToGrid w:val="0"/>
                <w:sz w:val="20"/>
                <w:szCs w:val="20"/>
                <w:lang w:eastAsia="en-US"/>
              </w:rPr>
            </w:r>
            <w:r w:rsidR="00DB2A91">
              <w:rPr>
                <w:rFonts w:ascii="Arial" w:hAnsi="Arial" w:cs="Arial"/>
                <w:snapToGrid w:val="0"/>
                <w:sz w:val="20"/>
                <w:szCs w:val="20"/>
                <w:lang w:eastAsia="en-US"/>
              </w:rPr>
              <w:fldChar w:fldCharType="separate"/>
            </w:r>
            <w:r w:rsidRPr="00B91EC4">
              <w:rPr>
                <w:rFonts w:ascii="Arial" w:hAnsi="Arial" w:cs="Arial"/>
                <w:snapToGrid w:val="0"/>
                <w:sz w:val="20"/>
                <w:szCs w:val="20"/>
                <w:lang w:eastAsia="en-US"/>
              </w:rPr>
              <w:fldChar w:fldCharType="end"/>
            </w:r>
            <w:r w:rsidRPr="00B91EC4">
              <w:rPr>
                <w:rFonts w:ascii="Arial" w:hAnsi="Arial" w:cs="Arial"/>
                <w:snapToGrid w:val="0"/>
                <w:sz w:val="20"/>
                <w:szCs w:val="20"/>
                <w:lang w:eastAsia="en-US"/>
              </w:rPr>
              <w:t>Midwives</w:t>
            </w: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Severity: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Metastatic</w:t>
            </w: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Condition: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Colorectal cancer</w:t>
            </w:r>
          </w:p>
        </w:tc>
      </w:tr>
      <w:tr w:rsidR="00B91EC4" w:rsidRPr="00B91EC4" w:rsidTr="00B91EC4">
        <w:tc>
          <w:tcPr>
            <w:tcW w:w="1276" w:type="dxa"/>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Treatment phase:</w:t>
            </w:r>
          </w:p>
        </w:tc>
        <w:tc>
          <w:tcPr>
            <w:tcW w:w="7229" w:type="dxa"/>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Continuing treatment</w:t>
            </w:r>
          </w:p>
        </w:tc>
      </w:tr>
      <w:tr w:rsidR="00B91EC4" w:rsidRPr="00B91EC4" w:rsidTr="00B91EC4">
        <w:tc>
          <w:tcPr>
            <w:tcW w:w="1276" w:type="dxa"/>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Restriction Level / Method:</w:t>
            </w:r>
          </w:p>
        </w:tc>
        <w:tc>
          <w:tcPr>
            <w:tcW w:w="7229" w:type="dxa"/>
            <w:shd w:val="clear" w:color="auto" w:fill="auto"/>
          </w:tcPr>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Check1"/>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Restricted benefit</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Authority Required - In Writing</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Authority Required - Telephone</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Authority Required – Emergency</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fldChar w:fldCharType="begin">
                <w:ffData>
                  <w:name w:val="Check5"/>
                  <w:enabled/>
                  <w:calcOnExit w:val="0"/>
                  <w:checkBox>
                    <w:sizeAuto/>
                    <w:default w:val="0"/>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Authority Required – Electronic</w:t>
            </w:r>
          </w:p>
          <w:p w:rsidR="00B91EC4" w:rsidRPr="00B91EC4" w:rsidRDefault="00B91EC4" w:rsidP="00AE5FD8">
            <w:pPr>
              <w:rPr>
                <w:rFonts w:ascii="Arial" w:hAnsi="Arial" w:cs="Arial"/>
                <w:snapToGrid w:val="0"/>
                <w:sz w:val="20"/>
                <w:szCs w:val="20"/>
              </w:rPr>
            </w:pPr>
            <w:r w:rsidRPr="00B91EC4">
              <w:rPr>
                <w:rFonts w:ascii="Arial" w:hAnsi="Arial" w:cs="Arial"/>
                <w:snapToGrid w:val="0"/>
                <w:sz w:val="20"/>
                <w:szCs w:val="20"/>
              </w:rPr>
              <w:t>OR</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rPr>
              <w:fldChar w:fldCharType="begin">
                <w:ffData>
                  <w:name w:val=""/>
                  <w:enabled/>
                  <w:calcOnExit w:val="0"/>
                  <w:checkBox>
                    <w:sizeAuto/>
                    <w:default w:val="1"/>
                  </w:checkBox>
                </w:ffData>
              </w:fldChar>
            </w:r>
            <w:r w:rsidRPr="00B91EC4">
              <w:rPr>
                <w:rFonts w:ascii="Arial" w:hAnsi="Arial" w:cs="Arial"/>
                <w:snapToGrid w:val="0"/>
                <w:sz w:val="20"/>
                <w:szCs w:val="20"/>
              </w:rPr>
              <w:instrText xml:space="preserve"> FORMCHECKBOX </w:instrText>
            </w:r>
            <w:r w:rsidR="00DB2A91">
              <w:rPr>
                <w:rFonts w:ascii="Arial" w:hAnsi="Arial" w:cs="Arial"/>
                <w:snapToGrid w:val="0"/>
                <w:sz w:val="20"/>
                <w:szCs w:val="20"/>
              </w:rPr>
            </w:r>
            <w:r w:rsidR="00DB2A91">
              <w:rPr>
                <w:rFonts w:ascii="Arial" w:hAnsi="Arial" w:cs="Arial"/>
                <w:snapToGrid w:val="0"/>
                <w:sz w:val="20"/>
                <w:szCs w:val="20"/>
              </w:rPr>
              <w:fldChar w:fldCharType="separate"/>
            </w:r>
            <w:r w:rsidRPr="00B91EC4">
              <w:rPr>
                <w:rFonts w:ascii="Arial" w:hAnsi="Arial" w:cs="Arial"/>
                <w:snapToGrid w:val="0"/>
                <w:sz w:val="20"/>
                <w:szCs w:val="20"/>
              </w:rPr>
              <w:fldChar w:fldCharType="end"/>
            </w:r>
            <w:r w:rsidRPr="00B91EC4">
              <w:rPr>
                <w:rFonts w:ascii="Arial" w:hAnsi="Arial" w:cs="Arial"/>
                <w:snapToGrid w:val="0"/>
                <w:sz w:val="20"/>
                <w:szCs w:val="20"/>
              </w:rPr>
              <w:t>Streamlined</w:t>
            </w:r>
          </w:p>
        </w:tc>
      </w:tr>
      <w:tr w:rsidR="00B91EC4" w:rsidRPr="00B91EC4" w:rsidTr="00B91EC4">
        <w:tc>
          <w:tcPr>
            <w:tcW w:w="1276" w:type="dxa"/>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Clinical criteria:</w:t>
            </w:r>
          </w:p>
        </w:tc>
        <w:tc>
          <w:tcPr>
            <w:tcW w:w="7229" w:type="dxa"/>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 xml:space="preserve">Patient must have received an initial authority prescription for cetuximab for treatment of </w:t>
            </w:r>
            <w:r w:rsidRPr="00B91EC4">
              <w:rPr>
                <w:rFonts w:ascii="Arial" w:hAnsi="Arial" w:cs="Arial"/>
                <w:b/>
                <w:strike/>
                <w:snapToGrid w:val="0"/>
                <w:sz w:val="20"/>
                <w:szCs w:val="20"/>
                <w:lang w:eastAsia="en-US"/>
              </w:rPr>
              <w:t>K-</w:t>
            </w:r>
            <w:r w:rsidRPr="00B91EC4">
              <w:rPr>
                <w:rFonts w:ascii="Arial" w:hAnsi="Arial" w:cs="Arial"/>
                <w:b/>
                <w:snapToGrid w:val="0"/>
                <w:sz w:val="20"/>
                <w:szCs w:val="20"/>
                <w:lang w:eastAsia="en-US"/>
              </w:rPr>
              <w:t>RAS</w:t>
            </w:r>
            <w:r w:rsidRPr="00B91EC4">
              <w:rPr>
                <w:rFonts w:ascii="Arial" w:hAnsi="Arial" w:cs="Arial"/>
                <w:snapToGrid w:val="0"/>
                <w:sz w:val="20"/>
                <w:szCs w:val="20"/>
                <w:lang w:eastAsia="en-US"/>
              </w:rPr>
              <w:t xml:space="preserve"> wild-type metastatic colorectal cancer after failure of first-line chemotherapy,</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AND</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Patient must not have progressive disease,</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AND</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 xml:space="preserve">The treatment must be in combination with </w:t>
            </w:r>
            <w:r w:rsidRPr="00B91EC4">
              <w:rPr>
                <w:rFonts w:ascii="Arial" w:hAnsi="Arial" w:cs="Arial"/>
                <w:b/>
                <w:strike/>
                <w:snapToGrid w:val="0"/>
                <w:sz w:val="20"/>
                <w:szCs w:val="20"/>
                <w:lang w:eastAsia="en-US"/>
              </w:rPr>
              <w:t>irinotecan based</w:t>
            </w:r>
            <w:r w:rsidRPr="00B91EC4">
              <w:rPr>
                <w:rFonts w:ascii="Arial" w:hAnsi="Arial" w:cs="Arial"/>
                <w:snapToGrid w:val="0"/>
                <w:sz w:val="20"/>
                <w:szCs w:val="20"/>
                <w:lang w:eastAsia="en-US"/>
              </w:rPr>
              <w:t xml:space="preserve"> chemotherapy; OR</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The treatment must be as monotherapy,</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lastRenderedPageBreak/>
              <w:t>AND</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The treatment must be the sole PBS-subsidised anti-EGFR antibody therapy for this condition.</w:t>
            </w:r>
          </w:p>
          <w:p w:rsidR="00B91EC4" w:rsidRPr="00B91EC4" w:rsidRDefault="00B91EC4" w:rsidP="00AE5FD8">
            <w:pPr>
              <w:widowControl w:val="0"/>
              <w:jc w:val="both"/>
              <w:rPr>
                <w:rFonts w:ascii="Arial" w:hAnsi="Arial" w:cs="Arial"/>
                <w:snapToGrid w:val="0"/>
                <w:sz w:val="20"/>
                <w:szCs w:val="20"/>
                <w:lang w:eastAsia="en-US"/>
              </w:rPr>
            </w:pP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lastRenderedPageBreak/>
              <w:t>Prescriber Instructions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Patients who have progressive disease on panitumumab are not eligible to receive PBS-subsidised cetuximab.</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Patients who have developed intolerance to panitumumab of a severity necessitating permanent treatment withdrawal are eligible to receive PBS-subsidised cetuximab.</w:t>
            </w:r>
          </w:p>
          <w:p w:rsidR="00B91EC4" w:rsidRPr="00B91EC4" w:rsidRDefault="00B91EC4" w:rsidP="00AE5FD8">
            <w:pPr>
              <w:widowControl w:val="0"/>
              <w:jc w:val="both"/>
              <w:rPr>
                <w:rFonts w:ascii="Arial" w:hAnsi="Arial" w:cs="Arial"/>
                <w:snapToGrid w:val="0"/>
                <w:sz w:val="20"/>
                <w:szCs w:val="20"/>
                <w:lang w:eastAsia="en-US"/>
              </w:rPr>
            </w:pPr>
          </w:p>
        </w:tc>
      </w:tr>
      <w:tr w:rsidR="00B91EC4" w:rsidRPr="00B91EC4" w:rsidTr="00B91EC4">
        <w:tc>
          <w:tcPr>
            <w:tcW w:w="1276"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Administrative advice</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Note</w:t>
            </w:r>
          </w:p>
          <w:p w:rsidR="00B91EC4" w:rsidRPr="00B91EC4" w:rsidRDefault="00B91EC4" w:rsidP="00AE5FD8">
            <w:pPr>
              <w:widowControl w:val="0"/>
              <w:jc w:val="both"/>
              <w:rPr>
                <w:rFonts w:ascii="Arial" w:hAnsi="Arial" w:cs="Arial"/>
                <w:snapToGrid w:val="0"/>
                <w:sz w:val="20"/>
                <w:szCs w:val="20"/>
                <w:lang w:eastAsia="en-US"/>
              </w:rPr>
            </w:pPr>
            <w:r w:rsidRPr="00B91EC4">
              <w:rPr>
                <w:rFonts w:ascii="Arial" w:hAnsi="Arial" w:cs="Arial"/>
                <w:snapToGrid w:val="0"/>
                <w:sz w:val="20"/>
                <w:szCs w:val="20"/>
                <w:lang w:eastAsia="en-US"/>
              </w:rPr>
              <w:t>Special Pricing Arrangements apply.</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Note</w:t>
            </w: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snapToGrid w:val="0"/>
                <w:sz w:val="20"/>
                <w:szCs w:val="20"/>
                <w:lang w:eastAsia="en-US"/>
              </w:rPr>
              <w:t xml:space="preserve">Cetuximab is not PBS-subsidised for use in combination with </w:t>
            </w:r>
            <w:r w:rsidRPr="00B91EC4">
              <w:rPr>
                <w:rFonts w:ascii="Arial" w:hAnsi="Arial" w:cs="Arial"/>
                <w:b/>
                <w:strike/>
                <w:snapToGrid w:val="0"/>
                <w:sz w:val="20"/>
                <w:szCs w:val="20"/>
                <w:lang w:eastAsia="en-US"/>
              </w:rPr>
              <w:t>oxaliplatin-based therapies</w:t>
            </w:r>
            <w:r w:rsidRPr="00B91EC4">
              <w:rPr>
                <w:rFonts w:ascii="Arial" w:hAnsi="Arial" w:cs="Arial"/>
                <w:b/>
                <w:snapToGrid w:val="0"/>
                <w:sz w:val="20"/>
                <w:szCs w:val="20"/>
                <w:lang w:eastAsia="en-US"/>
              </w:rPr>
              <w:t xml:space="preserve"> another anti-EGFR antibody or in combination with an anti-VEGF antibody.</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Note</w:t>
            </w: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Cetuximab is not PBS-subsidised when chemotherapy partners are switched whilst maintaining an anti-EGFR antibody backbone in the face of progressive disease.</w:t>
            </w:r>
          </w:p>
          <w:p w:rsidR="00B91EC4" w:rsidRPr="00B91EC4" w:rsidRDefault="00B91EC4" w:rsidP="00AE5FD8">
            <w:pPr>
              <w:widowControl w:val="0"/>
              <w:jc w:val="both"/>
              <w:rPr>
                <w:rFonts w:ascii="Arial" w:hAnsi="Arial" w:cs="Arial"/>
                <w:snapToGrid w:val="0"/>
                <w:sz w:val="20"/>
                <w:szCs w:val="20"/>
                <w:lang w:eastAsia="en-US"/>
              </w:rPr>
            </w:pP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Note</w:t>
            </w:r>
          </w:p>
          <w:p w:rsidR="00B91EC4" w:rsidRPr="00B91EC4" w:rsidRDefault="00B91EC4" w:rsidP="00AE5FD8">
            <w:pPr>
              <w:widowControl w:val="0"/>
              <w:jc w:val="both"/>
              <w:rPr>
                <w:rFonts w:ascii="Arial" w:hAnsi="Arial" w:cs="Arial"/>
                <w:b/>
                <w:snapToGrid w:val="0"/>
                <w:sz w:val="20"/>
                <w:szCs w:val="20"/>
                <w:lang w:eastAsia="en-US"/>
              </w:rPr>
            </w:pPr>
            <w:r w:rsidRPr="00B91EC4">
              <w:rPr>
                <w:rFonts w:ascii="Arial" w:hAnsi="Arial" w:cs="Arial"/>
                <w:b/>
                <w:snapToGrid w:val="0"/>
                <w:sz w:val="20"/>
                <w:szCs w:val="20"/>
                <w:lang w:eastAsia="en-US"/>
              </w:rPr>
              <w:t>The treatment must not exceed a single course of therapy with cetuximab for metastatic colorectal cancer in a patient’s lifetime.</w:t>
            </w:r>
          </w:p>
          <w:p w:rsidR="00B91EC4" w:rsidRPr="00B91EC4" w:rsidRDefault="00B91EC4" w:rsidP="00AE5FD8">
            <w:pPr>
              <w:widowControl w:val="0"/>
              <w:jc w:val="both"/>
              <w:rPr>
                <w:rFonts w:ascii="Arial" w:hAnsi="Arial" w:cs="Arial"/>
                <w:snapToGrid w:val="0"/>
                <w:sz w:val="20"/>
                <w:szCs w:val="20"/>
                <w:lang w:eastAsia="en-US"/>
              </w:rPr>
            </w:pPr>
          </w:p>
        </w:tc>
      </w:tr>
    </w:tbl>
    <w:p w:rsidR="009D3CAA" w:rsidRDefault="009D3CAA" w:rsidP="009D3CAA">
      <w:pPr>
        <w:rPr>
          <w:rFonts w:ascii="Arial" w:hAnsi="Arial" w:cs="Arial"/>
          <w:sz w:val="22"/>
          <w:szCs w:val="22"/>
        </w:rPr>
      </w:pPr>
    </w:p>
    <w:p w:rsidR="00DC27A9" w:rsidRPr="007D2672" w:rsidRDefault="00DC27A9" w:rsidP="009D3CAA">
      <w:pPr>
        <w:rPr>
          <w:rFonts w:ascii="Arial" w:hAnsi="Arial" w:cs="Arial"/>
          <w:sz w:val="22"/>
          <w:szCs w:val="22"/>
        </w:rPr>
      </w:pPr>
    </w:p>
    <w:p w:rsidR="000D7037" w:rsidRDefault="000D7037" w:rsidP="000D7037">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0D7037" w:rsidRPr="00D4420F" w:rsidRDefault="000D7037" w:rsidP="000D7037">
      <w:pPr>
        <w:pStyle w:val="ListParagraph"/>
        <w:jc w:val="both"/>
        <w:rPr>
          <w:rFonts w:ascii="Arial" w:hAnsi="Arial" w:cs="Arial"/>
          <w:b/>
          <w:sz w:val="22"/>
        </w:rPr>
      </w:pPr>
    </w:p>
    <w:p w:rsidR="000D7037" w:rsidRPr="00D4420F" w:rsidRDefault="000D7037" w:rsidP="000D7037">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D7037" w:rsidRDefault="000D7037" w:rsidP="000D7037">
      <w:pPr>
        <w:jc w:val="both"/>
        <w:rPr>
          <w:rFonts w:ascii="Arial" w:hAnsi="Arial" w:cs="Arial"/>
          <w:sz w:val="22"/>
        </w:rPr>
      </w:pPr>
    </w:p>
    <w:p w:rsidR="00DC27A9" w:rsidRPr="00D4420F" w:rsidRDefault="00DC27A9" w:rsidP="000D7037">
      <w:pPr>
        <w:jc w:val="both"/>
        <w:rPr>
          <w:rFonts w:ascii="Arial" w:hAnsi="Arial" w:cs="Arial"/>
          <w:sz w:val="22"/>
        </w:rPr>
      </w:pPr>
    </w:p>
    <w:p w:rsidR="000D7037" w:rsidRDefault="000D7037" w:rsidP="000D7037">
      <w:pPr>
        <w:pStyle w:val="ListParagraph"/>
        <w:numPr>
          <w:ilvl w:val="0"/>
          <w:numId w:val="25"/>
        </w:numPr>
        <w:jc w:val="both"/>
        <w:rPr>
          <w:rFonts w:ascii="Arial" w:hAnsi="Arial" w:cs="Arial"/>
          <w:b/>
          <w:sz w:val="22"/>
        </w:rPr>
      </w:pPr>
      <w:r w:rsidRPr="00D4420F">
        <w:rPr>
          <w:rFonts w:ascii="Arial" w:hAnsi="Arial" w:cs="Arial"/>
          <w:b/>
          <w:sz w:val="22"/>
        </w:rPr>
        <w:t>Sponsor’s Comment</w:t>
      </w:r>
    </w:p>
    <w:p w:rsidR="006B485D" w:rsidRDefault="006B485D" w:rsidP="001D4910">
      <w:pPr>
        <w:ind w:left="720"/>
        <w:rPr>
          <w:rFonts w:ascii="Arial" w:hAnsi="Arial"/>
          <w:sz w:val="22"/>
          <w:szCs w:val="22"/>
        </w:rPr>
      </w:pPr>
    </w:p>
    <w:p w:rsidR="001D4910" w:rsidRPr="001D4910" w:rsidRDefault="001D4910" w:rsidP="001D4910">
      <w:pPr>
        <w:ind w:left="720"/>
        <w:jc w:val="both"/>
        <w:rPr>
          <w:rFonts w:ascii="Arial" w:hAnsi="Arial" w:cs="Arial"/>
          <w:sz w:val="22"/>
        </w:rPr>
      </w:pPr>
      <w:r w:rsidRPr="001D4910">
        <w:rPr>
          <w:rFonts w:ascii="Arial" w:hAnsi="Arial" w:cs="Arial"/>
          <w:sz w:val="22"/>
        </w:rPr>
        <w:t>Merck Serono is delighted to receive a positive recommendation from the PBAC and looks forward to both cetuximab and bevacizumab being listed on the PBS in all lines of treatment.</w:t>
      </w:r>
    </w:p>
    <w:p w:rsidR="001D4910" w:rsidRPr="001D4910" w:rsidRDefault="001D4910" w:rsidP="001D4910">
      <w:pPr>
        <w:ind w:left="720"/>
        <w:jc w:val="both"/>
        <w:rPr>
          <w:rFonts w:ascii="Arial" w:hAnsi="Arial" w:cs="Arial"/>
          <w:sz w:val="22"/>
        </w:rPr>
      </w:pPr>
    </w:p>
    <w:sectPr w:rsidR="001D4910" w:rsidRPr="001D4910" w:rsidSect="00EC2D4C">
      <w:headerReference w:type="even" r:id="rId14"/>
      <w:headerReference w:type="default" r:id="rId15"/>
      <w:footerReference w:type="even" r:id="rId16"/>
      <w:footerReference w:type="default" r:id="rId17"/>
      <w:footerReference w:type="first" r:id="rId18"/>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1ACF53" w15:done="0"/>
  <w15:commentEx w15:paraId="6769F3CE" w15:done="0"/>
  <w15:commentEx w15:paraId="51DCCFA5" w15:done="0"/>
  <w15:commentEx w15:paraId="2A6A969E" w15:done="0"/>
  <w15:commentEx w15:paraId="56713940" w15:done="0"/>
  <w15:commentEx w15:paraId="56C87405" w15:done="0"/>
  <w15:commentEx w15:paraId="4E4EAA3C" w15:done="0"/>
  <w15:commentEx w15:paraId="18EC1CCD" w15:done="0"/>
  <w15:commentEx w15:paraId="0BA70B1A" w15:done="0"/>
  <w15:commentEx w15:paraId="31733F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28" w:rsidRDefault="00C00328">
      <w:r>
        <w:separator/>
      </w:r>
    </w:p>
  </w:endnote>
  <w:endnote w:type="continuationSeparator" w:id="0">
    <w:p w:rsidR="00C00328" w:rsidRDefault="00C0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E5FD8" w:rsidTr="005A3173">
      <w:trPr>
        <w:trHeight w:val="151"/>
      </w:trPr>
      <w:tc>
        <w:tcPr>
          <w:tcW w:w="2250" w:type="pct"/>
          <w:tcBorders>
            <w:top w:val="nil"/>
            <w:left w:val="nil"/>
            <w:bottom w:val="single" w:sz="4" w:space="0" w:color="4F81BD"/>
            <w:right w:val="nil"/>
          </w:tcBorders>
        </w:tcPr>
        <w:p w:rsidR="00AE5FD8" w:rsidRPr="005A3173" w:rsidRDefault="00AE5FD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E5FD8" w:rsidRPr="005A3173" w:rsidRDefault="00AE5FD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E5FD8" w:rsidRPr="005A3173" w:rsidRDefault="00AE5FD8" w:rsidP="005A3173">
          <w:pPr>
            <w:pStyle w:val="Header"/>
            <w:spacing w:line="276" w:lineRule="auto"/>
            <w:rPr>
              <w:rFonts w:ascii="Calibri" w:eastAsia="MS Gothic" w:hAnsi="Calibri"/>
              <w:b/>
              <w:bCs/>
              <w:color w:val="4F81BD"/>
            </w:rPr>
          </w:pPr>
        </w:p>
      </w:tc>
    </w:tr>
    <w:tr w:rsidR="00AE5FD8" w:rsidTr="005A3173">
      <w:trPr>
        <w:trHeight w:val="150"/>
      </w:trPr>
      <w:tc>
        <w:tcPr>
          <w:tcW w:w="2250" w:type="pct"/>
          <w:tcBorders>
            <w:top w:val="single" w:sz="4" w:space="0" w:color="4F81BD"/>
            <w:left w:val="nil"/>
            <w:bottom w:val="nil"/>
            <w:right w:val="nil"/>
          </w:tcBorders>
        </w:tcPr>
        <w:p w:rsidR="00AE5FD8" w:rsidRPr="005A3173" w:rsidRDefault="00AE5FD8" w:rsidP="005A3173">
          <w:pPr>
            <w:pStyle w:val="Header"/>
            <w:spacing w:line="276" w:lineRule="auto"/>
            <w:rPr>
              <w:rFonts w:ascii="Calibri" w:eastAsia="MS Gothic" w:hAnsi="Calibri"/>
              <w:b/>
              <w:bCs/>
              <w:color w:val="4F81BD"/>
            </w:rPr>
          </w:pPr>
        </w:p>
      </w:tc>
      <w:tc>
        <w:tcPr>
          <w:tcW w:w="0" w:type="auto"/>
          <w:vMerge/>
          <w:vAlign w:val="center"/>
          <w:hideMark/>
        </w:tcPr>
        <w:p w:rsidR="00AE5FD8" w:rsidRPr="005A3173" w:rsidRDefault="00AE5FD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E5FD8" w:rsidRPr="005A3173" w:rsidRDefault="00AE5FD8" w:rsidP="005A3173">
          <w:pPr>
            <w:pStyle w:val="Header"/>
            <w:spacing w:line="276" w:lineRule="auto"/>
            <w:rPr>
              <w:rFonts w:ascii="Calibri" w:eastAsia="MS Gothic" w:hAnsi="Calibri"/>
              <w:b/>
              <w:bCs/>
              <w:color w:val="4F81BD"/>
            </w:rPr>
          </w:pPr>
        </w:p>
      </w:tc>
    </w:tr>
  </w:tbl>
  <w:p w:rsidR="00AE5FD8" w:rsidRDefault="00AE5FD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AE5FD8" w:rsidRDefault="00AE5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AE5FD8" w:rsidRDefault="00AE5FD8">
        <w:pPr>
          <w:pStyle w:val="Footer"/>
          <w:jc w:val="center"/>
        </w:pPr>
      </w:p>
      <w:p w:rsidR="00AE5FD8" w:rsidRPr="00651169" w:rsidRDefault="00AE5FD8">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DB2A91">
          <w:rPr>
            <w:rFonts w:ascii="Arial" w:hAnsi="Arial" w:cs="Arial"/>
            <w:noProof/>
            <w:sz w:val="20"/>
            <w:szCs w:val="20"/>
          </w:rPr>
          <w:t>1</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E5FD8" w:rsidTr="005A3173">
      <w:trPr>
        <w:trHeight w:val="151"/>
      </w:trPr>
      <w:tc>
        <w:tcPr>
          <w:tcW w:w="2250" w:type="pct"/>
          <w:tcBorders>
            <w:top w:val="nil"/>
            <w:left w:val="nil"/>
            <w:bottom w:val="single" w:sz="4" w:space="0" w:color="4F81BD"/>
            <w:right w:val="nil"/>
          </w:tcBorders>
        </w:tcPr>
        <w:p w:rsidR="00AE5FD8" w:rsidRPr="005A3173" w:rsidRDefault="00AE5FD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E5FD8" w:rsidRPr="005A3173" w:rsidRDefault="00AE5FD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E5FD8" w:rsidRPr="005A3173" w:rsidRDefault="00AE5FD8" w:rsidP="005A3173">
          <w:pPr>
            <w:pStyle w:val="Header"/>
            <w:spacing w:line="276" w:lineRule="auto"/>
            <w:rPr>
              <w:rFonts w:ascii="Calibri" w:eastAsia="MS Gothic" w:hAnsi="Calibri"/>
              <w:b/>
              <w:bCs/>
              <w:color w:val="4F81BD"/>
            </w:rPr>
          </w:pPr>
        </w:p>
      </w:tc>
    </w:tr>
    <w:tr w:rsidR="00AE5FD8" w:rsidTr="005A3173">
      <w:trPr>
        <w:trHeight w:val="150"/>
      </w:trPr>
      <w:tc>
        <w:tcPr>
          <w:tcW w:w="2250" w:type="pct"/>
          <w:tcBorders>
            <w:top w:val="single" w:sz="4" w:space="0" w:color="4F81BD"/>
            <w:left w:val="nil"/>
            <w:bottom w:val="nil"/>
            <w:right w:val="nil"/>
          </w:tcBorders>
        </w:tcPr>
        <w:p w:rsidR="00AE5FD8" w:rsidRPr="005A3173" w:rsidRDefault="00AE5FD8" w:rsidP="005A3173">
          <w:pPr>
            <w:pStyle w:val="Header"/>
            <w:spacing w:line="276" w:lineRule="auto"/>
            <w:rPr>
              <w:rFonts w:ascii="Calibri" w:eastAsia="MS Gothic" w:hAnsi="Calibri"/>
              <w:b/>
              <w:bCs/>
              <w:color w:val="4F81BD"/>
            </w:rPr>
          </w:pPr>
        </w:p>
      </w:tc>
      <w:tc>
        <w:tcPr>
          <w:tcW w:w="0" w:type="auto"/>
          <w:vMerge/>
          <w:vAlign w:val="center"/>
          <w:hideMark/>
        </w:tcPr>
        <w:p w:rsidR="00AE5FD8" w:rsidRPr="005A3173" w:rsidRDefault="00AE5FD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E5FD8" w:rsidRPr="005A3173" w:rsidRDefault="00AE5FD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E5FD8" w:rsidTr="005A3173">
      <w:trPr>
        <w:trHeight w:val="151"/>
      </w:trPr>
      <w:tc>
        <w:tcPr>
          <w:tcW w:w="2250" w:type="pct"/>
          <w:tcBorders>
            <w:top w:val="nil"/>
            <w:left w:val="nil"/>
            <w:bottom w:val="single" w:sz="4" w:space="0" w:color="4F81BD"/>
            <w:right w:val="nil"/>
          </w:tcBorders>
        </w:tcPr>
        <w:p w:rsidR="00AE5FD8" w:rsidRPr="005A3173" w:rsidRDefault="00AE5FD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E5FD8" w:rsidRPr="005A3173" w:rsidRDefault="00AE5FD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E5FD8" w:rsidRPr="005A3173" w:rsidRDefault="00AE5FD8" w:rsidP="005A3173">
          <w:pPr>
            <w:pStyle w:val="Header"/>
            <w:spacing w:line="276" w:lineRule="auto"/>
            <w:rPr>
              <w:rFonts w:ascii="Calibri" w:eastAsia="MS Gothic" w:hAnsi="Calibri"/>
              <w:b/>
              <w:bCs/>
              <w:color w:val="4F81BD"/>
            </w:rPr>
          </w:pPr>
        </w:p>
      </w:tc>
    </w:tr>
    <w:tr w:rsidR="00AE5FD8" w:rsidTr="005A3173">
      <w:trPr>
        <w:trHeight w:val="150"/>
      </w:trPr>
      <w:tc>
        <w:tcPr>
          <w:tcW w:w="2250" w:type="pct"/>
          <w:tcBorders>
            <w:top w:val="single" w:sz="4" w:space="0" w:color="4F81BD"/>
            <w:left w:val="nil"/>
            <w:bottom w:val="nil"/>
            <w:right w:val="nil"/>
          </w:tcBorders>
        </w:tcPr>
        <w:p w:rsidR="00AE5FD8" w:rsidRPr="005A3173" w:rsidRDefault="00AE5FD8" w:rsidP="005A3173">
          <w:pPr>
            <w:pStyle w:val="Header"/>
            <w:spacing w:line="276" w:lineRule="auto"/>
            <w:rPr>
              <w:rFonts w:ascii="Calibri" w:eastAsia="MS Gothic" w:hAnsi="Calibri"/>
              <w:b/>
              <w:bCs/>
              <w:color w:val="4F81BD"/>
            </w:rPr>
          </w:pPr>
        </w:p>
      </w:tc>
      <w:tc>
        <w:tcPr>
          <w:tcW w:w="0" w:type="auto"/>
          <w:vMerge/>
          <w:vAlign w:val="center"/>
          <w:hideMark/>
        </w:tcPr>
        <w:p w:rsidR="00AE5FD8" w:rsidRPr="005A3173" w:rsidRDefault="00AE5FD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E5FD8" w:rsidRPr="005A3173" w:rsidRDefault="00AE5FD8" w:rsidP="005A3173">
          <w:pPr>
            <w:pStyle w:val="Header"/>
            <w:spacing w:line="276" w:lineRule="auto"/>
            <w:rPr>
              <w:rFonts w:ascii="Calibri" w:eastAsia="MS Gothic" w:hAnsi="Calibri"/>
              <w:b/>
              <w:bCs/>
              <w:color w:val="4F81BD"/>
            </w:rPr>
          </w:pPr>
        </w:p>
      </w:tc>
    </w:tr>
  </w:tbl>
  <w:p w:rsidR="00AE5FD8" w:rsidRPr="007C0F57" w:rsidRDefault="00AE5FD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sidRPr="007C0F57">
      <w:rPr>
        <w:b/>
        <w:i/>
        <w:sz w:val="20"/>
        <w:szCs w:val="20"/>
      </w:rPr>
      <w:t>BAC Meeting</w:t>
    </w:r>
  </w:p>
  <w:p w:rsidR="00AE5FD8" w:rsidRPr="007C0F57" w:rsidRDefault="00AE5FD8"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28" w:rsidRDefault="00C00328">
      <w:r>
        <w:separator/>
      </w:r>
    </w:p>
  </w:footnote>
  <w:footnote w:type="continuationSeparator" w:id="0">
    <w:p w:rsidR="00C00328" w:rsidRDefault="00C00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E5FD8" w:rsidRPr="008E0D90" w:rsidTr="00A06225">
      <w:trPr>
        <w:trHeight w:val="151"/>
      </w:trPr>
      <w:tc>
        <w:tcPr>
          <w:tcW w:w="2389" w:type="pct"/>
          <w:tcBorders>
            <w:top w:val="nil"/>
            <w:left w:val="nil"/>
            <w:bottom w:val="single" w:sz="4" w:space="0" w:color="4F81BD"/>
            <w:right w:val="nil"/>
          </w:tcBorders>
        </w:tcPr>
        <w:p w:rsidR="00AE5FD8" w:rsidRPr="00A06225" w:rsidRDefault="00AE5FD8">
          <w:pPr>
            <w:pStyle w:val="Header"/>
            <w:spacing w:line="276" w:lineRule="auto"/>
            <w:rPr>
              <w:rFonts w:ascii="Cambria" w:eastAsia="MS Gothic" w:hAnsi="Cambria"/>
              <w:b/>
              <w:bCs/>
              <w:color w:val="4F81BD"/>
            </w:rPr>
          </w:pPr>
        </w:p>
      </w:tc>
      <w:tc>
        <w:tcPr>
          <w:tcW w:w="333" w:type="pct"/>
          <w:vMerge w:val="restart"/>
          <w:noWrap/>
          <w:vAlign w:val="center"/>
          <w:hideMark/>
        </w:tcPr>
        <w:p w:rsidR="00AE5FD8" w:rsidRPr="00A06225" w:rsidRDefault="00AE5FD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E5FD8" w:rsidRPr="00A06225" w:rsidRDefault="00AE5FD8">
          <w:pPr>
            <w:pStyle w:val="Header"/>
            <w:spacing w:line="276" w:lineRule="auto"/>
            <w:rPr>
              <w:rFonts w:ascii="Cambria" w:eastAsia="MS Gothic" w:hAnsi="Cambria"/>
              <w:b/>
              <w:bCs/>
              <w:color w:val="4F81BD"/>
            </w:rPr>
          </w:pPr>
        </w:p>
      </w:tc>
    </w:tr>
    <w:tr w:rsidR="00AE5FD8" w:rsidRPr="008E0D90" w:rsidTr="00A06225">
      <w:trPr>
        <w:trHeight w:val="150"/>
      </w:trPr>
      <w:tc>
        <w:tcPr>
          <w:tcW w:w="2389" w:type="pct"/>
          <w:tcBorders>
            <w:top w:val="single" w:sz="4" w:space="0" w:color="4F81BD"/>
            <w:left w:val="nil"/>
            <w:bottom w:val="nil"/>
            <w:right w:val="nil"/>
          </w:tcBorders>
        </w:tcPr>
        <w:p w:rsidR="00AE5FD8" w:rsidRPr="00A06225" w:rsidRDefault="00AE5FD8">
          <w:pPr>
            <w:pStyle w:val="Header"/>
            <w:spacing w:line="276" w:lineRule="auto"/>
            <w:rPr>
              <w:rFonts w:ascii="Cambria" w:eastAsia="MS Gothic" w:hAnsi="Cambria"/>
              <w:b/>
              <w:bCs/>
              <w:color w:val="4F81BD"/>
            </w:rPr>
          </w:pPr>
        </w:p>
      </w:tc>
      <w:tc>
        <w:tcPr>
          <w:tcW w:w="0" w:type="auto"/>
          <w:vMerge/>
          <w:vAlign w:val="center"/>
          <w:hideMark/>
        </w:tcPr>
        <w:p w:rsidR="00AE5FD8" w:rsidRPr="00A06225" w:rsidRDefault="00AE5FD8">
          <w:pPr>
            <w:rPr>
              <w:rFonts w:ascii="Cambria" w:hAnsi="Cambria"/>
              <w:color w:val="4F81BD"/>
              <w:sz w:val="22"/>
              <w:szCs w:val="22"/>
            </w:rPr>
          </w:pPr>
        </w:p>
      </w:tc>
      <w:tc>
        <w:tcPr>
          <w:tcW w:w="2278" w:type="pct"/>
          <w:tcBorders>
            <w:top w:val="single" w:sz="4" w:space="0" w:color="4F81BD"/>
            <w:left w:val="nil"/>
            <w:bottom w:val="nil"/>
            <w:right w:val="nil"/>
          </w:tcBorders>
        </w:tcPr>
        <w:p w:rsidR="00AE5FD8" w:rsidRPr="00A06225" w:rsidRDefault="00AE5FD8">
          <w:pPr>
            <w:pStyle w:val="Header"/>
            <w:spacing w:line="276" w:lineRule="auto"/>
            <w:rPr>
              <w:rFonts w:ascii="Cambria" w:eastAsia="MS Gothic" w:hAnsi="Cambria"/>
              <w:b/>
              <w:bCs/>
              <w:color w:val="4F81BD"/>
            </w:rPr>
          </w:pPr>
        </w:p>
      </w:tc>
    </w:tr>
  </w:tbl>
  <w:p w:rsidR="00AE5FD8" w:rsidRDefault="00AE5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D8" w:rsidRPr="00DF217D" w:rsidRDefault="00AE5FD8" w:rsidP="009602C5">
    <w:pPr>
      <w:pStyle w:val="Header"/>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November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AE5FD8" w:rsidRPr="00DF217D" w:rsidRDefault="00AE5FD8"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94ACA"/>
    <w:multiLevelType w:val="hybridMultilevel"/>
    <w:tmpl w:val="E6EA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B724DEA"/>
    <w:multiLevelType w:val="hybridMultilevel"/>
    <w:tmpl w:val="7A5EF600"/>
    <w:lvl w:ilvl="0" w:tplc="0C090001">
      <w:start w:val="1"/>
      <w:numFmt w:val="bullet"/>
      <w:lvlText w:val=""/>
      <w:lvlJc w:val="left"/>
      <w:pPr>
        <w:ind w:left="1449" w:hanging="360"/>
      </w:pPr>
      <w:rPr>
        <w:rFonts w:ascii="Symbol" w:hAnsi="Symbol" w:hint="default"/>
      </w:rPr>
    </w:lvl>
    <w:lvl w:ilvl="1" w:tplc="0C090003" w:tentative="1">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0FAC787D"/>
    <w:multiLevelType w:val="hybridMultilevel"/>
    <w:tmpl w:val="AF3057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0">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923580D"/>
    <w:multiLevelType w:val="hybridMultilevel"/>
    <w:tmpl w:val="7D12B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D74E4F"/>
    <w:multiLevelType w:val="hybridMultilevel"/>
    <w:tmpl w:val="E0165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F2E6708"/>
    <w:multiLevelType w:val="hybridMultilevel"/>
    <w:tmpl w:val="4D36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9">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9054F4A"/>
    <w:multiLevelType w:val="hybridMultilevel"/>
    <w:tmpl w:val="2DB83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9BC5196"/>
    <w:multiLevelType w:val="multilevel"/>
    <w:tmpl w:val="BE16E16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8F02AE1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8"/>
  </w:num>
  <w:num w:numId="3">
    <w:abstractNumId w:val="22"/>
  </w:num>
  <w:num w:numId="4">
    <w:abstractNumId w:val="0"/>
  </w:num>
  <w:num w:numId="5">
    <w:abstractNumId w:val="7"/>
  </w:num>
  <w:num w:numId="6">
    <w:abstractNumId w:val="20"/>
  </w:num>
  <w:num w:numId="7">
    <w:abstractNumId w:val="18"/>
  </w:num>
  <w:num w:numId="8">
    <w:abstractNumId w:val="6"/>
  </w:num>
  <w:num w:numId="9">
    <w:abstractNumId w:val="10"/>
  </w:num>
  <w:num w:numId="10">
    <w:abstractNumId w:val="36"/>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9"/>
  </w:num>
  <w:num w:numId="15">
    <w:abstractNumId w:val="31"/>
  </w:num>
  <w:num w:numId="16">
    <w:abstractNumId w:val="27"/>
  </w:num>
  <w:num w:numId="17">
    <w:abstractNumId w:val="41"/>
  </w:num>
  <w:num w:numId="18">
    <w:abstractNumId w:val="14"/>
  </w:num>
  <w:num w:numId="19">
    <w:abstractNumId w:val="19"/>
  </w:num>
  <w:num w:numId="20">
    <w:abstractNumId w:val="5"/>
  </w:num>
  <w:num w:numId="21">
    <w:abstractNumId w:val="35"/>
  </w:num>
  <w:num w:numId="22">
    <w:abstractNumId w:val="37"/>
  </w:num>
  <w:num w:numId="23">
    <w:abstractNumId w:val="43"/>
  </w:num>
  <w:num w:numId="24">
    <w:abstractNumId w:val="17"/>
  </w:num>
  <w:num w:numId="25">
    <w:abstractNumId w:val="42"/>
  </w:num>
  <w:num w:numId="26">
    <w:abstractNumId w:val="33"/>
  </w:num>
  <w:num w:numId="27">
    <w:abstractNumId w:val="13"/>
  </w:num>
  <w:num w:numId="28">
    <w:abstractNumId w:val="9"/>
  </w:num>
  <w:num w:numId="29">
    <w:abstractNumId w:val="29"/>
  </w:num>
  <w:num w:numId="30">
    <w:abstractNumId w:val="3"/>
  </w:num>
  <w:num w:numId="31">
    <w:abstractNumId w:val="30"/>
  </w:num>
  <w:num w:numId="32">
    <w:abstractNumId w:val="40"/>
  </w:num>
  <w:num w:numId="33">
    <w:abstractNumId w:val="28"/>
  </w:num>
  <w:num w:numId="34">
    <w:abstractNumId w:val="44"/>
  </w:num>
  <w:num w:numId="35">
    <w:abstractNumId w:val="12"/>
  </w:num>
  <w:num w:numId="36">
    <w:abstractNumId w:val="25"/>
  </w:num>
  <w:num w:numId="37">
    <w:abstractNumId w:val="34"/>
  </w:num>
  <w:num w:numId="38">
    <w:abstractNumId w:val="26"/>
  </w:num>
  <w:num w:numId="39">
    <w:abstractNumId w:val="24"/>
  </w:num>
  <w:num w:numId="40">
    <w:abstractNumId w:val="8"/>
  </w:num>
  <w:num w:numId="41">
    <w:abstractNumId w:val="1"/>
  </w:num>
  <w:num w:numId="42">
    <w:abstractNumId w:val="4"/>
  </w:num>
  <w:num w:numId="43">
    <w:abstractNumId w:val="32"/>
  </w:num>
  <w:num w:numId="44">
    <w:abstractNumId w:val="2"/>
  </w:num>
  <w:num w:numId="45">
    <w:abstractNumId w:val="16"/>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3465"/>
    <w:rsid w:val="00017811"/>
    <w:rsid w:val="0002464A"/>
    <w:rsid w:val="0003106B"/>
    <w:rsid w:val="000421A1"/>
    <w:rsid w:val="0004240E"/>
    <w:rsid w:val="00045E26"/>
    <w:rsid w:val="00046673"/>
    <w:rsid w:val="000476DA"/>
    <w:rsid w:val="000514B5"/>
    <w:rsid w:val="00060E64"/>
    <w:rsid w:val="00064BBB"/>
    <w:rsid w:val="00066755"/>
    <w:rsid w:val="00067D2D"/>
    <w:rsid w:val="00081703"/>
    <w:rsid w:val="000969AD"/>
    <w:rsid w:val="00096E5B"/>
    <w:rsid w:val="000A0D15"/>
    <w:rsid w:val="000B5313"/>
    <w:rsid w:val="000B558D"/>
    <w:rsid w:val="000B57F1"/>
    <w:rsid w:val="000C33EA"/>
    <w:rsid w:val="000C6996"/>
    <w:rsid w:val="000D23BA"/>
    <w:rsid w:val="000D7037"/>
    <w:rsid w:val="000E681E"/>
    <w:rsid w:val="000E6901"/>
    <w:rsid w:val="000F15C2"/>
    <w:rsid w:val="000F25E8"/>
    <w:rsid w:val="000F4E6A"/>
    <w:rsid w:val="000F7F96"/>
    <w:rsid w:val="001107BF"/>
    <w:rsid w:val="0012417C"/>
    <w:rsid w:val="00142395"/>
    <w:rsid w:val="00142714"/>
    <w:rsid w:val="001452ED"/>
    <w:rsid w:val="00150315"/>
    <w:rsid w:val="001512FE"/>
    <w:rsid w:val="00173C8B"/>
    <w:rsid w:val="001830CE"/>
    <w:rsid w:val="0019497B"/>
    <w:rsid w:val="00195639"/>
    <w:rsid w:val="00196307"/>
    <w:rsid w:val="001B017F"/>
    <w:rsid w:val="001B5129"/>
    <w:rsid w:val="001C1195"/>
    <w:rsid w:val="001D35B4"/>
    <w:rsid w:val="001D4910"/>
    <w:rsid w:val="001D7154"/>
    <w:rsid w:val="001E2238"/>
    <w:rsid w:val="001F0982"/>
    <w:rsid w:val="001F4480"/>
    <w:rsid w:val="00203E20"/>
    <w:rsid w:val="00213CFB"/>
    <w:rsid w:val="0021412C"/>
    <w:rsid w:val="00225195"/>
    <w:rsid w:val="0022537F"/>
    <w:rsid w:val="00271BA1"/>
    <w:rsid w:val="00277505"/>
    <w:rsid w:val="0029458F"/>
    <w:rsid w:val="002A104C"/>
    <w:rsid w:val="002A4960"/>
    <w:rsid w:val="002B1AE6"/>
    <w:rsid w:val="002B30F8"/>
    <w:rsid w:val="002C1152"/>
    <w:rsid w:val="002C212F"/>
    <w:rsid w:val="002D6FF7"/>
    <w:rsid w:val="002E07CB"/>
    <w:rsid w:val="002E6C1B"/>
    <w:rsid w:val="002E72CA"/>
    <w:rsid w:val="00301259"/>
    <w:rsid w:val="00312272"/>
    <w:rsid w:val="003142B4"/>
    <w:rsid w:val="00326E79"/>
    <w:rsid w:val="003367EF"/>
    <w:rsid w:val="00341AE4"/>
    <w:rsid w:val="0034629E"/>
    <w:rsid w:val="00347413"/>
    <w:rsid w:val="00354BF6"/>
    <w:rsid w:val="00355E4A"/>
    <w:rsid w:val="00370594"/>
    <w:rsid w:val="00370950"/>
    <w:rsid w:val="00387EC8"/>
    <w:rsid w:val="003A5B4A"/>
    <w:rsid w:val="003B23C5"/>
    <w:rsid w:val="003B2A75"/>
    <w:rsid w:val="003D4AC4"/>
    <w:rsid w:val="003D63B7"/>
    <w:rsid w:val="003E06D9"/>
    <w:rsid w:val="003E468B"/>
    <w:rsid w:val="003F5C8C"/>
    <w:rsid w:val="00402CD0"/>
    <w:rsid w:val="004465BD"/>
    <w:rsid w:val="004529A1"/>
    <w:rsid w:val="004634F9"/>
    <w:rsid w:val="00463AE1"/>
    <w:rsid w:val="004646DD"/>
    <w:rsid w:val="00466ADA"/>
    <w:rsid w:val="004769EB"/>
    <w:rsid w:val="004803EE"/>
    <w:rsid w:val="0048556D"/>
    <w:rsid w:val="00485940"/>
    <w:rsid w:val="004967ED"/>
    <w:rsid w:val="004A6A1E"/>
    <w:rsid w:val="004B227F"/>
    <w:rsid w:val="004B5640"/>
    <w:rsid w:val="004C0541"/>
    <w:rsid w:val="004C16E8"/>
    <w:rsid w:val="004C1BD7"/>
    <w:rsid w:val="004C691D"/>
    <w:rsid w:val="004D6C59"/>
    <w:rsid w:val="004E692D"/>
    <w:rsid w:val="005042E8"/>
    <w:rsid w:val="00510CDB"/>
    <w:rsid w:val="00514CD7"/>
    <w:rsid w:val="00522796"/>
    <w:rsid w:val="005229CB"/>
    <w:rsid w:val="00534E2E"/>
    <w:rsid w:val="00544552"/>
    <w:rsid w:val="0054663E"/>
    <w:rsid w:val="00555655"/>
    <w:rsid w:val="00560206"/>
    <w:rsid w:val="00573ADB"/>
    <w:rsid w:val="00575461"/>
    <w:rsid w:val="00581932"/>
    <w:rsid w:val="0058764A"/>
    <w:rsid w:val="005963BB"/>
    <w:rsid w:val="005A1344"/>
    <w:rsid w:val="005A3173"/>
    <w:rsid w:val="005A3223"/>
    <w:rsid w:val="005A3C17"/>
    <w:rsid w:val="005A3DA3"/>
    <w:rsid w:val="005A52C4"/>
    <w:rsid w:val="005B0FF3"/>
    <w:rsid w:val="005B1A2D"/>
    <w:rsid w:val="005B26F8"/>
    <w:rsid w:val="005B5B1D"/>
    <w:rsid w:val="005C5697"/>
    <w:rsid w:val="005D03AB"/>
    <w:rsid w:val="005D0BB6"/>
    <w:rsid w:val="005D2B4E"/>
    <w:rsid w:val="005D5017"/>
    <w:rsid w:val="005E1FEE"/>
    <w:rsid w:val="005E77F5"/>
    <w:rsid w:val="005F4226"/>
    <w:rsid w:val="00601A91"/>
    <w:rsid w:val="00602BA3"/>
    <w:rsid w:val="006065E1"/>
    <w:rsid w:val="00614159"/>
    <w:rsid w:val="006178FA"/>
    <w:rsid w:val="00617C00"/>
    <w:rsid w:val="00621F12"/>
    <w:rsid w:val="006263BF"/>
    <w:rsid w:val="00630A2C"/>
    <w:rsid w:val="00645F6A"/>
    <w:rsid w:val="00651169"/>
    <w:rsid w:val="00653D69"/>
    <w:rsid w:val="00670A76"/>
    <w:rsid w:val="006711AA"/>
    <w:rsid w:val="00672649"/>
    <w:rsid w:val="00675622"/>
    <w:rsid w:val="006828D4"/>
    <w:rsid w:val="006906DB"/>
    <w:rsid w:val="006A12A5"/>
    <w:rsid w:val="006A5F01"/>
    <w:rsid w:val="006B0D94"/>
    <w:rsid w:val="006B26F0"/>
    <w:rsid w:val="006B485D"/>
    <w:rsid w:val="006B766D"/>
    <w:rsid w:val="006C708E"/>
    <w:rsid w:val="006D6EC7"/>
    <w:rsid w:val="006F01EC"/>
    <w:rsid w:val="006F5125"/>
    <w:rsid w:val="007109F9"/>
    <w:rsid w:val="007174BB"/>
    <w:rsid w:val="0073381B"/>
    <w:rsid w:val="00743014"/>
    <w:rsid w:val="007678E2"/>
    <w:rsid w:val="007753C2"/>
    <w:rsid w:val="007838B8"/>
    <w:rsid w:val="007A601A"/>
    <w:rsid w:val="007C0F57"/>
    <w:rsid w:val="007C40B6"/>
    <w:rsid w:val="007C728B"/>
    <w:rsid w:val="007C729F"/>
    <w:rsid w:val="007D2672"/>
    <w:rsid w:val="007D641D"/>
    <w:rsid w:val="007E0833"/>
    <w:rsid w:val="007E1974"/>
    <w:rsid w:val="007E1D28"/>
    <w:rsid w:val="007F2641"/>
    <w:rsid w:val="007F7C36"/>
    <w:rsid w:val="00806796"/>
    <w:rsid w:val="00823FDD"/>
    <w:rsid w:val="008545B9"/>
    <w:rsid w:val="00856DDD"/>
    <w:rsid w:val="00863E68"/>
    <w:rsid w:val="00866DBE"/>
    <w:rsid w:val="00880058"/>
    <w:rsid w:val="00882085"/>
    <w:rsid w:val="00883188"/>
    <w:rsid w:val="00887C60"/>
    <w:rsid w:val="00897D58"/>
    <w:rsid w:val="008A4937"/>
    <w:rsid w:val="008B1600"/>
    <w:rsid w:val="008B735F"/>
    <w:rsid w:val="008D3C82"/>
    <w:rsid w:val="008D447E"/>
    <w:rsid w:val="008E3680"/>
    <w:rsid w:val="008E51CC"/>
    <w:rsid w:val="008E5870"/>
    <w:rsid w:val="008E6E51"/>
    <w:rsid w:val="008F1434"/>
    <w:rsid w:val="008F3164"/>
    <w:rsid w:val="008F3AE8"/>
    <w:rsid w:val="008F3B93"/>
    <w:rsid w:val="008F7355"/>
    <w:rsid w:val="00903A99"/>
    <w:rsid w:val="009067B7"/>
    <w:rsid w:val="0091569E"/>
    <w:rsid w:val="00923082"/>
    <w:rsid w:val="0092695A"/>
    <w:rsid w:val="00930937"/>
    <w:rsid w:val="00933E6C"/>
    <w:rsid w:val="00942160"/>
    <w:rsid w:val="009602C5"/>
    <w:rsid w:val="00967D02"/>
    <w:rsid w:val="00974C21"/>
    <w:rsid w:val="009815C6"/>
    <w:rsid w:val="009C454C"/>
    <w:rsid w:val="009C703C"/>
    <w:rsid w:val="009D0033"/>
    <w:rsid w:val="009D1187"/>
    <w:rsid w:val="009D3CAA"/>
    <w:rsid w:val="009F5B65"/>
    <w:rsid w:val="009F5F2E"/>
    <w:rsid w:val="009F7FC4"/>
    <w:rsid w:val="00A06225"/>
    <w:rsid w:val="00A117E8"/>
    <w:rsid w:val="00A1420E"/>
    <w:rsid w:val="00A207D4"/>
    <w:rsid w:val="00A233CD"/>
    <w:rsid w:val="00A25C06"/>
    <w:rsid w:val="00A37C8D"/>
    <w:rsid w:val="00A5273B"/>
    <w:rsid w:val="00A53A9D"/>
    <w:rsid w:val="00A62C1A"/>
    <w:rsid w:val="00A6426D"/>
    <w:rsid w:val="00A70622"/>
    <w:rsid w:val="00A70977"/>
    <w:rsid w:val="00A8390C"/>
    <w:rsid w:val="00AA4D1C"/>
    <w:rsid w:val="00AB46FE"/>
    <w:rsid w:val="00AC18AE"/>
    <w:rsid w:val="00AC5206"/>
    <w:rsid w:val="00AE11A5"/>
    <w:rsid w:val="00AE1CA8"/>
    <w:rsid w:val="00AE5BB6"/>
    <w:rsid w:val="00AE5FD8"/>
    <w:rsid w:val="00AF68CC"/>
    <w:rsid w:val="00B06785"/>
    <w:rsid w:val="00B120F5"/>
    <w:rsid w:val="00B205AA"/>
    <w:rsid w:val="00B25F75"/>
    <w:rsid w:val="00B331FF"/>
    <w:rsid w:val="00B43E90"/>
    <w:rsid w:val="00B56118"/>
    <w:rsid w:val="00B6773F"/>
    <w:rsid w:val="00B87F39"/>
    <w:rsid w:val="00B91EC4"/>
    <w:rsid w:val="00BB69F5"/>
    <w:rsid w:val="00BB7EC3"/>
    <w:rsid w:val="00BC4B9A"/>
    <w:rsid w:val="00BC4EDA"/>
    <w:rsid w:val="00BD1D5A"/>
    <w:rsid w:val="00BD784C"/>
    <w:rsid w:val="00BF3102"/>
    <w:rsid w:val="00BF4CB6"/>
    <w:rsid w:val="00BF7773"/>
    <w:rsid w:val="00C00328"/>
    <w:rsid w:val="00C06316"/>
    <w:rsid w:val="00C12768"/>
    <w:rsid w:val="00C306B1"/>
    <w:rsid w:val="00C35996"/>
    <w:rsid w:val="00C5342C"/>
    <w:rsid w:val="00C559EC"/>
    <w:rsid w:val="00C572B7"/>
    <w:rsid w:val="00C6256A"/>
    <w:rsid w:val="00C71EC7"/>
    <w:rsid w:val="00C8072F"/>
    <w:rsid w:val="00C902B8"/>
    <w:rsid w:val="00C9093D"/>
    <w:rsid w:val="00C91449"/>
    <w:rsid w:val="00C92D10"/>
    <w:rsid w:val="00CA6005"/>
    <w:rsid w:val="00CB49D2"/>
    <w:rsid w:val="00CE10C4"/>
    <w:rsid w:val="00CE27B5"/>
    <w:rsid w:val="00CE5D68"/>
    <w:rsid w:val="00CE5F2B"/>
    <w:rsid w:val="00CE72C8"/>
    <w:rsid w:val="00D0321E"/>
    <w:rsid w:val="00D17E66"/>
    <w:rsid w:val="00D254B1"/>
    <w:rsid w:val="00D3280C"/>
    <w:rsid w:val="00D339D5"/>
    <w:rsid w:val="00D3406A"/>
    <w:rsid w:val="00D37EE1"/>
    <w:rsid w:val="00D45300"/>
    <w:rsid w:val="00D457FF"/>
    <w:rsid w:val="00D469B2"/>
    <w:rsid w:val="00D479CB"/>
    <w:rsid w:val="00D47BF9"/>
    <w:rsid w:val="00D61685"/>
    <w:rsid w:val="00D741EB"/>
    <w:rsid w:val="00D83162"/>
    <w:rsid w:val="00D91271"/>
    <w:rsid w:val="00D9374A"/>
    <w:rsid w:val="00DA4BAC"/>
    <w:rsid w:val="00DB2A91"/>
    <w:rsid w:val="00DC27A9"/>
    <w:rsid w:val="00DE4C89"/>
    <w:rsid w:val="00DE6D27"/>
    <w:rsid w:val="00DF217D"/>
    <w:rsid w:val="00DF26A7"/>
    <w:rsid w:val="00E164B3"/>
    <w:rsid w:val="00E16910"/>
    <w:rsid w:val="00E434D8"/>
    <w:rsid w:val="00E46123"/>
    <w:rsid w:val="00E65E54"/>
    <w:rsid w:val="00E80155"/>
    <w:rsid w:val="00E848C0"/>
    <w:rsid w:val="00E91B96"/>
    <w:rsid w:val="00E933B3"/>
    <w:rsid w:val="00E941A1"/>
    <w:rsid w:val="00E95CE3"/>
    <w:rsid w:val="00E976C9"/>
    <w:rsid w:val="00EA1D3A"/>
    <w:rsid w:val="00EA2825"/>
    <w:rsid w:val="00EB5088"/>
    <w:rsid w:val="00EB7B2C"/>
    <w:rsid w:val="00EC2D4C"/>
    <w:rsid w:val="00ED1644"/>
    <w:rsid w:val="00EF3FF1"/>
    <w:rsid w:val="00F050BD"/>
    <w:rsid w:val="00F05657"/>
    <w:rsid w:val="00F25578"/>
    <w:rsid w:val="00F258E5"/>
    <w:rsid w:val="00F300BC"/>
    <w:rsid w:val="00F31578"/>
    <w:rsid w:val="00F3334E"/>
    <w:rsid w:val="00F3502F"/>
    <w:rsid w:val="00F50EC4"/>
    <w:rsid w:val="00F534CF"/>
    <w:rsid w:val="00F57A6D"/>
    <w:rsid w:val="00F638CC"/>
    <w:rsid w:val="00F70522"/>
    <w:rsid w:val="00F80CEC"/>
    <w:rsid w:val="00F8247A"/>
    <w:rsid w:val="00FA5883"/>
    <w:rsid w:val="00FA6055"/>
    <w:rsid w:val="00FB322F"/>
    <w:rsid w:val="00FB442F"/>
    <w:rsid w:val="00FC1929"/>
    <w:rsid w:val="00FC349F"/>
    <w:rsid w:val="00FC5B46"/>
    <w:rsid w:val="00FE703A"/>
    <w:rsid w:val="00FF1ED4"/>
    <w:rsid w:val="00FF3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link w:val="ListParagraph"/>
    <w:uiPriority w:val="72"/>
    <w:rsid w:val="0058764A"/>
    <w:rPr>
      <w:sz w:val="24"/>
      <w:szCs w:val="24"/>
    </w:rPr>
  </w:style>
  <w:style w:type="paragraph" w:customStyle="1" w:styleId="TableFooter">
    <w:name w:val="Table Footer"/>
    <w:basedOn w:val="Normal"/>
    <w:qFormat/>
    <w:rsid w:val="0054663E"/>
    <w:pPr>
      <w:widowControl w:val="0"/>
      <w:jc w:val="both"/>
    </w:pPr>
    <w:rPr>
      <w:rFonts w:ascii="Arial Narrow" w:hAnsi="Arial Narrow" w:cs="Arial"/>
      <w:snapToGrid w:val="0"/>
      <w:sz w:val="18"/>
      <w:szCs w:val="20"/>
      <w:lang w:eastAsia="en-US"/>
    </w:rPr>
  </w:style>
  <w:style w:type="paragraph" w:styleId="BodyText">
    <w:name w:val="Body Text"/>
    <w:basedOn w:val="Normal"/>
    <w:link w:val="BodyTextChar"/>
    <w:rsid w:val="00A233CD"/>
    <w:pPr>
      <w:spacing w:after="120"/>
    </w:pPr>
  </w:style>
  <w:style w:type="character" w:customStyle="1" w:styleId="BodyTextChar">
    <w:name w:val="Body Text Char"/>
    <w:basedOn w:val="DefaultParagraphFont"/>
    <w:link w:val="BodyText"/>
    <w:rsid w:val="00A233CD"/>
    <w:rPr>
      <w:sz w:val="24"/>
      <w:szCs w:val="24"/>
    </w:rPr>
  </w:style>
  <w:style w:type="paragraph" w:styleId="Revision">
    <w:name w:val="Revision"/>
    <w:hidden/>
    <w:uiPriority w:val="71"/>
    <w:semiHidden/>
    <w:rsid w:val="00D457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link w:val="ListParagraph"/>
    <w:uiPriority w:val="72"/>
    <w:rsid w:val="0058764A"/>
    <w:rPr>
      <w:sz w:val="24"/>
      <w:szCs w:val="24"/>
    </w:rPr>
  </w:style>
  <w:style w:type="paragraph" w:customStyle="1" w:styleId="TableFooter">
    <w:name w:val="Table Footer"/>
    <w:basedOn w:val="Normal"/>
    <w:qFormat/>
    <w:rsid w:val="0054663E"/>
    <w:pPr>
      <w:widowControl w:val="0"/>
      <w:jc w:val="both"/>
    </w:pPr>
    <w:rPr>
      <w:rFonts w:ascii="Arial Narrow" w:hAnsi="Arial Narrow" w:cs="Arial"/>
      <w:snapToGrid w:val="0"/>
      <w:sz w:val="18"/>
      <w:szCs w:val="20"/>
      <w:lang w:eastAsia="en-US"/>
    </w:rPr>
  </w:style>
  <w:style w:type="paragraph" w:styleId="BodyText">
    <w:name w:val="Body Text"/>
    <w:basedOn w:val="Normal"/>
    <w:link w:val="BodyTextChar"/>
    <w:rsid w:val="00A233CD"/>
    <w:pPr>
      <w:spacing w:after="120"/>
    </w:pPr>
  </w:style>
  <w:style w:type="character" w:customStyle="1" w:styleId="BodyTextChar">
    <w:name w:val="Body Text Char"/>
    <w:basedOn w:val="DefaultParagraphFont"/>
    <w:link w:val="BodyText"/>
    <w:rsid w:val="00A233CD"/>
    <w:rPr>
      <w:sz w:val="24"/>
      <w:szCs w:val="24"/>
    </w:rPr>
  </w:style>
  <w:style w:type="paragraph" w:styleId="Revision">
    <w:name w:val="Revision"/>
    <w:hidden/>
    <w:uiPriority w:val="71"/>
    <w:semiHidden/>
    <w:rsid w:val="00D45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1494205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8503</Words>
  <Characters>51003</Characters>
  <Application>Microsoft Office Word</Application>
  <DocSecurity>0</DocSecurity>
  <Lines>425</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2015-02-23T03:34:00Z</dcterms:created>
  <dcterms:modified xsi:type="dcterms:W3CDTF">2015-03-03T03:19:00Z</dcterms:modified>
</cp:coreProperties>
</file>