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C8" w:rsidRPr="00A940CC" w:rsidRDefault="0073721B" w:rsidP="00A940CC">
      <w:pPr>
        <w:pStyle w:val="BodyText"/>
        <w:rPr>
          <w:b/>
          <w:sz w:val="28"/>
          <w:szCs w:val="28"/>
        </w:rPr>
      </w:pPr>
      <w:bookmarkStart w:id="0" w:name="_Toc398632108"/>
      <w:r w:rsidRPr="00A940CC">
        <w:rPr>
          <w:b/>
          <w:sz w:val="28"/>
          <w:szCs w:val="28"/>
        </w:rPr>
        <w:t>5.2</w:t>
      </w:r>
      <w:r w:rsidR="00B60939" w:rsidRPr="00A940CC">
        <w:rPr>
          <w:b/>
          <w:sz w:val="28"/>
          <w:szCs w:val="28"/>
        </w:rPr>
        <w:tab/>
      </w:r>
      <w:r w:rsidRPr="00A940CC">
        <w:rPr>
          <w:b/>
          <w:sz w:val="28"/>
          <w:szCs w:val="28"/>
        </w:rPr>
        <w:t>DOLUTE</w:t>
      </w:r>
      <w:r w:rsidR="005F78E3" w:rsidRPr="00A940CC">
        <w:rPr>
          <w:b/>
          <w:sz w:val="28"/>
          <w:szCs w:val="28"/>
        </w:rPr>
        <w:t>GRAVIR + ABACAVIR + LAMIVUDINE</w:t>
      </w:r>
    </w:p>
    <w:p w:rsidR="00B60939" w:rsidRPr="00320ED1" w:rsidRDefault="0073721B" w:rsidP="00320ED1">
      <w:pPr>
        <w:pStyle w:val="BodyText"/>
        <w:ind w:left="709"/>
        <w:rPr>
          <w:b/>
          <w:sz w:val="28"/>
        </w:rPr>
      </w:pPr>
      <w:r w:rsidRPr="00320ED1">
        <w:rPr>
          <w:b/>
          <w:sz w:val="28"/>
        </w:rPr>
        <w:t>dolutegravir 50 </w:t>
      </w:r>
      <w:r w:rsidR="001944CD" w:rsidRPr="00320ED1">
        <w:rPr>
          <w:b/>
          <w:sz w:val="28"/>
        </w:rPr>
        <w:t xml:space="preserve">mg </w:t>
      </w:r>
      <w:r w:rsidRPr="00320ED1">
        <w:rPr>
          <w:b/>
          <w:sz w:val="28"/>
        </w:rPr>
        <w:t>+ abacavir 600 mg + lamivudine 300 mg tablet, 30</w:t>
      </w:r>
      <w:r w:rsidR="005F78E3" w:rsidRPr="00320ED1">
        <w:rPr>
          <w:b/>
          <w:sz w:val="28"/>
        </w:rPr>
        <w:t>;</w:t>
      </w:r>
      <w:r w:rsidRPr="00320ED1">
        <w:rPr>
          <w:b/>
          <w:sz w:val="28"/>
        </w:rPr>
        <w:t xml:space="preserve"> Triumeq</w:t>
      </w:r>
      <w:r w:rsidRPr="00320ED1">
        <w:rPr>
          <w:rFonts w:hint="eastAsia"/>
          <w:b/>
          <w:sz w:val="28"/>
        </w:rPr>
        <w:t>®</w:t>
      </w:r>
      <w:r w:rsidR="005F78E3" w:rsidRPr="00320ED1">
        <w:rPr>
          <w:b/>
          <w:sz w:val="28"/>
        </w:rPr>
        <w:t>;</w:t>
      </w:r>
      <w:r w:rsidRPr="00320ED1">
        <w:rPr>
          <w:b/>
          <w:sz w:val="28"/>
        </w:rPr>
        <w:t xml:space="preserve"> </w:t>
      </w:r>
      <w:r w:rsidR="00C7145D" w:rsidRPr="00320ED1">
        <w:rPr>
          <w:b/>
          <w:sz w:val="28"/>
        </w:rPr>
        <w:t>Viiv H</w:t>
      </w:r>
      <w:r w:rsidRPr="00320ED1">
        <w:rPr>
          <w:b/>
          <w:sz w:val="28"/>
        </w:rPr>
        <w:t>ealthcare Pty Ltd</w:t>
      </w:r>
      <w:bookmarkEnd w:id="0"/>
      <w:r w:rsidR="005F78E3" w:rsidRPr="00320ED1">
        <w:rPr>
          <w:b/>
          <w:sz w:val="28"/>
        </w:rPr>
        <w:t>.</w:t>
      </w:r>
    </w:p>
    <w:p w:rsidR="00433044" w:rsidRPr="005210DA" w:rsidRDefault="00433044" w:rsidP="001944CD">
      <w:pPr>
        <w:pStyle w:val="BodyText"/>
        <w:rPr>
          <w:highlight w:val="yellow"/>
        </w:rPr>
      </w:pPr>
    </w:p>
    <w:p w:rsidR="002B4C74" w:rsidRDefault="002B4C74" w:rsidP="00B0494E">
      <w:pPr>
        <w:widowControl/>
        <w:jc w:val="left"/>
      </w:pPr>
    </w:p>
    <w:p w:rsidR="00B50DB8" w:rsidRPr="00407F2D" w:rsidRDefault="00B50DB8" w:rsidP="00BD6CF3">
      <w:pPr>
        <w:pStyle w:val="PBACHeading1"/>
      </w:pPr>
      <w:bookmarkStart w:id="1" w:name="_Toc398632110"/>
      <w:r w:rsidRPr="00407F2D">
        <w:t>Purpose of Application</w:t>
      </w:r>
      <w:bookmarkEnd w:id="1"/>
    </w:p>
    <w:p w:rsidR="00B60939" w:rsidRPr="00882085" w:rsidRDefault="00B60939" w:rsidP="00B60939">
      <w:pPr>
        <w:rPr>
          <w:szCs w:val="22"/>
        </w:rPr>
      </w:pPr>
    </w:p>
    <w:p w:rsidR="00B0494E" w:rsidRPr="009219E9" w:rsidRDefault="00E426E4" w:rsidP="009219E9">
      <w:pPr>
        <w:pStyle w:val="ListParagraph"/>
        <w:widowControl/>
        <w:numPr>
          <w:ilvl w:val="1"/>
          <w:numId w:val="2"/>
        </w:numPr>
        <w:rPr>
          <w:szCs w:val="22"/>
        </w:rPr>
      </w:pPr>
      <w:r>
        <w:rPr>
          <w:szCs w:val="22"/>
        </w:rPr>
        <w:t xml:space="preserve">To seek </w:t>
      </w:r>
      <w:r w:rsidR="00BA5162" w:rsidRPr="009219E9">
        <w:rPr>
          <w:szCs w:val="22"/>
        </w:rPr>
        <w:t>Section 100 (Highly Specialised Drugs Program), Private Hospital Authority required, Public Hospital Authority required (STREAMLINED)</w:t>
      </w:r>
      <w:r w:rsidR="001E238E" w:rsidRPr="009219E9">
        <w:rPr>
          <w:szCs w:val="22"/>
        </w:rPr>
        <w:t xml:space="preserve"> listing for </w:t>
      </w:r>
      <w:r w:rsidR="00BA5162" w:rsidRPr="009219E9">
        <w:rPr>
          <w:szCs w:val="22"/>
        </w:rPr>
        <w:t>dolutegravir + abacavir + lamivudine</w:t>
      </w:r>
      <w:r w:rsidR="00F93BD5">
        <w:rPr>
          <w:szCs w:val="22"/>
        </w:rPr>
        <w:t xml:space="preserve"> fixed dose co</w:t>
      </w:r>
      <w:bookmarkStart w:id="2" w:name="_GoBack"/>
      <w:bookmarkEnd w:id="2"/>
      <w:r w:rsidR="00F93BD5">
        <w:rPr>
          <w:szCs w:val="22"/>
        </w:rPr>
        <w:t>mbination</w:t>
      </w:r>
      <w:r w:rsidR="00BA5162" w:rsidRPr="009219E9">
        <w:rPr>
          <w:szCs w:val="22"/>
        </w:rPr>
        <w:t xml:space="preserve"> </w:t>
      </w:r>
      <w:r w:rsidR="00F93BD5">
        <w:rPr>
          <w:szCs w:val="22"/>
        </w:rPr>
        <w:t>(</w:t>
      </w:r>
      <w:r w:rsidR="001F2151" w:rsidRPr="009219E9">
        <w:rPr>
          <w:szCs w:val="22"/>
        </w:rPr>
        <w:t>FDC</w:t>
      </w:r>
      <w:r w:rsidR="00F93BD5">
        <w:rPr>
          <w:szCs w:val="22"/>
        </w:rPr>
        <w:t>)</w:t>
      </w:r>
      <w:r w:rsidR="001E238E" w:rsidRPr="009219E9">
        <w:rPr>
          <w:szCs w:val="22"/>
        </w:rPr>
        <w:t xml:space="preserve"> for treatment of </w:t>
      </w:r>
      <w:r w:rsidR="00BA5162" w:rsidRPr="009219E9">
        <w:rPr>
          <w:szCs w:val="22"/>
        </w:rPr>
        <w:t>HIV</w:t>
      </w:r>
      <w:r w:rsidR="001E238E" w:rsidRPr="009219E9">
        <w:rPr>
          <w:szCs w:val="22"/>
        </w:rPr>
        <w:t>.</w:t>
      </w:r>
      <w:bookmarkStart w:id="3" w:name="_Toc398632111"/>
    </w:p>
    <w:p w:rsidR="00690103" w:rsidRDefault="00690103" w:rsidP="00B0494E">
      <w:pPr>
        <w:widowControl/>
      </w:pPr>
    </w:p>
    <w:p w:rsidR="00762AE9" w:rsidRDefault="00762AE9" w:rsidP="00B0494E">
      <w:pPr>
        <w:widowControl/>
      </w:pPr>
    </w:p>
    <w:p w:rsidR="00B50DB8" w:rsidRPr="00407F2D" w:rsidRDefault="00B50DB8" w:rsidP="001944CD">
      <w:pPr>
        <w:pStyle w:val="PBACHeading1"/>
      </w:pPr>
      <w:r w:rsidRPr="00407F2D">
        <w:t>Requested listing</w:t>
      </w:r>
      <w:bookmarkEnd w:id="3"/>
    </w:p>
    <w:p w:rsidR="00B60939" w:rsidRPr="00B20D52" w:rsidRDefault="00B60939" w:rsidP="001944CD">
      <w:pPr>
        <w:rPr>
          <w:szCs w:val="22"/>
        </w:rPr>
      </w:pPr>
    </w:p>
    <w:p w:rsidR="00F37B6A" w:rsidRPr="00F34986" w:rsidRDefault="00F37B6A" w:rsidP="00B20D52">
      <w:pPr>
        <w:pStyle w:val="ListParagraph"/>
        <w:widowControl/>
        <w:numPr>
          <w:ilvl w:val="1"/>
          <w:numId w:val="2"/>
        </w:numPr>
        <w:rPr>
          <w:szCs w:val="22"/>
        </w:rPr>
      </w:pPr>
      <w:r w:rsidRPr="00F34986">
        <w:rPr>
          <w:iCs/>
          <w:szCs w:val="22"/>
        </w:rPr>
        <w:t xml:space="preserve">Suggestions and additions proposed by the Secretariat to the requested listing are added in italics and suggested deletions are crossed out with strikethrough. </w:t>
      </w:r>
    </w:p>
    <w:p w:rsidR="00617E12" w:rsidRPr="00B20D52" w:rsidRDefault="00617E12" w:rsidP="00B20D52">
      <w:pPr>
        <w:pStyle w:val="ListParagraph"/>
        <w:widowControl/>
        <w:rPr>
          <w:szCs w:val="22"/>
        </w:rPr>
      </w:pPr>
    </w:p>
    <w:tbl>
      <w:tblPr>
        <w:tblW w:w="8505" w:type="dxa"/>
        <w:tblInd w:w="817" w:type="dxa"/>
        <w:tblLayout w:type="fixed"/>
        <w:tblLook w:val="0000" w:firstRow="0" w:lastRow="0" w:firstColumn="0" w:lastColumn="0" w:noHBand="0" w:noVBand="0"/>
      </w:tblPr>
      <w:tblGrid>
        <w:gridCol w:w="2835"/>
        <w:gridCol w:w="426"/>
        <w:gridCol w:w="567"/>
        <w:gridCol w:w="992"/>
        <w:gridCol w:w="1559"/>
        <w:gridCol w:w="2126"/>
      </w:tblGrid>
      <w:tr w:rsidR="00C07156" w:rsidRPr="00E426E4" w:rsidTr="00C07156">
        <w:trPr>
          <w:cantSplit/>
          <w:trHeight w:val="471"/>
        </w:trPr>
        <w:tc>
          <w:tcPr>
            <w:tcW w:w="3261" w:type="dxa"/>
            <w:gridSpan w:val="2"/>
            <w:tcBorders>
              <w:bottom w:val="single" w:sz="4" w:space="0" w:color="auto"/>
            </w:tcBorders>
          </w:tcPr>
          <w:p w:rsidR="00C07156" w:rsidRPr="00E426E4" w:rsidRDefault="00C07156" w:rsidP="00C14540">
            <w:pPr>
              <w:keepNext/>
              <w:ind w:left="-108"/>
              <w:rPr>
                <w:rFonts w:ascii="Arial Narrow" w:hAnsi="Arial Narrow"/>
                <w:sz w:val="20"/>
              </w:rPr>
            </w:pPr>
            <w:r w:rsidRPr="00E426E4">
              <w:rPr>
                <w:rFonts w:ascii="Arial Narrow" w:hAnsi="Arial Narrow"/>
                <w:sz w:val="20"/>
              </w:rPr>
              <w:t>Name, Restriction,</w:t>
            </w:r>
          </w:p>
          <w:p w:rsidR="00C07156" w:rsidRPr="00E426E4" w:rsidRDefault="00C07156" w:rsidP="00C14540">
            <w:pPr>
              <w:keepNext/>
              <w:ind w:left="-108"/>
              <w:rPr>
                <w:rFonts w:ascii="Arial Narrow" w:hAnsi="Arial Narrow"/>
                <w:sz w:val="20"/>
              </w:rPr>
            </w:pPr>
            <w:r w:rsidRPr="00E426E4">
              <w:rPr>
                <w:rFonts w:ascii="Arial Narrow" w:hAnsi="Arial Narrow"/>
                <w:sz w:val="20"/>
              </w:rPr>
              <w:t>Manner of administration and form</w:t>
            </w:r>
          </w:p>
        </w:tc>
        <w:tc>
          <w:tcPr>
            <w:tcW w:w="567" w:type="dxa"/>
            <w:tcBorders>
              <w:bottom w:val="single" w:sz="4" w:space="0" w:color="auto"/>
            </w:tcBorders>
          </w:tcPr>
          <w:p w:rsidR="00C07156" w:rsidRPr="00E426E4" w:rsidRDefault="00C07156" w:rsidP="00C14540">
            <w:pPr>
              <w:keepNext/>
              <w:ind w:left="-108"/>
              <w:rPr>
                <w:rFonts w:ascii="Arial Narrow" w:hAnsi="Arial Narrow"/>
                <w:sz w:val="20"/>
              </w:rPr>
            </w:pPr>
            <w:r w:rsidRPr="00E426E4">
              <w:rPr>
                <w:rFonts w:ascii="Arial Narrow" w:hAnsi="Arial Narrow"/>
                <w:sz w:val="20"/>
              </w:rPr>
              <w:t>Max.</w:t>
            </w:r>
          </w:p>
          <w:p w:rsidR="00C07156" w:rsidRPr="00E426E4" w:rsidRDefault="00C07156" w:rsidP="00C14540">
            <w:pPr>
              <w:keepNext/>
              <w:ind w:left="-108"/>
              <w:rPr>
                <w:rFonts w:ascii="Arial Narrow" w:hAnsi="Arial Narrow"/>
                <w:sz w:val="20"/>
              </w:rPr>
            </w:pPr>
            <w:r w:rsidRPr="00E426E4">
              <w:rPr>
                <w:rFonts w:ascii="Arial Narrow" w:hAnsi="Arial Narrow"/>
                <w:sz w:val="20"/>
              </w:rPr>
              <w:t>Qty</w:t>
            </w:r>
          </w:p>
        </w:tc>
        <w:tc>
          <w:tcPr>
            <w:tcW w:w="992" w:type="dxa"/>
            <w:tcBorders>
              <w:bottom w:val="single" w:sz="4" w:space="0" w:color="auto"/>
            </w:tcBorders>
          </w:tcPr>
          <w:p w:rsidR="00C07156" w:rsidRPr="00E426E4" w:rsidRDefault="00C07156" w:rsidP="00C14540">
            <w:pPr>
              <w:keepNext/>
              <w:ind w:left="-108"/>
              <w:rPr>
                <w:rFonts w:ascii="Arial Narrow" w:hAnsi="Arial Narrow"/>
                <w:sz w:val="20"/>
              </w:rPr>
            </w:pPr>
            <w:r w:rsidRPr="00E426E4">
              <w:rPr>
                <w:rFonts w:ascii="Arial Narrow" w:hAnsi="Arial Narrow"/>
                <w:sz w:val="20"/>
              </w:rPr>
              <w:t>№.of</w:t>
            </w:r>
          </w:p>
          <w:p w:rsidR="00C07156" w:rsidRPr="00E426E4" w:rsidRDefault="00C07156" w:rsidP="00C14540">
            <w:pPr>
              <w:keepNext/>
              <w:ind w:left="-108"/>
              <w:rPr>
                <w:rFonts w:ascii="Arial Narrow" w:hAnsi="Arial Narrow"/>
                <w:sz w:val="20"/>
              </w:rPr>
            </w:pPr>
            <w:r w:rsidRPr="00E426E4">
              <w:rPr>
                <w:rFonts w:ascii="Arial Narrow" w:hAnsi="Arial Narrow"/>
                <w:sz w:val="20"/>
              </w:rPr>
              <w:t>Rpts</w:t>
            </w:r>
          </w:p>
        </w:tc>
        <w:tc>
          <w:tcPr>
            <w:tcW w:w="3685" w:type="dxa"/>
            <w:gridSpan w:val="2"/>
            <w:tcBorders>
              <w:bottom w:val="single" w:sz="4" w:space="0" w:color="auto"/>
            </w:tcBorders>
          </w:tcPr>
          <w:p w:rsidR="00C07156" w:rsidRPr="00E426E4" w:rsidRDefault="00C07156" w:rsidP="0000621A">
            <w:pPr>
              <w:keepNext/>
              <w:ind w:right="-249"/>
              <w:jc w:val="left"/>
              <w:rPr>
                <w:rFonts w:ascii="Arial Narrow" w:hAnsi="Arial Narrow"/>
                <w:sz w:val="20"/>
                <w:lang w:val="fr-FR"/>
              </w:rPr>
            </w:pPr>
            <w:r w:rsidRPr="00E426E4">
              <w:rPr>
                <w:rFonts w:ascii="Arial Narrow" w:hAnsi="Arial Narrow"/>
                <w:sz w:val="20"/>
              </w:rPr>
              <w:t>Proprietary Name and Manufacturer</w:t>
            </w:r>
          </w:p>
        </w:tc>
      </w:tr>
      <w:tr w:rsidR="00C07156" w:rsidRPr="00E426E4" w:rsidTr="00C07156">
        <w:trPr>
          <w:cantSplit/>
          <w:trHeight w:val="577"/>
        </w:trPr>
        <w:tc>
          <w:tcPr>
            <w:tcW w:w="3261" w:type="dxa"/>
            <w:gridSpan w:val="2"/>
          </w:tcPr>
          <w:p w:rsidR="00C07156" w:rsidRPr="00E426E4" w:rsidRDefault="00C07156" w:rsidP="00E426E4">
            <w:pPr>
              <w:keepNext/>
              <w:ind w:left="-108"/>
              <w:jc w:val="left"/>
              <w:rPr>
                <w:rFonts w:ascii="Arial Narrow" w:hAnsi="Arial Narrow"/>
                <w:sz w:val="20"/>
              </w:rPr>
            </w:pPr>
            <w:r w:rsidRPr="00E426E4">
              <w:rPr>
                <w:rFonts w:ascii="Arial Narrow" w:hAnsi="Arial Narrow"/>
                <w:smallCaps/>
                <w:sz w:val="20"/>
              </w:rPr>
              <w:t>Dolutegravir 50mg + abacavir 600mg + lamivudine 300mg, 30 Tablet</w:t>
            </w:r>
          </w:p>
        </w:tc>
        <w:tc>
          <w:tcPr>
            <w:tcW w:w="567" w:type="dxa"/>
          </w:tcPr>
          <w:p w:rsidR="00C07156" w:rsidRPr="00E426E4" w:rsidRDefault="00C07156" w:rsidP="00E426E4">
            <w:pPr>
              <w:keepNext/>
              <w:ind w:left="-108"/>
              <w:jc w:val="left"/>
              <w:rPr>
                <w:rFonts w:ascii="Arial Narrow" w:hAnsi="Arial Narrow"/>
                <w:sz w:val="20"/>
              </w:rPr>
            </w:pPr>
            <w:r w:rsidRPr="00E426E4">
              <w:rPr>
                <w:rFonts w:ascii="Arial Narrow" w:hAnsi="Arial Narrow"/>
                <w:sz w:val="20"/>
              </w:rPr>
              <w:t>2</w:t>
            </w:r>
          </w:p>
        </w:tc>
        <w:tc>
          <w:tcPr>
            <w:tcW w:w="992" w:type="dxa"/>
          </w:tcPr>
          <w:p w:rsidR="00C07156" w:rsidRPr="00E426E4" w:rsidRDefault="00C07156" w:rsidP="00E426E4">
            <w:pPr>
              <w:keepNext/>
              <w:ind w:left="-108"/>
              <w:jc w:val="left"/>
              <w:rPr>
                <w:rFonts w:ascii="Arial Narrow" w:hAnsi="Arial Narrow"/>
                <w:sz w:val="20"/>
              </w:rPr>
            </w:pPr>
            <w:r w:rsidRPr="00E426E4">
              <w:rPr>
                <w:rFonts w:ascii="Arial Narrow" w:hAnsi="Arial Narrow"/>
                <w:sz w:val="20"/>
              </w:rPr>
              <w:t>5</w:t>
            </w:r>
          </w:p>
        </w:tc>
        <w:tc>
          <w:tcPr>
            <w:tcW w:w="1559" w:type="dxa"/>
          </w:tcPr>
          <w:p w:rsidR="00C07156" w:rsidRPr="00E426E4" w:rsidRDefault="00C07156" w:rsidP="00E426E4">
            <w:pPr>
              <w:keepNext/>
              <w:jc w:val="left"/>
              <w:rPr>
                <w:rFonts w:ascii="Arial Narrow" w:hAnsi="Arial Narrow"/>
                <w:sz w:val="20"/>
              </w:rPr>
            </w:pPr>
            <w:r w:rsidRPr="00E426E4">
              <w:rPr>
                <w:rFonts w:ascii="Arial Narrow" w:hAnsi="Arial Narrow"/>
                <w:sz w:val="20"/>
              </w:rPr>
              <w:t>Triumeq</w:t>
            </w:r>
          </w:p>
          <w:p w:rsidR="00C07156" w:rsidRPr="00E426E4" w:rsidRDefault="00C07156" w:rsidP="00E426E4">
            <w:pPr>
              <w:keepNext/>
              <w:jc w:val="left"/>
              <w:rPr>
                <w:rFonts w:ascii="Arial Narrow" w:hAnsi="Arial Narrow"/>
                <w:sz w:val="20"/>
              </w:rPr>
            </w:pPr>
          </w:p>
        </w:tc>
        <w:tc>
          <w:tcPr>
            <w:tcW w:w="2126" w:type="dxa"/>
          </w:tcPr>
          <w:p w:rsidR="00C07156" w:rsidRPr="00E426E4" w:rsidRDefault="00C07156" w:rsidP="00E426E4">
            <w:pPr>
              <w:keepNext/>
              <w:jc w:val="left"/>
              <w:rPr>
                <w:rFonts w:ascii="Arial Narrow" w:hAnsi="Arial Narrow"/>
                <w:sz w:val="20"/>
              </w:rPr>
            </w:pPr>
            <w:r w:rsidRPr="00E426E4">
              <w:rPr>
                <w:rFonts w:ascii="Arial Narrow" w:hAnsi="Arial Narrow"/>
                <w:sz w:val="20"/>
              </w:rPr>
              <w:t>ViiV Health Care</w:t>
            </w:r>
          </w:p>
        </w:tc>
      </w:tr>
      <w:tr w:rsidR="00C14540" w:rsidRPr="00E35B27">
        <w:trPr>
          <w:cantSplit/>
          <w:trHeight w:val="360"/>
        </w:trPr>
        <w:tc>
          <w:tcPr>
            <w:tcW w:w="8505" w:type="dxa"/>
            <w:gridSpan w:val="6"/>
            <w:tcBorders>
              <w:bottom w:val="single" w:sz="4" w:space="0" w:color="auto"/>
            </w:tcBorders>
          </w:tcPr>
          <w:p w:rsidR="00E35B27" w:rsidRPr="00E35B27" w:rsidRDefault="00E35B27" w:rsidP="00E35B27">
            <w:pPr>
              <w:tabs>
                <w:tab w:val="left" w:pos="256"/>
              </w:tabs>
              <w:rPr>
                <w:rFonts w:ascii="Arial Narrow" w:hAnsi="Arial Narrow"/>
                <w:sz w:val="16"/>
                <w:szCs w:val="16"/>
              </w:rPr>
            </w:pPr>
            <w:r w:rsidRPr="00E35B27">
              <w:rPr>
                <w:rFonts w:ascii="Arial Narrow" w:hAnsi="Arial Narrow"/>
                <w:sz w:val="16"/>
                <w:szCs w:val="16"/>
                <w:vertAlign w:val="superscript"/>
              </w:rPr>
              <w:t>a</w:t>
            </w:r>
            <w:r w:rsidRPr="00E35B27">
              <w:rPr>
                <w:rFonts w:ascii="Arial Narrow" w:hAnsi="Arial Narrow"/>
                <w:sz w:val="16"/>
                <w:szCs w:val="16"/>
              </w:rPr>
              <w:t>S100 public</w:t>
            </w:r>
          </w:p>
          <w:p w:rsidR="00C14540" w:rsidRDefault="00E35B27" w:rsidP="00E35B27">
            <w:pPr>
              <w:tabs>
                <w:tab w:val="left" w:pos="2843"/>
              </w:tabs>
              <w:ind w:right="34"/>
              <w:rPr>
                <w:rFonts w:ascii="Arial Narrow" w:hAnsi="Arial Narrow"/>
                <w:sz w:val="16"/>
                <w:szCs w:val="16"/>
              </w:rPr>
            </w:pPr>
            <w:r w:rsidRPr="00E35B27">
              <w:rPr>
                <w:rFonts w:ascii="Arial Narrow" w:hAnsi="Arial Narrow"/>
                <w:sz w:val="16"/>
                <w:szCs w:val="16"/>
                <w:vertAlign w:val="superscript"/>
              </w:rPr>
              <w:t>b</w:t>
            </w:r>
            <w:r w:rsidRPr="00E35B27">
              <w:rPr>
                <w:rFonts w:ascii="Arial Narrow" w:hAnsi="Arial Narrow"/>
                <w:sz w:val="16"/>
                <w:szCs w:val="16"/>
              </w:rPr>
              <w:t>S100 private</w:t>
            </w:r>
          </w:p>
          <w:p w:rsidR="00E35B27" w:rsidRPr="00E35B27" w:rsidRDefault="00E35B27" w:rsidP="00E35B27">
            <w:pPr>
              <w:tabs>
                <w:tab w:val="left" w:pos="2843"/>
              </w:tabs>
              <w:ind w:right="34"/>
              <w:rPr>
                <w:rFonts w:ascii="Arial Narrow" w:hAnsi="Arial Narrow"/>
                <w:sz w:val="16"/>
                <w:szCs w:val="16"/>
              </w:rPr>
            </w:pP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 xml:space="preserve">Category / </w:t>
            </w:r>
          </w:p>
          <w:p w:rsidR="00C14540" w:rsidRPr="00155796" w:rsidRDefault="00C14540" w:rsidP="00C14540">
            <w:pPr>
              <w:rPr>
                <w:rFonts w:ascii="Arial Narrow" w:hAnsi="Arial Narrow"/>
                <w:b/>
                <w:sz w:val="20"/>
              </w:rPr>
            </w:pPr>
            <w:r w:rsidRPr="00155796">
              <w:rPr>
                <w:rFonts w:ascii="Arial Narrow" w:hAnsi="Arial Narrow"/>
                <w:b/>
                <w:sz w:val="20"/>
              </w:rPr>
              <w:t>Program</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Section 100 – Highly Specialised Drugs Program</w:t>
            </w:r>
          </w:p>
          <w:p w:rsidR="00C14540" w:rsidRPr="00155796" w:rsidRDefault="00C14540" w:rsidP="00C14540">
            <w:pPr>
              <w:rPr>
                <w:rFonts w:ascii="Arial Narrow" w:hAnsi="Arial Narrow"/>
                <w:sz w:val="20"/>
              </w:rPr>
            </w:pP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Prescriber type:</w:t>
            </w:r>
          </w:p>
        </w:tc>
        <w:tc>
          <w:tcPr>
            <w:tcW w:w="5670" w:type="dxa"/>
            <w:gridSpan w:val="5"/>
            <w:tcBorders>
              <w:top w:val="single" w:sz="4" w:space="0" w:color="auto"/>
              <w:left w:val="single" w:sz="4" w:space="0" w:color="auto"/>
              <w:bottom w:val="single" w:sz="4" w:space="0" w:color="auto"/>
              <w:right w:val="single" w:sz="4" w:space="0" w:color="auto"/>
            </w:tcBorders>
          </w:tcPr>
          <w:p w:rsidR="00E426E4" w:rsidRDefault="00442399" w:rsidP="00C14540">
            <w:pPr>
              <w:rPr>
                <w:rFonts w:ascii="Arial Narrow" w:hAnsi="Arial Narrow"/>
                <w:sz w:val="20"/>
              </w:rPr>
            </w:pPr>
            <w:r w:rsidRPr="00155796">
              <w:rPr>
                <w:rFonts w:ascii="Arial Narrow" w:hAnsi="Arial Narrow"/>
                <w:sz w:val="20"/>
              </w:rPr>
              <w:fldChar w:fldCharType="begin">
                <w:ffData>
                  <w:name w:val="Check1"/>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Dental  </w:t>
            </w:r>
            <w:r w:rsidRPr="00155796">
              <w:rPr>
                <w:rFonts w:ascii="Arial Narrow" w:hAnsi="Arial Narrow"/>
                <w:sz w:val="20"/>
              </w:rPr>
              <w:fldChar w:fldCharType="begin">
                <w:ffData>
                  <w:name w:val=""/>
                  <w:enabled/>
                  <w:calcOnExit w:val="0"/>
                  <w:checkBox>
                    <w:sizeAuto/>
                    <w:default w:val="1"/>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Medical Practitioners  </w:t>
            </w:r>
            <w:r w:rsidRPr="00155796">
              <w:rPr>
                <w:rFonts w:ascii="Arial Narrow" w:hAnsi="Arial Narrow"/>
                <w:sz w:val="20"/>
              </w:rPr>
              <w:fldChar w:fldCharType="begin">
                <w:ffData>
                  <w:name w:val="Check3"/>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Nurse practitioners  </w:t>
            </w:r>
          </w:p>
          <w:p w:rsidR="00C14540" w:rsidRPr="00155796" w:rsidRDefault="00442399" w:rsidP="00C14540">
            <w:pPr>
              <w:rPr>
                <w:rFonts w:ascii="Arial Narrow" w:hAnsi="Arial Narrow"/>
                <w:sz w:val="20"/>
              </w:rPr>
            </w:pPr>
            <w:r w:rsidRPr="00155796">
              <w:rPr>
                <w:rFonts w:ascii="Arial Narrow" w:hAnsi="Arial Narrow"/>
                <w:sz w:val="20"/>
              </w:rPr>
              <w:fldChar w:fldCharType="begin">
                <w:ffData>
                  <w:name w:val=""/>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Optometrists</w:t>
            </w:r>
            <w:r w:rsidR="00E426E4">
              <w:rPr>
                <w:rFonts w:ascii="Arial Narrow" w:hAnsi="Arial Narrow"/>
                <w:sz w:val="20"/>
              </w:rPr>
              <w:t xml:space="preserve"> </w:t>
            </w:r>
            <w:r w:rsidRPr="00155796">
              <w:rPr>
                <w:rFonts w:ascii="Arial Narrow" w:hAnsi="Arial Narrow"/>
                <w:sz w:val="20"/>
              </w:rPr>
              <w:fldChar w:fldCharType="begin">
                <w:ffData>
                  <w:name w:val="Check5"/>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Midwives</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Condition:</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HIV infection</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PBS Indication</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HIV infection</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Treatment phase:</w:t>
            </w:r>
          </w:p>
          <w:p w:rsidR="00C14540" w:rsidRPr="00155796" w:rsidRDefault="00C14540" w:rsidP="00C14540">
            <w:pPr>
              <w:rPr>
                <w:rFonts w:ascii="Arial Narrow" w:hAnsi="Arial Narrow"/>
                <w:i/>
                <w:sz w:val="20"/>
              </w:rPr>
            </w:pP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Initial</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Restriction:</w:t>
            </w:r>
          </w:p>
          <w:p w:rsidR="00C14540" w:rsidRPr="00155796" w:rsidRDefault="00C14540" w:rsidP="00C14540">
            <w:pPr>
              <w:rPr>
                <w:rFonts w:ascii="Arial Narrow" w:hAnsi="Arial Narrow"/>
                <w:sz w:val="20"/>
              </w:rPr>
            </w:pP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Private Hospital Authority Required</w:t>
            </w:r>
          </w:p>
          <w:p w:rsidR="00C14540" w:rsidRPr="00155796" w:rsidRDefault="00C14540" w:rsidP="00C14540">
            <w:pPr>
              <w:rPr>
                <w:rFonts w:ascii="Arial Narrow" w:hAnsi="Arial Narrow"/>
                <w:sz w:val="20"/>
              </w:rPr>
            </w:pPr>
            <w:r w:rsidRPr="00155796">
              <w:rPr>
                <w:rFonts w:ascii="Arial Narrow" w:hAnsi="Arial Narrow"/>
                <w:sz w:val="20"/>
              </w:rPr>
              <w:t>Public Hospital Authority Required (STREAMLINED)</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b/>
                <w:sz w:val="20"/>
              </w:rPr>
              <w:t>Treatment criteria:</w:t>
            </w:r>
            <w:r w:rsidRPr="00155796" w:rsidDel="00E51CE1">
              <w:rPr>
                <w:rFonts w:ascii="Arial Narrow" w:hAnsi="Arial Narrow"/>
                <w:b/>
                <w:sz w:val="20"/>
              </w:rPr>
              <w:t xml:space="preserve"> </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b/>
                <w:sz w:val="20"/>
              </w:rPr>
              <w:t>Clinical criteria:</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 xml:space="preserve">Patient must be antiretroviral </w:t>
            </w:r>
            <w:r w:rsidRPr="00155796">
              <w:rPr>
                <w:rFonts w:ascii="Arial Narrow" w:hAnsi="Arial Narrow"/>
                <w:i/>
                <w:sz w:val="20"/>
              </w:rPr>
              <w:t>treatment</w:t>
            </w:r>
            <w:r w:rsidRPr="00155796">
              <w:rPr>
                <w:rFonts w:ascii="Arial Narrow" w:hAnsi="Arial Narrow"/>
                <w:sz w:val="20"/>
              </w:rPr>
              <w:t xml:space="preserve"> naïve.</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b/>
                <w:sz w:val="20"/>
              </w:rPr>
              <w:t>Population criteria:</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Patient must be aged 12 years or older.</w:t>
            </w:r>
          </w:p>
          <w:p w:rsidR="00C14540" w:rsidRPr="00155796" w:rsidRDefault="00C14540" w:rsidP="00C14540">
            <w:pPr>
              <w:rPr>
                <w:rFonts w:ascii="Arial Narrow" w:hAnsi="Arial Narrow"/>
                <w:sz w:val="20"/>
              </w:rPr>
            </w:pPr>
            <w:r w:rsidRPr="00155796">
              <w:rPr>
                <w:rFonts w:ascii="Arial Narrow" w:hAnsi="Arial Narrow"/>
                <w:sz w:val="20"/>
              </w:rPr>
              <w:t>AND</w:t>
            </w:r>
          </w:p>
          <w:p w:rsidR="00C14540" w:rsidRPr="00155796" w:rsidRDefault="00C14540" w:rsidP="00C14540">
            <w:pPr>
              <w:rPr>
                <w:rFonts w:ascii="Arial Narrow" w:hAnsi="Arial Narrow"/>
                <w:sz w:val="20"/>
              </w:rPr>
            </w:pPr>
            <w:r w:rsidRPr="00155796">
              <w:rPr>
                <w:rFonts w:ascii="Arial Narrow" w:hAnsi="Arial Narrow"/>
                <w:sz w:val="20"/>
              </w:rPr>
              <w:t>Patient must weigh 40 kg or more.</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i/>
                <w:sz w:val="20"/>
              </w:rPr>
            </w:pPr>
            <w:r w:rsidRPr="00155796">
              <w:rPr>
                <w:rFonts w:ascii="Arial Narrow" w:hAnsi="Arial Narrow"/>
                <w:b/>
                <w:sz w:val="20"/>
              </w:rPr>
              <w:t>Administrative Advice</w:t>
            </w:r>
          </w:p>
        </w:tc>
        <w:tc>
          <w:tcPr>
            <w:tcW w:w="5670" w:type="dxa"/>
            <w:gridSpan w:val="5"/>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i/>
                <w:sz w:val="20"/>
              </w:rPr>
            </w:pPr>
            <w:r w:rsidRPr="00155796">
              <w:rPr>
                <w:rFonts w:ascii="Arial Narrow" w:hAnsi="Arial Narrow"/>
                <w:i/>
                <w:sz w:val="20"/>
              </w:rPr>
              <w:t>NOTE:</w:t>
            </w:r>
          </w:p>
          <w:p w:rsidR="00C14540" w:rsidRPr="00155796" w:rsidRDefault="00C14540" w:rsidP="00C14540">
            <w:pPr>
              <w:rPr>
                <w:rFonts w:ascii="Arial Narrow" w:hAnsi="Arial Narrow"/>
                <w:i/>
                <w:sz w:val="20"/>
              </w:rPr>
            </w:pPr>
            <w:r w:rsidRPr="00155796">
              <w:rPr>
                <w:rFonts w:ascii="Arial Narrow" w:hAnsi="Arial Narrow"/>
                <w:i/>
                <w:sz w:val="20"/>
              </w:rPr>
              <w:t>This drug is not recommended for patients with integrase inhibitor resistance.</w:t>
            </w:r>
          </w:p>
        </w:tc>
      </w:tr>
    </w:tbl>
    <w:p w:rsidR="00C14540" w:rsidRDefault="00C14540" w:rsidP="00C14540">
      <w:pPr>
        <w:pStyle w:val="PBACHeading1"/>
        <w:numPr>
          <w:ilvl w:val="0"/>
          <w:numId w:val="0"/>
        </w:numPr>
        <w:ind w:left="720"/>
      </w:pPr>
    </w:p>
    <w:tbl>
      <w:tblPr>
        <w:tblW w:w="8505" w:type="dxa"/>
        <w:tblInd w:w="817" w:type="dxa"/>
        <w:tblLayout w:type="fixed"/>
        <w:tblLook w:val="0000" w:firstRow="0" w:lastRow="0" w:firstColumn="0" w:lastColumn="0" w:noHBand="0" w:noVBand="0"/>
      </w:tblPr>
      <w:tblGrid>
        <w:gridCol w:w="2835"/>
        <w:gridCol w:w="5670"/>
      </w:tblGrid>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762AE9" w:rsidP="00C14540">
            <w:pPr>
              <w:rPr>
                <w:rFonts w:ascii="Arial Narrow" w:hAnsi="Arial Narrow"/>
                <w:b/>
                <w:sz w:val="20"/>
              </w:rPr>
            </w:pPr>
            <w:r>
              <w:br w:type="page"/>
            </w:r>
            <w:r w:rsidR="00C14540" w:rsidRPr="00155796">
              <w:rPr>
                <w:rFonts w:ascii="Arial Narrow" w:hAnsi="Arial Narrow"/>
                <w:b/>
                <w:sz w:val="20"/>
              </w:rPr>
              <w:t xml:space="preserve">Category / </w:t>
            </w:r>
          </w:p>
          <w:p w:rsidR="00C14540" w:rsidRPr="00155796" w:rsidRDefault="00C14540" w:rsidP="00C14540">
            <w:pPr>
              <w:rPr>
                <w:rFonts w:ascii="Arial Narrow" w:hAnsi="Arial Narrow"/>
                <w:b/>
                <w:sz w:val="20"/>
              </w:rPr>
            </w:pPr>
            <w:r w:rsidRPr="00155796">
              <w:rPr>
                <w:rFonts w:ascii="Arial Narrow" w:hAnsi="Arial Narrow"/>
                <w:b/>
                <w:sz w:val="20"/>
              </w:rPr>
              <w:t>Program</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Section 100 – Highly Specialised Drugs Program</w:t>
            </w:r>
          </w:p>
          <w:p w:rsidR="00C14540" w:rsidRPr="00155796" w:rsidRDefault="00C14540" w:rsidP="00C14540">
            <w:pPr>
              <w:rPr>
                <w:rFonts w:ascii="Arial Narrow" w:hAnsi="Arial Narrow"/>
                <w:sz w:val="20"/>
              </w:rPr>
            </w:pP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Prescriber type:</w:t>
            </w:r>
          </w:p>
        </w:tc>
        <w:tc>
          <w:tcPr>
            <w:tcW w:w="5670" w:type="dxa"/>
            <w:tcBorders>
              <w:top w:val="single" w:sz="4" w:space="0" w:color="auto"/>
              <w:left w:val="single" w:sz="4" w:space="0" w:color="auto"/>
              <w:bottom w:val="single" w:sz="4" w:space="0" w:color="auto"/>
              <w:right w:val="single" w:sz="4" w:space="0" w:color="auto"/>
            </w:tcBorders>
          </w:tcPr>
          <w:p w:rsidR="00E426E4" w:rsidRDefault="00442399" w:rsidP="00C14540">
            <w:pPr>
              <w:rPr>
                <w:rFonts w:ascii="Arial Narrow" w:hAnsi="Arial Narrow"/>
                <w:sz w:val="20"/>
              </w:rPr>
            </w:pPr>
            <w:r w:rsidRPr="00155796">
              <w:rPr>
                <w:rFonts w:ascii="Arial Narrow" w:hAnsi="Arial Narrow"/>
                <w:sz w:val="20"/>
              </w:rPr>
              <w:fldChar w:fldCharType="begin">
                <w:ffData>
                  <w:name w:val="Check1"/>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Dental  </w:t>
            </w:r>
            <w:r w:rsidRPr="00155796">
              <w:rPr>
                <w:rFonts w:ascii="Arial Narrow" w:hAnsi="Arial Narrow"/>
                <w:sz w:val="20"/>
              </w:rPr>
              <w:fldChar w:fldCharType="begin">
                <w:ffData>
                  <w:name w:val=""/>
                  <w:enabled/>
                  <w:calcOnExit w:val="0"/>
                  <w:checkBox>
                    <w:sizeAuto/>
                    <w:default w:val="1"/>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Medical Practitioners  </w:t>
            </w:r>
            <w:r w:rsidRPr="00155796">
              <w:rPr>
                <w:rFonts w:ascii="Arial Narrow" w:hAnsi="Arial Narrow"/>
                <w:sz w:val="20"/>
              </w:rPr>
              <w:fldChar w:fldCharType="begin">
                <w:ffData>
                  <w:name w:val="Check3"/>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 xml:space="preserve">Nurse practitioners  </w:t>
            </w:r>
          </w:p>
          <w:p w:rsidR="00C14540" w:rsidRPr="00155796" w:rsidRDefault="00442399" w:rsidP="00C14540">
            <w:pPr>
              <w:rPr>
                <w:rFonts w:ascii="Arial Narrow" w:hAnsi="Arial Narrow"/>
                <w:sz w:val="20"/>
              </w:rPr>
            </w:pPr>
            <w:r w:rsidRPr="00155796">
              <w:rPr>
                <w:rFonts w:ascii="Arial Narrow" w:hAnsi="Arial Narrow"/>
                <w:sz w:val="20"/>
              </w:rPr>
              <w:fldChar w:fldCharType="begin">
                <w:ffData>
                  <w:name w:val=""/>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Optometrists</w:t>
            </w:r>
            <w:r w:rsidR="00E426E4">
              <w:rPr>
                <w:rFonts w:ascii="Arial Narrow" w:hAnsi="Arial Narrow"/>
                <w:sz w:val="20"/>
              </w:rPr>
              <w:t xml:space="preserve"> </w:t>
            </w:r>
            <w:r w:rsidRPr="00155796">
              <w:rPr>
                <w:rFonts w:ascii="Arial Narrow" w:hAnsi="Arial Narrow"/>
                <w:sz w:val="20"/>
              </w:rPr>
              <w:fldChar w:fldCharType="begin">
                <w:ffData>
                  <w:name w:val="Check5"/>
                  <w:enabled/>
                  <w:calcOnExit w:val="0"/>
                  <w:checkBox>
                    <w:sizeAuto/>
                    <w:default w:val="0"/>
                  </w:checkBox>
                </w:ffData>
              </w:fldChar>
            </w:r>
            <w:r w:rsidR="00C14540"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C14540" w:rsidRPr="00155796">
              <w:rPr>
                <w:rFonts w:ascii="Arial Narrow" w:hAnsi="Arial Narrow"/>
                <w:sz w:val="20"/>
              </w:rPr>
              <w:t>Midwives</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Condition:</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HIV infection</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PBS Indication</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HIV infection</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i/>
                <w:sz w:val="20"/>
              </w:rPr>
            </w:pPr>
            <w:r w:rsidRPr="00155796">
              <w:rPr>
                <w:rFonts w:ascii="Arial Narrow" w:hAnsi="Arial Narrow"/>
                <w:b/>
                <w:sz w:val="20"/>
              </w:rPr>
              <w:lastRenderedPageBreak/>
              <w:t>Treatment phase:</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Continuing</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b/>
                <w:sz w:val="20"/>
              </w:rPr>
            </w:pPr>
            <w:r w:rsidRPr="00155796">
              <w:rPr>
                <w:rFonts w:ascii="Arial Narrow" w:hAnsi="Arial Narrow"/>
                <w:b/>
                <w:sz w:val="20"/>
              </w:rPr>
              <w:t>Restriction:</w:t>
            </w:r>
          </w:p>
          <w:p w:rsidR="00C14540" w:rsidRPr="00155796" w:rsidRDefault="00C14540" w:rsidP="00C14540">
            <w:pPr>
              <w:rPr>
                <w:rFonts w:ascii="Arial Narrow" w:hAnsi="Arial Narrow"/>
                <w:sz w:val="20"/>
              </w:rPr>
            </w:pP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Private Hospital Authority Required</w:t>
            </w:r>
          </w:p>
          <w:p w:rsidR="00C14540" w:rsidRPr="00155796" w:rsidRDefault="00C14540" w:rsidP="00C14540">
            <w:pPr>
              <w:rPr>
                <w:rFonts w:ascii="Arial Narrow" w:hAnsi="Arial Narrow"/>
                <w:sz w:val="20"/>
              </w:rPr>
            </w:pPr>
            <w:r w:rsidRPr="00155796">
              <w:rPr>
                <w:rFonts w:ascii="Arial Narrow" w:hAnsi="Arial Narrow"/>
                <w:sz w:val="20"/>
              </w:rPr>
              <w:t>Public Hospital Authority Required (STREAMLINED)</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b/>
                <w:sz w:val="20"/>
              </w:rPr>
              <w:t>Clinical criteria:</w:t>
            </w:r>
            <w:r w:rsidRPr="00155796" w:rsidDel="00E51CE1">
              <w:rPr>
                <w:rFonts w:ascii="Arial Narrow" w:hAnsi="Arial Narrow"/>
                <w:b/>
                <w:sz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Patient must have previously received PBS-subsidised therapy for HIV infection.</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b/>
                <w:sz w:val="20"/>
              </w:rPr>
              <w:t>Population criteria:</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sz w:val="20"/>
              </w:rPr>
            </w:pPr>
            <w:r w:rsidRPr="00155796">
              <w:rPr>
                <w:rFonts w:ascii="Arial Narrow" w:hAnsi="Arial Narrow"/>
                <w:sz w:val="20"/>
              </w:rPr>
              <w:t>Patient must be aged 12 years or older</w:t>
            </w:r>
          </w:p>
          <w:p w:rsidR="00C14540" w:rsidRPr="00155796" w:rsidRDefault="00C14540" w:rsidP="00C14540">
            <w:pPr>
              <w:rPr>
                <w:rFonts w:ascii="Arial Narrow" w:hAnsi="Arial Narrow"/>
                <w:sz w:val="20"/>
              </w:rPr>
            </w:pPr>
            <w:r w:rsidRPr="00155796">
              <w:rPr>
                <w:rFonts w:ascii="Arial Narrow" w:hAnsi="Arial Narrow"/>
                <w:sz w:val="20"/>
              </w:rPr>
              <w:t>AND</w:t>
            </w:r>
          </w:p>
          <w:p w:rsidR="00C14540" w:rsidRPr="00155796" w:rsidRDefault="00C14540" w:rsidP="00C14540">
            <w:pPr>
              <w:rPr>
                <w:rFonts w:ascii="Arial Narrow" w:hAnsi="Arial Narrow"/>
                <w:sz w:val="20"/>
              </w:rPr>
            </w:pPr>
            <w:r w:rsidRPr="00155796">
              <w:rPr>
                <w:rFonts w:ascii="Arial Narrow" w:hAnsi="Arial Narrow"/>
                <w:sz w:val="20"/>
              </w:rPr>
              <w:t>Patient must weigh 40 kg or more.</w:t>
            </w:r>
          </w:p>
        </w:tc>
      </w:tr>
      <w:tr w:rsidR="00C14540"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i/>
                <w:sz w:val="20"/>
              </w:rPr>
            </w:pPr>
            <w:r w:rsidRPr="00155796">
              <w:rPr>
                <w:rFonts w:ascii="Arial Narrow" w:hAnsi="Arial Narrow"/>
                <w:b/>
                <w:sz w:val="20"/>
              </w:rPr>
              <w:t>Administrative Advice</w:t>
            </w:r>
          </w:p>
        </w:tc>
        <w:tc>
          <w:tcPr>
            <w:tcW w:w="5670" w:type="dxa"/>
            <w:tcBorders>
              <w:top w:val="single" w:sz="4" w:space="0" w:color="auto"/>
              <w:left w:val="single" w:sz="4" w:space="0" w:color="auto"/>
              <w:bottom w:val="single" w:sz="4" w:space="0" w:color="auto"/>
              <w:right w:val="single" w:sz="4" w:space="0" w:color="auto"/>
            </w:tcBorders>
          </w:tcPr>
          <w:p w:rsidR="00C14540" w:rsidRPr="00155796" w:rsidRDefault="00C14540" w:rsidP="00C14540">
            <w:pPr>
              <w:rPr>
                <w:rFonts w:ascii="Arial Narrow" w:hAnsi="Arial Narrow"/>
                <w:i/>
                <w:sz w:val="20"/>
              </w:rPr>
            </w:pPr>
            <w:r w:rsidRPr="00155796">
              <w:rPr>
                <w:rFonts w:ascii="Arial Narrow" w:hAnsi="Arial Narrow"/>
                <w:i/>
                <w:sz w:val="20"/>
              </w:rPr>
              <w:t>NOTE:</w:t>
            </w:r>
          </w:p>
          <w:p w:rsidR="00C14540" w:rsidRPr="00155796" w:rsidRDefault="00C14540" w:rsidP="00C14540">
            <w:pPr>
              <w:rPr>
                <w:rFonts w:ascii="Arial Narrow" w:hAnsi="Arial Narrow"/>
                <w:i/>
                <w:sz w:val="20"/>
              </w:rPr>
            </w:pPr>
            <w:r w:rsidRPr="00155796">
              <w:rPr>
                <w:rFonts w:ascii="Arial Narrow" w:hAnsi="Arial Narrow"/>
                <w:i/>
                <w:sz w:val="20"/>
              </w:rPr>
              <w:t>This drug is not recommended for patients with integrase inhibitor resistance.</w:t>
            </w:r>
          </w:p>
        </w:tc>
      </w:tr>
    </w:tbl>
    <w:p w:rsidR="00C14540" w:rsidRDefault="00C14540" w:rsidP="00C14540">
      <w:pPr>
        <w:pStyle w:val="PBACHeading1"/>
        <w:numPr>
          <w:ilvl w:val="0"/>
          <w:numId w:val="0"/>
        </w:numPr>
        <w:ind w:left="720" w:hanging="720"/>
      </w:pPr>
    </w:p>
    <w:p w:rsidR="002C2775" w:rsidRDefault="0065745E" w:rsidP="00A87147">
      <w:pPr>
        <w:pStyle w:val="ListParagraph"/>
        <w:widowControl/>
        <w:numPr>
          <w:ilvl w:val="1"/>
          <w:numId w:val="2"/>
        </w:numPr>
        <w:rPr>
          <w:szCs w:val="22"/>
        </w:rPr>
      </w:pPr>
      <w:r>
        <w:rPr>
          <w:szCs w:val="22"/>
        </w:rPr>
        <w:t>The r</w:t>
      </w:r>
      <w:r w:rsidR="00BA5162" w:rsidRPr="00BA5162">
        <w:rPr>
          <w:szCs w:val="22"/>
        </w:rPr>
        <w:t>equested</w:t>
      </w:r>
      <w:r w:rsidR="001F2151">
        <w:rPr>
          <w:szCs w:val="22"/>
        </w:rPr>
        <w:t xml:space="preserve"> </w:t>
      </w:r>
      <w:r w:rsidR="00BA5162" w:rsidRPr="00BA5162">
        <w:rPr>
          <w:szCs w:val="22"/>
        </w:rPr>
        <w:t xml:space="preserve">listing </w:t>
      </w:r>
      <w:r w:rsidR="00C9719F">
        <w:rPr>
          <w:szCs w:val="22"/>
        </w:rPr>
        <w:t>wa</w:t>
      </w:r>
      <w:r w:rsidR="00BA5162" w:rsidRPr="00BA5162">
        <w:rPr>
          <w:szCs w:val="22"/>
        </w:rPr>
        <w:t xml:space="preserve">s </w:t>
      </w:r>
      <w:r w:rsidR="001F2151">
        <w:rPr>
          <w:szCs w:val="22"/>
        </w:rPr>
        <w:t xml:space="preserve">based on a </w:t>
      </w:r>
      <w:r w:rsidR="00BA5162" w:rsidRPr="00BA5162">
        <w:rPr>
          <w:szCs w:val="22"/>
        </w:rPr>
        <w:t xml:space="preserve">cost-minimisation </w:t>
      </w:r>
      <w:r w:rsidR="001F2151">
        <w:rPr>
          <w:szCs w:val="22"/>
        </w:rPr>
        <w:t xml:space="preserve">analysis versus </w:t>
      </w:r>
      <w:r w:rsidR="00F86A38">
        <w:rPr>
          <w:szCs w:val="22"/>
        </w:rPr>
        <w:t>dolutegravir and</w:t>
      </w:r>
      <w:r w:rsidR="00BA5162" w:rsidRPr="00BA5162">
        <w:rPr>
          <w:szCs w:val="22"/>
        </w:rPr>
        <w:t xml:space="preserve"> Kivexa (abacavir + lamivudine FDC)</w:t>
      </w:r>
      <w:r w:rsidR="00F86A38">
        <w:rPr>
          <w:szCs w:val="22"/>
        </w:rPr>
        <w:t xml:space="preserve"> taken concomitantly</w:t>
      </w:r>
      <w:r w:rsidR="00BA5162" w:rsidRPr="00BA5162">
        <w:rPr>
          <w:szCs w:val="22"/>
        </w:rPr>
        <w:t>.</w:t>
      </w:r>
    </w:p>
    <w:p w:rsidR="00922302" w:rsidRPr="00F34986" w:rsidRDefault="00922302" w:rsidP="00922302">
      <w:pPr>
        <w:pStyle w:val="ListParagraph"/>
        <w:widowControl/>
        <w:rPr>
          <w:szCs w:val="22"/>
        </w:rPr>
      </w:pPr>
    </w:p>
    <w:p w:rsidR="00922302" w:rsidRPr="00F34986" w:rsidRDefault="00922302" w:rsidP="00A87147">
      <w:pPr>
        <w:pStyle w:val="ListParagraph"/>
        <w:widowControl/>
        <w:numPr>
          <w:ilvl w:val="1"/>
          <w:numId w:val="2"/>
        </w:numPr>
        <w:rPr>
          <w:szCs w:val="22"/>
        </w:rPr>
      </w:pPr>
      <w:r w:rsidRPr="00F34986">
        <w:t>The submission state</w:t>
      </w:r>
      <w:r w:rsidR="00C9719F">
        <w:t>d</w:t>
      </w:r>
      <w:r w:rsidRPr="00F34986">
        <w:t xml:space="preserve"> that patients who carry the HLA-B*5701 allele are at high risk for experiencing a hypersensitivity reaction to abacavir. The estimated prevalence of the allele is 5.6% (Mallal et al 2008)</w:t>
      </w:r>
      <w:r w:rsidR="009219E9" w:rsidRPr="00F34986">
        <w:t>. P</w:t>
      </w:r>
      <w:r w:rsidRPr="00F34986">
        <w:t>atients are screened for HLA</w:t>
      </w:r>
      <w:r w:rsidR="009219E9" w:rsidRPr="00F34986">
        <w:noBreakHyphen/>
      </w:r>
      <w:r w:rsidRPr="00F34986">
        <w:t xml:space="preserve">B*5701 prior to initiating therapy with abacavir or abacavir containing therapy such as Kivexa or Triumeq. The screening for HLA-B*5701 is currently funded on the MBS (Items 71203 or 73323) but the submission does not expect an increase in HLA-B*5701 screening or any additional cost to the MBS. </w:t>
      </w:r>
      <w:r w:rsidR="009219E9" w:rsidRPr="00F34986">
        <w:t xml:space="preserve">While </w:t>
      </w:r>
      <w:r w:rsidRPr="00F34986">
        <w:t>the submission assu</w:t>
      </w:r>
      <w:r w:rsidRPr="00F34986">
        <w:rPr>
          <w:szCs w:val="22"/>
        </w:rPr>
        <w:t>mes that a significant number of patients will switch from dolutegravir + Truvada</w:t>
      </w:r>
      <w:r w:rsidR="00CE564D" w:rsidRPr="00F34986">
        <w:rPr>
          <w:szCs w:val="22"/>
        </w:rPr>
        <w:t xml:space="preserve"> (emtricitabine + tenofovir)</w:t>
      </w:r>
      <w:r w:rsidRPr="00F34986">
        <w:rPr>
          <w:szCs w:val="22"/>
        </w:rPr>
        <w:t xml:space="preserve"> </w:t>
      </w:r>
      <w:r w:rsidR="009219E9" w:rsidRPr="00F34986">
        <w:rPr>
          <w:szCs w:val="22"/>
        </w:rPr>
        <w:t xml:space="preserve">and </w:t>
      </w:r>
      <w:r w:rsidRPr="00F34986">
        <w:rPr>
          <w:szCs w:val="22"/>
        </w:rPr>
        <w:t>will need to be screened for HLA-B*5701 before initiating therapy on Triumeq</w:t>
      </w:r>
      <w:r w:rsidR="009219E9" w:rsidRPr="00F34986">
        <w:rPr>
          <w:szCs w:val="22"/>
        </w:rPr>
        <w:t>,</w:t>
      </w:r>
      <w:r w:rsidRPr="00F34986">
        <w:rPr>
          <w:szCs w:val="22"/>
        </w:rPr>
        <w:t xml:space="preserve"> </w:t>
      </w:r>
      <w:r w:rsidR="009219E9" w:rsidRPr="00F34986">
        <w:rPr>
          <w:szCs w:val="22"/>
        </w:rPr>
        <w:t>t</w:t>
      </w:r>
      <w:r w:rsidR="00397D8E" w:rsidRPr="00F34986">
        <w:rPr>
          <w:szCs w:val="22"/>
        </w:rPr>
        <w:t>he</w:t>
      </w:r>
      <w:r w:rsidR="00762AE9" w:rsidRPr="00F34986">
        <w:rPr>
          <w:szCs w:val="22"/>
        </w:rPr>
        <w:t xml:space="preserve"> Pre</w:t>
      </w:r>
      <w:r w:rsidR="007D4A8E" w:rsidRPr="00F34986">
        <w:rPr>
          <w:szCs w:val="22"/>
        </w:rPr>
        <w:t>-Sub-Committee</w:t>
      </w:r>
      <w:r w:rsidR="00397D8E" w:rsidRPr="00F34986">
        <w:rPr>
          <w:szCs w:val="22"/>
        </w:rPr>
        <w:t xml:space="preserve"> </w:t>
      </w:r>
      <w:r w:rsidR="007D4A8E" w:rsidRPr="00F34986">
        <w:rPr>
          <w:szCs w:val="22"/>
        </w:rPr>
        <w:t>Response (</w:t>
      </w:r>
      <w:r w:rsidR="00397D8E" w:rsidRPr="00F34986">
        <w:rPr>
          <w:szCs w:val="22"/>
        </w:rPr>
        <w:t>PSCR</w:t>
      </w:r>
      <w:r w:rsidR="007D4A8E" w:rsidRPr="00F34986">
        <w:rPr>
          <w:szCs w:val="22"/>
        </w:rPr>
        <w:t>)</w:t>
      </w:r>
      <w:r w:rsidR="009005C3" w:rsidRPr="00F34986">
        <w:rPr>
          <w:szCs w:val="22"/>
        </w:rPr>
        <w:t xml:space="preserve"> </w:t>
      </w:r>
      <w:r w:rsidR="00397D8E" w:rsidRPr="00F34986">
        <w:rPr>
          <w:szCs w:val="22"/>
        </w:rPr>
        <w:t xml:space="preserve">argued that it is current practice to screen all newly diagnosed HIV patients for </w:t>
      </w:r>
      <w:r w:rsidR="009219E9" w:rsidRPr="00F34986">
        <w:rPr>
          <w:szCs w:val="22"/>
        </w:rPr>
        <w:t xml:space="preserve">the allele </w:t>
      </w:r>
      <w:r w:rsidR="00397D8E" w:rsidRPr="00F34986">
        <w:rPr>
          <w:szCs w:val="22"/>
        </w:rPr>
        <w:t>(HIV Mana</w:t>
      </w:r>
      <w:r w:rsidR="00397D8E" w:rsidRPr="00F34986">
        <w:t>gement in Australia: A guide for clinical care, p74)</w:t>
      </w:r>
      <w:r w:rsidR="009219E9" w:rsidRPr="00F34986">
        <w:t xml:space="preserve">. </w:t>
      </w:r>
      <w:r w:rsidR="006D5940" w:rsidRPr="00F34986">
        <w:t>The ESC agreed that it is current practice to screen all newly diagnosed patients</w:t>
      </w:r>
      <w:r w:rsidR="00262409" w:rsidRPr="00F34986">
        <w:t xml:space="preserve"> for the hypersensitivity reaction to abacavir</w:t>
      </w:r>
      <w:r w:rsidR="006D5940" w:rsidRPr="00F34986">
        <w:t xml:space="preserve">, regardless of whether they are </w:t>
      </w:r>
      <w:r w:rsidR="00867AE6" w:rsidRPr="00F34986">
        <w:t xml:space="preserve">initially </w:t>
      </w:r>
      <w:r w:rsidR="006D5940" w:rsidRPr="00F34986">
        <w:t xml:space="preserve">treated with an abacavir-containing therapy.  </w:t>
      </w:r>
    </w:p>
    <w:p w:rsidR="002B4C74" w:rsidRPr="00F34986" w:rsidRDefault="002B4C74" w:rsidP="004B1CB4"/>
    <w:p w:rsidR="00F34986" w:rsidRDefault="00F34986" w:rsidP="00F34986">
      <w:pPr>
        <w:pStyle w:val="ListParagraph"/>
        <w:ind w:left="709"/>
        <w:rPr>
          <w:i/>
          <w:szCs w:val="22"/>
        </w:rPr>
      </w:pPr>
      <w:r>
        <w:rPr>
          <w:i/>
          <w:szCs w:val="22"/>
        </w:rPr>
        <w:t>For more detail on PBAC’s view, see section 7 “PBAC outcome”</w:t>
      </w:r>
    </w:p>
    <w:p w:rsidR="00762AE9" w:rsidRDefault="00762AE9" w:rsidP="005F78E3"/>
    <w:p w:rsidR="00F34986" w:rsidRPr="00882085" w:rsidRDefault="00F34986" w:rsidP="004B1CB4"/>
    <w:p w:rsidR="00B50DB8" w:rsidRPr="00407F2D" w:rsidRDefault="00B50DB8" w:rsidP="001944CD">
      <w:pPr>
        <w:pStyle w:val="PBACHeading1"/>
      </w:pPr>
      <w:bookmarkStart w:id="4" w:name="_Toc398632112"/>
      <w:r w:rsidRPr="00407F2D">
        <w:t>Background</w:t>
      </w:r>
      <w:bookmarkEnd w:id="4"/>
    </w:p>
    <w:p w:rsidR="00B60939" w:rsidRPr="00882085" w:rsidRDefault="00B60939" w:rsidP="001944CD">
      <w:pPr>
        <w:pStyle w:val="BodyText"/>
      </w:pPr>
    </w:p>
    <w:p w:rsidR="00B60939" w:rsidRPr="008D1C29" w:rsidRDefault="00B60939" w:rsidP="00743964">
      <w:pPr>
        <w:pStyle w:val="ListParagraph"/>
        <w:widowControl/>
        <w:numPr>
          <w:ilvl w:val="1"/>
          <w:numId w:val="2"/>
        </w:numPr>
      </w:pPr>
      <w:r w:rsidRPr="008D1C29">
        <w:rPr>
          <w:b/>
          <w:szCs w:val="22"/>
        </w:rPr>
        <w:t>TGA status</w:t>
      </w:r>
      <w:r w:rsidR="005E1393" w:rsidRPr="008D1C29">
        <w:rPr>
          <w:b/>
          <w:szCs w:val="22"/>
        </w:rPr>
        <w:t xml:space="preserve"> at time of </w:t>
      </w:r>
      <w:r w:rsidR="00C9719F" w:rsidRPr="008D1C29">
        <w:rPr>
          <w:b/>
          <w:szCs w:val="22"/>
        </w:rPr>
        <w:t>PBAC consideration</w:t>
      </w:r>
      <w:r w:rsidRPr="008D1C29">
        <w:rPr>
          <w:b/>
          <w:i/>
          <w:szCs w:val="22"/>
        </w:rPr>
        <w:t>:</w:t>
      </w:r>
      <w:r w:rsidRPr="008D1C29">
        <w:rPr>
          <w:i/>
          <w:szCs w:val="22"/>
        </w:rPr>
        <w:t xml:space="preserve"> </w:t>
      </w:r>
      <w:r w:rsidR="005E1393" w:rsidRPr="008D1C29">
        <w:rPr>
          <w:szCs w:val="22"/>
        </w:rPr>
        <w:t>Not registered</w:t>
      </w:r>
      <w:r w:rsidR="005E1393" w:rsidRPr="008D1C29">
        <w:rPr>
          <w:i/>
          <w:szCs w:val="22"/>
        </w:rPr>
        <w:t>.</w:t>
      </w:r>
      <w:r w:rsidR="005E1393" w:rsidRPr="008D1C29">
        <w:rPr>
          <w:szCs w:val="22"/>
        </w:rPr>
        <w:t xml:space="preserve"> </w:t>
      </w:r>
      <w:r w:rsidRPr="008D1C29">
        <w:t xml:space="preserve">The submission was made under TGA/PBAC Parallel Process.  At the time of </w:t>
      </w:r>
      <w:r w:rsidR="00C9719F" w:rsidRPr="008D1C29">
        <w:t xml:space="preserve">PBAC </w:t>
      </w:r>
      <w:r w:rsidRPr="008D1C29">
        <w:t xml:space="preserve">consideration, </w:t>
      </w:r>
      <w:r w:rsidR="00C9719F" w:rsidRPr="008D1C29">
        <w:t xml:space="preserve">a positive TGA Delegate </w:t>
      </w:r>
      <w:r w:rsidR="004E2A98" w:rsidRPr="008D1C29">
        <w:t xml:space="preserve">summary </w:t>
      </w:r>
      <w:r w:rsidR="00743964" w:rsidRPr="008D1C29">
        <w:t xml:space="preserve">was </w:t>
      </w:r>
      <w:r w:rsidRPr="008D1C29">
        <w:t xml:space="preserve">available.  </w:t>
      </w:r>
    </w:p>
    <w:p w:rsidR="00B60939" w:rsidRPr="00882085" w:rsidRDefault="00B60939" w:rsidP="00B60939">
      <w:pPr>
        <w:pStyle w:val="ListParagraph"/>
        <w:rPr>
          <w:szCs w:val="22"/>
        </w:rPr>
      </w:pPr>
    </w:p>
    <w:p w:rsidR="002C2775" w:rsidRPr="00DB1C5A" w:rsidRDefault="00546DD6" w:rsidP="00A87147">
      <w:pPr>
        <w:pStyle w:val="ListParagraph"/>
        <w:widowControl/>
        <w:numPr>
          <w:ilvl w:val="1"/>
          <w:numId w:val="2"/>
        </w:numPr>
        <w:rPr>
          <w:szCs w:val="22"/>
        </w:rPr>
      </w:pPr>
      <w:r>
        <w:rPr>
          <w:szCs w:val="22"/>
        </w:rPr>
        <w:t>Dolutegravir + abacavir + lamivudine</w:t>
      </w:r>
      <w:r w:rsidR="001F2151" w:rsidRPr="00DB1C5A">
        <w:rPr>
          <w:szCs w:val="22"/>
        </w:rPr>
        <w:t xml:space="preserve"> FDC ha</w:t>
      </w:r>
      <w:r w:rsidR="00C9719F">
        <w:rPr>
          <w:szCs w:val="22"/>
        </w:rPr>
        <w:t>d</w:t>
      </w:r>
      <w:r w:rsidR="001F2151" w:rsidRPr="00DB1C5A">
        <w:rPr>
          <w:szCs w:val="22"/>
        </w:rPr>
        <w:t xml:space="preserve"> not previously been considered by the PBAC.</w:t>
      </w:r>
    </w:p>
    <w:p w:rsidR="00E55BB5" w:rsidRDefault="00E55BB5" w:rsidP="004B1CB4"/>
    <w:p w:rsidR="00F34986" w:rsidRDefault="00F34986" w:rsidP="00F34986">
      <w:pPr>
        <w:pStyle w:val="ListParagraph"/>
        <w:ind w:left="709"/>
        <w:rPr>
          <w:i/>
          <w:szCs w:val="22"/>
        </w:rPr>
      </w:pPr>
      <w:r>
        <w:rPr>
          <w:i/>
          <w:szCs w:val="22"/>
        </w:rPr>
        <w:t>For more detail on PBAC’s view, see section 7 “PBAC outcome”</w:t>
      </w:r>
    </w:p>
    <w:p w:rsidR="00762AE9" w:rsidRDefault="00762AE9" w:rsidP="005F78E3"/>
    <w:p w:rsidR="00F34986" w:rsidRDefault="00F34986" w:rsidP="004B1CB4"/>
    <w:p w:rsidR="00B50DB8" w:rsidRPr="00DB1C5A" w:rsidRDefault="00B50DB8" w:rsidP="00BD6CF3">
      <w:pPr>
        <w:pStyle w:val="PBACHeading1"/>
      </w:pPr>
      <w:bookmarkStart w:id="5" w:name="_Toc398632113"/>
      <w:r w:rsidRPr="00DB1C5A">
        <w:t>Clinical place for the proposed therapy</w:t>
      </w:r>
      <w:bookmarkEnd w:id="5"/>
    </w:p>
    <w:p w:rsidR="00B60939" w:rsidRPr="00882085" w:rsidRDefault="00B60939" w:rsidP="00B60939">
      <w:pPr>
        <w:rPr>
          <w:szCs w:val="22"/>
        </w:rPr>
      </w:pPr>
    </w:p>
    <w:p w:rsidR="00B60939" w:rsidRPr="00DB1C5A" w:rsidRDefault="0091583A" w:rsidP="0091583A">
      <w:pPr>
        <w:pStyle w:val="ListParagraph"/>
        <w:widowControl/>
        <w:numPr>
          <w:ilvl w:val="1"/>
          <w:numId w:val="2"/>
        </w:numPr>
        <w:rPr>
          <w:szCs w:val="22"/>
        </w:rPr>
      </w:pPr>
      <w:r w:rsidRPr="00DB1C5A">
        <w:t xml:space="preserve">HIV infection can lead to the destruction of the patient’s natural immune system. </w:t>
      </w:r>
      <w:r w:rsidR="00743964" w:rsidRPr="00DB1C5A">
        <w:t xml:space="preserve"> </w:t>
      </w:r>
      <w:r w:rsidR="00CC43B2" w:rsidRPr="00DB1C5A">
        <w:t xml:space="preserve">The recommended treatment for HIV therapy </w:t>
      </w:r>
      <w:r w:rsidRPr="00DB1C5A">
        <w:t>is to use at least three different agents, with 2</w:t>
      </w:r>
      <w:r w:rsidR="00BA528B">
        <w:t xml:space="preserve"> to </w:t>
      </w:r>
      <w:r w:rsidRPr="00DB1C5A">
        <w:t xml:space="preserve">3 being fully active or likely to be fully active.  This applies for initiating as well as second, third and fourth line treatment.   </w:t>
      </w:r>
    </w:p>
    <w:p w:rsidR="00894489" w:rsidRPr="00DB1C5A" w:rsidRDefault="00894489" w:rsidP="00894489">
      <w:pPr>
        <w:widowControl/>
        <w:rPr>
          <w:szCs w:val="22"/>
        </w:rPr>
      </w:pPr>
    </w:p>
    <w:p w:rsidR="00B60939" w:rsidRPr="00DB1C5A" w:rsidRDefault="00F817B1" w:rsidP="00A87147">
      <w:pPr>
        <w:pStyle w:val="ListParagraph"/>
        <w:widowControl/>
        <w:numPr>
          <w:ilvl w:val="1"/>
          <w:numId w:val="2"/>
        </w:numPr>
        <w:rPr>
          <w:szCs w:val="22"/>
        </w:rPr>
      </w:pPr>
      <w:r>
        <w:rPr>
          <w:szCs w:val="22"/>
        </w:rPr>
        <w:t>Dolutegravir + abacavir + lamivudine</w:t>
      </w:r>
      <w:r w:rsidRPr="00DB1C5A">
        <w:rPr>
          <w:szCs w:val="22"/>
        </w:rPr>
        <w:t xml:space="preserve"> FDC</w:t>
      </w:r>
      <w:r>
        <w:rPr>
          <w:szCs w:val="22"/>
        </w:rPr>
        <w:t xml:space="preserve"> </w:t>
      </w:r>
      <w:r w:rsidR="0091583A" w:rsidRPr="00DB1C5A">
        <w:rPr>
          <w:szCs w:val="22"/>
        </w:rPr>
        <w:t>can be used in any line of therapy.</w:t>
      </w:r>
    </w:p>
    <w:p w:rsidR="00762AE9" w:rsidRDefault="00762AE9" w:rsidP="00B60939">
      <w:pPr>
        <w:pStyle w:val="Header"/>
        <w:rPr>
          <w:szCs w:val="22"/>
        </w:rPr>
      </w:pPr>
    </w:p>
    <w:p w:rsidR="00F34986" w:rsidRDefault="00F34986" w:rsidP="00F34986">
      <w:pPr>
        <w:pStyle w:val="ListParagraph"/>
        <w:ind w:left="709"/>
        <w:rPr>
          <w:i/>
          <w:szCs w:val="22"/>
        </w:rPr>
      </w:pPr>
      <w:r>
        <w:rPr>
          <w:i/>
          <w:szCs w:val="22"/>
        </w:rPr>
        <w:t>For more detail on PBAC’s view, see section 7 “PBAC outcome”</w:t>
      </w:r>
    </w:p>
    <w:p w:rsidR="00F34986" w:rsidRDefault="00F34986" w:rsidP="00F34986">
      <w:pPr>
        <w:pStyle w:val="Header"/>
        <w:rPr>
          <w:szCs w:val="22"/>
        </w:rPr>
      </w:pPr>
    </w:p>
    <w:p w:rsidR="00F34986" w:rsidRPr="00882085" w:rsidRDefault="00F34986" w:rsidP="00F34986">
      <w:pPr>
        <w:pStyle w:val="Header"/>
        <w:rPr>
          <w:szCs w:val="22"/>
        </w:rPr>
      </w:pPr>
    </w:p>
    <w:p w:rsidR="00B50DB8" w:rsidRPr="001944CD" w:rsidRDefault="00B50DB8" w:rsidP="001944CD">
      <w:pPr>
        <w:pStyle w:val="PBACHeading1"/>
      </w:pPr>
      <w:r w:rsidRPr="00407F2D">
        <w:t>Comparator</w:t>
      </w:r>
    </w:p>
    <w:p w:rsidR="00B60939" w:rsidRPr="00882085" w:rsidRDefault="00B60939" w:rsidP="004B1CB4"/>
    <w:p w:rsidR="006A3A89" w:rsidRPr="00F34986" w:rsidRDefault="004F4B8A" w:rsidP="00A87147">
      <w:pPr>
        <w:pStyle w:val="ListParagraph"/>
        <w:widowControl/>
        <w:numPr>
          <w:ilvl w:val="1"/>
          <w:numId w:val="2"/>
        </w:numPr>
        <w:rPr>
          <w:szCs w:val="22"/>
        </w:rPr>
      </w:pPr>
      <w:r w:rsidRPr="00F34986">
        <w:t>The submission nominated d</w:t>
      </w:r>
      <w:r w:rsidR="001F2151" w:rsidRPr="00F34986">
        <w:t>olutegravir + Kivexa</w:t>
      </w:r>
      <w:r w:rsidRPr="00F34986">
        <w:t xml:space="preserve"> which t</w:t>
      </w:r>
      <w:r w:rsidR="00C14540" w:rsidRPr="00F34986">
        <w:t xml:space="preserve">he ESC agreed </w:t>
      </w:r>
      <w:r w:rsidR="00F067A2" w:rsidRPr="00F34986">
        <w:t xml:space="preserve">is </w:t>
      </w:r>
      <w:r w:rsidR="00904505" w:rsidRPr="00F34986">
        <w:t xml:space="preserve">an </w:t>
      </w:r>
      <w:r w:rsidR="00F067A2" w:rsidRPr="00F34986">
        <w:t xml:space="preserve">appropriate comparator.  </w:t>
      </w:r>
    </w:p>
    <w:p w:rsidR="006A3A89" w:rsidRPr="00F34986" w:rsidRDefault="006A3A89" w:rsidP="006A3A89">
      <w:pPr>
        <w:pStyle w:val="ListParagraph"/>
        <w:widowControl/>
        <w:rPr>
          <w:szCs w:val="22"/>
        </w:rPr>
      </w:pPr>
    </w:p>
    <w:p w:rsidR="0017701E" w:rsidRPr="00F34986" w:rsidRDefault="0017701E" w:rsidP="0017701E">
      <w:pPr>
        <w:pStyle w:val="ListParagraph"/>
        <w:numPr>
          <w:ilvl w:val="1"/>
          <w:numId w:val="2"/>
        </w:numPr>
      </w:pPr>
      <w:r w:rsidRPr="00F34986">
        <w:t xml:space="preserve">The ESC </w:t>
      </w:r>
      <w:r w:rsidR="0065745E">
        <w:t xml:space="preserve">also </w:t>
      </w:r>
      <w:r w:rsidRPr="00F34986">
        <w:t xml:space="preserve">recommended PBAC consider whether the nominated comparator of dolutegravir and </w:t>
      </w:r>
      <w:r w:rsidR="007D4A8E" w:rsidRPr="00F34986">
        <w:t>Kivexa</w:t>
      </w:r>
      <w:r w:rsidRPr="00F34986">
        <w:t xml:space="preserve"> is more appropriate than the other triple</w:t>
      </w:r>
      <w:r w:rsidR="00F86A38" w:rsidRPr="00F34986">
        <w:t xml:space="preserve"> </w:t>
      </w:r>
      <w:r w:rsidRPr="00F34986">
        <w:t xml:space="preserve">FDCs recommended as first-line therapy for HIV. The submission nominated Atripla (tenofovir + emtricitabine + efavirenz) as a secondary comparator. </w:t>
      </w:r>
    </w:p>
    <w:p w:rsidR="00B60939" w:rsidRPr="00F34986" w:rsidRDefault="00B60939" w:rsidP="00DF5D2B">
      <w:pPr>
        <w:rPr>
          <w:szCs w:val="22"/>
        </w:rPr>
      </w:pPr>
    </w:p>
    <w:p w:rsidR="00762AE9" w:rsidRPr="00903D4B" w:rsidRDefault="00903D4B" w:rsidP="00903D4B">
      <w:pPr>
        <w:ind w:firstLine="720"/>
        <w:rPr>
          <w:i/>
          <w:szCs w:val="22"/>
        </w:rPr>
      </w:pPr>
      <w:r w:rsidRPr="00903D4B">
        <w:rPr>
          <w:i/>
          <w:szCs w:val="22"/>
        </w:rPr>
        <w:t>For more detail on PBAC’s view, see section 7 “PBAC outcome”</w:t>
      </w:r>
    </w:p>
    <w:p w:rsidR="00903D4B" w:rsidRDefault="00903D4B" w:rsidP="00DF5D2B">
      <w:pPr>
        <w:rPr>
          <w:szCs w:val="22"/>
        </w:rPr>
      </w:pPr>
    </w:p>
    <w:p w:rsidR="003868D1" w:rsidRDefault="003868D1" w:rsidP="00DF5D2B">
      <w:pPr>
        <w:rPr>
          <w:szCs w:val="22"/>
        </w:rPr>
      </w:pPr>
    </w:p>
    <w:p w:rsidR="00B50DB8" w:rsidRPr="00407F2D" w:rsidRDefault="001944CD" w:rsidP="001944CD">
      <w:pPr>
        <w:pStyle w:val="PBACHeading1"/>
      </w:pPr>
      <w:bookmarkStart w:id="6" w:name="_Toc398632114"/>
      <w:r>
        <w:t>C</w:t>
      </w:r>
      <w:r w:rsidR="00B50DB8" w:rsidRPr="00407F2D">
        <w:t>onsideration of the evidence</w:t>
      </w:r>
      <w:bookmarkEnd w:id="6"/>
    </w:p>
    <w:p w:rsidR="00B60939" w:rsidRDefault="00B60939" w:rsidP="001944CD">
      <w:pPr>
        <w:pStyle w:val="BodyText"/>
      </w:pPr>
    </w:p>
    <w:p w:rsidR="00AE2C5D" w:rsidRPr="003868D1" w:rsidRDefault="00AE2C5D" w:rsidP="001944CD">
      <w:pPr>
        <w:rPr>
          <w:b/>
        </w:rPr>
      </w:pPr>
      <w:r w:rsidRPr="003868D1">
        <w:rPr>
          <w:b/>
        </w:rPr>
        <w:t>Sponsor hearing</w:t>
      </w:r>
    </w:p>
    <w:p w:rsidR="005F78E3" w:rsidRDefault="005F78E3" w:rsidP="005F78E3">
      <w:pPr>
        <w:pStyle w:val="PBACHeading1"/>
        <w:numPr>
          <w:ilvl w:val="0"/>
          <w:numId w:val="0"/>
        </w:numPr>
        <w:ind w:left="720"/>
      </w:pPr>
      <w:bookmarkStart w:id="7" w:name="_Toc398632115"/>
    </w:p>
    <w:p w:rsidR="00F34986" w:rsidRPr="00F34986" w:rsidRDefault="00F34986" w:rsidP="00F34986">
      <w:pPr>
        <w:pStyle w:val="ListParagraph"/>
        <w:widowControl/>
        <w:numPr>
          <w:ilvl w:val="1"/>
          <w:numId w:val="2"/>
        </w:numPr>
      </w:pPr>
      <w:r w:rsidRPr="00F34986">
        <w:t>There was no hearing for this item.</w:t>
      </w:r>
    </w:p>
    <w:p w:rsidR="00F34986" w:rsidRDefault="00F34986" w:rsidP="001944CD">
      <w:pPr>
        <w:pStyle w:val="BodyText"/>
      </w:pPr>
    </w:p>
    <w:p w:rsidR="00AE2C5D" w:rsidRPr="003868D1" w:rsidRDefault="00AE2C5D" w:rsidP="00AE2C5D">
      <w:pPr>
        <w:rPr>
          <w:b/>
        </w:rPr>
      </w:pPr>
      <w:r w:rsidRPr="003868D1">
        <w:rPr>
          <w:b/>
        </w:rPr>
        <w:t>Consumer comments</w:t>
      </w:r>
    </w:p>
    <w:p w:rsidR="00AE2C5D" w:rsidRDefault="00AE2C5D" w:rsidP="00AE2C5D">
      <w:pPr>
        <w:rPr>
          <w:i/>
        </w:rPr>
      </w:pPr>
    </w:p>
    <w:p w:rsidR="005210DA" w:rsidRPr="005210DA" w:rsidRDefault="005210DA" w:rsidP="005210DA">
      <w:pPr>
        <w:pStyle w:val="ListParagraph"/>
        <w:widowControl/>
        <w:numPr>
          <w:ilvl w:val="1"/>
          <w:numId w:val="2"/>
        </w:numPr>
      </w:pPr>
      <w:r w:rsidRPr="005210DA">
        <w:t>The PBAC noted that no consumer comments were received in the submission.</w:t>
      </w:r>
    </w:p>
    <w:p w:rsidR="00AE2C5D" w:rsidRPr="00AE2C5D" w:rsidRDefault="00AE2C5D" w:rsidP="00AE2C5D"/>
    <w:p w:rsidR="00B60939" w:rsidRPr="001944CD" w:rsidRDefault="00B60939" w:rsidP="001944CD">
      <w:pPr>
        <w:rPr>
          <w:b/>
        </w:rPr>
      </w:pPr>
      <w:r w:rsidRPr="001944CD">
        <w:rPr>
          <w:b/>
        </w:rPr>
        <w:t>Clinical trials</w:t>
      </w:r>
      <w:bookmarkEnd w:id="7"/>
    </w:p>
    <w:p w:rsidR="005F78E3" w:rsidRDefault="005F78E3" w:rsidP="005F78E3">
      <w:pPr>
        <w:pStyle w:val="BodyText"/>
      </w:pPr>
    </w:p>
    <w:p w:rsidR="007F1017" w:rsidRPr="00DB1C5A" w:rsidRDefault="00862502" w:rsidP="0091583A">
      <w:pPr>
        <w:pStyle w:val="ListParagraph"/>
        <w:widowControl/>
        <w:numPr>
          <w:ilvl w:val="1"/>
          <w:numId w:val="2"/>
        </w:numPr>
        <w:rPr>
          <w:szCs w:val="22"/>
        </w:rPr>
      </w:pPr>
      <w:r w:rsidRPr="00DB1C5A">
        <w:t xml:space="preserve">The submission </w:t>
      </w:r>
      <w:r w:rsidR="00C9719F">
        <w:t>wa</w:t>
      </w:r>
      <w:r w:rsidRPr="00DB1C5A">
        <w:t xml:space="preserve">s based on one head-to-head </w:t>
      </w:r>
      <w:r w:rsidR="0091583A" w:rsidRPr="00DB1C5A">
        <w:t xml:space="preserve">pharmacokinetic </w:t>
      </w:r>
      <w:r w:rsidRPr="00DB1C5A">
        <w:t xml:space="preserve">trial comparing </w:t>
      </w:r>
      <w:r w:rsidR="0091583A" w:rsidRPr="00DB1C5A">
        <w:t>the Triumeq FDC</w:t>
      </w:r>
      <w:r w:rsidRPr="00DB1C5A">
        <w:t xml:space="preserve"> to </w:t>
      </w:r>
      <w:r w:rsidR="0091583A" w:rsidRPr="00DB1C5A">
        <w:t>dolutegravir + Kivexa</w:t>
      </w:r>
      <w:r w:rsidRPr="00DB1C5A">
        <w:t xml:space="preserve"> (n=</w:t>
      </w:r>
      <w:r w:rsidR="0091583A" w:rsidRPr="00DB1C5A">
        <w:t>66</w:t>
      </w:r>
      <w:r w:rsidRPr="00DB1C5A">
        <w:t>).</w:t>
      </w:r>
      <w:r w:rsidR="0091583A" w:rsidRPr="00DB1C5A">
        <w:t xml:space="preserve">  Clinical trials comparing dolutegravir + Kivexa with other HIV therapies </w:t>
      </w:r>
      <w:r w:rsidR="0065745E">
        <w:t>were</w:t>
      </w:r>
      <w:r w:rsidR="0065745E" w:rsidRPr="00DB1C5A">
        <w:t xml:space="preserve"> </w:t>
      </w:r>
      <w:r w:rsidR="0091583A" w:rsidRPr="00DB1C5A">
        <w:t xml:space="preserve">also included as supporting evidence. </w:t>
      </w:r>
    </w:p>
    <w:p w:rsidR="00862502" w:rsidRPr="00862502" w:rsidRDefault="00862502" w:rsidP="00862502">
      <w:pPr>
        <w:widowControl/>
        <w:rPr>
          <w:szCs w:val="22"/>
        </w:rPr>
      </w:pPr>
    </w:p>
    <w:p w:rsidR="00862502" w:rsidRPr="00B50DB8" w:rsidRDefault="00862502" w:rsidP="00A87147">
      <w:pPr>
        <w:pStyle w:val="ListParagraph"/>
        <w:widowControl/>
        <w:numPr>
          <w:ilvl w:val="1"/>
          <w:numId w:val="2"/>
        </w:numPr>
        <w:rPr>
          <w:szCs w:val="22"/>
        </w:rPr>
      </w:pPr>
      <w:r w:rsidRPr="00B50DB8">
        <w:rPr>
          <w:szCs w:val="22"/>
        </w:rPr>
        <w:t xml:space="preserve">Details of the trials presented in </w:t>
      </w:r>
      <w:r w:rsidR="0000621A">
        <w:rPr>
          <w:szCs w:val="22"/>
        </w:rPr>
        <w:t>the submission are provided in the</w:t>
      </w:r>
      <w:r w:rsidR="00A57BBD">
        <w:rPr>
          <w:szCs w:val="22"/>
        </w:rPr>
        <w:t xml:space="preserve"> following</w:t>
      </w:r>
      <w:r w:rsidR="0000621A">
        <w:rPr>
          <w:szCs w:val="22"/>
        </w:rPr>
        <w:t xml:space="preserve"> table</w:t>
      </w:r>
      <w:r w:rsidRPr="00B50DB8">
        <w:rPr>
          <w:szCs w:val="22"/>
        </w:rPr>
        <w:t xml:space="preserve">.  </w:t>
      </w:r>
    </w:p>
    <w:p w:rsidR="00862502" w:rsidRPr="00862502" w:rsidRDefault="00862502" w:rsidP="00862502">
      <w:pPr>
        <w:widowControl/>
        <w:rPr>
          <w:szCs w:val="22"/>
        </w:rPr>
      </w:pPr>
    </w:p>
    <w:p w:rsidR="008F120A" w:rsidRDefault="008F120A" w:rsidP="00ED4418">
      <w:pPr>
        <w:keepNext/>
        <w:ind w:firstLine="720"/>
        <w:rPr>
          <w:rStyle w:val="CommentReference"/>
        </w:rPr>
      </w:pPr>
      <w:r w:rsidRPr="000812CA">
        <w:rPr>
          <w:rStyle w:val="CommentReference"/>
        </w:rPr>
        <w:lastRenderedPageBreak/>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13"/>
        <w:gridCol w:w="78"/>
        <w:gridCol w:w="5705"/>
        <w:gridCol w:w="55"/>
        <w:gridCol w:w="1594"/>
      </w:tblGrid>
      <w:tr w:rsidR="00DF384E" w:rsidRPr="004E2ADC">
        <w:tc>
          <w:tcPr>
            <w:tcW w:w="594" w:type="pct"/>
            <w:gridSpan w:val="2"/>
            <w:tcBorders>
              <w:top w:val="single" w:sz="4" w:space="0" w:color="auto"/>
              <w:left w:val="single" w:sz="4" w:space="0" w:color="auto"/>
              <w:bottom w:val="single" w:sz="4" w:space="0" w:color="auto"/>
              <w:right w:val="single" w:sz="4" w:space="0" w:color="auto"/>
            </w:tcBorders>
          </w:tcPr>
          <w:p w:rsidR="00DF384E" w:rsidRPr="004E2ADC" w:rsidRDefault="00DF384E" w:rsidP="003B3F02">
            <w:pPr>
              <w:pStyle w:val="TableFooter"/>
              <w:keepNext/>
              <w:ind w:left="28" w:hanging="28"/>
              <w:rPr>
                <w:b/>
                <w:sz w:val="20"/>
              </w:rPr>
            </w:pPr>
            <w:r w:rsidRPr="004E2ADC">
              <w:rPr>
                <w:b/>
                <w:sz w:val="20"/>
              </w:rPr>
              <w:t>Trial ID</w:t>
            </w:r>
          </w:p>
        </w:tc>
        <w:tc>
          <w:tcPr>
            <w:tcW w:w="3418" w:type="pct"/>
            <w:tcBorders>
              <w:top w:val="single" w:sz="4" w:space="0" w:color="auto"/>
              <w:left w:val="single" w:sz="4" w:space="0" w:color="auto"/>
              <w:bottom w:val="single" w:sz="4" w:space="0" w:color="auto"/>
              <w:right w:val="single" w:sz="4" w:space="0" w:color="auto"/>
            </w:tcBorders>
          </w:tcPr>
          <w:p w:rsidR="00DF384E" w:rsidRPr="004E2ADC" w:rsidRDefault="00DF384E" w:rsidP="003B3F02">
            <w:pPr>
              <w:pStyle w:val="TableFooter"/>
              <w:keepNext/>
              <w:rPr>
                <w:b/>
                <w:sz w:val="20"/>
              </w:rPr>
            </w:pPr>
            <w:r w:rsidRPr="004E2ADC">
              <w:rPr>
                <w:b/>
                <w:sz w:val="20"/>
              </w:rPr>
              <w:t>Protocol title/ Publication title</w:t>
            </w:r>
          </w:p>
        </w:tc>
        <w:tc>
          <w:tcPr>
            <w:tcW w:w="988" w:type="pct"/>
            <w:gridSpan w:val="2"/>
            <w:tcBorders>
              <w:top w:val="single" w:sz="4" w:space="0" w:color="auto"/>
              <w:left w:val="single" w:sz="4" w:space="0" w:color="auto"/>
              <w:bottom w:val="single" w:sz="4" w:space="0" w:color="auto"/>
              <w:right w:val="single" w:sz="4" w:space="0" w:color="auto"/>
            </w:tcBorders>
          </w:tcPr>
          <w:p w:rsidR="00DF384E" w:rsidRPr="004E2ADC" w:rsidRDefault="00DF384E" w:rsidP="003B3F02">
            <w:pPr>
              <w:pStyle w:val="TableFooter"/>
              <w:keepNext/>
              <w:rPr>
                <w:b/>
                <w:sz w:val="20"/>
              </w:rPr>
            </w:pPr>
            <w:r w:rsidRPr="004E2ADC">
              <w:rPr>
                <w:b/>
                <w:sz w:val="20"/>
              </w:rPr>
              <w:t>Publication citation</w:t>
            </w:r>
          </w:p>
        </w:tc>
      </w:tr>
      <w:tr w:rsidR="00DF384E" w:rsidRPr="004E2ADC">
        <w:tc>
          <w:tcPr>
            <w:tcW w:w="5000" w:type="pct"/>
            <w:gridSpan w:val="5"/>
          </w:tcPr>
          <w:p w:rsidR="00DF384E" w:rsidRPr="004E2ADC" w:rsidRDefault="00DF384E" w:rsidP="003B3F02">
            <w:pPr>
              <w:keepNext/>
              <w:jc w:val="left"/>
              <w:rPr>
                <w:rFonts w:ascii="Arial Narrow" w:hAnsi="Arial Narrow"/>
                <w:b/>
                <w:sz w:val="20"/>
              </w:rPr>
            </w:pPr>
            <w:r w:rsidRPr="004E2ADC">
              <w:rPr>
                <w:rFonts w:ascii="Arial Narrow" w:hAnsi="Arial Narrow"/>
                <w:b/>
                <w:sz w:val="20"/>
              </w:rPr>
              <w:t>Direct randomised trial</w:t>
            </w:r>
            <w:r>
              <w:rPr>
                <w:rFonts w:ascii="Arial Narrow" w:hAnsi="Arial Narrow"/>
                <w:b/>
                <w:sz w:val="20"/>
              </w:rPr>
              <w:t xml:space="preserve"> – Triumeq versus dolutegravir + Kivexa</w:t>
            </w:r>
          </w:p>
        </w:tc>
      </w:tr>
      <w:tr w:rsidR="00DF384E" w:rsidRPr="004E2ADC">
        <w:tc>
          <w:tcPr>
            <w:tcW w:w="594" w:type="pct"/>
            <w:gridSpan w:val="2"/>
          </w:tcPr>
          <w:p w:rsidR="00DF384E" w:rsidRPr="004E2ADC" w:rsidRDefault="00DF384E" w:rsidP="003B3F02">
            <w:pPr>
              <w:keepNext/>
              <w:jc w:val="left"/>
              <w:rPr>
                <w:rFonts w:ascii="Arial Narrow" w:hAnsi="Arial Narrow"/>
                <w:sz w:val="20"/>
              </w:rPr>
            </w:pPr>
            <w:r>
              <w:rPr>
                <w:rFonts w:ascii="Arial Narrow" w:hAnsi="Arial Narrow"/>
                <w:sz w:val="20"/>
              </w:rPr>
              <w:t>ING114580</w:t>
            </w:r>
          </w:p>
        </w:tc>
        <w:tc>
          <w:tcPr>
            <w:tcW w:w="3451" w:type="pct"/>
            <w:gridSpan w:val="2"/>
          </w:tcPr>
          <w:p w:rsidR="00DF384E" w:rsidRPr="00133257" w:rsidRDefault="00DF384E" w:rsidP="003B3F02">
            <w:pPr>
              <w:keepNext/>
              <w:jc w:val="left"/>
              <w:rPr>
                <w:rFonts w:ascii="Arial Narrow" w:hAnsi="Arial Narrow"/>
                <w:sz w:val="20"/>
              </w:rPr>
            </w:pPr>
            <w:r w:rsidRPr="00133257">
              <w:rPr>
                <w:rFonts w:ascii="Arial Narrow" w:hAnsi="Arial Narrow"/>
                <w:sz w:val="20"/>
              </w:rPr>
              <w:t>An Evaluation of the Bioequivalence of a Combined Formulated Tablet (50mg/600mg/300mg dolutegravir/abacavir/lamivudine) Compared to One Dolutegravir 50mg Tablet and One EPZICOM</w:t>
            </w:r>
          </w:p>
          <w:p w:rsidR="00DF384E" w:rsidRPr="004E2ADC" w:rsidRDefault="00DF384E" w:rsidP="003B3F02">
            <w:pPr>
              <w:keepNext/>
              <w:jc w:val="left"/>
              <w:rPr>
                <w:rFonts w:ascii="Arial Narrow" w:hAnsi="Arial Narrow"/>
                <w:b/>
                <w:sz w:val="20"/>
              </w:rPr>
            </w:pPr>
            <w:r w:rsidRPr="00133257">
              <w:rPr>
                <w:rFonts w:ascii="Arial Narrow" w:hAnsi="Arial Narrow"/>
                <w:sz w:val="20"/>
              </w:rPr>
              <w:t xml:space="preserve">(600mg/300mg abacavir/lamivudine) Tablet Administered Concurrently and the Effect of Food on Bioavailability of the Combined Formulation in Healthy Adult Subjects. </w:t>
            </w:r>
          </w:p>
        </w:tc>
        <w:tc>
          <w:tcPr>
            <w:tcW w:w="955" w:type="pct"/>
          </w:tcPr>
          <w:p w:rsidR="00DF384E" w:rsidRPr="004E2ADC" w:rsidRDefault="00DF384E" w:rsidP="003B3F02">
            <w:pPr>
              <w:keepNext/>
              <w:jc w:val="left"/>
              <w:rPr>
                <w:rFonts w:ascii="Arial Narrow" w:hAnsi="Arial Narrow"/>
                <w:b/>
                <w:sz w:val="20"/>
              </w:rPr>
            </w:pPr>
            <w:r w:rsidRPr="00133257">
              <w:rPr>
                <w:rFonts w:ascii="Arial Narrow" w:hAnsi="Arial Narrow"/>
                <w:sz w:val="20"/>
              </w:rPr>
              <w:t>13 June 2013</w:t>
            </w:r>
          </w:p>
        </w:tc>
      </w:tr>
      <w:tr w:rsidR="00DF384E" w:rsidRPr="004E2ADC">
        <w:tc>
          <w:tcPr>
            <w:tcW w:w="5000" w:type="pct"/>
            <w:gridSpan w:val="5"/>
          </w:tcPr>
          <w:p w:rsidR="00DF384E" w:rsidRPr="004E2ADC" w:rsidRDefault="00DF384E" w:rsidP="003B3F02">
            <w:pPr>
              <w:keepNext/>
              <w:jc w:val="left"/>
              <w:rPr>
                <w:rFonts w:ascii="Arial Narrow" w:hAnsi="Arial Narrow"/>
                <w:b/>
                <w:sz w:val="20"/>
              </w:rPr>
            </w:pPr>
            <w:r w:rsidRPr="004E2ADC">
              <w:rPr>
                <w:rFonts w:ascii="Arial Narrow" w:hAnsi="Arial Narrow"/>
                <w:b/>
                <w:sz w:val="20"/>
              </w:rPr>
              <w:t>Supplementary randomised trials</w:t>
            </w:r>
          </w:p>
        </w:tc>
      </w:tr>
      <w:tr w:rsidR="00CD12B3" w:rsidRPr="004E2ADC">
        <w:trPr>
          <w:trHeight w:val="1300"/>
        </w:trPr>
        <w:tc>
          <w:tcPr>
            <w:tcW w:w="547" w:type="pct"/>
            <w:tcBorders>
              <w:bottom w:val="nil"/>
            </w:tcBorders>
          </w:tcPr>
          <w:p w:rsidR="00CD12B3" w:rsidRPr="004E2ADC" w:rsidRDefault="00CD12B3" w:rsidP="003B3F02">
            <w:pPr>
              <w:keepNext/>
              <w:jc w:val="left"/>
              <w:rPr>
                <w:rFonts w:ascii="Arial Narrow" w:hAnsi="Arial Narrow"/>
                <w:sz w:val="20"/>
              </w:rPr>
            </w:pPr>
            <w:r>
              <w:rPr>
                <w:rFonts w:ascii="Arial Narrow" w:hAnsi="Arial Narrow"/>
                <w:sz w:val="20"/>
              </w:rPr>
              <w:t>SPRING-2</w:t>
            </w:r>
          </w:p>
        </w:tc>
        <w:tc>
          <w:tcPr>
            <w:tcW w:w="3498" w:type="pct"/>
            <w:gridSpan w:val="3"/>
            <w:tcBorders>
              <w:bottom w:val="nil"/>
            </w:tcBorders>
          </w:tcPr>
          <w:p w:rsidR="00CD12B3" w:rsidRDefault="00CD12B3" w:rsidP="003B3F02">
            <w:pPr>
              <w:keepNext/>
              <w:jc w:val="left"/>
              <w:rPr>
                <w:rFonts w:ascii="Arial Narrow" w:hAnsi="Arial Narrow"/>
                <w:sz w:val="20"/>
              </w:rPr>
            </w:pPr>
            <w:r w:rsidRPr="00A4190C">
              <w:rPr>
                <w:rFonts w:ascii="Arial Narrow" w:hAnsi="Arial Narrow"/>
                <w:sz w:val="20"/>
              </w:rPr>
              <w:t>A Phase III, randomized, double blind study of the safety and efficacy of GSK1349572 50mg once daily compared to raltegravir 400mg twice daily both administered with fixed-dose dual nucleoside reverse transcriptase inhibitor therapy over 96 weeks in HIV-1 infected antiretroviral naive adult patients. 96 week results. 10 May 2013.</w:t>
            </w:r>
          </w:p>
          <w:p w:rsidR="00CD12B3" w:rsidRPr="004E2ADC" w:rsidRDefault="00CD12B3" w:rsidP="003B3F02">
            <w:pPr>
              <w:keepNext/>
              <w:autoSpaceDE w:val="0"/>
              <w:autoSpaceDN w:val="0"/>
              <w:adjustRightInd w:val="0"/>
              <w:jc w:val="left"/>
              <w:rPr>
                <w:rFonts w:ascii="Arial Narrow" w:hAnsi="Arial Narrow"/>
                <w:b/>
                <w:sz w:val="20"/>
              </w:rPr>
            </w:pPr>
          </w:p>
        </w:tc>
        <w:tc>
          <w:tcPr>
            <w:tcW w:w="955" w:type="pct"/>
            <w:tcBorders>
              <w:bottom w:val="nil"/>
            </w:tcBorders>
          </w:tcPr>
          <w:p w:rsidR="00CD12B3" w:rsidRDefault="00CD12B3" w:rsidP="003B3F02">
            <w:pPr>
              <w:keepNext/>
              <w:jc w:val="left"/>
              <w:rPr>
                <w:rFonts w:ascii="Arial Narrow" w:hAnsi="Arial Narrow"/>
                <w:b/>
                <w:sz w:val="20"/>
              </w:rPr>
            </w:pPr>
            <w:r w:rsidRPr="00A4190C">
              <w:rPr>
                <w:rFonts w:ascii="Arial Narrow" w:hAnsi="Arial Narrow"/>
                <w:sz w:val="20"/>
              </w:rPr>
              <w:t>10 May 2013.</w:t>
            </w:r>
          </w:p>
          <w:p w:rsidR="00CD12B3" w:rsidRDefault="00CD12B3" w:rsidP="003B3F02">
            <w:pPr>
              <w:keepNext/>
              <w:jc w:val="left"/>
              <w:rPr>
                <w:rFonts w:ascii="Arial Narrow" w:hAnsi="Arial Narrow"/>
                <w:b/>
                <w:sz w:val="20"/>
              </w:rPr>
            </w:pPr>
          </w:p>
          <w:p w:rsidR="00CD12B3" w:rsidRDefault="00CD12B3" w:rsidP="003B3F02">
            <w:pPr>
              <w:keepNext/>
              <w:jc w:val="left"/>
              <w:rPr>
                <w:rFonts w:ascii="Arial Narrow" w:hAnsi="Arial Narrow"/>
                <w:b/>
                <w:sz w:val="20"/>
              </w:rPr>
            </w:pPr>
          </w:p>
          <w:p w:rsidR="00CD12B3" w:rsidRDefault="00CD12B3" w:rsidP="003B3F02">
            <w:pPr>
              <w:keepNext/>
              <w:jc w:val="left"/>
              <w:rPr>
                <w:rFonts w:ascii="Arial Narrow" w:hAnsi="Arial Narrow"/>
                <w:b/>
                <w:sz w:val="20"/>
              </w:rPr>
            </w:pPr>
          </w:p>
          <w:p w:rsidR="00CD12B3" w:rsidRDefault="00CD12B3" w:rsidP="003B3F02">
            <w:pPr>
              <w:keepNext/>
              <w:jc w:val="left"/>
              <w:rPr>
                <w:rFonts w:ascii="Arial Narrow" w:hAnsi="Arial Narrow"/>
                <w:b/>
                <w:sz w:val="20"/>
              </w:rPr>
            </w:pPr>
          </w:p>
          <w:p w:rsidR="00CD12B3" w:rsidRPr="004E2ADC" w:rsidRDefault="00CD12B3" w:rsidP="003B3F02">
            <w:pPr>
              <w:keepNext/>
              <w:jc w:val="left"/>
              <w:rPr>
                <w:rFonts w:ascii="Arial Narrow" w:hAnsi="Arial Narrow"/>
                <w:b/>
                <w:sz w:val="20"/>
              </w:rPr>
            </w:pPr>
          </w:p>
        </w:tc>
      </w:tr>
      <w:tr w:rsidR="00CD12B3" w:rsidRPr="004E2ADC">
        <w:trPr>
          <w:trHeight w:val="1300"/>
        </w:trPr>
        <w:tc>
          <w:tcPr>
            <w:tcW w:w="547" w:type="pct"/>
            <w:tcBorders>
              <w:top w:val="nil"/>
              <w:bottom w:val="nil"/>
            </w:tcBorders>
          </w:tcPr>
          <w:p w:rsidR="00CD12B3" w:rsidRDefault="00CD12B3" w:rsidP="003B3F02">
            <w:pPr>
              <w:keepNext/>
              <w:jc w:val="left"/>
              <w:rPr>
                <w:rFonts w:ascii="Arial Narrow" w:hAnsi="Arial Narrow"/>
                <w:sz w:val="20"/>
              </w:rPr>
            </w:pPr>
          </w:p>
        </w:tc>
        <w:tc>
          <w:tcPr>
            <w:tcW w:w="3498" w:type="pct"/>
            <w:gridSpan w:val="3"/>
            <w:tcBorders>
              <w:top w:val="nil"/>
              <w:bottom w:val="nil"/>
            </w:tcBorders>
          </w:tcPr>
          <w:p w:rsidR="00CD12B3" w:rsidRDefault="00CD12B3" w:rsidP="00723F7F">
            <w:pPr>
              <w:keepNext/>
              <w:autoSpaceDE w:val="0"/>
              <w:autoSpaceDN w:val="0"/>
              <w:adjustRightInd w:val="0"/>
              <w:jc w:val="left"/>
              <w:rPr>
                <w:rStyle w:val="TableText1"/>
              </w:rPr>
            </w:pPr>
            <w:r>
              <w:rPr>
                <w:rStyle w:val="TableText1"/>
              </w:rPr>
              <w:t xml:space="preserve">Publication of 48 week results: </w:t>
            </w:r>
            <w:r w:rsidRPr="00701F14">
              <w:rPr>
                <w:rStyle w:val="TableText1"/>
              </w:rPr>
              <w:t xml:space="preserve">Raffi, F., Rachlis, A., Stellbrink, H. J., Hardy, W. D., Torti, C., Orkin, C., Bloch, M., Podzamczer, D., Pokrovsky, V., Pulido, F., Almond, S., Margolis, D., Brennan, C., and Min, S. (2013), 'Once-daily dolutegravir versus raltegravir in antiretroviral-naive adults with HIV-1 infection: 48 week results from the randomised, double-blind, non-inferiority SPRING-2 study', </w:t>
            </w:r>
          </w:p>
          <w:p w:rsidR="00CD12B3" w:rsidRPr="00A4190C" w:rsidRDefault="00CD12B3" w:rsidP="003B3F02">
            <w:pPr>
              <w:keepNext/>
              <w:jc w:val="left"/>
              <w:rPr>
                <w:rFonts w:ascii="Arial Narrow" w:hAnsi="Arial Narrow"/>
                <w:sz w:val="20"/>
              </w:rPr>
            </w:pPr>
          </w:p>
        </w:tc>
        <w:tc>
          <w:tcPr>
            <w:tcW w:w="955" w:type="pct"/>
            <w:tcBorders>
              <w:top w:val="nil"/>
              <w:bottom w:val="nil"/>
            </w:tcBorders>
          </w:tcPr>
          <w:p w:rsidR="00CD12B3" w:rsidRDefault="00CD12B3" w:rsidP="00CD12B3">
            <w:pPr>
              <w:keepNext/>
              <w:autoSpaceDE w:val="0"/>
              <w:autoSpaceDN w:val="0"/>
              <w:adjustRightInd w:val="0"/>
              <w:jc w:val="left"/>
              <w:rPr>
                <w:rStyle w:val="TableText1"/>
              </w:rPr>
            </w:pPr>
            <w:r w:rsidRPr="00701F14">
              <w:rPr>
                <w:rStyle w:val="TableText1"/>
              </w:rPr>
              <w:t>The Lancet, 381 (9868) pp.735-743.</w:t>
            </w:r>
          </w:p>
          <w:p w:rsidR="00CD12B3" w:rsidRPr="00A4190C" w:rsidRDefault="00CD12B3" w:rsidP="003B3F02">
            <w:pPr>
              <w:keepNext/>
              <w:jc w:val="left"/>
              <w:rPr>
                <w:rFonts w:ascii="Arial Narrow" w:hAnsi="Arial Narrow"/>
                <w:sz w:val="20"/>
              </w:rPr>
            </w:pPr>
          </w:p>
        </w:tc>
      </w:tr>
      <w:tr w:rsidR="00CD12B3" w:rsidRPr="004E2ADC">
        <w:trPr>
          <w:trHeight w:val="1300"/>
        </w:trPr>
        <w:tc>
          <w:tcPr>
            <w:tcW w:w="547" w:type="pct"/>
            <w:tcBorders>
              <w:top w:val="nil"/>
            </w:tcBorders>
          </w:tcPr>
          <w:p w:rsidR="00CD12B3" w:rsidRDefault="00CD12B3" w:rsidP="003B3F02">
            <w:pPr>
              <w:keepNext/>
              <w:jc w:val="left"/>
              <w:rPr>
                <w:rFonts w:ascii="Arial Narrow" w:hAnsi="Arial Narrow"/>
                <w:sz w:val="20"/>
              </w:rPr>
            </w:pPr>
          </w:p>
        </w:tc>
        <w:tc>
          <w:tcPr>
            <w:tcW w:w="3498" w:type="pct"/>
            <w:gridSpan w:val="3"/>
            <w:tcBorders>
              <w:top w:val="nil"/>
            </w:tcBorders>
          </w:tcPr>
          <w:p w:rsidR="00CD12B3" w:rsidRPr="00A4190C" w:rsidRDefault="00CD12B3" w:rsidP="00723F7F">
            <w:pPr>
              <w:keepNext/>
              <w:jc w:val="left"/>
              <w:rPr>
                <w:rFonts w:ascii="Arial Narrow" w:hAnsi="Arial Narrow"/>
                <w:sz w:val="20"/>
              </w:rPr>
            </w:pPr>
            <w:r w:rsidRPr="00F70247">
              <w:rPr>
                <w:rStyle w:val="TableText1"/>
              </w:rPr>
              <w:t>Publication of 96 week results: Raffi, François, et al. "Once-daily dolutegravir versus twice-daily raltegravir in antiretroviral-naive adults with HIV-1 infection (SPRING-2 study): 96 week results from a randomised, double-blind, non-inferiority trial." </w:t>
            </w:r>
          </w:p>
        </w:tc>
        <w:tc>
          <w:tcPr>
            <w:tcW w:w="955" w:type="pct"/>
            <w:tcBorders>
              <w:top w:val="nil"/>
            </w:tcBorders>
          </w:tcPr>
          <w:p w:rsidR="00CD12B3" w:rsidRPr="00A4190C" w:rsidRDefault="00CD12B3" w:rsidP="003B3F02">
            <w:pPr>
              <w:keepNext/>
              <w:jc w:val="left"/>
              <w:rPr>
                <w:rFonts w:ascii="Arial Narrow" w:hAnsi="Arial Narrow"/>
                <w:sz w:val="20"/>
              </w:rPr>
            </w:pPr>
            <w:r w:rsidRPr="00F70247">
              <w:rPr>
                <w:rStyle w:val="TableText1"/>
              </w:rPr>
              <w:t>The Lancet infectious diseases 13.11 (2013): 927-935.</w:t>
            </w:r>
          </w:p>
        </w:tc>
      </w:tr>
      <w:tr w:rsidR="00CD12B3" w:rsidRPr="004E2ADC">
        <w:trPr>
          <w:trHeight w:val="1035"/>
        </w:trPr>
        <w:tc>
          <w:tcPr>
            <w:tcW w:w="547" w:type="pct"/>
            <w:tcBorders>
              <w:bottom w:val="nil"/>
            </w:tcBorders>
          </w:tcPr>
          <w:p w:rsidR="00CD12B3" w:rsidRPr="004E2ADC" w:rsidRDefault="00CD12B3" w:rsidP="003B3F02">
            <w:pPr>
              <w:keepNext/>
              <w:jc w:val="left"/>
              <w:rPr>
                <w:rFonts w:ascii="Arial Narrow" w:hAnsi="Arial Narrow"/>
                <w:sz w:val="20"/>
              </w:rPr>
            </w:pPr>
            <w:r>
              <w:rPr>
                <w:rFonts w:ascii="Arial Narrow" w:hAnsi="Arial Narrow"/>
                <w:sz w:val="20"/>
              </w:rPr>
              <w:t>SINGLE</w:t>
            </w:r>
          </w:p>
        </w:tc>
        <w:tc>
          <w:tcPr>
            <w:tcW w:w="3498" w:type="pct"/>
            <w:gridSpan w:val="3"/>
            <w:tcBorders>
              <w:bottom w:val="nil"/>
            </w:tcBorders>
          </w:tcPr>
          <w:p w:rsidR="00CD12B3" w:rsidRDefault="00CD12B3" w:rsidP="003B3F02">
            <w:pPr>
              <w:keepNext/>
              <w:autoSpaceDE w:val="0"/>
              <w:autoSpaceDN w:val="0"/>
              <w:adjustRightInd w:val="0"/>
              <w:jc w:val="left"/>
              <w:rPr>
                <w:rStyle w:val="TableText1"/>
              </w:rPr>
            </w:pPr>
            <w:r w:rsidRPr="00821B27">
              <w:rPr>
                <w:rStyle w:val="TableText1"/>
              </w:rPr>
              <w:t xml:space="preserve">A Phase III, randomized, double-blind study of the safety and efficacy of GSK1349572 plus abacavir-lamivudine fixed-dose combination therapy administered once daily compared to </w:t>
            </w:r>
            <w:r w:rsidRPr="005461A4">
              <w:rPr>
                <w:rStyle w:val="TableText1"/>
                <w:i/>
              </w:rPr>
              <w:t>Atripla</w:t>
            </w:r>
            <w:r w:rsidRPr="00821B27">
              <w:rPr>
                <w:rStyle w:val="TableText1"/>
              </w:rPr>
              <w:t xml:space="preserve"> over 96 weeks in HIV-1 infected antiretroviral therapy naive adult subjects</w:t>
            </w:r>
            <w:r w:rsidRPr="00E10C9A">
              <w:rPr>
                <w:rStyle w:val="TableText1"/>
              </w:rPr>
              <w:t xml:space="preserve">. </w:t>
            </w:r>
          </w:p>
          <w:p w:rsidR="00CD12B3" w:rsidRPr="004E2ADC" w:rsidRDefault="00CD12B3" w:rsidP="003B3F02">
            <w:pPr>
              <w:keepNext/>
              <w:jc w:val="left"/>
              <w:rPr>
                <w:rFonts w:ascii="Arial Narrow" w:hAnsi="Arial Narrow"/>
                <w:b/>
                <w:sz w:val="20"/>
              </w:rPr>
            </w:pPr>
          </w:p>
        </w:tc>
        <w:tc>
          <w:tcPr>
            <w:tcW w:w="955" w:type="pct"/>
            <w:tcBorders>
              <w:bottom w:val="nil"/>
            </w:tcBorders>
          </w:tcPr>
          <w:p w:rsidR="00CD12B3" w:rsidRDefault="00CD12B3" w:rsidP="003B3F02">
            <w:pPr>
              <w:keepNext/>
              <w:jc w:val="left"/>
              <w:rPr>
                <w:rStyle w:val="TableText1"/>
              </w:rPr>
            </w:pPr>
            <w:r>
              <w:rPr>
                <w:rStyle w:val="TableText1"/>
              </w:rPr>
              <w:t>20 August</w:t>
            </w:r>
            <w:r w:rsidRPr="00E10C9A">
              <w:rPr>
                <w:rStyle w:val="TableText1"/>
              </w:rPr>
              <w:t xml:space="preserve"> 2013.</w:t>
            </w:r>
          </w:p>
          <w:p w:rsidR="00CD12B3" w:rsidRDefault="00CD12B3" w:rsidP="003B3F02">
            <w:pPr>
              <w:keepNext/>
              <w:jc w:val="left"/>
              <w:rPr>
                <w:rStyle w:val="TableText1"/>
              </w:rPr>
            </w:pPr>
          </w:p>
          <w:p w:rsidR="00CD12B3" w:rsidRDefault="00CD12B3" w:rsidP="003B3F02">
            <w:pPr>
              <w:keepNext/>
              <w:jc w:val="left"/>
              <w:rPr>
                <w:rFonts w:ascii="Arial Narrow" w:hAnsi="Arial Narrow"/>
                <w:b/>
                <w:sz w:val="20"/>
              </w:rPr>
            </w:pPr>
          </w:p>
          <w:p w:rsidR="00CD12B3" w:rsidRDefault="00CD12B3" w:rsidP="003B3F02">
            <w:pPr>
              <w:keepNext/>
              <w:jc w:val="left"/>
              <w:rPr>
                <w:rFonts w:ascii="Arial Narrow" w:hAnsi="Arial Narrow"/>
                <w:b/>
                <w:sz w:val="20"/>
              </w:rPr>
            </w:pPr>
          </w:p>
          <w:p w:rsidR="00CD12B3" w:rsidRDefault="00CD12B3" w:rsidP="003B3F02">
            <w:pPr>
              <w:keepNext/>
              <w:jc w:val="left"/>
              <w:rPr>
                <w:rFonts w:ascii="Arial Narrow" w:hAnsi="Arial Narrow"/>
                <w:b/>
                <w:sz w:val="20"/>
              </w:rPr>
            </w:pPr>
          </w:p>
          <w:p w:rsidR="00CD12B3" w:rsidRPr="004E2ADC" w:rsidRDefault="00CD12B3" w:rsidP="003B3F02">
            <w:pPr>
              <w:keepNext/>
              <w:jc w:val="left"/>
              <w:rPr>
                <w:rFonts w:ascii="Arial Narrow" w:hAnsi="Arial Narrow"/>
                <w:b/>
                <w:sz w:val="20"/>
              </w:rPr>
            </w:pPr>
          </w:p>
        </w:tc>
      </w:tr>
      <w:tr w:rsidR="00CD12B3" w:rsidRPr="004E2ADC">
        <w:trPr>
          <w:trHeight w:val="1035"/>
        </w:trPr>
        <w:tc>
          <w:tcPr>
            <w:tcW w:w="547" w:type="pct"/>
            <w:tcBorders>
              <w:top w:val="nil"/>
            </w:tcBorders>
          </w:tcPr>
          <w:p w:rsidR="00CD12B3" w:rsidRDefault="00CD12B3" w:rsidP="003B3F02">
            <w:pPr>
              <w:keepNext/>
              <w:jc w:val="left"/>
              <w:rPr>
                <w:rFonts w:ascii="Arial Narrow" w:hAnsi="Arial Narrow"/>
                <w:sz w:val="20"/>
              </w:rPr>
            </w:pPr>
          </w:p>
        </w:tc>
        <w:tc>
          <w:tcPr>
            <w:tcW w:w="3498" w:type="pct"/>
            <w:gridSpan w:val="3"/>
            <w:tcBorders>
              <w:top w:val="nil"/>
            </w:tcBorders>
          </w:tcPr>
          <w:p w:rsidR="00CD12B3" w:rsidRPr="00821B27" w:rsidRDefault="00CD12B3" w:rsidP="003B3F02">
            <w:pPr>
              <w:keepNext/>
              <w:autoSpaceDE w:val="0"/>
              <w:autoSpaceDN w:val="0"/>
              <w:adjustRightInd w:val="0"/>
              <w:jc w:val="left"/>
              <w:rPr>
                <w:rStyle w:val="TableText1"/>
              </w:rPr>
            </w:pPr>
            <w:r>
              <w:rPr>
                <w:rStyle w:val="TableText1"/>
              </w:rPr>
              <w:t xml:space="preserve">Publication of 48 week results: </w:t>
            </w:r>
            <w:r w:rsidRPr="0008509A">
              <w:rPr>
                <w:rStyle w:val="TableText1"/>
              </w:rPr>
              <w:t>Walmsley, S. L., Antela, A., Clumeck, N., Duiculescu, D., Eberhard, A., Gutiérrez, F., &amp; Nichols, G. (2013). Dolutegravir plus Abacavir–Lamivudine for the Treatment of HIV-1 Infection. </w:t>
            </w:r>
          </w:p>
        </w:tc>
        <w:tc>
          <w:tcPr>
            <w:tcW w:w="955" w:type="pct"/>
            <w:tcBorders>
              <w:top w:val="nil"/>
            </w:tcBorders>
          </w:tcPr>
          <w:p w:rsidR="00CD12B3" w:rsidRDefault="00CD12B3" w:rsidP="003B3F02">
            <w:pPr>
              <w:keepNext/>
              <w:jc w:val="left"/>
              <w:rPr>
                <w:rStyle w:val="TableText1"/>
              </w:rPr>
            </w:pPr>
            <w:r w:rsidRPr="0008509A">
              <w:rPr>
                <w:rStyle w:val="TableText1"/>
              </w:rPr>
              <w:t>New England Journal of Medicine, 369(19), 1807-1818.</w:t>
            </w:r>
          </w:p>
        </w:tc>
      </w:tr>
      <w:tr w:rsidR="00DF384E" w:rsidRPr="004E2ADC">
        <w:tc>
          <w:tcPr>
            <w:tcW w:w="547" w:type="pct"/>
          </w:tcPr>
          <w:p w:rsidR="00DF384E" w:rsidRPr="004E2ADC" w:rsidRDefault="00DF384E" w:rsidP="003B3F02">
            <w:pPr>
              <w:keepNext/>
              <w:jc w:val="left"/>
              <w:rPr>
                <w:rFonts w:ascii="Arial Narrow" w:hAnsi="Arial Narrow"/>
                <w:sz w:val="20"/>
              </w:rPr>
            </w:pPr>
            <w:r>
              <w:rPr>
                <w:rFonts w:ascii="Arial Narrow" w:hAnsi="Arial Narrow"/>
                <w:sz w:val="20"/>
              </w:rPr>
              <w:t>FLAMINGO</w:t>
            </w:r>
          </w:p>
        </w:tc>
        <w:tc>
          <w:tcPr>
            <w:tcW w:w="3498" w:type="pct"/>
            <w:gridSpan w:val="3"/>
          </w:tcPr>
          <w:p w:rsidR="00DF384E" w:rsidRPr="004E2ADC" w:rsidRDefault="00DF384E" w:rsidP="003B3F02">
            <w:pPr>
              <w:keepNext/>
              <w:autoSpaceDE w:val="0"/>
              <w:autoSpaceDN w:val="0"/>
              <w:adjustRightInd w:val="0"/>
              <w:jc w:val="left"/>
              <w:rPr>
                <w:rFonts w:ascii="Arial Narrow" w:hAnsi="Arial Narrow"/>
                <w:sz w:val="20"/>
              </w:rPr>
            </w:pPr>
            <w:r w:rsidRPr="00821B27">
              <w:rPr>
                <w:rStyle w:val="TableText1"/>
              </w:rPr>
              <w:t>A Phase IIIb, randomized, open-label study of the safety and efficacy of GSK1349572 (dolutegravir, DTG) 50 mg once daily compared to darunavir/ritonavir (DRV/r) 800 mg/100 mg once daily each administered with fixed-dose dual nucleoside reverse transcriptase inhibitor therapy over 96 weeks in HIV-1 infected antiretroviral na</w:t>
            </w:r>
            <w:r w:rsidRPr="00821B27">
              <w:rPr>
                <w:rStyle w:val="TableText1"/>
                <w:rFonts w:hint="eastAsia"/>
              </w:rPr>
              <w:t>ï</w:t>
            </w:r>
            <w:r w:rsidRPr="00821B27">
              <w:rPr>
                <w:rStyle w:val="TableText1"/>
              </w:rPr>
              <w:t>ve adult subjects.</w:t>
            </w:r>
            <w:r>
              <w:rPr>
                <w:rStyle w:val="TableText1"/>
              </w:rPr>
              <w:t xml:space="preserve"> 48 week results, </w:t>
            </w:r>
          </w:p>
        </w:tc>
        <w:tc>
          <w:tcPr>
            <w:tcW w:w="955" w:type="pct"/>
          </w:tcPr>
          <w:p w:rsidR="00DF384E" w:rsidRPr="004E2ADC" w:rsidRDefault="00DF384E" w:rsidP="003B3F02">
            <w:pPr>
              <w:keepNext/>
              <w:jc w:val="left"/>
              <w:rPr>
                <w:rFonts w:ascii="Arial Narrow" w:hAnsi="Arial Narrow"/>
                <w:sz w:val="20"/>
              </w:rPr>
            </w:pPr>
            <w:r>
              <w:rPr>
                <w:rStyle w:val="TableText1"/>
              </w:rPr>
              <w:t>23 July 2013.</w:t>
            </w:r>
          </w:p>
        </w:tc>
      </w:tr>
    </w:tbl>
    <w:p w:rsidR="00DF384E" w:rsidRPr="00D13A3E" w:rsidRDefault="00DF384E" w:rsidP="00DF384E">
      <w:pPr>
        <w:pStyle w:val="TableFooter"/>
        <w:ind w:firstLine="709"/>
      </w:pPr>
      <w:r w:rsidRPr="00D13A3E">
        <w:t xml:space="preserve">Source: </w:t>
      </w:r>
      <w:r>
        <w:t xml:space="preserve">Table B.4, p37 of the submission </w:t>
      </w:r>
    </w:p>
    <w:p w:rsidR="00862502" w:rsidRPr="008F120A" w:rsidRDefault="00862502" w:rsidP="00DF384E">
      <w:pPr>
        <w:pStyle w:val="TableFooter"/>
        <w:ind w:left="709" w:firstLine="720"/>
        <w:rPr>
          <w:szCs w:val="22"/>
        </w:rPr>
      </w:pPr>
    </w:p>
    <w:p w:rsidR="007F1017" w:rsidRPr="00DF384E" w:rsidRDefault="008F120A" w:rsidP="007F1017">
      <w:pPr>
        <w:pStyle w:val="ListParagraph"/>
        <w:widowControl/>
        <w:numPr>
          <w:ilvl w:val="1"/>
          <w:numId w:val="2"/>
        </w:numPr>
        <w:rPr>
          <w:szCs w:val="22"/>
        </w:rPr>
      </w:pPr>
      <w:r w:rsidRPr="00DF384E">
        <w:rPr>
          <w:szCs w:val="22"/>
        </w:rPr>
        <w:t>The key features of the direct rando</w:t>
      </w:r>
      <w:r w:rsidR="008520D6">
        <w:rPr>
          <w:szCs w:val="22"/>
        </w:rPr>
        <w:t xml:space="preserve">mised trials are summarised </w:t>
      </w:r>
      <w:r w:rsidR="00170327">
        <w:rPr>
          <w:szCs w:val="22"/>
        </w:rPr>
        <w:t>in the following table</w:t>
      </w:r>
      <w:r w:rsidRPr="00DF384E">
        <w:rPr>
          <w:szCs w:val="22"/>
        </w:rPr>
        <w:t xml:space="preserve">.  </w:t>
      </w:r>
    </w:p>
    <w:p w:rsidR="007F1017" w:rsidRDefault="007F1017" w:rsidP="003B3F02">
      <w:pPr>
        <w:keepNext/>
        <w:ind w:firstLine="709"/>
        <w:rPr>
          <w:rStyle w:val="CommentReference"/>
        </w:rPr>
      </w:pPr>
      <w:r w:rsidRPr="00E2771E">
        <w:rPr>
          <w:rStyle w:val="CommentReference"/>
        </w:rPr>
        <w:lastRenderedPageBreak/>
        <w:t>Key features of the included evidence</w:t>
      </w:r>
    </w:p>
    <w:tbl>
      <w:tblPr>
        <w:tblStyle w:val="TableGrid"/>
        <w:tblW w:w="8363" w:type="dxa"/>
        <w:tblInd w:w="737" w:type="dxa"/>
        <w:tblLayout w:type="fixed"/>
        <w:tblCellMar>
          <w:left w:w="28" w:type="dxa"/>
          <w:right w:w="28" w:type="dxa"/>
        </w:tblCellMar>
        <w:tblLook w:val="04A0" w:firstRow="1" w:lastRow="0" w:firstColumn="1" w:lastColumn="0" w:noHBand="0" w:noVBand="1"/>
      </w:tblPr>
      <w:tblGrid>
        <w:gridCol w:w="992"/>
        <w:gridCol w:w="426"/>
        <w:gridCol w:w="992"/>
        <w:gridCol w:w="709"/>
        <w:gridCol w:w="992"/>
        <w:gridCol w:w="2268"/>
        <w:gridCol w:w="1276"/>
        <w:gridCol w:w="708"/>
      </w:tblGrid>
      <w:tr w:rsidR="00DF384E" w:rsidRPr="00F41650">
        <w:tc>
          <w:tcPr>
            <w:tcW w:w="992" w:type="dxa"/>
            <w:vAlign w:val="center"/>
          </w:tcPr>
          <w:p w:rsidR="00DF384E" w:rsidRPr="00F41650" w:rsidRDefault="00DF384E" w:rsidP="003B3F02">
            <w:pPr>
              <w:keepNext/>
              <w:rPr>
                <w:rFonts w:ascii="Arial Narrow" w:hAnsi="Arial Narrow"/>
                <w:b/>
                <w:bCs/>
                <w:sz w:val="20"/>
              </w:rPr>
            </w:pPr>
            <w:r w:rsidRPr="00F41650">
              <w:rPr>
                <w:rFonts w:ascii="Arial Narrow" w:hAnsi="Arial Narrow"/>
                <w:b/>
                <w:bCs/>
                <w:sz w:val="20"/>
              </w:rPr>
              <w:t>Trial</w:t>
            </w:r>
          </w:p>
        </w:tc>
        <w:tc>
          <w:tcPr>
            <w:tcW w:w="426"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N</w:t>
            </w:r>
          </w:p>
        </w:tc>
        <w:tc>
          <w:tcPr>
            <w:tcW w:w="992"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Design / duration</w:t>
            </w:r>
          </w:p>
        </w:tc>
        <w:tc>
          <w:tcPr>
            <w:tcW w:w="709"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Risk of bias</w:t>
            </w:r>
          </w:p>
        </w:tc>
        <w:tc>
          <w:tcPr>
            <w:tcW w:w="992"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Patient population</w:t>
            </w:r>
          </w:p>
        </w:tc>
        <w:tc>
          <w:tcPr>
            <w:tcW w:w="2268" w:type="dxa"/>
            <w:vAlign w:val="center"/>
          </w:tcPr>
          <w:p w:rsidR="00DF384E" w:rsidRPr="00F41650" w:rsidRDefault="00DF384E" w:rsidP="003B3F02">
            <w:pPr>
              <w:keepNext/>
              <w:jc w:val="center"/>
              <w:rPr>
                <w:rFonts w:ascii="Arial Narrow" w:hAnsi="Arial Narrow"/>
                <w:b/>
                <w:bCs/>
                <w:sz w:val="20"/>
              </w:rPr>
            </w:pPr>
            <w:r>
              <w:rPr>
                <w:rFonts w:ascii="Arial Narrow" w:hAnsi="Arial Narrow"/>
                <w:b/>
                <w:bCs/>
                <w:sz w:val="20"/>
              </w:rPr>
              <w:t>Therapies compared</w:t>
            </w:r>
          </w:p>
        </w:tc>
        <w:tc>
          <w:tcPr>
            <w:tcW w:w="1276"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Outcomes</w:t>
            </w:r>
            <w:r>
              <w:rPr>
                <w:rFonts w:ascii="Arial Narrow" w:hAnsi="Arial Narrow"/>
                <w:b/>
                <w:bCs/>
                <w:sz w:val="20"/>
              </w:rPr>
              <w:t xml:space="preserve"> / duration</w:t>
            </w:r>
          </w:p>
        </w:tc>
        <w:tc>
          <w:tcPr>
            <w:tcW w:w="708" w:type="dxa"/>
            <w:vAlign w:val="center"/>
          </w:tcPr>
          <w:p w:rsidR="00DF384E" w:rsidRPr="00F41650" w:rsidRDefault="00DF384E" w:rsidP="003B3F02">
            <w:pPr>
              <w:keepNext/>
              <w:jc w:val="center"/>
              <w:rPr>
                <w:rFonts w:ascii="Arial Narrow" w:hAnsi="Arial Narrow"/>
                <w:b/>
                <w:bCs/>
                <w:sz w:val="20"/>
              </w:rPr>
            </w:pPr>
            <w:r w:rsidRPr="00F41650">
              <w:rPr>
                <w:rFonts w:ascii="Arial Narrow" w:hAnsi="Arial Narrow"/>
                <w:b/>
                <w:bCs/>
                <w:sz w:val="20"/>
              </w:rPr>
              <w:t>Used in model</w:t>
            </w:r>
          </w:p>
        </w:tc>
      </w:tr>
      <w:tr w:rsidR="00DF384E" w:rsidRPr="00F41650">
        <w:trPr>
          <w:trHeight w:val="204"/>
        </w:trPr>
        <w:tc>
          <w:tcPr>
            <w:tcW w:w="992" w:type="dxa"/>
            <w:vMerge w:val="restart"/>
            <w:vAlign w:val="center"/>
          </w:tcPr>
          <w:p w:rsidR="00DF384E" w:rsidRPr="00F41650" w:rsidRDefault="00DF384E" w:rsidP="003B3F02">
            <w:pPr>
              <w:keepNext/>
              <w:rPr>
                <w:rFonts w:ascii="Arial Narrow" w:hAnsi="Arial Narrow"/>
                <w:sz w:val="20"/>
              </w:rPr>
            </w:pPr>
            <w:r>
              <w:rPr>
                <w:rFonts w:ascii="Arial Narrow" w:hAnsi="Arial Narrow"/>
                <w:sz w:val="20"/>
              </w:rPr>
              <w:t>ING114580</w:t>
            </w:r>
          </w:p>
        </w:tc>
        <w:tc>
          <w:tcPr>
            <w:tcW w:w="42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66</w:t>
            </w:r>
          </w:p>
        </w:tc>
        <w:tc>
          <w:tcPr>
            <w:tcW w:w="992" w:type="dxa"/>
            <w:vMerge w:val="restart"/>
            <w:vAlign w:val="center"/>
          </w:tcPr>
          <w:p w:rsidR="00DF384E" w:rsidRPr="00784982" w:rsidRDefault="00DF384E" w:rsidP="003B3F02">
            <w:pPr>
              <w:keepNext/>
              <w:jc w:val="center"/>
              <w:rPr>
                <w:rFonts w:ascii="Arial Narrow" w:hAnsi="Arial Narrow"/>
                <w:sz w:val="20"/>
              </w:rPr>
            </w:pPr>
            <w:r>
              <w:rPr>
                <w:rFonts w:ascii="Arial Narrow" w:hAnsi="Arial Narrow"/>
                <w:sz w:val="20"/>
              </w:rPr>
              <w:t>Cross-over</w:t>
            </w:r>
            <w:r>
              <w:rPr>
                <w:rFonts w:ascii="Arial Narrow" w:hAnsi="Arial Narrow"/>
                <w:sz w:val="20"/>
                <w:vertAlign w:val="superscript"/>
              </w:rPr>
              <w:t>a</w:t>
            </w:r>
            <w:r>
              <w:rPr>
                <w:rFonts w:ascii="Arial Narrow" w:hAnsi="Arial Narrow"/>
                <w:sz w:val="20"/>
              </w:rPr>
              <w:t>, OL</w:t>
            </w:r>
          </w:p>
        </w:tc>
        <w:tc>
          <w:tcPr>
            <w:tcW w:w="709"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Low </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Healthy subjects</w:t>
            </w:r>
          </w:p>
        </w:tc>
        <w:tc>
          <w:tcPr>
            <w:tcW w:w="2268" w:type="dxa"/>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Triumeq </w:t>
            </w:r>
          </w:p>
        </w:tc>
        <w:tc>
          <w:tcPr>
            <w:tcW w:w="127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Pharmacokinetic 24 hours</w:t>
            </w:r>
          </w:p>
        </w:tc>
        <w:tc>
          <w:tcPr>
            <w:tcW w:w="708"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Yes – cost-min</w:t>
            </w:r>
          </w:p>
        </w:tc>
      </w:tr>
      <w:tr w:rsidR="00DF384E" w:rsidRPr="00F41650">
        <w:trPr>
          <w:trHeight w:val="252"/>
        </w:trPr>
        <w:tc>
          <w:tcPr>
            <w:tcW w:w="992" w:type="dxa"/>
            <w:vMerge/>
            <w:vAlign w:val="center"/>
          </w:tcPr>
          <w:p w:rsidR="00DF384E" w:rsidRDefault="00DF384E" w:rsidP="003B3F02">
            <w:pPr>
              <w:keepNext/>
              <w:rPr>
                <w:rFonts w:ascii="Arial Narrow" w:hAnsi="Arial Narrow"/>
                <w:sz w:val="20"/>
              </w:rPr>
            </w:pPr>
          </w:p>
        </w:tc>
        <w:tc>
          <w:tcPr>
            <w:tcW w:w="426" w:type="dxa"/>
            <w:vMerge/>
            <w:vAlign w:val="center"/>
          </w:tcPr>
          <w:p w:rsidR="00DF384E" w:rsidRDefault="00DF384E" w:rsidP="003B3F02">
            <w:pPr>
              <w:keepNext/>
              <w:jc w:val="center"/>
              <w:rPr>
                <w:rFonts w:ascii="Arial Narrow" w:hAnsi="Arial Narrow"/>
                <w:sz w:val="20"/>
              </w:rPr>
            </w:pPr>
          </w:p>
        </w:tc>
        <w:tc>
          <w:tcPr>
            <w:tcW w:w="992" w:type="dxa"/>
            <w:vMerge/>
            <w:vAlign w:val="center"/>
          </w:tcPr>
          <w:p w:rsidR="00DF384E" w:rsidRDefault="00DF384E" w:rsidP="003B3F02">
            <w:pPr>
              <w:keepNext/>
              <w:jc w:val="center"/>
              <w:rPr>
                <w:rFonts w:ascii="Arial Narrow" w:hAnsi="Arial Narrow"/>
                <w:sz w:val="20"/>
              </w:rPr>
            </w:pPr>
          </w:p>
        </w:tc>
        <w:tc>
          <w:tcPr>
            <w:tcW w:w="709" w:type="dxa"/>
            <w:vMerge/>
            <w:vAlign w:val="center"/>
          </w:tcPr>
          <w:p w:rsidR="00DF384E" w:rsidRPr="00F41650" w:rsidRDefault="00DF384E" w:rsidP="003B3F02">
            <w:pPr>
              <w:keepNext/>
              <w:jc w:val="center"/>
              <w:rPr>
                <w:rFonts w:ascii="Arial Narrow" w:hAnsi="Arial Narrow"/>
                <w:sz w:val="20"/>
              </w:rPr>
            </w:pPr>
          </w:p>
        </w:tc>
        <w:tc>
          <w:tcPr>
            <w:tcW w:w="992" w:type="dxa"/>
            <w:vMerge/>
            <w:vAlign w:val="center"/>
          </w:tcPr>
          <w:p w:rsidR="00DF384E" w:rsidRDefault="00DF384E" w:rsidP="003B3F02">
            <w:pPr>
              <w:keepNext/>
              <w:jc w:val="center"/>
              <w:rPr>
                <w:rFonts w:ascii="Arial Narrow" w:hAnsi="Arial Narrow"/>
                <w:sz w:val="20"/>
              </w:rPr>
            </w:pPr>
          </w:p>
        </w:tc>
        <w:tc>
          <w:tcPr>
            <w:tcW w:w="2268" w:type="dxa"/>
            <w:vAlign w:val="center"/>
          </w:tcPr>
          <w:p w:rsidR="00DF384E" w:rsidRDefault="00DF384E" w:rsidP="003B3F02">
            <w:pPr>
              <w:keepNext/>
              <w:jc w:val="center"/>
              <w:rPr>
                <w:rFonts w:ascii="Arial Narrow" w:hAnsi="Arial Narrow"/>
                <w:sz w:val="20"/>
              </w:rPr>
            </w:pPr>
            <w:r>
              <w:rPr>
                <w:rFonts w:ascii="Arial Narrow" w:hAnsi="Arial Narrow"/>
                <w:sz w:val="20"/>
              </w:rPr>
              <w:t>Dolutegravir + Kivexa</w:t>
            </w:r>
          </w:p>
        </w:tc>
        <w:tc>
          <w:tcPr>
            <w:tcW w:w="1276" w:type="dxa"/>
            <w:vMerge/>
            <w:vAlign w:val="center"/>
          </w:tcPr>
          <w:p w:rsidR="00DF384E" w:rsidRDefault="00DF384E" w:rsidP="003B3F02">
            <w:pPr>
              <w:keepNext/>
              <w:jc w:val="center"/>
              <w:rPr>
                <w:rFonts w:ascii="Arial Narrow" w:hAnsi="Arial Narrow"/>
                <w:sz w:val="20"/>
              </w:rPr>
            </w:pPr>
          </w:p>
        </w:tc>
        <w:tc>
          <w:tcPr>
            <w:tcW w:w="708" w:type="dxa"/>
            <w:vMerge/>
            <w:vAlign w:val="center"/>
          </w:tcPr>
          <w:p w:rsidR="00DF384E" w:rsidRDefault="00DF384E" w:rsidP="003B3F02">
            <w:pPr>
              <w:keepNext/>
              <w:jc w:val="center"/>
              <w:rPr>
                <w:rFonts w:ascii="Arial Narrow" w:hAnsi="Arial Narrow"/>
                <w:sz w:val="20"/>
              </w:rPr>
            </w:pPr>
          </w:p>
        </w:tc>
      </w:tr>
      <w:tr w:rsidR="00DF384E" w:rsidRPr="00F41650">
        <w:trPr>
          <w:trHeight w:val="354"/>
        </w:trPr>
        <w:tc>
          <w:tcPr>
            <w:tcW w:w="992" w:type="dxa"/>
            <w:vMerge w:val="restart"/>
            <w:vAlign w:val="center"/>
          </w:tcPr>
          <w:p w:rsidR="00DF384E" w:rsidRPr="00F41650" w:rsidRDefault="00DF384E" w:rsidP="003B3F02">
            <w:pPr>
              <w:keepNext/>
              <w:rPr>
                <w:rFonts w:ascii="Arial Narrow" w:hAnsi="Arial Narrow"/>
                <w:sz w:val="20"/>
              </w:rPr>
            </w:pPr>
            <w:r>
              <w:rPr>
                <w:rFonts w:ascii="Arial Narrow" w:hAnsi="Arial Narrow"/>
                <w:sz w:val="20"/>
              </w:rPr>
              <w:t>SPRING-2</w:t>
            </w:r>
          </w:p>
        </w:tc>
        <w:tc>
          <w:tcPr>
            <w:tcW w:w="42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822</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RCT, DB</w:t>
            </w:r>
          </w:p>
        </w:tc>
        <w:tc>
          <w:tcPr>
            <w:tcW w:w="709"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Low </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Treatment naïve HIV</w:t>
            </w:r>
          </w:p>
        </w:tc>
        <w:tc>
          <w:tcPr>
            <w:tcW w:w="2268" w:type="dxa"/>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Dolutegravir + Kivexa/Truvada </w:t>
            </w:r>
          </w:p>
        </w:tc>
        <w:tc>
          <w:tcPr>
            <w:tcW w:w="127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HIV &lt;50 copies/mL at 48, 96 weeks</w:t>
            </w:r>
          </w:p>
        </w:tc>
        <w:tc>
          <w:tcPr>
            <w:tcW w:w="708"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No </w:t>
            </w:r>
          </w:p>
        </w:tc>
      </w:tr>
      <w:tr w:rsidR="00DF384E" w:rsidRPr="00F41650">
        <w:trPr>
          <w:trHeight w:val="354"/>
        </w:trPr>
        <w:tc>
          <w:tcPr>
            <w:tcW w:w="992" w:type="dxa"/>
            <w:vMerge/>
            <w:vAlign w:val="center"/>
          </w:tcPr>
          <w:p w:rsidR="00DF384E" w:rsidRDefault="00DF384E" w:rsidP="003B3F02">
            <w:pPr>
              <w:keepNext/>
              <w:rPr>
                <w:rFonts w:ascii="Arial Narrow" w:hAnsi="Arial Narrow"/>
                <w:sz w:val="20"/>
              </w:rPr>
            </w:pPr>
          </w:p>
        </w:tc>
        <w:tc>
          <w:tcPr>
            <w:tcW w:w="426" w:type="dxa"/>
            <w:vMerge/>
            <w:vAlign w:val="center"/>
          </w:tcPr>
          <w:p w:rsidR="00DF384E" w:rsidRDefault="00DF384E" w:rsidP="003B3F02">
            <w:pPr>
              <w:keepNext/>
              <w:jc w:val="center"/>
              <w:rPr>
                <w:rFonts w:ascii="Arial Narrow" w:hAnsi="Arial Narrow"/>
                <w:sz w:val="20"/>
              </w:rPr>
            </w:pPr>
          </w:p>
        </w:tc>
        <w:tc>
          <w:tcPr>
            <w:tcW w:w="992" w:type="dxa"/>
            <w:vMerge/>
            <w:vAlign w:val="center"/>
          </w:tcPr>
          <w:p w:rsidR="00DF384E" w:rsidRDefault="00DF384E" w:rsidP="003B3F02">
            <w:pPr>
              <w:keepNext/>
              <w:jc w:val="center"/>
              <w:rPr>
                <w:rFonts w:ascii="Arial Narrow" w:hAnsi="Arial Narrow"/>
                <w:sz w:val="20"/>
              </w:rPr>
            </w:pPr>
          </w:p>
        </w:tc>
        <w:tc>
          <w:tcPr>
            <w:tcW w:w="709" w:type="dxa"/>
            <w:vMerge/>
            <w:vAlign w:val="center"/>
          </w:tcPr>
          <w:p w:rsidR="00DF384E" w:rsidRPr="00F41650" w:rsidRDefault="00DF384E" w:rsidP="003B3F02">
            <w:pPr>
              <w:keepNext/>
              <w:jc w:val="center"/>
              <w:rPr>
                <w:rFonts w:ascii="Arial Narrow" w:hAnsi="Arial Narrow"/>
                <w:sz w:val="20"/>
              </w:rPr>
            </w:pPr>
          </w:p>
        </w:tc>
        <w:tc>
          <w:tcPr>
            <w:tcW w:w="992" w:type="dxa"/>
            <w:vMerge/>
            <w:vAlign w:val="center"/>
          </w:tcPr>
          <w:p w:rsidR="00DF384E" w:rsidRDefault="00DF384E" w:rsidP="003B3F02">
            <w:pPr>
              <w:keepNext/>
              <w:jc w:val="center"/>
              <w:rPr>
                <w:rFonts w:ascii="Arial Narrow" w:hAnsi="Arial Narrow"/>
                <w:sz w:val="20"/>
              </w:rPr>
            </w:pPr>
          </w:p>
        </w:tc>
        <w:tc>
          <w:tcPr>
            <w:tcW w:w="2268" w:type="dxa"/>
            <w:vAlign w:val="center"/>
          </w:tcPr>
          <w:p w:rsidR="00DF384E" w:rsidRDefault="00DF384E" w:rsidP="003B3F02">
            <w:pPr>
              <w:keepNext/>
              <w:jc w:val="center"/>
              <w:rPr>
                <w:rFonts w:ascii="Arial Narrow" w:hAnsi="Arial Narrow"/>
                <w:sz w:val="20"/>
              </w:rPr>
            </w:pPr>
            <w:r>
              <w:rPr>
                <w:rFonts w:ascii="Arial Narrow" w:hAnsi="Arial Narrow"/>
                <w:sz w:val="20"/>
              </w:rPr>
              <w:t xml:space="preserve">Raltegravir + Kivexa/Truvada </w:t>
            </w:r>
          </w:p>
        </w:tc>
        <w:tc>
          <w:tcPr>
            <w:tcW w:w="1276" w:type="dxa"/>
            <w:vMerge/>
            <w:vAlign w:val="center"/>
          </w:tcPr>
          <w:p w:rsidR="00DF384E" w:rsidRPr="00F41650" w:rsidRDefault="00DF384E" w:rsidP="003B3F02">
            <w:pPr>
              <w:keepNext/>
              <w:jc w:val="center"/>
              <w:rPr>
                <w:rFonts w:ascii="Arial Narrow" w:hAnsi="Arial Narrow"/>
                <w:sz w:val="20"/>
              </w:rPr>
            </w:pPr>
          </w:p>
        </w:tc>
        <w:tc>
          <w:tcPr>
            <w:tcW w:w="708" w:type="dxa"/>
            <w:vMerge/>
            <w:vAlign w:val="center"/>
          </w:tcPr>
          <w:p w:rsidR="00DF384E" w:rsidRPr="00F41650" w:rsidRDefault="00DF384E" w:rsidP="003B3F02">
            <w:pPr>
              <w:keepNext/>
              <w:jc w:val="center"/>
              <w:rPr>
                <w:rFonts w:ascii="Arial Narrow" w:hAnsi="Arial Narrow"/>
                <w:sz w:val="20"/>
              </w:rPr>
            </w:pPr>
          </w:p>
        </w:tc>
      </w:tr>
      <w:tr w:rsidR="00DF384E" w:rsidRPr="00F41650">
        <w:trPr>
          <w:trHeight w:val="339"/>
        </w:trPr>
        <w:tc>
          <w:tcPr>
            <w:tcW w:w="992" w:type="dxa"/>
            <w:vMerge w:val="restart"/>
            <w:vAlign w:val="center"/>
          </w:tcPr>
          <w:p w:rsidR="00DF384E" w:rsidRPr="00F41650" w:rsidRDefault="00DF384E" w:rsidP="003B3F02">
            <w:pPr>
              <w:keepNext/>
              <w:rPr>
                <w:rFonts w:ascii="Arial Narrow" w:hAnsi="Arial Narrow"/>
                <w:sz w:val="20"/>
              </w:rPr>
            </w:pPr>
            <w:r>
              <w:rPr>
                <w:rFonts w:ascii="Arial Narrow" w:hAnsi="Arial Narrow"/>
                <w:sz w:val="20"/>
              </w:rPr>
              <w:t>SINGLE</w:t>
            </w:r>
          </w:p>
        </w:tc>
        <w:tc>
          <w:tcPr>
            <w:tcW w:w="42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833</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RCT, DB</w:t>
            </w:r>
          </w:p>
        </w:tc>
        <w:tc>
          <w:tcPr>
            <w:tcW w:w="709"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Low </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Treatment naïve HIV</w:t>
            </w:r>
          </w:p>
        </w:tc>
        <w:tc>
          <w:tcPr>
            <w:tcW w:w="2268" w:type="dxa"/>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Dolutegravir + Kivexa </w:t>
            </w:r>
          </w:p>
        </w:tc>
        <w:tc>
          <w:tcPr>
            <w:tcW w:w="127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HIV &lt;50 copies/mL at 48, 96 weeks</w:t>
            </w:r>
          </w:p>
        </w:tc>
        <w:tc>
          <w:tcPr>
            <w:tcW w:w="708"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No </w:t>
            </w:r>
          </w:p>
        </w:tc>
      </w:tr>
      <w:tr w:rsidR="00DF384E" w:rsidRPr="00F41650">
        <w:trPr>
          <w:trHeight w:val="339"/>
        </w:trPr>
        <w:tc>
          <w:tcPr>
            <w:tcW w:w="992" w:type="dxa"/>
            <w:vMerge/>
            <w:vAlign w:val="center"/>
          </w:tcPr>
          <w:p w:rsidR="00DF384E" w:rsidRDefault="00DF384E" w:rsidP="003B3F02">
            <w:pPr>
              <w:keepNext/>
              <w:rPr>
                <w:rFonts w:ascii="Arial Narrow" w:hAnsi="Arial Narrow"/>
                <w:sz w:val="20"/>
              </w:rPr>
            </w:pPr>
          </w:p>
        </w:tc>
        <w:tc>
          <w:tcPr>
            <w:tcW w:w="426" w:type="dxa"/>
            <w:vMerge/>
            <w:vAlign w:val="center"/>
          </w:tcPr>
          <w:p w:rsidR="00DF384E" w:rsidRDefault="00DF384E" w:rsidP="003B3F02">
            <w:pPr>
              <w:keepNext/>
              <w:jc w:val="center"/>
              <w:rPr>
                <w:rFonts w:ascii="Arial Narrow" w:hAnsi="Arial Narrow"/>
                <w:sz w:val="20"/>
              </w:rPr>
            </w:pPr>
          </w:p>
        </w:tc>
        <w:tc>
          <w:tcPr>
            <w:tcW w:w="992" w:type="dxa"/>
            <w:vMerge/>
            <w:vAlign w:val="center"/>
          </w:tcPr>
          <w:p w:rsidR="00DF384E" w:rsidRDefault="00DF384E" w:rsidP="003B3F02">
            <w:pPr>
              <w:keepNext/>
              <w:jc w:val="center"/>
              <w:rPr>
                <w:rFonts w:ascii="Arial Narrow" w:hAnsi="Arial Narrow"/>
                <w:sz w:val="20"/>
              </w:rPr>
            </w:pPr>
          </w:p>
        </w:tc>
        <w:tc>
          <w:tcPr>
            <w:tcW w:w="709" w:type="dxa"/>
            <w:vMerge/>
            <w:vAlign w:val="center"/>
          </w:tcPr>
          <w:p w:rsidR="00DF384E" w:rsidRPr="00F41650" w:rsidRDefault="00DF384E" w:rsidP="003B3F02">
            <w:pPr>
              <w:keepNext/>
              <w:jc w:val="center"/>
              <w:rPr>
                <w:rFonts w:ascii="Arial Narrow" w:hAnsi="Arial Narrow"/>
                <w:sz w:val="20"/>
              </w:rPr>
            </w:pPr>
          </w:p>
        </w:tc>
        <w:tc>
          <w:tcPr>
            <w:tcW w:w="992" w:type="dxa"/>
            <w:vMerge/>
            <w:vAlign w:val="center"/>
          </w:tcPr>
          <w:p w:rsidR="00DF384E" w:rsidRPr="00F41650" w:rsidRDefault="00DF384E" w:rsidP="003B3F02">
            <w:pPr>
              <w:keepNext/>
              <w:jc w:val="center"/>
              <w:rPr>
                <w:rFonts w:ascii="Arial Narrow" w:hAnsi="Arial Narrow"/>
                <w:sz w:val="20"/>
              </w:rPr>
            </w:pPr>
          </w:p>
        </w:tc>
        <w:tc>
          <w:tcPr>
            <w:tcW w:w="2268" w:type="dxa"/>
            <w:vAlign w:val="center"/>
          </w:tcPr>
          <w:p w:rsidR="00DF384E" w:rsidRDefault="00DF384E" w:rsidP="003B3F02">
            <w:pPr>
              <w:keepNext/>
              <w:jc w:val="center"/>
              <w:rPr>
                <w:rFonts w:ascii="Arial Narrow" w:hAnsi="Arial Narrow"/>
                <w:sz w:val="20"/>
              </w:rPr>
            </w:pPr>
            <w:r>
              <w:rPr>
                <w:rFonts w:ascii="Arial Narrow" w:hAnsi="Arial Narrow"/>
                <w:sz w:val="20"/>
              </w:rPr>
              <w:t>Atripla</w:t>
            </w:r>
          </w:p>
        </w:tc>
        <w:tc>
          <w:tcPr>
            <w:tcW w:w="1276" w:type="dxa"/>
            <w:vMerge/>
            <w:vAlign w:val="center"/>
          </w:tcPr>
          <w:p w:rsidR="00DF384E" w:rsidRPr="00F41650" w:rsidRDefault="00DF384E" w:rsidP="003B3F02">
            <w:pPr>
              <w:keepNext/>
              <w:jc w:val="center"/>
              <w:rPr>
                <w:rFonts w:ascii="Arial Narrow" w:hAnsi="Arial Narrow"/>
                <w:sz w:val="20"/>
              </w:rPr>
            </w:pPr>
          </w:p>
        </w:tc>
        <w:tc>
          <w:tcPr>
            <w:tcW w:w="708" w:type="dxa"/>
            <w:vMerge/>
            <w:vAlign w:val="center"/>
          </w:tcPr>
          <w:p w:rsidR="00DF384E" w:rsidRPr="00F41650" w:rsidRDefault="00DF384E" w:rsidP="003B3F02">
            <w:pPr>
              <w:keepNext/>
              <w:jc w:val="center"/>
              <w:rPr>
                <w:rFonts w:ascii="Arial Narrow" w:hAnsi="Arial Narrow"/>
                <w:sz w:val="20"/>
              </w:rPr>
            </w:pPr>
          </w:p>
        </w:tc>
      </w:tr>
      <w:tr w:rsidR="00DF384E" w:rsidRPr="00F41650">
        <w:trPr>
          <w:trHeight w:val="120"/>
        </w:trPr>
        <w:tc>
          <w:tcPr>
            <w:tcW w:w="992" w:type="dxa"/>
            <w:vMerge w:val="restart"/>
            <w:vAlign w:val="center"/>
          </w:tcPr>
          <w:p w:rsidR="00DF384E" w:rsidRPr="00F41650" w:rsidRDefault="00DF384E" w:rsidP="003B3F02">
            <w:pPr>
              <w:keepNext/>
              <w:rPr>
                <w:rFonts w:ascii="Arial Narrow" w:hAnsi="Arial Narrow"/>
                <w:sz w:val="20"/>
              </w:rPr>
            </w:pPr>
            <w:r>
              <w:rPr>
                <w:rFonts w:ascii="Arial Narrow" w:hAnsi="Arial Narrow"/>
                <w:sz w:val="20"/>
              </w:rPr>
              <w:t>FLAMINGO</w:t>
            </w:r>
          </w:p>
        </w:tc>
        <w:tc>
          <w:tcPr>
            <w:tcW w:w="42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484</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RCT, OL</w:t>
            </w:r>
          </w:p>
        </w:tc>
        <w:tc>
          <w:tcPr>
            <w:tcW w:w="709"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Low </w:t>
            </w:r>
          </w:p>
        </w:tc>
        <w:tc>
          <w:tcPr>
            <w:tcW w:w="992"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HIV</w:t>
            </w:r>
          </w:p>
        </w:tc>
        <w:tc>
          <w:tcPr>
            <w:tcW w:w="2268" w:type="dxa"/>
            <w:vAlign w:val="center"/>
          </w:tcPr>
          <w:p w:rsidR="00DF384E" w:rsidRPr="00F41650" w:rsidRDefault="00DF384E" w:rsidP="003B3F02">
            <w:pPr>
              <w:keepNext/>
              <w:jc w:val="center"/>
              <w:rPr>
                <w:rFonts w:ascii="Arial Narrow" w:hAnsi="Arial Narrow"/>
                <w:sz w:val="20"/>
              </w:rPr>
            </w:pPr>
            <w:r>
              <w:rPr>
                <w:rFonts w:ascii="Arial Narrow" w:hAnsi="Arial Narrow"/>
                <w:sz w:val="20"/>
              </w:rPr>
              <w:t>Dolutegravir + Kivexa/Truvada</w:t>
            </w:r>
          </w:p>
        </w:tc>
        <w:tc>
          <w:tcPr>
            <w:tcW w:w="1276"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HIV &lt;50 copies/mL at 48 weeks</w:t>
            </w:r>
          </w:p>
        </w:tc>
        <w:tc>
          <w:tcPr>
            <w:tcW w:w="708" w:type="dxa"/>
            <w:vMerge w:val="restart"/>
            <w:vAlign w:val="center"/>
          </w:tcPr>
          <w:p w:rsidR="00DF384E" w:rsidRPr="00F41650" w:rsidRDefault="00DF384E" w:rsidP="003B3F02">
            <w:pPr>
              <w:keepNext/>
              <w:jc w:val="center"/>
              <w:rPr>
                <w:rFonts w:ascii="Arial Narrow" w:hAnsi="Arial Narrow"/>
                <w:sz w:val="20"/>
              </w:rPr>
            </w:pPr>
            <w:r>
              <w:rPr>
                <w:rFonts w:ascii="Arial Narrow" w:hAnsi="Arial Narrow"/>
                <w:sz w:val="20"/>
              </w:rPr>
              <w:t xml:space="preserve">No </w:t>
            </w:r>
          </w:p>
        </w:tc>
      </w:tr>
      <w:tr w:rsidR="00DF384E" w:rsidRPr="00F41650">
        <w:trPr>
          <w:trHeight w:val="108"/>
        </w:trPr>
        <w:tc>
          <w:tcPr>
            <w:tcW w:w="992" w:type="dxa"/>
            <w:vMerge/>
            <w:vAlign w:val="center"/>
          </w:tcPr>
          <w:p w:rsidR="00DF384E" w:rsidRDefault="00DF384E" w:rsidP="003B3F02">
            <w:pPr>
              <w:keepNext/>
              <w:rPr>
                <w:rFonts w:ascii="Arial Narrow" w:hAnsi="Arial Narrow"/>
                <w:sz w:val="20"/>
              </w:rPr>
            </w:pPr>
          </w:p>
        </w:tc>
        <w:tc>
          <w:tcPr>
            <w:tcW w:w="426" w:type="dxa"/>
            <w:vMerge/>
            <w:vAlign w:val="center"/>
          </w:tcPr>
          <w:p w:rsidR="00DF384E" w:rsidRPr="00F41650" w:rsidRDefault="00DF384E" w:rsidP="003B3F02">
            <w:pPr>
              <w:keepNext/>
              <w:jc w:val="center"/>
              <w:rPr>
                <w:rFonts w:ascii="Arial Narrow" w:hAnsi="Arial Narrow"/>
                <w:sz w:val="20"/>
              </w:rPr>
            </w:pPr>
          </w:p>
        </w:tc>
        <w:tc>
          <w:tcPr>
            <w:tcW w:w="992" w:type="dxa"/>
            <w:vMerge/>
            <w:vAlign w:val="center"/>
          </w:tcPr>
          <w:p w:rsidR="00DF384E" w:rsidRPr="00F41650" w:rsidRDefault="00DF384E" w:rsidP="003B3F02">
            <w:pPr>
              <w:keepNext/>
              <w:jc w:val="center"/>
              <w:rPr>
                <w:rFonts w:ascii="Arial Narrow" w:hAnsi="Arial Narrow"/>
                <w:sz w:val="20"/>
              </w:rPr>
            </w:pPr>
          </w:p>
        </w:tc>
        <w:tc>
          <w:tcPr>
            <w:tcW w:w="709" w:type="dxa"/>
            <w:vMerge/>
            <w:vAlign w:val="center"/>
          </w:tcPr>
          <w:p w:rsidR="00DF384E" w:rsidRPr="00F41650" w:rsidRDefault="00DF384E" w:rsidP="003B3F02">
            <w:pPr>
              <w:keepNext/>
              <w:jc w:val="center"/>
              <w:rPr>
                <w:rFonts w:ascii="Arial Narrow" w:hAnsi="Arial Narrow"/>
                <w:sz w:val="20"/>
              </w:rPr>
            </w:pPr>
          </w:p>
        </w:tc>
        <w:tc>
          <w:tcPr>
            <w:tcW w:w="992" w:type="dxa"/>
            <w:vMerge/>
            <w:vAlign w:val="center"/>
          </w:tcPr>
          <w:p w:rsidR="00DF384E" w:rsidRPr="00F41650" w:rsidRDefault="00DF384E" w:rsidP="003B3F02">
            <w:pPr>
              <w:keepNext/>
              <w:jc w:val="center"/>
              <w:rPr>
                <w:rFonts w:ascii="Arial Narrow" w:hAnsi="Arial Narrow"/>
                <w:sz w:val="20"/>
              </w:rPr>
            </w:pPr>
          </w:p>
        </w:tc>
        <w:tc>
          <w:tcPr>
            <w:tcW w:w="2268" w:type="dxa"/>
            <w:vAlign w:val="center"/>
          </w:tcPr>
          <w:p w:rsidR="00DF384E" w:rsidRPr="00F41650" w:rsidRDefault="00DF384E" w:rsidP="003B3F02">
            <w:pPr>
              <w:keepNext/>
              <w:jc w:val="center"/>
              <w:rPr>
                <w:rFonts w:ascii="Arial Narrow" w:hAnsi="Arial Narrow"/>
                <w:sz w:val="20"/>
              </w:rPr>
            </w:pPr>
            <w:r>
              <w:rPr>
                <w:rFonts w:ascii="Arial Narrow" w:hAnsi="Arial Narrow"/>
                <w:sz w:val="20"/>
              </w:rPr>
              <w:t>Darunavir + Ritonavir + Kivexa/Truvada</w:t>
            </w:r>
          </w:p>
        </w:tc>
        <w:tc>
          <w:tcPr>
            <w:tcW w:w="1276" w:type="dxa"/>
            <w:vMerge/>
            <w:vAlign w:val="center"/>
          </w:tcPr>
          <w:p w:rsidR="00DF384E" w:rsidRPr="00F41650" w:rsidRDefault="00DF384E" w:rsidP="003B3F02">
            <w:pPr>
              <w:keepNext/>
              <w:jc w:val="center"/>
              <w:rPr>
                <w:rFonts w:ascii="Arial Narrow" w:hAnsi="Arial Narrow"/>
                <w:sz w:val="20"/>
              </w:rPr>
            </w:pPr>
          </w:p>
        </w:tc>
        <w:tc>
          <w:tcPr>
            <w:tcW w:w="708" w:type="dxa"/>
            <w:vMerge/>
            <w:vAlign w:val="center"/>
          </w:tcPr>
          <w:p w:rsidR="00DF384E" w:rsidRPr="00F41650" w:rsidRDefault="00DF384E" w:rsidP="003B3F02">
            <w:pPr>
              <w:keepNext/>
              <w:jc w:val="center"/>
              <w:rPr>
                <w:rFonts w:ascii="Arial Narrow" w:hAnsi="Arial Narrow"/>
                <w:sz w:val="20"/>
              </w:rPr>
            </w:pPr>
          </w:p>
        </w:tc>
      </w:tr>
    </w:tbl>
    <w:p w:rsidR="00DF384E" w:rsidRDefault="00DF384E" w:rsidP="003B3F02">
      <w:pPr>
        <w:pStyle w:val="TableFooter"/>
        <w:keepNext/>
        <w:ind w:left="993" w:hanging="284"/>
        <w:rPr>
          <w:sz w:val="20"/>
        </w:rPr>
      </w:pPr>
      <w:r w:rsidRPr="00F41650">
        <w:rPr>
          <w:sz w:val="20"/>
        </w:rPr>
        <w:t xml:space="preserve">DB=double blind; </w:t>
      </w:r>
      <w:r>
        <w:rPr>
          <w:sz w:val="20"/>
        </w:rPr>
        <w:t>MC=multi-centre; OL=open label</w:t>
      </w:r>
    </w:p>
    <w:p w:rsidR="005C026F" w:rsidRDefault="005C026F" w:rsidP="003B3F02">
      <w:pPr>
        <w:pStyle w:val="TableFooter"/>
        <w:keepNext/>
        <w:ind w:left="709"/>
        <w:rPr>
          <w:sz w:val="20"/>
        </w:rPr>
      </w:pPr>
      <w:r>
        <w:rPr>
          <w:sz w:val="20"/>
        </w:rPr>
        <w:t xml:space="preserve">Truvada = </w:t>
      </w:r>
      <w:r w:rsidRPr="00D67149">
        <w:rPr>
          <w:sz w:val="20"/>
        </w:rPr>
        <w:t>emtricitabine 200mg + tenofovir 300mg FDC</w:t>
      </w:r>
      <w:r>
        <w:rPr>
          <w:sz w:val="20"/>
        </w:rPr>
        <w:t>; Atripla = e</w:t>
      </w:r>
      <w:r w:rsidRPr="00D67149">
        <w:rPr>
          <w:sz w:val="20"/>
        </w:rPr>
        <w:t>mtricitabine 200mg + tenofovir 300mg + efavirenz 600mg FDC</w:t>
      </w:r>
    </w:p>
    <w:p w:rsidR="00DF384E" w:rsidRDefault="00DF384E" w:rsidP="00BE6037">
      <w:pPr>
        <w:pStyle w:val="TableFooter"/>
        <w:keepNext/>
        <w:tabs>
          <w:tab w:val="left" w:pos="284"/>
        </w:tabs>
        <w:ind w:left="709"/>
        <w:rPr>
          <w:sz w:val="20"/>
        </w:rPr>
      </w:pPr>
      <w:r>
        <w:rPr>
          <w:sz w:val="20"/>
          <w:vertAlign w:val="superscript"/>
        </w:rPr>
        <w:t>a</w:t>
      </w:r>
      <w:r w:rsidR="00BE6037">
        <w:rPr>
          <w:sz w:val="20"/>
        </w:rPr>
        <w:t xml:space="preserve"> </w:t>
      </w:r>
      <w:r>
        <w:rPr>
          <w:sz w:val="20"/>
        </w:rPr>
        <w:t>R</w:t>
      </w:r>
      <w:r w:rsidRPr="00784982">
        <w:rPr>
          <w:sz w:val="20"/>
        </w:rPr>
        <w:t>andomised to</w:t>
      </w:r>
      <w:r>
        <w:rPr>
          <w:sz w:val="20"/>
        </w:rPr>
        <w:t xml:space="preserve"> one of two treatment sequences: p</w:t>
      </w:r>
      <w:r w:rsidRPr="00784982">
        <w:rPr>
          <w:sz w:val="20"/>
        </w:rPr>
        <w:t>atients in sequence 1 received a single dose of Triumeq orally, then after a wash out of at least 7 days, received a singl</w:t>
      </w:r>
      <w:r>
        <w:rPr>
          <w:sz w:val="20"/>
        </w:rPr>
        <w:t>e dose of dolutegravir + Kivexa;</w:t>
      </w:r>
      <w:r w:rsidRPr="00784982">
        <w:rPr>
          <w:sz w:val="20"/>
        </w:rPr>
        <w:t xml:space="preserve"> </w:t>
      </w:r>
      <w:r>
        <w:rPr>
          <w:sz w:val="20"/>
        </w:rPr>
        <w:t>p</w:t>
      </w:r>
      <w:r w:rsidRPr="00784982">
        <w:rPr>
          <w:sz w:val="20"/>
        </w:rPr>
        <w:t xml:space="preserve">atients in sequence 2 were treated in the opposite manner, with dolutegravir + Kivexa first then Triumeq after washout.  </w:t>
      </w:r>
    </w:p>
    <w:p w:rsidR="00DF384E" w:rsidRPr="003B3F02" w:rsidRDefault="00DF384E" w:rsidP="003B3F02">
      <w:pPr>
        <w:pStyle w:val="TableFooter"/>
        <w:keepNext/>
        <w:ind w:left="993" w:hanging="284"/>
        <w:rPr>
          <w:b/>
        </w:rPr>
      </w:pPr>
      <w:r w:rsidRPr="00DF384E">
        <w:rPr>
          <w:sz w:val="20"/>
        </w:rPr>
        <w:t>Source: compiled during the evaluation</w:t>
      </w:r>
    </w:p>
    <w:p w:rsidR="002B4C74" w:rsidRDefault="002B4C74" w:rsidP="00DF384E">
      <w:pPr>
        <w:pStyle w:val="TableFooter"/>
        <w:rPr>
          <w:sz w:val="20"/>
        </w:rPr>
      </w:pPr>
    </w:p>
    <w:p w:rsidR="00B60939" w:rsidRPr="001944CD" w:rsidRDefault="00B60939" w:rsidP="001944CD">
      <w:pPr>
        <w:rPr>
          <w:b/>
        </w:rPr>
      </w:pPr>
      <w:bookmarkStart w:id="8" w:name="_Toc398632116"/>
      <w:r w:rsidRPr="001944CD">
        <w:rPr>
          <w:b/>
        </w:rPr>
        <w:t>Comparative effectiveness</w:t>
      </w:r>
      <w:bookmarkEnd w:id="8"/>
    </w:p>
    <w:p w:rsidR="00B60939" w:rsidRPr="00882085" w:rsidRDefault="00B60939" w:rsidP="00B60939">
      <w:pPr>
        <w:rPr>
          <w:szCs w:val="22"/>
        </w:rPr>
      </w:pPr>
    </w:p>
    <w:p w:rsidR="002C2775" w:rsidRPr="00F34986" w:rsidRDefault="00DB1C5A" w:rsidP="00DB1C5A">
      <w:pPr>
        <w:pStyle w:val="ListParagraph"/>
        <w:widowControl/>
        <w:numPr>
          <w:ilvl w:val="1"/>
          <w:numId w:val="2"/>
        </w:numPr>
        <w:rPr>
          <w:szCs w:val="22"/>
        </w:rPr>
      </w:pPr>
      <w:r w:rsidRPr="00F34986">
        <w:rPr>
          <w:szCs w:val="22"/>
        </w:rPr>
        <w:t xml:space="preserve">The ratio of geometric least square means for all pharmacokinetic parameters for all three drugs </w:t>
      </w:r>
      <w:r w:rsidR="00FA2ADF" w:rsidRPr="00F34986">
        <w:rPr>
          <w:szCs w:val="22"/>
        </w:rPr>
        <w:t xml:space="preserve">in the FDC </w:t>
      </w:r>
      <w:r w:rsidRPr="00F34986">
        <w:rPr>
          <w:szCs w:val="22"/>
        </w:rPr>
        <w:t xml:space="preserve">fall within the pre-specified range of 80.00% and 125.00% </w:t>
      </w:r>
      <w:r w:rsidR="00FA2ADF" w:rsidRPr="00F34986">
        <w:rPr>
          <w:szCs w:val="22"/>
        </w:rPr>
        <w:t xml:space="preserve">compared with dolutegravir taken concomitantly with Kivexa </w:t>
      </w:r>
      <w:r w:rsidR="001A35D3" w:rsidRPr="00F34986">
        <w:rPr>
          <w:szCs w:val="22"/>
        </w:rPr>
        <w:t>and is presented below</w:t>
      </w:r>
      <w:r w:rsidRPr="00F34986">
        <w:rPr>
          <w:szCs w:val="22"/>
        </w:rPr>
        <w:t>.</w:t>
      </w:r>
      <w:r w:rsidR="00FA2ADF" w:rsidRPr="00F34986">
        <w:rPr>
          <w:szCs w:val="22"/>
        </w:rPr>
        <w:t xml:space="preserve">  </w:t>
      </w:r>
    </w:p>
    <w:p w:rsidR="00F82669" w:rsidRPr="00F2034B" w:rsidRDefault="00F82669" w:rsidP="00F82669">
      <w:pPr>
        <w:pStyle w:val="PBACHeading1"/>
        <w:numPr>
          <w:ilvl w:val="0"/>
          <w:numId w:val="0"/>
        </w:numPr>
        <w:ind w:left="720"/>
        <w:rPr>
          <w:i/>
        </w:rPr>
      </w:pPr>
    </w:p>
    <w:p w:rsidR="00F82669" w:rsidRPr="00F34986" w:rsidRDefault="00F82669" w:rsidP="00F82669">
      <w:pPr>
        <w:pStyle w:val="PBACHeading1"/>
        <w:numPr>
          <w:ilvl w:val="0"/>
          <w:numId w:val="0"/>
        </w:numPr>
        <w:ind w:left="720"/>
        <w:rPr>
          <w:rFonts w:ascii="Arial Narrow" w:hAnsi="Arial Narrow"/>
          <w:sz w:val="20"/>
          <w:szCs w:val="20"/>
        </w:rPr>
      </w:pPr>
      <w:r w:rsidRPr="00F34986">
        <w:rPr>
          <w:rFonts w:ascii="Arial Narrow" w:hAnsi="Arial Narrow"/>
          <w:sz w:val="20"/>
          <w:szCs w:val="20"/>
        </w:rPr>
        <w:t>Results of Trial ING114580</w:t>
      </w:r>
    </w:p>
    <w:tbl>
      <w:tblPr>
        <w:tblStyle w:val="TableGrid"/>
        <w:tblW w:w="4594" w:type="pct"/>
        <w:tblInd w:w="737" w:type="dxa"/>
        <w:tblCellMar>
          <w:left w:w="28" w:type="dxa"/>
          <w:right w:w="28" w:type="dxa"/>
        </w:tblCellMar>
        <w:tblLook w:val="04A0" w:firstRow="1" w:lastRow="0" w:firstColumn="1" w:lastColumn="0" w:noHBand="0" w:noVBand="1"/>
      </w:tblPr>
      <w:tblGrid>
        <w:gridCol w:w="2126"/>
        <w:gridCol w:w="1843"/>
        <w:gridCol w:w="1844"/>
        <w:gridCol w:w="2532"/>
      </w:tblGrid>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b/>
                <w:sz w:val="20"/>
              </w:rPr>
            </w:pPr>
          </w:p>
        </w:tc>
        <w:tc>
          <w:tcPr>
            <w:tcW w:w="22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b/>
                <w:sz w:val="20"/>
              </w:rPr>
            </w:pPr>
            <w:r w:rsidRPr="00F34986">
              <w:rPr>
                <w:rFonts w:ascii="Arial Narrow" w:hAnsi="Arial Narrow"/>
                <w:b/>
                <w:sz w:val="20"/>
              </w:rPr>
              <w:t>GLS Mean</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b/>
                <w:sz w:val="20"/>
              </w:rPr>
            </w:pPr>
            <w:r w:rsidRPr="00F34986">
              <w:rPr>
                <w:rFonts w:ascii="Arial Narrow" w:hAnsi="Arial Narrow"/>
                <w:b/>
                <w:sz w:val="20"/>
              </w:rPr>
              <w:t>Ratio of GLS Means [90% CI]</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b/>
                <w:sz w:val="20"/>
              </w:rPr>
            </w:pP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b/>
                <w:sz w:val="20"/>
              </w:rPr>
            </w:pPr>
            <w:r w:rsidRPr="00F34986">
              <w:rPr>
                <w:rFonts w:ascii="Arial Narrow" w:hAnsi="Arial Narrow"/>
                <w:b/>
                <w:sz w:val="20"/>
              </w:rPr>
              <w:t>Triumeq FDC</w:t>
            </w:r>
          </w:p>
          <w:p w:rsidR="00F82669" w:rsidRPr="00F34986" w:rsidRDefault="00F82669" w:rsidP="00F82669">
            <w:pPr>
              <w:jc w:val="center"/>
              <w:rPr>
                <w:rFonts w:ascii="Arial Narrow" w:hAnsi="Arial Narrow"/>
                <w:b/>
                <w:sz w:val="20"/>
              </w:rPr>
            </w:pPr>
            <w:r w:rsidRPr="00F34986">
              <w:rPr>
                <w:rFonts w:ascii="Arial Narrow" w:hAnsi="Arial Narrow"/>
                <w:b/>
                <w:sz w:val="20"/>
              </w:rPr>
              <w:t>N=62</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b/>
                <w:sz w:val="20"/>
              </w:rPr>
            </w:pPr>
            <w:r w:rsidRPr="00F34986">
              <w:rPr>
                <w:rFonts w:ascii="Arial Narrow" w:hAnsi="Arial Narrow"/>
                <w:b/>
                <w:sz w:val="20"/>
              </w:rPr>
              <w:t>DTG+Kivexa</w:t>
            </w:r>
          </w:p>
          <w:p w:rsidR="00F82669" w:rsidRPr="00F34986" w:rsidRDefault="00F82669" w:rsidP="00F82669">
            <w:pPr>
              <w:jc w:val="center"/>
              <w:rPr>
                <w:rFonts w:ascii="Arial Narrow" w:hAnsi="Arial Narrow"/>
                <w:b/>
                <w:sz w:val="20"/>
              </w:rPr>
            </w:pPr>
            <w:r w:rsidRPr="00F34986">
              <w:rPr>
                <w:rFonts w:ascii="Arial Narrow" w:hAnsi="Arial Narrow"/>
                <w:b/>
                <w:sz w:val="20"/>
              </w:rPr>
              <w:t>N=62</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b/>
                <w:sz w:val="20"/>
              </w:rPr>
            </w:pPr>
            <w:r w:rsidRPr="00F34986">
              <w:rPr>
                <w:rFonts w:ascii="Arial Narrow" w:hAnsi="Arial Narrow"/>
                <w:b/>
                <w:sz w:val="20"/>
              </w:rPr>
              <w:t>Triumeq FDC vs DTG+Kivexa</w:t>
            </w:r>
          </w:p>
        </w:tc>
      </w:tr>
      <w:tr w:rsidR="00F82669" w:rsidRPr="00F34986">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b/>
                <w:sz w:val="20"/>
              </w:rPr>
            </w:pPr>
            <w:r w:rsidRPr="00F34986">
              <w:rPr>
                <w:rFonts w:ascii="Arial Narrow" w:hAnsi="Arial Narrow"/>
                <w:b/>
                <w:sz w:val="20"/>
              </w:rPr>
              <w:t>Dolutegravir</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44.73</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47.36</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0.945 [0.889, 1.00]</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AUC(0-t)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40.86</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43.34</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0.943 [0.888, 1.00]</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Cmax (µg/mL)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2.44</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2.54</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0.961 [0.906, 1.02]</w:t>
            </w:r>
          </w:p>
        </w:tc>
      </w:tr>
      <w:tr w:rsidR="00F82669" w:rsidRPr="00F34986">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b/>
                <w:sz w:val="20"/>
              </w:rPr>
            </w:pPr>
            <w:r w:rsidRPr="00F34986">
              <w:rPr>
                <w:rFonts w:ascii="Arial Narrow" w:hAnsi="Arial Narrow"/>
                <w:b/>
                <w:sz w:val="20"/>
              </w:rPr>
              <w:t>Abacavir</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13.92</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14.51</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0.960 [0.939, 0.980]</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AUC(0-t)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13.90</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14.48</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0.960 [0.939, 0.980]</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Cmax (µg/mL)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4.03</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4.38</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0.920 [0.867, 0.977]</w:t>
            </w:r>
          </w:p>
        </w:tc>
      </w:tr>
      <w:tr w:rsidR="00F82669" w:rsidRPr="00F34986">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b/>
                <w:sz w:val="20"/>
              </w:rPr>
            </w:pPr>
            <w:r w:rsidRPr="00F34986">
              <w:rPr>
                <w:rFonts w:ascii="Arial Narrow" w:hAnsi="Arial Narrow"/>
                <w:b/>
                <w:sz w:val="20"/>
              </w:rPr>
              <w:t>Lamivudine</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12.75</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13.12</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0.972 [0.940, 1.01]</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AUC(0-t) (µg.h/mL)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12.30</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12.81</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0.960 [0.928, 0.994]</w:t>
            </w:r>
          </w:p>
        </w:tc>
      </w:tr>
      <w:tr w:rsidR="00F82669" w:rsidRPr="00F34986">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669" w:rsidRPr="00F34986" w:rsidRDefault="00F82669" w:rsidP="00F82669">
            <w:pPr>
              <w:jc w:val="left"/>
              <w:rPr>
                <w:rFonts w:ascii="Arial Narrow" w:hAnsi="Arial Narrow"/>
                <w:sz w:val="20"/>
              </w:rPr>
            </w:pPr>
            <w:r w:rsidRPr="00F34986">
              <w:rPr>
                <w:rFonts w:ascii="Arial Narrow" w:hAnsi="Arial Narrow"/>
                <w:sz w:val="20"/>
              </w:rPr>
              <w:t>Cmax (µg/mL)</w:t>
            </w:r>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2.11</w:t>
            </w:r>
          </w:p>
        </w:tc>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2.28</w:t>
            </w:r>
          </w:p>
        </w:tc>
        <w:tc>
          <w:tcPr>
            <w:tcW w:w="15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669" w:rsidRPr="00F34986" w:rsidRDefault="00F82669" w:rsidP="00F82669">
            <w:pPr>
              <w:jc w:val="center"/>
              <w:rPr>
                <w:rFonts w:ascii="Arial Narrow" w:hAnsi="Arial Narrow"/>
                <w:sz w:val="20"/>
              </w:rPr>
            </w:pPr>
            <w:r w:rsidRPr="00F34986">
              <w:rPr>
                <w:rFonts w:ascii="Arial Narrow" w:hAnsi="Arial Narrow"/>
                <w:sz w:val="20"/>
              </w:rPr>
              <w:t>0.926 [0.885, 0.968]</w:t>
            </w:r>
          </w:p>
        </w:tc>
      </w:tr>
    </w:tbl>
    <w:p w:rsidR="00F82669" w:rsidRPr="00F34986" w:rsidRDefault="00F82669" w:rsidP="00F82669">
      <w:pPr>
        <w:pStyle w:val="PBACHeading1"/>
        <w:numPr>
          <w:ilvl w:val="0"/>
          <w:numId w:val="0"/>
        </w:numPr>
        <w:ind w:left="720"/>
        <w:rPr>
          <w:rFonts w:ascii="Arial Narrow" w:hAnsi="Arial Narrow"/>
          <w:b w:val="0"/>
          <w:sz w:val="20"/>
          <w:szCs w:val="20"/>
        </w:rPr>
      </w:pPr>
      <w:r w:rsidRPr="00F34986">
        <w:rPr>
          <w:rFonts w:ascii="Arial Narrow" w:hAnsi="Arial Narrow"/>
          <w:b w:val="0"/>
          <w:sz w:val="20"/>
          <w:szCs w:val="20"/>
        </w:rPr>
        <w:t>Abbreviations: AUC: Area Under the Curve; DTG: dolutegravir; GLS: Geometric least squares</w:t>
      </w:r>
    </w:p>
    <w:p w:rsidR="00F82669" w:rsidRPr="00F34986" w:rsidRDefault="00F82669" w:rsidP="00F82669">
      <w:pPr>
        <w:pStyle w:val="PBACHeading1"/>
        <w:numPr>
          <w:ilvl w:val="0"/>
          <w:numId w:val="0"/>
        </w:numPr>
        <w:ind w:left="720"/>
        <w:rPr>
          <w:rFonts w:ascii="Arial Narrow" w:hAnsi="Arial Narrow"/>
          <w:b w:val="0"/>
          <w:sz w:val="20"/>
          <w:szCs w:val="20"/>
        </w:rPr>
      </w:pPr>
      <w:r w:rsidRPr="00F34986">
        <w:rPr>
          <w:rFonts w:ascii="Arial Narrow" w:hAnsi="Arial Narrow"/>
          <w:b w:val="0"/>
          <w:sz w:val="20"/>
          <w:szCs w:val="20"/>
        </w:rPr>
        <w:t xml:space="preserve">Source: Table B.17, p63 of the submission </w:t>
      </w:r>
    </w:p>
    <w:p w:rsidR="00811CCF" w:rsidRPr="00F2034B" w:rsidRDefault="00811CCF" w:rsidP="00F2034B">
      <w:pPr>
        <w:widowControl/>
        <w:rPr>
          <w:szCs w:val="22"/>
        </w:rPr>
      </w:pPr>
    </w:p>
    <w:p w:rsidR="003A2EA1" w:rsidRPr="00F34986" w:rsidRDefault="00FA2ADF" w:rsidP="00571431">
      <w:pPr>
        <w:pStyle w:val="ListParagraph"/>
        <w:widowControl/>
        <w:numPr>
          <w:ilvl w:val="1"/>
          <w:numId w:val="2"/>
        </w:numPr>
        <w:rPr>
          <w:rStyle w:val="CommentReference"/>
        </w:rPr>
      </w:pPr>
      <w:r w:rsidRPr="00F34986">
        <w:rPr>
          <w:szCs w:val="22"/>
        </w:rPr>
        <w:t xml:space="preserve">The comparisons of dolutegravir + Kivexa </w:t>
      </w:r>
      <w:r w:rsidR="00811CCF" w:rsidRPr="00F34986">
        <w:rPr>
          <w:szCs w:val="22"/>
        </w:rPr>
        <w:t xml:space="preserve">versus raltegravir + Kivexa and versus darunavir + ritonavir + Kivexa indicated no statistically significant differences in the proportion of patients achieving a viral load of &lt;50 copies/mL </w:t>
      </w:r>
      <w:r w:rsidR="00C73637" w:rsidRPr="00F34986">
        <w:rPr>
          <w:szCs w:val="22"/>
        </w:rPr>
        <w:t>and is presented in</w:t>
      </w:r>
      <w:r w:rsidR="00811CCF" w:rsidRPr="00F34986">
        <w:rPr>
          <w:szCs w:val="22"/>
        </w:rPr>
        <w:t xml:space="preserve"> </w:t>
      </w:r>
      <w:r w:rsidR="0000621A">
        <w:rPr>
          <w:szCs w:val="22"/>
        </w:rPr>
        <w:t xml:space="preserve">the </w:t>
      </w:r>
      <w:r w:rsidR="00170327">
        <w:rPr>
          <w:szCs w:val="22"/>
        </w:rPr>
        <w:t xml:space="preserve">following </w:t>
      </w:r>
      <w:r w:rsidR="0000621A">
        <w:rPr>
          <w:szCs w:val="22"/>
        </w:rPr>
        <w:t>t</w:t>
      </w:r>
      <w:r w:rsidR="00811CCF" w:rsidRPr="00F34986">
        <w:rPr>
          <w:szCs w:val="22"/>
        </w:rPr>
        <w:t>able. A comparison of dolutegravir + Kivexa versus Atripla indicated a statistically significantly greater proportion of patients treated with dolutegravir + Kivexa achieved a viral load of &lt;50 copies/mL</w:t>
      </w:r>
      <w:r w:rsidR="00CB14E6" w:rsidRPr="00F34986">
        <w:rPr>
          <w:szCs w:val="22"/>
        </w:rPr>
        <w:t xml:space="preserve"> (RD=7.3%, </w:t>
      </w:r>
      <w:r w:rsidR="00F92540" w:rsidRPr="00F34986">
        <w:rPr>
          <w:szCs w:val="22"/>
        </w:rPr>
        <w:t>[</w:t>
      </w:r>
      <w:r w:rsidR="00CB14E6" w:rsidRPr="00F34986">
        <w:rPr>
          <w:szCs w:val="22"/>
        </w:rPr>
        <w:t>95% CI: 2.3, 12.2</w:t>
      </w:r>
      <w:r w:rsidR="00F92540" w:rsidRPr="00F34986">
        <w:rPr>
          <w:szCs w:val="22"/>
        </w:rPr>
        <w:t>]</w:t>
      </w:r>
      <w:r w:rsidR="00CB14E6" w:rsidRPr="00F34986">
        <w:rPr>
          <w:szCs w:val="22"/>
        </w:rPr>
        <w:t xml:space="preserve"> at </w:t>
      </w:r>
      <w:r w:rsidR="00CB14E6" w:rsidRPr="00F34986">
        <w:rPr>
          <w:szCs w:val="22"/>
        </w:rPr>
        <w:lastRenderedPageBreak/>
        <w:t>48</w:t>
      </w:r>
      <w:r w:rsidR="004E77F0" w:rsidRPr="00F34986">
        <w:rPr>
          <w:szCs w:val="22"/>
        </w:rPr>
        <w:t> </w:t>
      </w:r>
      <w:r w:rsidR="00CB14E6" w:rsidRPr="00F34986">
        <w:rPr>
          <w:szCs w:val="22"/>
        </w:rPr>
        <w:t>weeks and RD=7.9%</w:t>
      </w:r>
      <w:r w:rsidR="00F92540" w:rsidRPr="00F34986">
        <w:rPr>
          <w:szCs w:val="22"/>
        </w:rPr>
        <w:t xml:space="preserve"> [</w:t>
      </w:r>
      <w:r w:rsidR="00CB14E6" w:rsidRPr="00F34986">
        <w:rPr>
          <w:szCs w:val="22"/>
        </w:rPr>
        <w:t>95% CI: 2.1, 13.6</w:t>
      </w:r>
      <w:r w:rsidR="00F92540" w:rsidRPr="00F34986">
        <w:rPr>
          <w:szCs w:val="22"/>
        </w:rPr>
        <w:t>]</w:t>
      </w:r>
      <w:r w:rsidR="00CB14E6" w:rsidRPr="00F34986">
        <w:rPr>
          <w:szCs w:val="22"/>
        </w:rPr>
        <w:t xml:space="preserve"> at 96 weeks)</w:t>
      </w:r>
      <w:r w:rsidR="00D84547" w:rsidRPr="00F34986">
        <w:rPr>
          <w:szCs w:val="22"/>
        </w:rPr>
        <w:t xml:space="preserve">. However, given the growing number of options for treatment in the setting of virological failure, </w:t>
      </w:r>
      <w:r w:rsidR="00D870F8" w:rsidRPr="00F34986">
        <w:rPr>
          <w:szCs w:val="22"/>
        </w:rPr>
        <w:t>the clinical significance of this difference is not established in the submission.</w:t>
      </w:r>
    </w:p>
    <w:p w:rsidR="00571431" w:rsidRDefault="00571431" w:rsidP="00571431">
      <w:pPr>
        <w:pStyle w:val="PBACHeading1"/>
        <w:numPr>
          <w:ilvl w:val="0"/>
          <w:numId w:val="0"/>
        </w:numPr>
        <w:rPr>
          <w:rStyle w:val="CommentReference"/>
          <w:b/>
        </w:rPr>
      </w:pPr>
    </w:p>
    <w:p w:rsidR="003A2EA1" w:rsidRPr="00F34986" w:rsidRDefault="003A2EA1" w:rsidP="003A2EA1">
      <w:pPr>
        <w:pStyle w:val="PBACHeading1"/>
        <w:numPr>
          <w:ilvl w:val="0"/>
          <w:numId w:val="0"/>
        </w:numPr>
        <w:ind w:left="720"/>
        <w:rPr>
          <w:rStyle w:val="CommentReference"/>
        </w:rPr>
      </w:pPr>
      <w:r w:rsidRPr="00F34986">
        <w:rPr>
          <w:rStyle w:val="CommentReference"/>
          <w:b/>
          <w:szCs w:val="20"/>
        </w:rPr>
        <w:t xml:space="preserve">Results of proportion of patients with HIV RNA level of less than 50 copies/mL at 48 and 96 weeks across the direct randomised trials in the subgroup of patients treated in combination with Kivexa only </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1559"/>
        <w:gridCol w:w="1419"/>
        <w:gridCol w:w="1275"/>
        <w:gridCol w:w="1412"/>
        <w:gridCol w:w="1406"/>
      </w:tblGrid>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b/>
                <w:sz w:val="20"/>
              </w:rPr>
              <w:t xml:space="preserve">Trial </w:t>
            </w:r>
          </w:p>
        </w:tc>
        <w:tc>
          <w:tcPr>
            <w:tcW w:w="934" w:type="pct"/>
            <w:vAlign w:val="center"/>
          </w:tcPr>
          <w:p w:rsidR="003A2EA1" w:rsidRPr="00F34986" w:rsidRDefault="003A2EA1" w:rsidP="00F2034B">
            <w:pPr>
              <w:jc w:val="center"/>
              <w:rPr>
                <w:rFonts w:ascii="Arial Narrow" w:hAnsi="Arial Narrow"/>
                <w:b/>
                <w:sz w:val="20"/>
                <w:lang w:val="pt-PT"/>
              </w:rPr>
            </w:pPr>
            <w:r w:rsidRPr="00F34986">
              <w:rPr>
                <w:rFonts w:ascii="Arial Narrow" w:hAnsi="Arial Narrow"/>
                <w:b/>
                <w:sz w:val="20"/>
                <w:lang w:val="pt-PT"/>
              </w:rPr>
              <w:t>Dolutegravir 50mg OD + Kivexa OD</w:t>
            </w:r>
          </w:p>
          <w:p w:rsidR="003A2EA1" w:rsidRPr="00F34986" w:rsidRDefault="003A2EA1" w:rsidP="003A2EA1">
            <w:pPr>
              <w:ind w:right="-108"/>
              <w:jc w:val="center"/>
              <w:rPr>
                <w:rFonts w:ascii="Arial Narrow" w:hAnsi="Arial Narrow"/>
                <w:b/>
                <w:sz w:val="20"/>
                <w:lang w:val="pt-PT"/>
              </w:rPr>
            </w:pPr>
          </w:p>
          <w:p w:rsidR="00C2158B" w:rsidRPr="00F34986" w:rsidRDefault="00C2158B" w:rsidP="003A2EA1">
            <w:pPr>
              <w:ind w:right="-108"/>
              <w:jc w:val="center"/>
              <w:rPr>
                <w:rFonts w:ascii="Arial Narrow" w:hAnsi="Arial Narrow"/>
                <w:b/>
                <w:sz w:val="20"/>
                <w:lang w:val="pt-PT"/>
              </w:rPr>
            </w:pPr>
          </w:p>
          <w:p w:rsidR="003A2EA1" w:rsidRPr="00F34986" w:rsidRDefault="003A2EA1" w:rsidP="003A2EA1">
            <w:pPr>
              <w:ind w:right="-108"/>
              <w:jc w:val="center"/>
              <w:rPr>
                <w:rFonts w:ascii="Arial Narrow" w:hAnsi="Arial Narrow"/>
                <w:sz w:val="20"/>
                <w:lang w:val="pt-PT"/>
              </w:rPr>
            </w:pPr>
            <w:r w:rsidRPr="00F34986">
              <w:rPr>
                <w:rFonts w:ascii="Arial Narrow" w:hAnsi="Arial Narrow"/>
                <w:b/>
                <w:sz w:val="20"/>
                <w:lang w:val="pt-PT"/>
              </w:rPr>
              <w:t>n/N (%)</w:t>
            </w:r>
          </w:p>
        </w:tc>
        <w:tc>
          <w:tcPr>
            <w:tcW w:w="850" w:type="pct"/>
            <w:vAlign w:val="center"/>
          </w:tcPr>
          <w:p w:rsidR="003A2EA1" w:rsidRPr="00F34986" w:rsidRDefault="003A2EA1" w:rsidP="003A2EA1">
            <w:pPr>
              <w:jc w:val="center"/>
              <w:rPr>
                <w:rFonts w:ascii="Arial Narrow" w:hAnsi="Arial Narrow"/>
                <w:b/>
                <w:sz w:val="20"/>
                <w:lang w:val="pt-PT"/>
              </w:rPr>
            </w:pPr>
            <w:r w:rsidRPr="00F34986">
              <w:rPr>
                <w:rFonts w:ascii="Arial Narrow" w:hAnsi="Arial Narrow"/>
                <w:b/>
                <w:sz w:val="20"/>
                <w:lang w:val="pt-PT"/>
              </w:rPr>
              <w:t>Raltegravir 400mg BD + Kivexa OD</w:t>
            </w:r>
          </w:p>
          <w:p w:rsidR="003A2EA1" w:rsidRPr="00F34986" w:rsidRDefault="003A2EA1" w:rsidP="003A2EA1">
            <w:pPr>
              <w:jc w:val="center"/>
              <w:rPr>
                <w:rFonts w:ascii="Arial Narrow" w:hAnsi="Arial Narrow"/>
                <w:b/>
                <w:sz w:val="20"/>
                <w:lang w:val="pt-PT"/>
              </w:rPr>
            </w:pPr>
          </w:p>
          <w:p w:rsidR="003A2EA1" w:rsidRPr="00F34986" w:rsidRDefault="003A2EA1" w:rsidP="003A2EA1">
            <w:pPr>
              <w:jc w:val="center"/>
              <w:rPr>
                <w:rFonts w:ascii="Arial Narrow" w:hAnsi="Arial Narrow"/>
                <w:b/>
                <w:sz w:val="20"/>
                <w:lang w:val="pt-PT"/>
              </w:rPr>
            </w:pPr>
            <w:r w:rsidRPr="00F34986">
              <w:rPr>
                <w:rFonts w:ascii="Arial Narrow" w:hAnsi="Arial Narrow"/>
                <w:b/>
                <w:sz w:val="20"/>
                <w:lang w:val="pt-PT"/>
              </w:rPr>
              <w:t>n/N (%)</w:t>
            </w:r>
          </w:p>
        </w:tc>
        <w:tc>
          <w:tcPr>
            <w:tcW w:w="764" w:type="pct"/>
            <w:vAlign w:val="center"/>
          </w:tcPr>
          <w:p w:rsidR="003A2EA1" w:rsidRPr="00F34986" w:rsidRDefault="003A2EA1" w:rsidP="003A2EA1">
            <w:pPr>
              <w:jc w:val="center"/>
              <w:rPr>
                <w:rFonts w:ascii="Arial Narrow" w:hAnsi="Arial Narrow"/>
                <w:b/>
                <w:sz w:val="20"/>
              </w:rPr>
            </w:pPr>
            <w:r w:rsidRPr="00F34986">
              <w:rPr>
                <w:rFonts w:ascii="Arial Narrow" w:hAnsi="Arial Narrow"/>
                <w:b/>
                <w:sz w:val="20"/>
              </w:rPr>
              <w:t>Atripla OD</w:t>
            </w:r>
          </w:p>
          <w:p w:rsidR="003A2EA1" w:rsidRPr="00F34986" w:rsidRDefault="003A2EA1" w:rsidP="003A2EA1">
            <w:pPr>
              <w:jc w:val="center"/>
              <w:rPr>
                <w:rFonts w:ascii="Arial Narrow" w:hAnsi="Arial Narrow"/>
                <w:b/>
                <w:sz w:val="20"/>
              </w:rPr>
            </w:pPr>
          </w:p>
          <w:p w:rsidR="003A2EA1" w:rsidRPr="00F34986" w:rsidRDefault="003A2EA1" w:rsidP="003A2EA1">
            <w:pPr>
              <w:jc w:val="center"/>
              <w:rPr>
                <w:rFonts w:ascii="Arial Narrow" w:hAnsi="Arial Narrow"/>
                <w:b/>
                <w:sz w:val="20"/>
              </w:rPr>
            </w:pPr>
          </w:p>
          <w:p w:rsidR="00C2158B" w:rsidRPr="00F34986" w:rsidRDefault="00C2158B" w:rsidP="003A2EA1">
            <w:pPr>
              <w:jc w:val="center"/>
              <w:rPr>
                <w:rFonts w:ascii="Arial Narrow" w:hAnsi="Arial Narrow"/>
                <w:b/>
                <w:sz w:val="20"/>
              </w:rPr>
            </w:pPr>
          </w:p>
          <w:p w:rsidR="003A2EA1" w:rsidRPr="00F34986" w:rsidRDefault="003A2EA1" w:rsidP="003A2EA1">
            <w:pPr>
              <w:jc w:val="center"/>
              <w:rPr>
                <w:rFonts w:ascii="Arial Narrow" w:hAnsi="Arial Narrow"/>
                <w:b/>
                <w:sz w:val="20"/>
              </w:rPr>
            </w:pPr>
            <w:r w:rsidRPr="00F34986">
              <w:rPr>
                <w:rFonts w:ascii="Arial Narrow" w:hAnsi="Arial Narrow"/>
                <w:b/>
                <w:sz w:val="20"/>
              </w:rPr>
              <w:t>n/N (%)</w:t>
            </w:r>
          </w:p>
        </w:tc>
        <w:tc>
          <w:tcPr>
            <w:tcW w:w="846" w:type="pct"/>
            <w:vAlign w:val="center"/>
          </w:tcPr>
          <w:p w:rsidR="003A2EA1" w:rsidRPr="00F34986" w:rsidRDefault="003A2EA1" w:rsidP="003A2EA1">
            <w:pPr>
              <w:jc w:val="center"/>
              <w:rPr>
                <w:rFonts w:ascii="Arial Narrow" w:hAnsi="Arial Narrow"/>
                <w:b/>
                <w:sz w:val="20"/>
              </w:rPr>
            </w:pPr>
            <w:r w:rsidRPr="00F34986">
              <w:rPr>
                <w:rFonts w:ascii="Arial Narrow" w:hAnsi="Arial Narrow"/>
                <w:b/>
                <w:sz w:val="20"/>
              </w:rPr>
              <w:t xml:space="preserve">Darunavir 800mg OD+ Ritonavir 100mg OD + Kivexa OD </w:t>
            </w:r>
          </w:p>
          <w:p w:rsidR="003A2EA1" w:rsidRPr="00F34986" w:rsidRDefault="003A2EA1" w:rsidP="003A2EA1">
            <w:pPr>
              <w:jc w:val="center"/>
              <w:rPr>
                <w:rFonts w:ascii="Arial Narrow" w:hAnsi="Arial Narrow"/>
                <w:sz w:val="20"/>
              </w:rPr>
            </w:pPr>
            <w:r w:rsidRPr="00F34986">
              <w:rPr>
                <w:rFonts w:ascii="Arial Narrow" w:hAnsi="Arial Narrow"/>
                <w:b/>
                <w:sz w:val="20"/>
              </w:rPr>
              <w:t>n/N (%)</w:t>
            </w:r>
          </w:p>
        </w:tc>
        <w:tc>
          <w:tcPr>
            <w:tcW w:w="842" w:type="pct"/>
            <w:vAlign w:val="center"/>
          </w:tcPr>
          <w:p w:rsidR="003A2EA1" w:rsidRPr="00F34986" w:rsidRDefault="003A2EA1" w:rsidP="003A2EA1">
            <w:pPr>
              <w:jc w:val="center"/>
              <w:rPr>
                <w:rFonts w:ascii="Arial Narrow" w:hAnsi="Arial Narrow"/>
                <w:b/>
                <w:sz w:val="20"/>
              </w:rPr>
            </w:pPr>
            <w:r w:rsidRPr="00F34986">
              <w:rPr>
                <w:rFonts w:ascii="Arial Narrow" w:hAnsi="Arial Narrow"/>
                <w:b/>
                <w:sz w:val="20"/>
              </w:rPr>
              <w:t>Risk difference, %</w:t>
            </w:r>
          </w:p>
          <w:p w:rsidR="003A2EA1" w:rsidRPr="00F34986" w:rsidRDefault="003A2EA1" w:rsidP="003A2EA1">
            <w:pPr>
              <w:jc w:val="center"/>
              <w:rPr>
                <w:rFonts w:ascii="Arial Narrow" w:hAnsi="Arial Narrow"/>
                <w:b/>
                <w:sz w:val="20"/>
              </w:rPr>
            </w:pPr>
            <w:r w:rsidRPr="00F34986">
              <w:rPr>
                <w:rFonts w:ascii="Arial Narrow" w:hAnsi="Arial Narrow"/>
                <w:b/>
                <w:sz w:val="20"/>
              </w:rPr>
              <w:t>(95% CI)</w:t>
            </w:r>
          </w:p>
        </w:tc>
      </w:tr>
      <w:tr w:rsidR="003A2EA1" w:rsidRPr="00F34986">
        <w:tc>
          <w:tcPr>
            <w:tcW w:w="5000" w:type="pct"/>
            <w:gridSpan w:val="6"/>
            <w:vAlign w:val="center"/>
          </w:tcPr>
          <w:p w:rsidR="003A2EA1" w:rsidRPr="00F34986" w:rsidRDefault="003A2EA1" w:rsidP="003A2EA1">
            <w:pPr>
              <w:jc w:val="left"/>
              <w:rPr>
                <w:rFonts w:ascii="Arial Narrow" w:hAnsi="Arial Narrow"/>
                <w:sz w:val="20"/>
              </w:rPr>
            </w:pPr>
            <w:r w:rsidRPr="00F34986">
              <w:rPr>
                <w:rFonts w:ascii="Arial Narrow" w:hAnsi="Arial Narrow"/>
                <w:sz w:val="20"/>
              </w:rPr>
              <w:t>At 48 weeks</w:t>
            </w:r>
          </w:p>
        </w:tc>
      </w:tr>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sz w:val="20"/>
              </w:rPr>
              <w:t>SPRING-2</w:t>
            </w:r>
          </w:p>
        </w:tc>
        <w:tc>
          <w:tcPr>
            <w:tcW w:w="934"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145/169 (86)</w:t>
            </w:r>
          </w:p>
        </w:tc>
        <w:tc>
          <w:tcPr>
            <w:tcW w:w="850" w:type="pct"/>
          </w:tcPr>
          <w:p w:rsidR="003A2EA1" w:rsidRPr="00F34986" w:rsidRDefault="003A2EA1" w:rsidP="003A2EA1">
            <w:pPr>
              <w:jc w:val="center"/>
              <w:rPr>
                <w:rFonts w:ascii="Arial Narrow" w:hAnsi="Arial Narrow"/>
                <w:sz w:val="20"/>
              </w:rPr>
            </w:pPr>
            <w:r w:rsidRPr="00F34986">
              <w:rPr>
                <w:rFonts w:ascii="Arial Narrow" w:hAnsi="Arial Narrow"/>
                <w:sz w:val="20"/>
              </w:rPr>
              <w:t>142/164 (87)</w:t>
            </w:r>
          </w:p>
        </w:tc>
        <w:tc>
          <w:tcPr>
            <w:tcW w:w="764" w:type="pct"/>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6"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2" w:type="pct"/>
            <w:shd w:val="clear" w:color="auto" w:fill="auto"/>
            <w:vAlign w:val="center"/>
          </w:tcPr>
          <w:p w:rsidR="003A2EA1" w:rsidRPr="00F34986" w:rsidRDefault="003A2EA1" w:rsidP="003A2EA1">
            <w:pPr>
              <w:jc w:val="center"/>
              <w:rPr>
                <w:rFonts w:ascii="Arial Narrow" w:hAnsi="Arial Narrow"/>
                <w:sz w:val="20"/>
              </w:rPr>
            </w:pPr>
            <w:r w:rsidRPr="00F34986">
              <w:rPr>
                <w:rFonts w:ascii="Arial Narrow" w:hAnsi="Arial Narrow"/>
                <w:sz w:val="20"/>
              </w:rPr>
              <w:t>-0.8 (-8.2, 6.6)</w:t>
            </w:r>
          </w:p>
        </w:tc>
      </w:tr>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sz w:val="20"/>
              </w:rPr>
              <w:t>SINGLE</w:t>
            </w:r>
          </w:p>
        </w:tc>
        <w:tc>
          <w:tcPr>
            <w:tcW w:w="934"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364/414 (88)</w:t>
            </w:r>
          </w:p>
        </w:tc>
        <w:tc>
          <w:tcPr>
            <w:tcW w:w="850" w:type="pct"/>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764" w:type="pct"/>
          </w:tcPr>
          <w:p w:rsidR="003A2EA1" w:rsidRPr="00F34986" w:rsidRDefault="003A2EA1" w:rsidP="003A2EA1">
            <w:pPr>
              <w:jc w:val="center"/>
              <w:rPr>
                <w:rFonts w:ascii="Arial Narrow" w:hAnsi="Arial Narrow"/>
                <w:sz w:val="20"/>
              </w:rPr>
            </w:pPr>
            <w:r w:rsidRPr="00F34986">
              <w:rPr>
                <w:rFonts w:ascii="Arial Narrow" w:hAnsi="Arial Narrow"/>
                <w:sz w:val="20"/>
              </w:rPr>
              <w:t>338/419 (81)</w:t>
            </w:r>
          </w:p>
        </w:tc>
        <w:tc>
          <w:tcPr>
            <w:tcW w:w="846"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2" w:type="pct"/>
            <w:shd w:val="clear" w:color="auto" w:fill="auto"/>
            <w:vAlign w:val="center"/>
          </w:tcPr>
          <w:p w:rsidR="003A2EA1" w:rsidRPr="00F34986" w:rsidRDefault="003A2EA1" w:rsidP="003A2EA1">
            <w:pPr>
              <w:jc w:val="center"/>
              <w:rPr>
                <w:rFonts w:ascii="Arial Narrow" w:hAnsi="Arial Narrow"/>
                <w:b/>
                <w:sz w:val="20"/>
              </w:rPr>
            </w:pPr>
            <w:r w:rsidRPr="00F34986">
              <w:rPr>
                <w:rFonts w:ascii="Arial Narrow" w:hAnsi="Arial Narrow"/>
                <w:b/>
                <w:sz w:val="20"/>
              </w:rPr>
              <w:t>7.3 (2.3, 12.2)</w:t>
            </w:r>
          </w:p>
        </w:tc>
      </w:tr>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sz w:val="20"/>
              </w:rPr>
              <w:t>FLAMINGO</w:t>
            </w:r>
          </w:p>
        </w:tc>
        <w:tc>
          <w:tcPr>
            <w:tcW w:w="934" w:type="pct"/>
            <w:vAlign w:val="center"/>
          </w:tcPr>
          <w:p w:rsidR="003A2EA1" w:rsidRPr="002C14D3" w:rsidRDefault="002C14D3" w:rsidP="003A2EA1">
            <w:pPr>
              <w:jc w:val="center"/>
              <w:rPr>
                <w:rFonts w:ascii="Arial Narrow" w:hAnsi="Arial Narrow"/>
                <w:sz w:val="20"/>
                <w:highlight w:val="black"/>
              </w:rPr>
            </w:pPr>
            <w:r>
              <w:rPr>
                <w:rFonts w:ascii="Arial Narrow" w:hAnsi="Arial Narrow"/>
                <w:noProof/>
                <w:color w:val="000000"/>
                <w:sz w:val="20"/>
                <w:highlight w:val="black"/>
              </w:rPr>
              <w:t>'''''''''''''' ''''''''''</w:t>
            </w:r>
          </w:p>
        </w:tc>
        <w:tc>
          <w:tcPr>
            <w:tcW w:w="850" w:type="pct"/>
          </w:tcPr>
          <w:p w:rsidR="003A2EA1" w:rsidRPr="002C14D3" w:rsidRDefault="002C14D3" w:rsidP="003A2EA1">
            <w:pPr>
              <w:jc w:val="center"/>
              <w:rPr>
                <w:rFonts w:ascii="Arial Narrow" w:hAnsi="Arial Narrow"/>
                <w:sz w:val="20"/>
                <w:highlight w:val="black"/>
              </w:rPr>
            </w:pPr>
            <w:r>
              <w:rPr>
                <w:rFonts w:ascii="Arial Narrow" w:hAnsi="Arial Narrow"/>
                <w:noProof/>
                <w:color w:val="000000"/>
                <w:sz w:val="20"/>
                <w:highlight w:val="black"/>
              </w:rPr>
              <w:t>'''''''</w:t>
            </w:r>
          </w:p>
        </w:tc>
        <w:tc>
          <w:tcPr>
            <w:tcW w:w="764" w:type="pct"/>
          </w:tcPr>
          <w:p w:rsidR="003A2EA1" w:rsidRPr="002C14D3" w:rsidRDefault="002C14D3" w:rsidP="003A2EA1">
            <w:pPr>
              <w:jc w:val="center"/>
              <w:rPr>
                <w:rFonts w:ascii="Arial Narrow" w:hAnsi="Arial Narrow"/>
                <w:sz w:val="20"/>
                <w:highlight w:val="black"/>
              </w:rPr>
            </w:pPr>
            <w:r>
              <w:rPr>
                <w:rFonts w:ascii="Arial Narrow" w:hAnsi="Arial Narrow"/>
                <w:noProof/>
                <w:color w:val="000000"/>
                <w:sz w:val="20"/>
                <w:highlight w:val="black"/>
              </w:rPr>
              <w:t>''''''''</w:t>
            </w:r>
          </w:p>
        </w:tc>
        <w:tc>
          <w:tcPr>
            <w:tcW w:w="846" w:type="pct"/>
            <w:vAlign w:val="center"/>
          </w:tcPr>
          <w:p w:rsidR="003A2EA1" w:rsidRPr="002C14D3" w:rsidRDefault="002C14D3" w:rsidP="003A2EA1">
            <w:pPr>
              <w:jc w:val="center"/>
              <w:rPr>
                <w:rFonts w:ascii="Arial Narrow" w:hAnsi="Arial Narrow"/>
                <w:sz w:val="20"/>
                <w:highlight w:val="black"/>
              </w:rPr>
            </w:pPr>
            <w:r>
              <w:rPr>
                <w:rFonts w:ascii="Arial Narrow" w:hAnsi="Arial Narrow"/>
                <w:noProof/>
                <w:color w:val="000000"/>
                <w:sz w:val="20"/>
                <w:highlight w:val="black"/>
              </w:rPr>
              <w:t>''''''''''''''' '''''''''</w:t>
            </w:r>
          </w:p>
        </w:tc>
        <w:tc>
          <w:tcPr>
            <w:tcW w:w="842" w:type="pct"/>
            <w:shd w:val="clear" w:color="auto" w:fill="auto"/>
            <w:vAlign w:val="center"/>
          </w:tcPr>
          <w:p w:rsidR="003A2EA1" w:rsidRPr="002C14D3" w:rsidRDefault="002C14D3" w:rsidP="003A2EA1">
            <w:pPr>
              <w:jc w:val="center"/>
              <w:rPr>
                <w:rFonts w:ascii="Arial Narrow" w:hAnsi="Arial Narrow"/>
                <w:sz w:val="20"/>
                <w:highlight w:val="black"/>
              </w:rPr>
            </w:pPr>
            <w:r>
              <w:rPr>
                <w:rFonts w:ascii="Arial Narrow" w:hAnsi="Arial Narrow"/>
                <w:noProof/>
                <w:color w:val="000000"/>
                <w:sz w:val="20"/>
                <w:highlight w:val="black"/>
              </w:rPr>
              <w:t>'''''''' '''''''''''''' '''''''''''''</w:t>
            </w:r>
          </w:p>
        </w:tc>
      </w:tr>
      <w:tr w:rsidR="003A2EA1" w:rsidRPr="00F34986">
        <w:tc>
          <w:tcPr>
            <w:tcW w:w="5000" w:type="pct"/>
            <w:gridSpan w:val="6"/>
            <w:shd w:val="clear" w:color="auto" w:fill="auto"/>
            <w:vAlign w:val="center"/>
          </w:tcPr>
          <w:p w:rsidR="003A2EA1" w:rsidRPr="00F34986" w:rsidRDefault="003A2EA1" w:rsidP="003A2EA1">
            <w:pPr>
              <w:jc w:val="left"/>
              <w:rPr>
                <w:rFonts w:ascii="Arial Narrow" w:hAnsi="Arial Narrow"/>
                <w:sz w:val="20"/>
              </w:rPr>
            </w:pPr>
            <w:r w:rsidRPr="00F34986">
              <w:rPr>
                <w:rFonts w:ascii="Arial Narrow" w:hAnsi="Arial Narrow"/>
                <w:sz w:val="20"/>
              </w:rPr>
              <w:t>At 96 weeks</w:t>
            </w:r>
          </w:p>
        </w:tc>
      </w:tr>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sz w:val="20"/>
              </w:rPr>
              <w:t>SPRING-2</w:t>
            </w:r>
          </w:p>
        </w:tc>
        <w:tc>
          <w:tcPr>
            <w:tcW w:w="934"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125/169 (74)</w:t>
            </w:r>
          </w:p>
        </w:tc>
        <w:tc>
          <w:tcPr>
            <w:tcW w:w="850" w:type="pct"/>
          </w:tcPr>
          <w:p w:rsidR="003A2EA1" w:rsidRPr="00F34986" w:rsidRDefault="003A2EA1" w:rsidP="003A2EA1">
            <w:pPr>
              <w:jc w:val="center"/>
              <w:rPr>
                <w:rFonts w:ascii="Arial Narrow" w:hAnsi="Arial Narrow"/>
                <w:sz w:val="20"/>
              </w:rPr>
            </w:pPr>
            <w:r w:rsidRPr="00F34986">
              <w:rPr>
                <w:rFonts w:ascii="Arial Narrow" w:hAnsi="Arial Narrow"/>
                <w:sz w:val="20"/>
              </w:rPr>
              <w:t>124/164 (76)</w:t>
            </w:r>
          </w:p>
        </w:tc>
        <w:tc>
          <w:tcPr>
            <w:tcW w:w="764" w:type="pct"/>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6"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2" w:type="pct"/>
            <w:shd w:val="clear" w:color="auto" w:fill="auto"/>
            <w:vAlign w:val="center"/>
          </w:tcPr>
          <w:p w:rsidR="003A2EA1" w:rsidRPr="00F34986" w:rsidRDefault="003A2EA1" w:rsidP="003A2EA1">
            <w:pPr>
              <w:jc w:val="center"/>
              <w:rPr>
                <w:rFonts w:ascii="Arial Narrow" w:hAnsi="Arial Narrow"/>
                <w:sz w:val="20"/>
              </w:rPr>
            </w:pPr>
            <w:r w:rsidRPr="00F34986">
              <w:rPr>
                <w:rFonts w:ascii="Arial Narrow" w:hAnsi="Arial Narrow"/>
                <w:sz w:val="20"/>
              </w:rPr>
              <w:t>-1.6 (-11.0, 7.7)</w:t>
            </w:r>
          </w:p>
        </w:tc>
      </w:tr>
      <w:tr w:rsidR="002B4C74" w:rsidRPr="00F34986">
        <w:tc>
          <w:tcPr>
            <w:tcW w:w="764" w:type="pct"/>
            <w:vAlign w:val="center"/>
          </w:tcPr>
          <w:p w:rsidR="003A2EA1" w:rsidRPr="00F34986" w:rsidRDefault="003A2EA1" w:rsidP="003A2EA1">
            <w:pPr>
              <w:jc w:val="left"/>
              <w:rPr>
                <w:rFonts w:ascii="Arial Narrow" w:hAnsi="Arial Narrow"/>
                <w:sz w:val="20"/>
              </w:rPr>
            </w:pPr>
            <w:r w:rsidRPr="00F34986">
              <w:rPr>
                <w:rFonts w:ascii="Arial Narrow" w:hAnsi="Arial Narrow"/>
                <w:sz w:val="20"/>
              </w:rPr>
              <w:t>SINGLE</w:t>
            </w:r>
          </w:p>
        </w:tc>
        <w:tc>
          <w:tcPr>
            <w:tcW w:w="934"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332/414 (80)</w:t>
            </w:r>
          </w:p>
        </w:tc>
        <w:tc>
          <w:tcPr>
            <w:tcW w:w="850" w:type="pct"/>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764" w:type="pct"/>
          </w:tcPr>
          <w:p w:rsidR="003A2EA1" w:rsidRPr="00F34986" w:rsidRDefault="003A2EA1" w:rsidP="003A2EA1">
            <w:pPr>
              <w:jc w:val="center"/>
              <w:rPr>
                <w:rFonts w:ascii="Arial Narrow" w:hAnsi="Arial Narrow"/>
                <w:sz w:val="20"/>
              </w:rPr>
            </w:pPr>
            <w:r w:rsidRPr="00F34986">
              <w:rPr>
                <w:rFonts w:ascii="Arial Narrow" w:hAnsi="Arial Narrow"/>
                <w:sz w:val="20"/>
              </w:rPr>
              <w:t>303/419 (72)</w:t>
            </w:r>
          </w:p>
        </w:tc>
        <w:tc>
          <w:tcPr>
            <w:tcW w:w="846" w:type="pct"/>
            <w:vAlign w:val="center"/>
          </w:tcPr>
          <w:p w:rsidR="003A2EA1" w:rsidRPr="00F34986" w:rsidRDefault="003A2EA1" w:rsidP="003A2EA1">
            <w:pPr>
              <w:jc w:val="center"/>
              <w:rPr>
                <w:rFonts w:ascii="Arial Narrow" w:hAnsi="Arial Narrow"/>
                <w:sz w:val="20"/>
              </w:rPr>
            </w:pPr>
            <w:r w:rsidRPr="00F34986">
              <w:rPr>
                <w:rFonts w:ascii="Arial Narrow" w:hAnsi="Arial Narrow"/>
                <w:sz w:val="20"/>
              </w:rPr>
              <w:t>NA</w:t>
            </w:r>
          </w:p>
        </w:tc>
        <w:tc>
          <w:tcPr>
            <w:tcW w:w="842" w:type="pct"/>
            <w:shd w:val="clear" w:color="auto" w:fill="auto"/>
            <w:vAlign w:val="center"/>
          </w:tcPr>
          <w:p w:rsidR="003A2EA1" w:rsidRPr="00F34986" w:rsidRDefault="003A2EA1" w:rsidP="003A2EA1">
            <w:pPr>
              <w:jc w:val="center"/>
              <w:rPr>
                <w:rFonts w:ascii="Arial Narrow" w:hAnsi="Arial Narrow"/>
                <w:b/>
                <w:sz w:val="20"/>
              </w:rPr>
            </w:pPr>
            <w:r w:rsidRPr="00F34986">
              <w:rPr>
                <w:rFonts w:ascii="Arial Narrow" w:hAnsi="Arial Narrow"/>
                <w:b/>
                <w:sz w:val="20"/>
              </w:rPr>
              <w:t>7.9 (2.1,13.6)</w:t>
            </w:r>
          </w:p>
        </w:tc>
      </w:tr>
    </w:tbl>
    <w:p w:rsidR="003A2EA1" w:rsidRPr="00F34986" w:rsidRDefault="003A2EA1" w:rsidP="003A2EA1">
      <w:pPr>
        <w:pStyle w:val="PBACHeading1"/>
        <w:numPr>
          <w:ilvl w:val="0"/>
          <w:numId w:val="0"/>
        </w:numPr>
        <w:ind w:left="720"/>
        <w:rPr>
          <w:rFonts w:ascii="Arial Narrow" w:hAnsi="Arial Narrow"/>
          <w:b w:val="0"/>
          <w:sz w:val="20"/>
          <w:szCs w:val="20"/>
        </w:rPr>
      </w:pPr>
      <w:r w:rsidRPr="00F34986">
        <w:rPr>
          <w:rFonts w:ascii="Arial Narrow" w:hAnsi="Arial Narrow"/>
          <w:b w:val="0"/>
          <w:sz w:val="20"/>
          <w:szCs w:val="20"/>
        </w:rPr>
        <w:t>Abbreviations: OD = Once daily</w:t>
      </w:r>
      <w:r w:rsidR="00F2034B" w:rsidRPr="00F34986">
        <w:rPr>
          <w:rFonts w:ascii="Arial Narrow" w:hAnsi="Arial Narrow"/>
          <w:b w:val="0"/>
          <w:sz w:val="20"/>
          <w:szCs w:val="20"/>
        </w:rPr>
        <w:t>;</w:t>
      </w:r>
      <w:r w:rsidRPr="00F34986">
        <w:rPr>
          <w:rFonts w:ascii="Arial Narrow" w:hAnsi="Arial Narrow"/>
          <w:b w:val="0"/>
          <w:sz w:val="20"/>
          <w:szCs w:val="20"/>
        </w:rPr>
        <w:t xml:space="preserve"> BD = Twice daily </w:t>
      </w:r>
    </w:p>
    <w:p w:rsidR="003A2EA1" w:rsidRPr="00F34986" w:rsidRDefault="003A2EA1" w:rsidP="003A2EA1">
      <w:pPr>
        <w:pStyle w:val="PBACHeading1"/>
        <w:numPr>
          <w:ilvl w:val="0"/>
          <w:numId w:val="0"/>
        </w:numPr>
        <w:ind w:left="720"/>
        <w:rPr>
          <w:rFonts w:ascii="Arial Narrow" w:hAnsi="Arial Narrow"/>
          <w:b w:val="0"/>
          <w:sz w:val="20"/>
          <w:szCs w:val="20"/>
        </w:rPr>
      </w:pPr>
      <w:r w:rsidRPr="00F34986">
        <w:rPr>
          <w:rFonts w:ascii="Arial Narrow" w:hAnsi="Arial Narrow"/>
          <w:b w:val="0"/>
          <w:sz w:val="20"/>
          <w:szCs w:val="20"/>
        </w:rPr>
        <w:t xml:space="preserve">Text in bold indicates statistically significant difference. </w:t>
      </w:r>
    </w:p>
    <w:p w:rsidR="003A2EA1" w:rsidRPr="00F34986" w:rsidRDefault="003A2EA1" w:rsidP="003A2EA1">
      <w:pPr>
        <w:pStyle w:val="PBACHeading1"/>
        <w:numPr>
          <w:ilvl w:val="0"/>
          <w:numId w:val="0"/>
        </w:numPr>
        <w:ind w:left="720"/>
        <w:rPr>
          <w:rFonts w:ascii="Arial Narrow" w:hAnsi="Arial Narrow"/>
          <w:b w:val="0"/>
          <w:sz w:val="20"/>
          <w:szCs w:val="20"/>
        </w:rPr>
      </w:pPr>
      <w:r w:rsidRPr="00F34986">
        <w:rPr>
          <w:rFonts w:ascii="Arial Narrow" w:hAnsi="Arial Narrow"/>
          <w:b w:val="0"/>
          <w:sz w:val="20"/>
          <w:szCs w:val="20"/>
        </w:rPr>
        <w:t>Source: Table B.26, p72, Table B.27, p72, Table B.50, p97 of the submission</w:t>
      </w:r>
    </w:p>
    <w:p w:rsidR="007F1017" w:rsidRDefault="007F1017" w:rsidP="007F1017">
      <w:pPr>
        <w:widowControl/>
        <w:rPr>
          <w:rFonts w:ascii="Arial Narrow" w:hAnsi="Arial Narrow"/>
          <w:color w:val="8064A2" w:themeColor="accent4"/>
          <w:sz w:val="20"/>
        </w:rPr>
      </w:pPr>
    </w:p>
    <w:p w:rsidR="00571431" w:rsidRPr="00F34986" w:rsidRDefault="00571431" w:rsidP="00F67C90">
      <w:pPr>
        <w:pStyle w:val="ListParagraph"/>
        <w:widowControl/>
        <w:numPr>
          <w:ilvl w:val="1"/>
          <w:numId w:val="2"/>
        </w:numPr>
        <w:rPr>
          <w:szCs w:val="22"/>
        </w:rPr>
      </w:pPr>
      <w:r w:rsidRPr="00F34986">
        <w:rPr>
          <w:szCs w:val="22"/>
        </w:rPr>
        <w:t xml:space="preserve">The PSCR argued that it is not appropriate to consider the difference between treatment groups </w:t>
      </w:r>
      <w:r w:rsidR="001265B6" w:rsidRPr="00F34986">
        <w:rPr>
          <w:szCs w:val="22"/>
        </w:rPr>
        <w:t xml:space="preserve">in </w:t>
      </w:r>
      <w:r w:rsidRPr="00F34986">
        <w:rPr>
          <w:szCs w:val="22"/>
        </w:rPr>
        <w:t>terms of a clinically relevant magnitude of improvement as the proportion of patients achieving virologic control (i.e. HIV-1 RNA &lt;50</w:t>
      </w:r>
      <w:r w:rsidR="004E77F0" w:rsidRPr="00F34986">
        <w:rPr>
          <w:szCs w:val="22"/>
        </w:rPr>
        <w:t> </w:t>
      </w:r>
      <w:r w:rsidRPr="00F34986">
        <w:rPr>
          <w:szCs w:val="22"/>
        </w:rPr>
        <w:t>copies/mL) between treatment is a binary outcome.  All patients that achieve virologic control derive clinical benefit. Across a cohort of treatment naive patients, a decision to use Triumeq in place of Atripla would result in an increase in the number of patients that achieve virological control and derive clinical benefit.</w:t>
      </w:r>
      <w:r w:rsidR="00F67C90" w:rsidRPr="00F34986">
        <w:rPr>
          <w:szCs w:val="22"/>
        </w:rPr>
        <w:t xml:space="preserve"> </w:t>
      </w:r>
      <w:r w:rsidRPr="00F34986">
        <w:t xml:space="preserve">The ESC </w:t>
      </w:r>
      <w:r w:rsidRPr="00F34986">
        <w:rPr>
          <w:szCs w:val="22"/>
        </w:rPr>
        <w:t xml:space="preserve">considered that </w:t>
      </w:r>
      <w:r w:rsidR="00F67C90" w:rsidRPr="00F34986">
        <w:rPr>
          <w:szCs w:val="22"/>
        </w:rPr>
        <w:t xml:space="preserve">the data suggested that </w:t>
      </w:r>
      <w:r w:rsidRPr="00F34986">
        <w:rPr>
          <w:szCs w:val="22"/>
        </w:rPr>
        <w:t xml:space="preserve">dolutegravir + Kivexa </w:t>
      </w:r>
      <w:r w:rsidR="00F67C90" w:rsidRPr="00F34986">
        <w:rPr>
          <w:szCs w:val="22"/>
        </w:rPr>
        <w:t xml:space="preserve">is statistically superior </w:t>
      </w:r>
      <w:r w:rsidRPr="00F34986">
        <w:rPr>
          <w:szCs w:val="22"/>
        </w:rPr>
        <w:t xml:space="preserve">to Atripla </w:t>
      </w:r>
      <w:r w:rsidR="00F67C90" w:rsidRPr="00F34986">
        <w:rPr>
          <w:szCs w:val="22"/>
        </w:rPr>
        <w:t>for the proportion of patients achieving a viral load of &lt;50 copies/</w:t>
      </w:r>
      <w:r w:rsidR="006E2CE7" w:rsidRPr="00F34986">
        <w:rPr>
          <w:szCs w:val="22"/>
        </w:rPr>
        <w:t xml:space="preserve">mL at 48 and 96 </w:t>
      </w:r>
      <w:r w:rsidR="00D870F8" w:rsidRPr="00F34986">
        <w:rPr>
          <w:szCs w:val="22"/>
        </w:rPr>
        <w:t>weeks</w:t>
      </w:r>
      <w:r w:rsidR="00D84547" w:rsidRPr="00F34986">
        <w:rPr>
          <w:szCs w:val="22"/>
        </w:rPr>
        <w:t>, however clinical superiority for Triumeq FDC over Atripla FDC is not demonstrated from the evidence from SINGLE</w:t>
      </w:r>
      <w:r w:rsidRPr="00F34986">
        <w:rPr>
          <w:szCs w:val="22"/>
        </w:rPr>
        <w:t xml:space="preserve">.     </w:t>
      </w:r>
    </w:p>
    <w:p w:rsidR="00571431" w:rsidRPr="00F34986" w:rsidRDefault="00571431" w:rsidP="007F1017">
      <w:pPr>
        <w:widowControl/>
        <w:rPr>
          <w:rFonts w:ascii="Arial Narrow" w:hAnsi="Arial Narrow"/>
          <w:color w:val="8064A2" w:themeColor="accent4"/>
          <w:sz w:val="20"/>
        </w:rPr>
      </w:pPr>
    </w:p>
    <w:p w:rsidR="00FB3B7E" w:rsidRPr="00F34986" w:rsidRDefault="00D01757" w:rsidP="00FB3B7E">
      <w:pPr>
        <w:pStyle w:val="ListParagraph"/>
        <w:widowControl/>
        <w:numPr>
          <w:ilvl w:val="1"/>
          <w:numId w:val="2"/>
        </w:numPr>
      </w:pPr>
      <w:r w:rsidRPr="00F34986">
        <w:t xml:space="preserve">The ESC noted </w:t>
      </w:r>
      <w:r w:rsidR="00FB3B7E" w:rsidRPr="00F34986">
        <w:t>there is evidence from SPRING-2 which indicates that patients treated with dolutegravir + Truvada (86% with HIV-1 RNA &lt;50c/mL) may have better outcomes at 96 weeks compared to patients treated with dolutegravir + Kivexa (74% with HIV-1 RNA &lt;50c/mL). This consideration is important as any cost savings assumed by the submission are completely dependent on the extent of substitution from patients using dolutegravir + Truvada to Triumeq.</w:t>
      </w:r>
      <w:r w:rsidR="00BB4D59" w:rsidRPr="00F34986">
        <w:rPr>
          <w:szCs w:val="22"/>
        </w:rPr>
        <w:t xml:space="preserve"> </w:t>
      </w:r>
      <w:r w:rsidR="00B0494E" w:rsidRPr="00F34986">
        <w:rPr>
          <w:szCs w:val="22"/>
        </w:rPr>
        <w:t>The PSCR argued that SPRING-2 was designed to demonstrate the non-inferiority of a dolutegravir containing regimen compared with a raltegravir containing regimen (each with two n</w:t>
      </w:r>
      <w:r w:rsidR="009B2F62" w:rsidRPr="00F34986">
        <w:rPr>
          <w:szCs w:val="22"/>
        </w:rPr>
        <w:t xml:space="preserve">ucleoside reverse transcriptase inhibitors) and that it was not powered for formal statistical analyses of the stratification subgroup factors (i.e. </w:t>
      </w:r>
      <w:r w:rsidR="009C7DE6" w:rsidRPr="00F34986">
        <w:rPr>
          <w:szCs w:val="22"/>
        </w:rPr>
        <w:t>nucleoside reverse transcriptase inhibitors</w:t>
      </w:r>
      <w:r w:rsidR="009B2F62" w:rsidRPr="00F34986">
        <w:rPr>
          <w:szCs w:val="22"/>
        </w:rPr>
        <w:t xml:space="preserve"> and viral load).</w:t>
      </w:r>
    </w:p>
    <w:p w:rsidR="00FB3B7E" w:rsidRPr="007F0B8D" w:rsidRDefault="00FB3B7E" w:rsidP="007F1017">
      <w:pPr>
        <w:widowControl/>
        <w:rPr>
          <w:rFonts w:ascii="Arial Narrow" w:hAnsi="Arial Narrow"/>
          <w:color w:val="8064A2" w:themeColor="accent4"/>
          <w:sz w:val="20"/>
        </w:rPr>
      </w:pPr>
    </w:p>
    <w:p w:rsidR="00B60939" w:rsidRPr="003868D1" w:rsidRDefault="00B60939" w:rsidP="007F0B8D">
      <w:pPr>
        <w:keepNext/>
        <w:widowControl/>
        <w:jc w:val="left"/>
        <w:rPr>
          <w:b/>
        </w:rPr>
      </w:pPr>
      <w:bookmarkStart w:id="9" w:name="_Toc398632117"/>
      <w:r w:rsidRPr="003868D1">
        <w:rPr>
          <w:b/>
        </w:rPr>
        <w:t>Comparative harms</w:t>
      </w:r>
      <w:bookmarkEnd w:id="9"/>
    </w:p>
    <w:p w:rsidR="005F78E3" w:rsidRDefault="005F78E3" w:rsidP="005F78E3">
      <w:pPr>
        <w:pStyle w:val="BodyText"/>
      </w:pPr>
    </w:p>
    <w:p w:rsidR="009B34AB" w:rsidRPr="00DB1C5A" w:rsidRDefault="0000621A" w:rsidP="00FA2ADF">
      <w:pPr>
        <w:pStyle w:val="ListParagraph"/>
        <w:widowControl/>
        <w:numPr>
          <w:ilvl w:val="1"/>
          <w:numId w:val="2"/>
        </w:numPr>
      </w:pPr>
      <w:r>
        <w:t>The t</w:t>
      </w:r>
      <w:r w:rsidR="008520D6">
        <w:t>able</w:t>
      </w:r>
      <w:r>
        <w:t xml:space="preserve"> below</w:t>
      </w:r>
      <w:r w:rsidR="008520D6">
        <w:t xml:space="preserve"> </w:t>
      </w:r>
      <w:r w:rsidR="009B34AB" w:rsidRPr="00DB1C5A">
        <w:t xml:space="preserve">summarises the common adverse events in the four clinical trials presented in the submission. No difference in the safety profile of Triumeq compared to dolutegravir + Kivexa is expected or observed. </w:t>
      </w:r>
    </w:p>
    <w:p w:rsidR="009B34AB" w:rsidRPr="00DB1C5A" w:rsidRDefault="009B34AB" w:rsidP="009B34AB"/>
    <w:p w:rsidR="009B34AB" w:rsidRPr="00A52865" w:rsidRDefault="009B34AB" w:rsidP="001526EA">
      <w:pPr>
        <w:keepNext/>
        <w:keepLines/>
        <w:ind w:left="709"/>
        <w:rPr>
          <w:rFonts w:ascii="Arial Narrow" w:hAnsi="Arial Narrow"/>
          <w:b/>
          <w:bCs/>
          <w:sz w:val="20"/>
        </w:rPr>
      </w:pPr>
      <w:r w:rsidRPr="00A52865">
        <w:rPr>
          <w:rFonts w:ascii="Arial Narrow" w:hAnsi="Arial Narrow"/>
          <w:b/>
          <w:bCs/>
          <w:sz w:val="20"/>
        </w:rPr>
        <w:lastRenderedPageBreak/>
        <w:t xml:space="preserve">Comparison of common adverse events in dolutegravir/abacavir/lamivudine treated patients across all trials </w:t>
      </w:r>
    </w:p>
    <w:tbl>
      <w:tblPr>
        <w:tblStyle w:val="TableGrid"/>
        <w:tblW w:w="0" w:type="auto"/>
        <w:tblInd w:w="737" w:type="dxa"/>
        <w:tblCellMar>
          <w:left w:w="28" w:type="dxa"/>
          <w:right w:w="28" w:type="dxa"/>
        </w:tblCellMar>
        <w:tblLook w:val="04A0" w:firstRow="1" w:lastRow="0" w:firstColumn="1" w:lastColumn="0" w:noHBand="0" w:noVBand="1"/>
      </w:tblPr>
      <w:tblGrid>
        <w:gridCol w:w="1675"/>
        <w:gridCol w:w="1333"/>
        <w:gridCol w:w="1334"/>
        <w:gridCol w:w="1333"/>
        <w:gridCol w:w="1334"/>
        <w:gridCol w:w="1334"/>
      </w:tblGrid>
      <w:tr w:rsidR="009B34AB" w:rsidRPr="00A52865">
        <w:tc>
          <w:tcPr>
            <w:tcW w:w="1675" w:type="dxa"/>
            <w:vMerge w:val="restart"/>
            <w:shd w:val="clear" w:color="auto" w:fill="auto"/>
            <w:vAlign w:val="center"/>
          </w:tcPr>
          <w:p w:rsidR="009B34AB" w:rsidRPr="00A52865" w:rsidRDefault="009B34AB" w:rsidP="003B3F02">
            <w:pPr>
              <w:keepNext/>
              <w:jc w:val="left"/>
              <w:rPr>
                <w:rFonts w:ascii="Arial Narrow" w:hAnsi="Arial Narrow"/>
                <w:b/>
                <w:bCs/>
                <w:sz w:val="20"/>
              </w:rPr>
            </w:pPr>
            <w:r w:rsidRPr="00A52865">
              <w:rPr>
                <w:rFonts w:ascii="Arial Narrow" w:hAnsi="Arial Narrow"/>
                <w:b/>
                <w:bCs/>
                <w:sz w:val="20"/>
              </w:rPr>
              <w:t>Adverse event</w:t>
            </w:r>
          </w:p>
        </w:tc>
        <w:tc>
          <w:tcPr>
            <w:tcW w:w="2667" w:type="dxa"/>
            <w:gridSpan w:val="2"/>
            <w:vAlign w:val="center"/>
          </w:tcPr>
          <w:p w:rsidR="009B34AB" w:rsidRDefault="009B34AB" w:rsidP="003B3F02">
            <w:pPr>
              <w:keepNext/>
              <w:jc w:val="center"/>
              <w:rPr>
                <w:rFonts w:ascii="Arial Narrow" w:hAnsi="Arial Narrow"/>
                <w:b/>
                <w:bCs/>
                <w:sz w:val="20"/>
              </w:rPr>
            </w:pPr>
            <w:r w:rsidRPr="00A52865">
              <w:rPr>
                <w:rFonts w:ascii="Arial Narrow" w:hAnsi="Arial Narrow"/>
                <w:b/>
                <w:bCs/>
                <w:sz w:val="20"/>
              </w:rPr>
              <w:t>ING114580</w:t>
            </w:r>
          </w:p>
        </w:tc>
        <w:tc>
          <w:tcPr>
            <w:tcW w:w="4001" w:type="dxa"/>
            <w:gridSpan w:val="3"/>
            <w:shd w:val="clear" w:color="auto" w:fill="auto"/>
            <w:vAlign w:val="center"/>
          </w:tcPr>
          <w:p w:rsidR="009B34AB" w:rsidRPr="00A52865" w:rsidRDefault="009B34AB" w:rsidP="003B3F02">
            <w:pPr>
              <w:keepNext/>
              <w:jc w:val="center"/>
              <w:rPr>
                <w:rFonts w:ascii="Arial Narrow" w:hAnsi="Arial Narrow"/>
                <w:b/>
                <w:bCs/>
                <w:sz w:val="20"/>
              </w:rPr>
            </w:pPr>
            <w:r>
              <w:rPr>
                <w:rFonts w:ascii="Arial Narrow" w:hAnsi="Arial Narrow"/>
                <w:b/>
                <w:bCs/>
                <w:sz w:val="20"/>
              </w:rPr>
              <w:t>Dolutegravir + Kivexa/Truvada</w:t>
            </w:r>
          </w:p>
        </w:tc>
      </w:tr>
      <w:tr w:rsidR="009B34AB" w:rsidRPr="00A52865">
        <w:tc>
          <w:tcPr>
            <w:tcW w:w="1675" w:type="dxa"/>
            <w:vMerge/>
            <w:shd w:val="clear" w:color="auto" w:fill="auto"/>
          </w:tcPr>
          <w:p w:rsidR="009B34AB" w:rsidRPr="00A52865" w:rsidRDefault="009B34AB" w:rsidP="003B3F02">
            <w:pPr>
              <w:keepNext/>
              <w:rPr>
                <w:rFonts w:ascii="Arial Narrow" w:hAnsi="Arial Narrow"/>
                <w:b/>
                <w:bCs/>
                <w:sz w:val="20"/>
              </w:rPr>
            </w:pPr>
          </w:p>
        </w:tc>
        <w:tc>
          <w:tcPr>
            <w:tcW w:w="1333" w:type="dxa"/>
            <w:vAlign w:val="center"/>
          </w:tcPr>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w:t>
            </w:r>
            <w:r>
              <w:rPr>
                <w:rFonts w:ascii="Arial Narrow" w:hAnsi="Arial Narrow"/>
                <w:b/>
                <w:bCs/>
                <w:sz w:val="20"/>
              </w:rPr>
              <w:t xml:space="preserve">Triumeq </w:t>
            </w:r>
            <w:r w:rsidRPr="00A52865">
              <w:rPr>
                <w:rFonts w:ascii="Arial Narrow" w:hAnsi="Arial Narrow"/>
                <w:b/>
                <w:bCs/>
                <w:sz w:val="20"/>
              </w:rPr>
              <w:t>FDC)</w:t>
            </w:r>
          </w:p>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N=65</w:t>
            </w:r>
          </w:p>
          <w:p w:rsidR="009B34AB" w:rsidRPr="00A52865" w:rsidRDefault="009B34AB" w:rsidP="003B3F02">
            <w:pPr>
              <w:keepNext/>
              <w:jc w:val="center"/>
              <w:rPr>
                <w:rFonts w:ascii="Arial Narrow" w:hAnsi="Arial Narrow"/>
                <w:b/>
                <w:bCs/>
                <w:sz w:val="20"/>
              </w:rPr>
            </w:pPr>
            <w:r>
              <w:rPr>
                <w:rFonts w:ascii="Arial Narrow" w:hAnsi="Arial Narrow"/>
                <w:b/>
                <w:bCs/>
                <w:sz w:val="20"/>
              </w:rPr>
              <w:t xml:space="preserve">n </w:t>
            </w:r>
            <w:r w:rsidRPr="00A52865">
              <w:rPr>
                <w:rFonts w:ascii="Arial Narrow" w:hAnsi="Arial Narrow"/>
                <w:b/>
                <w:bCs/>
                <w:sz w:val="20"/>
              </w:rPr>
              <w:t>(%)</w:t>
            </w:r>
          </w:p>
        </w:tc>
        <w:tc>
          <w:tcPr>
            <w:tcW w:w="1334" w:type="dxa"/>
            <w:vAlign w:val="center"/>
          </w:tcPr>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(DTG+Kivexa)</w:t>
            </w:r>
          </w:p>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N=65</w:t>
            </w:r>
          </w:p>
          <w:p w:rsidR="009B34AB" w:rsidRPr="00A52865" w:rsidRDefault="009B34AB" w:rsidP="003B3F02">
            <w:pPr>
              <w:keepNext/>
              <w:jc w:val="center"/>
              <w:rPr>
                <w:rFonts w:ascii="Arial Narrow" w:hAnsi="Arial Narrow"/>
                <w:b/>
                <w:bCs/>
                <w:sz w:val="20"/>
              </w:rPr>
            </w:pPr>
            <w:r>
              <w:rPr>
                <w:rFonts w:ascii="Arial Narrow" w:hAnsi="Arial Narrow"/>
                <w:b/>
                <w:bCs/>
                <w:sz w:val="20"/>
              </w:rPr>
              <w:t xml:space="preserve">n </w:t>
            </w:r>
            <w:r w:rsidRPr="00A52865">
              <w:rPr>
                <w:rFonts w:ascii="Arial Narrow" w:hAnsi="Arial Narrow"/>
                <w:b/>
                <w:bCs/>
                <w:sz w:val="20"/>
              </w:rPr>
              <w:t>(%)</w:t>
            </w:r>
          </w:p>
        </w:tc>
        <w:tc>
          <w:tcPr>
            <w:tcW w:w="1333" w:type="dxa"/>
            <w:shd w:val="clear" w:color="auto" w:fill="auto"/>
            <w:vAlign w:val="center"/>
          </w:tcPr>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SPRING-2</w:t>
            </w:r>
          </w:p>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N=411</w:t>
            </w:r>
          </w:p>
          <w:p w:rsidR="009B34AB" w:rsidRPr="00A52865" w:rsidRDefault="009B34AB" w:rsidP="003B3F02">
            <w:pPr>
              <w:keepNext/>
              <w:jc w:val="center"/>
              <w:rPr>
                <w:rFonts w:ascii="Arial Narrow" w:hAnsi="Arial Narrow"/>
                <w:b/>
                <w:bCs/>
                <w:sz w:val="20"/>
              </w:rPr>
            </w:pPr>
            <w:r>
              <w:rPr>
                <w:rFonts w:ascii="Arial Narrow" w:hAnsi="Arial Narrow"/>
                <w:b/>
                <w:bCs/>
                <w:sz w:val="20"/>
              </w:rPr>
              <w:t xml:space="preserve">n </w:t>
            </w:r>
            <w:r w:rsidRPr="00A52865">
              <w:rPr>
                <w:rFonts w:ascii="Arial Narrow" w:hAnsi="Arial Narrow"/>
                <w:b/>
                <w:bCs/>
                <w:sz w:val="20"/>
              </w:rPr>
              <w:t>(%)</w:t>
            </w:r>
          </w:p>
        </w:tc>
        <w:tc>
          <w:tcPr>
            <w:tcW w:w="1334" w:type="dxa"/>
            <w:shd w:val="clear" w:color="auto" w:fill="auto"/>
            <w:vAlign w:val="center"/>
          </w:tcPr>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SINGLE</w:t>
            </w:r>
          </w:p>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N=414</w:t>
            </w:r>
          </w:p>
          <w:p w:rsidR="009B34AB" w:rsidRPr="00A52865" w:rsidRDefault="009B34AB" w:rsidP="003B3F02">
            <w:pPr>
              <w:keepNext/>
              <w:jc w:val="center"/>
              <w:rPr>
                <w:rFonts w:ascii="Arial Narrow" w:hAnsi="Arial Narrow"/>
                <w:b/>
                <w:bCs/>
                <w:sz w:val="20"/>
              </w:rPr>
            </w:pPr>
            <w:r>
              <w:rPr>
                <w:rFonts w:ascii="Arial Narrow" w:hAnsi="Arial Narrow"/>
                <w:b/>
                <w:bCs/>
                <w:sz w:val="20"/>
              </w:rPr>
              <w:t xml:space="preserve">n </w:t>
            </w:r>
            <w:r w:rsidRPr="00A52865">
              <w:rPr>
                <w:rFonts w:ascii="Arial Narrow" w:hAnsi="Arial Narrow"/>
                <w:b/>
                <w:bCs/>
                <w:sz w:val="20"/>
              </w:rPr>
              <w:t>(%)</w:t>
            </w:r>
          </w:p>
        </w:tc>
        <w:tc>
          <w:tcPr>
            <w:tcW w:w="1334" w:type="dxa"/>
            <w:shd w:val="clear" w:color="auto" w:fill="auto"/>
            <w:vAlign w:val="center"/>
          </w:tcPr>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FLAMINGO</w:t>
            </w:r>
          </w:p>
          <w:p w:rsidR="009B34AB" w:rsidRPr="00A52865" w:rsidRDefault="009B34AB" w:rsidP="003B3F02">
            <w:pPr>
              <w:keepNext/>
              <w:jc w:val="center"/>
              <w:rPr>
                <w:rFonts w:ascii="Arial Narrow" w:hAnsi="Arial Narrow"/>
                <w:b/>
                <w:bCs/>
                <w:sz w:val="20"/>
              </w:rPr>
            </w:pPr>
            <w:r w:rsidRPr="00A52865">
              <w:rPr>
                <w:rFonts w:ascii="Arial Narrow" w:hAnsi="Arial Narrow"/>
                <w:b/>
                <w:bCs/>
                <w:sz w:val="20"/>
              </w:rPr>
              <w:t>N=242</w:t>
            </w:r>
          </w:p>
          <w:p w:rsidR="009B34AB" w:rsidRPr="00A52865" w:rsidRDefault="009B34AB" w:rsidP="003B3F02">
            <w:pPr>
              <w:keepNext/>
              <w:jc w:val="center"/>
              <w:rPr>
                <w:rFonts w:ascii="Arial Narrow" w:hAnsi="Arial Narrow"/>
                <w:b/>
                <w:bCs/>
                <w:sz w:val="20"/>
              </w:rPr>
            </w:pPr>
            <w:r>
              <w:rPr>
                <w:rFonts w:ascii="Arial Narrow" w:hAnsi="Arial Narrow"/>
                <w:b/>
                <w:bCs/>
                <w:sz w:val="20"/>
              </w:rPr>
              <w:t xml:space="preserve">n </w:t>
            </w:r>
            <w:r w:rsidRPr="00A52865">
              <w:rPr>
                <w:rFonts w:ascii="Arial Narrow" w:hAnsi="Arial Narrow"/>
                <w:b/>
                <w:bCs/>
                <w:sz w:val="20"/>
              </w:rPr>
              <w:t>(%)</w:t>
            </w:r>
          </w:p>
        </w:tc>
      </w:tr>
      <w:tr w:rsidR="009B34AB" w:rsidRPr="00A52865">
        <w:tc>
          <w:tcPr>
            <w:tcW w:w="1675" w:type="dxa"/>
          </w:tcPr>
          <w:p w:rsidR="009B34AB" w:rsidRPr="00A52865" w:rsidRDefault="009B34AB" w:rsidP="003B3F02">
            <w:pPr>
              <w:keepNext/>
              <w:rPr>
                <w:rFonts w:ascii="Arial Narrow" w:hAnsi="Arial Narrow"/>
                <w:sz w:val="20"/>
              </w:rPr>
            </w:pPr>
            <w:r w:rsidRPr="00A52865">
              <w:rPr>
                <w:rFonts w:ascii="Arial Narrow" w:hAnsi="Arial Narrow"/>
                <w:sz w:val="20"/>
              </w:rPr>
              <w:t>Diarrhoea</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57 (14)</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84 (20)</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41 (17)</w:t>
            </w:r>
          </w:p>
        </w:tc>
      </w:tr>
      <w:tr w:rsidR="009B34AB" w:rsidRPr="00A52865">
        <w:tc>
          <w:tcPr>
            <w:tcW w:w="1675" w:type="dxa"/>
          </w:tcPr>
          <w:p w:rsidR="009B34AB" w:rsidRPr="00A52865" w:rsidRDefault="009B34AB" w:rsidP="003B3F02">
            <w:pPr>
              <w:keepNext/>
              <w:rPr>
                <w:rFonts w:ascii="Arial Narrow" w:hAnsi="Arial Narrow"/>
                <w:sz w:val="20"/>
              </w:rPr>
            </w:pPr>
            <w:r w:rsidRPr="00A52865">
              <w:rPr>
                <w:rFonts w:ascii="Arial Narrow" w:hAnsi="Arial Narrow"/>
                <w:sz w:val="20"/>
              </w:rPr>
              <w:t>Nausea</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11 (17)</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19 (29)</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60 (15)</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65 (16)</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39 (16)</w:t>
            </w:r>
          </w:p>
        </w:tc>
      </w:tr>
      <w:tr w:rsidR="009B34AB" w:rsidRPr="00A52865">
        <w:tc>
          <w:tcPr>
            <w:tcW w:w="1675" w:type="dxa"/>
          </w:tcPr>
          <w:p w:rsidR="009B34AB" w:rsidRPr="00A52865" w:rsidRDefault="009B34AB" w:rsidP="003B3F02">
            <w:pPr>
              <w:keepNext/>
              <w:rPr>
                <w:rFonts w:ascii="Arial Narrow" w:hAnsi="Arial Narrow"/>
                <w:sz w:val="20"/>
              </w:rPr>
            </w:pPr>
            <w:r w:rsidRPr="00A52865">
              <w:rPr>
                <w:rFonts w:ascii="Arial Narrow" w:hAnsi="Arial Narrow"/>
                <w:sz w:val="20"/>
              </w:rPr>
              <w:t>Headache</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4 (6)</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5 (8)</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56 (14)</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63 (15)</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37 (15)</w:t>
            </w:r>
          </w:p>
        </w:tc>
      </w:tr>
      <w:tr w:rsidR="009B34AB" w:rsidRPr="00A52865">
        <w:tc>
          <w:tcPr>
            <w:tcW w:w="1675" w:type="dxa"/>
          </w:tcPr>
          <w:p w:rsidR="009B34AB" w:rsidRPr="00A52865" w:rsidRDefault="009B34AB" w:rsidP="003B3F02">
            <w:pPr>
              <w:keepNext/>
              <w:rPr>
                <w:rFonts w:ascii="Arial Narrow" w:hAnsi="Arial Narrow"/>
                <w:sz w:val="20"/>
              </w:rPr>
            </w:pPr>
            <w:r w:rsidRPr="00A52865">
              <w:rPr>
                <w:rFonts w:ascii="Arial Narrow" w:hAnsi="Arial Narrow"/>
                <w:sz w:val="20"/>
              </w:rPr>
              <w:t>Nasopharyngitis</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55 (13)</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74 (18)</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22 (9)</w:t>
            </w:r>
          </w:p>
        </w:tc>
      </w:tr>
      <w:tr w:rsidR="009B34AB" w:rsidRPr="00A52865">
        <w:tc>
          <w:tcPr>
            <w:tcW w:w="1675" w:type="dxa"/>
          </w:tcPr>
          <w:p w:rsidR="009B34AB" w:rsidRPr="00A52865" w:rsidRDefault="009B34AB" w:rsidP="003B3F02">
            <w:pPr>
              <w:keepNext/>
              <w:rPr>
                <w:rFonts w:ascii="Arial Narrow" w:hAnsi="Arial Narrow"/>
                <w:sz w:val="20"/>
              </w:rPr>
            </w:pPr>
            <w:r w:rsidRPr="00A52865">
              <w:rPr>
                <w:rFonts w:ascii="Arial Narrow" w:hAnsi="Arial Narrow"/>
                <w:sz w:val="20"/>
              </w:rPr>
              <w:t>Somnolence</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5 (8)</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2 (3)</w:t>
            </w:r>
          </w:p>
        </w:tc>
        <w:tc>
          <w:tcPr>
            <w:tcW w:w="1333"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9 (2)</w:t>
            </w:r>
          </w:p>
        </w:tc>
        <w:tc>
          <w:tcPr>
            <w:tcW w:w="1334" w:type="dxa"/>
            <w:vAlign w:val="center"/>
          </w:tcPr>
          <w:p w:rsidR="009B34AB" w:rsidRPr="00A52865" w:rsidRDefault="009B34AB" w:rsidP="003B3F02">
            <w:pPr>
              <w:keepNext/>
              <w:jc w:val="center"/>
              <w:rPr>
                <w:rFonts w:ascii="Arial Narrow" w:hAnsi="Arial Narrow"/>
                <w:sz w:val="20"/>
              </w:rPr>
            </w:pPr>
            <w:r w:rsidRPr="00A52865">
              <w:rPr>
                <w:rFonts w:ascii="Arial Narrow" w:hAnsi="Arial Narrow"/>
                <w:sz w:val="20"/>
              </w:rPr>
              <w:t>NR</w:t>
            </w:r>
          </w:p>
        </w:tc>
      </w:tr>
    </w:tbl>
    <w:p w:rsidR="009B34AB" w:rsidRPr="00A52865" w:rsidRDefault="009B34AB" w:rsidP="00DB1C5A">
      <w:pPr>
        <w:ind w:firstLine="709"/>
        <w:rPr>
          <w:rFonts w:ascii="Arial Narrow" w:hAnsi="Arial Narrow"/>
          <w:sz w:val="20"/>
        </w:rPr>
      </w:pPr>
      <w:r w:rsidRPr="00A52865">
        <w:rPr>
          <w:rFonts w:ascii="Arial Narrow" w:hAnsi="Arial Narrow"/>
          <w:sz w:val="20"/>
        </w:rPr>
        <w:t>Source: Table B.58, p108 of the submission</w:t>
      </w:r>
    </w:p>
    <w:p w:rsidR="009B34AB" w:rsidRDefault="009B34AB" w:rsidP="009B34AB">
      <w:pPr>
        <w:rPr>
          <w:i/>
          <w:iCs/>
        </w:rPr>
      </w:pPr>
    </w:p>
    <w:p w:rsidR="00B20D52" w:rsidRPr="00F34986" w:rsidRDefault="00E200FE" w:rsidP="00FD3EFB">
      <w:pPr>
        <w:pStyle w:val="ListParagraph"/>
        <w:widowControl/>
        <w:numPr>
          <w:ilvl w:val="1"/>
          <w:numId w:val="2"/>
        </w:numPr>
      </w:pPr>
      <w:r w:rsidRPr="00F34986">
        <w:t>The evaluation stated that a</w:t>
      </w:r>
      <w:r w:rsidR="00B20D52" w:rsidRPr="00F34986">
        <w:t>lthough statistically fewer patients treated with dolutegravir + Kivexa withdrew from treatment</w:t>
      </w:r>
      <w:r w:rsidR="00837158" w:rsidRPr="00F34986">
        <w:t xml:space="preserve"> compared with Atripla</w:t>
      </w:r>
      <w:r w:rsidR="00B20D52" w:rsidRPr="00F34986">
        <w:t>, the rate of withdrawal appears unrelated to the overall adverse event rate for some reported adverse events.</w:t>
      </w:r>
      <w:r w:rsidRPr="00F34986">
        <w:t xml:space="preserve"> The ESC disagreed with the evaluation and considered this is significant</w:t>
      </w:r>
      <w:r w:rsidR="00FD3EFB" w:rsidRPr="00F34986">
        <w:t xml:space="preserve"> and indicative of the apparent favourable side-effects profile of dolutegravir + Kivexa compared with Atripla</w:t>
      </w:r>
      <w:r w:rsidR="00E96362" w:rsidRPr="00F34986">
        <w:t>.</w:t>
      </w:r>
    </w:p>
    <w:p w:rsidR="00E200FE" w:rsidRPr="00D31D4F" w:rsidRDefault="00E200FE" w:rsidP="009B34AB">
      <w:pPr>
        <w:rPr>
          <w:i/>
          <w:iCs/>
        </w:rPr>
      </w:pPr>
    </w:p>
    <w:p w:rsidR="007F1017" w:rsidRPr="001944CD" w:rsidRDefault="007F1017" w:rsidP="001944CD">
      <w:pPr>
        <w:rPr>
          <w:b/>
        </w:rPr>
      </w:pPr>
      <w:bookmarkStart w:id="10" w:name="_Toc398632118"/>
      <w:r w:rsidRPr="001944CD">
        <w:rPr>
          <w:b/>
        </w:rPr>
        <w:t>Benefits/harms</w:t>
      </w:r>
      <w:bookmarkEnd w:id="10"/>
    </w:p>
    <w:p w:rsidR="007F1017" w:rsidRPr="007F1017" w:rsidRDefault="007F1017" w:rsidP="007F1017">
      <w:pPr>
        <w:pStyle w:val="ListParagraph"/>
        <w:ind w:left="0"/>
        <w:rPr>
          <w:szCs w:val="22"/>
        </w:rPr>
      </w:pPr>
    </w:p>
    <w:p w:rsidR="007F1017" w:rsidRPr="00FA2ADF" w:rsidRDefault="009B34AB" w:rsidP="00FA2ADF">
      <w:pPr>
        <w:pStyle w:val="ListParagraph"/>
        <w:widowControl/>
        <w:numPr>
          <w:ilvl w:val="1"/>
          <w:numId w:val="2"/>
        </w:numPr>
        <w:rPr>
          <w:szCs w:val="22"/>
        </w:rPr>
      </w:pPr>
      <w:r w:rsidRPr="00DB1C5A">
        <w:t xml:space="preserve">No clinical evidence </w:t>
      </w:r>
      <w:r w:rsidR="00313619" w:rsidRPr="00DB1C5A">
        <w:t>comparing Triumeq with dolutegravi</w:t>
      </w:r>
      <w:r w:rsidR="007F0B8D">
        <w:t xml:space="preserve">r + Kivexa has been presented. </w:t>
      </w:r>
      <w:r w:rsidR="00FA2ADF">
        <w:t>Clinical trials comparing dolutegravir + Kivexa versus other HIV antiretroviral therapies indicate comparable efficacy and safety.</w:t>
      </w:r>
    </w:p>
    <w:p w:rsidR="001A35D3" w:rsidRPr="00DB1C5A" w:rsidRDefault="001A35D3" w:rsidP="00DB1C5A">
      <w:pPr>
        <w:pStyle w:val="ListParagraph"/>
        <w:widowControl/>
        <w:ind w:left="709"/>
        <w:rPr>
          <w:szCs w:val="22"/>
        </w:rPr>
      </w:pPr>
    </w:p>
    <w:p w:rsidR="00EC00C9" w:rsidRPr="00B50DB8" w:rsidRDefault="00FA2ADF" w:rsidP="00FA2ADF">
      <w:pPr>
        <w:pStyle w:val="ListParagraph"/>
        <w:widowControl/>
        <w:numPr>
          <w:ilvl w:val="1"/>
          <w:numId w:val="2"/>
        </w:numPr>
        <w:rPr>
          <w:szCs w:val="22"/>
        </w:rPr>
      </w:pPr>
      <w:r>
        <w:rPr>
          <w:szCs w:val="22"/>
        </w:rPr>
        <w:t>No information regarding</w:t>
      </w:r>
      <w:r w:rsidR="00EC00C9" w:rsidRPr="00B50DB8">
        <w:rPr>
          <w:szCs w:val="22"/>
        </w:rPr>
        <w:t xml:space="preserve"> the comparative benefits and harms for </w:t>
      </w:r>
      <w:r w:rsidR="00DB1C5A">
        <w:rPr>
          <w:szCs w:val="22"/>
        </w:rPr>
        <w:t>Triumeq</w:t>
      </w:r>
      <w:r w:rsidR="00EC00C9" w:rsidRPr="00B50DB8">
        <w:rPr>
          <w:szCs w:val="22"/>
        </w:rPr>
        <w:t xml:space="preserve"> versus </w:t>
      </w:r>
      <w:r w:rsidR="00DB1C5A">
        <w:rPr>
          <w:szCs w:val="22"/>
        </w:rPr>
        <w:t>dolutegravir + Kivexa</w:t>
      </w:r>
      <w:r w:rsidR="00EC00C9" w:rsidRPr="00B50DB8">
        <w:rPr>
          <w:szCs w:val="22"/>
        </w:rPr>
        <w:t xml:space="preserve"> </w:t>
      </w:r>
      <w:r>
        <w:rPr>
          <w:szCs w:val="22"/>
        </w:rPr>
        <w:t>is available</w:t>
      </w:r>
      <w:r w:rsidR="00EC00C9" w:rsidRPr="00B50DB8">
        <w:rPr>
          <w:szCs w:val="22"/>
        </w:rPr>
        <w:t>.</w:t>
      </w:r>
      <w:r w:rsidR="007F0B8D">
        <w:rPr>
          <w:szCs w:val="22"/>
        </w:rPr>
        <w:t xml:space="preserve"> </w:t>
      </w:r>
      <w:r>
        <w:rPr>
          <w:szCs w:val="22"/>
        </w:rPr>
        <w:t xml:space="preserve">However, the pharmacokinetic profiles </w:t>
      </w:r>
      <w:r w:rsidR="00E505B7">
        <w:rPr>
          <w:szCs w:val="22"/>
        </w:rPr>
        <w:t xml:space="preserve">appear </w:t>
      </w:r>
      <w:r>
        <w:rPr>
          <w:szCs w:val="22"/>
        </w:rPr>
        <w:t>comparable and n</w:t>
      </w:r>
      <w:r w:rsidRPr="00FA2ADF">
        <w:rPr>
          <w:szCs w:val="22"/>
        </w:rPr>
        <w:t>o difference in the safety profile of Triumeq compared to dolutegravir + Kivexa is expected or observed</w:t>
      </w:r>
      <w:r w:rsidR="00903D4B">
        <w:rPr>
          <w:szCs w:val="22"/>
        </w:rPr>
        <w:t>.</w:t>
      </w:r>
    </w:p>
    <w:p w:rsidR="00162913" w:rsidRDefault="00162913" w:rsidP="004B1CB4"/>
    <w:p w:rsidR="00FC1884" w:rsidRPr="008B26D8" w:rsidRDefault="00FA2ADF" w:rsidP="00FA2ADF">
      <w:pPr>
        <w:pStyle w:val="ListParagraph"/>
        <w:widowControl/>
        <w:numPr>
          <w:ilvl w:val="1"/>
          <w:numId w:val="2"/>
        </w:numPr>
        <w:rPr>
          <w:szCs w:val="22"/>
        </w:rPr>
      </w:pPr>
      <w:r>
        <w:t xml:space="preserve">On the basis of </w:t>
      </w:r>
      <w:r w:rsidR="00EC00C9" w:rsidRPr="00CF6EE4">
        <w:t>direct</w:t>
      </w:r>
      <w:r>
        <w:t xml:space="preserve"> pharmacokinetic trial</w:t>
      </w:r>
      <w:r w:rsidR="00EC00C9" w:rsidRPr="00CF6EE4">
        <w:t xml:space="preserve"> evidence presented by the submission, </w:t>
      </w:r>
      <w:r>
        <w:t>no differences in the efficacy and safety between Triumeq and dolutegravir + Kivexa are assumed.</w:t>
      </w:r>
    </w:p>
    <w:p w:rsidR="008B26D8" w:rsidRPr="008B26D8" w:rsidRDefault="008B26D8" w:rsidP="008B26D8">
      <w:pPr>
        <w:pStyle w:val="ListParagraph"/>
        <w:rPr>
          <w:szCs w:val="22"/>
        </w:rPr>
      </w:pPr>
    </w:p>
    <w:p w:rsidR="008B26D8" w:rsidRPr="00F34986" w:rsidRDefault="008B26D8" w:rsidP="00FA2ADF">
      <w:pPr>
        <w:pStyle w:val="ListParagraph"/>
        <w:widowControl/>
        <w:numPr>
          <w:ilvl w:val="1"/>
          <w:numId w:val="2"/>
        </w:numPr>
        <w:rPr>
          <w:szCs w:val="22"/>
        </w:rPr>
      </w:pPr>
      <w:r w:rsidRPr="00F34986">
        <w:rPr>
          <w:szCs w:val="22"/>
        </w:rPr>
        <w:t xml:space="preserve">The ESC noted that if the PBAC viewed that Triumeq should be compared against Atripla, the </w:t>
      </w:r>
      <w:r w:rsidR="00E96362" w:rsidRPr="00F34986">
        <w:rPr>
          <w:szCs w:val="22"/>
        </w:rPr>
        <w:t xml:space="preserve">following </w:t>
      </w:r>
      <w:r w:rsidRPr="00F34986">
        <w:rPr>
          <w:szCs w:val="22"/>
        </w:rPr>
        <w:t>comparative benefits and harms (</w:t>
      </w:r>
      <w:r w:rsidR="002939FE" w:rsidRPr="00F34986">
        <w:rPr>
          <w:szCs w:val="22"/>
        </w:rPr>
        <w:t xml:space="preserve">provided in </w:t>
      </w:r>
      <w:r w:rsidR="0000621A">
        <w:rPr>
          <w:szCs w:val="22"/>
        </w:rPr>
        <w:t xml:space="preserve">the </w:t>
      </w:r>
      <w:r w:rsidR="00DC52BE">
        <w:rPr>
          <w:szCs w:val="22"/>
        </w:rPr>
        <w:t xml:space="preserve">following </w:t>
      </w:r>
      <w:r w:rsidR="0000621A">
        <w:rPr>
          <w:szCs w:val="22"/>
        </w:rPr>
        <w:t>table</w:t>
      </w:r>
      <w:r w:rsidRPr="00F34986">
        <w:rPr>
          <w:szCs w:val="22"/>
        </w:rPr>
        <w:t>) should be considered.</w:t>
      </w:r>
    </w:p>
    <w:p w:rsidR="008B26D8" w:rsidRPr="008B26D8" w:rsidRDefault="008B26D8" w:rsidP="008B26D8">
      <w:pPr>
        <w:widowControl/>
        <w:rPr>
          <w:szCs w:val="22"/>
        </w:rPr>
      </w:pPr>
    </w:p>
    <w:p w:rsidR="008B26D8" w:rsidRPr="00F34986" w:rsidRDefault="008B26D8" w:rsidP="0000621A">
      <w:pPr>
        <w:pStyle w:val="PBACHeading1"/>
        <w:keepNext/>
        <w:numPr>
          <w:ilvl w:val="0"/>
          <w:numId w:val="0"/>
        </w:numPr>
        <w:ind w:left="720"/>
        <w:rPr>
          <w:rFonts w:ascii="Arial Narrow" w:hAnsi="Arial Narrow"/>
          <w:sz w:val="20"/>
          <w:szCs w:val="20"/>
        </w:rPr>
      </w:pPr>
      <w:r w:rsidRPr="00F34986">
        <w:rPr>
          <w:rFonts w:ascii="Arial Narrow" w:hAnsi="Arial Narrow"/>
          <w:sz w:val="20"/>
          <w:szCs w:val="20"/>
        </w:rPr>
        <w:lastRenderedPageBreak/>
        <w:t>Summary of comparative benefits and harms for dolutegravir + Kivexa and Atripla</w:t>
      </w:r>
    </w:p>
    <w:tbl>
      <w:tblPr>
        <w:tblStyle w:val="TableGrid"/>
        <w:tblW w:w="4700" w:type="pct"/>
        <w:tblInd w:w="698" w:type="dxa"/>
        <w:tblLayout w:type="fixed"/>
        <w:tblCellMar>
          <w:left w:w="28" w:type="dxa"/>
          <w:right w:w="28" w:type="dxa"/>
        </w:tblCellMar>
        <w:tblLook w:val="04A0" w:firstRow="1" w:lastRow="0" w:firstColumn="1" w:lastColumn="0" w:noHBand="0" w:noVBand="1"/>
      </w:tblPr>
      <w:tblGrid>
        <w:gridCol w:w="1158"/>
        <w:gridCol w:w="10"/>
        <w:gridCol w:w="9"/>
        <w:gridCol w:w="1134"/>
        <w:gridCol w:w="9"/>
        <w:gridCol w:w="1407"/>
        <w:gridCol w:w="1462"/>
        <w:gridCol w:w="1084"/>
        <w:gridCol w:w="56"/>
        <w:gridCol w:w="955"/>
        <w:gridCol w:w="67"/>
        <w:gridCol w:w="1187"/>
      </w:tblGrid>
      <w:tr w:rsidR="008B26D8" w:rsidRPr="00F34986" w:rsidTr="00DC52BE">
        <w:trPr>
          <w:trHeight w:val="150"/>
        </w:trPr>
        <w:tc>
          <w:tcPr>
            <w:tcW w:w="679" w:type="pct"/>
            <w:vMerge w:val="restart"/>
            <w:shd w:val="clear" w:color="auto" w:fill="auto"/>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Trial</w:t>
            </w:r>
          </w:p>
        </w:tc>
        <w:tc>
          <w:tcPr>
            <w:tcW w:w="675" w:type="pct"/>
            <w:gridSpan w:val="3"/>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Dolutegravir 50mg OD + Kivexa OD</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n/N</w:t>
            </w:r>
          </w:p>
        </w:tc>
        <w:tc>
          <w:tcPr>
            <w:tcW w:w="829" w:type="pct"/>
            <w:gridSpan w:val="2"/>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Atripla</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n/N</w:t>
            </w:r>
          </w:p>
        </w:tc>
        <w:tc>
          <w:tcPr>
            <w:tcW w:w="856" w:type="pct"/>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RR</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(95% CI)</w:t>
            </w:r>
          </w:p>
        </w:tc>
        <w:tc>
          <w:tcPr>
            <w:tcW w:w="1227" w:type="pct"/>
            <w:gridSpan w:val="3"/>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Event rate/100 patients*</w:t>
            </w:r>
          </w:p>
        </w:tc>
        <w:tc>
          <w:tcPr>
            <w:tcW w:w="734" w:type="pct"/>
            <w:gridSpan w:val="2"/>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RD</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(95% CI)</w:t>
            </w:r>
          </w:p>
        </w:tc>
      </w:tr>
      <w:tr w:rsidR="008B26D8" w:rsidRPr="00F34986" w:rsidTr="00DC52BE">
        <w:trPr>
          <w:trHeight w:val="315"/>
        </w:trPr>
        <w:tc>
          <w:tcPr>
            <w:tcW w:w="679" w:type="pct"/>
            <w:vMerge/>
            <w:shd w:val="clear" w:color="auto" w:fill="auto"/>
            <w:vAlign w:val="center"/>
          </w:tcPr>
          <w:p w:rsidR="008B26D8" w:rsidRPr="00F34986" w:rsidRDefault="008B26D8" w:rsidP="008B26D8">
            <w:pPr>
              <w:keepNext/>
              <w:jc w:val="center"/>
              <w:rPr>
                <w:rFonts w:ascii="Arial Narrow" w:hAnsi="Arial Narrow"/>
                <w:b/>
                <w:color w:val="000000"/>
                <w:sz w:val="20"/>
              </w:rPr>
            </w:pPr>
          </w:p>
        </w:tc>
        <w:tc>
          <w:tcPr>
            <w:tcW w:w="675" w:type="pct"/>
            <w:gridSpan w:val="3"/>
            <w:vMerge/>
            <w:vAlign w:val="center"/>
          </w:tcPr>
          <w:p w:rsidR="008B26D8" w:rsidRPr="00F34986" w:rsidRDefault="008B26D8" w:rsidP="008B26D8">
            <w:pPr>
              <w:keepNext/>
              <w:jc w:val="center"/>
              <w:rPr>
                <w:rFonts w:ascii="Arial Narrow" w:hAnsi="Arial Narrow"/>
                <w:b/>
                <w:color w:val="000000"/>
                <w:sz w:val="20"/>
              </w:rPr>
            </w:pPr>
          </w:p>
        </w:tc>
        <w:tc>
          <w:tcPr>
            <w:tcW w:w="829" w:type="pct"/>
            <w:gridSpan w:val="2"/>
            <w:vMerge/>
            <w:vAlign w:val="center"/>
          </w:tcPr>
          <w:p w:rsidR="008B26D8" w:rsidRPr="00F34986" w:rsidRDefault="008B26D8" w:rsidP="008B26D8">
            <w:pPr>
              <w:keepNext/>
              <w:jc w:val="center"/>
              <w:rPr>
                <w:rFonts w:ascii="Arial Narrow" w:hAnsi="Arial Narrow"/>
                <w:b/>
                <w:color w:val="000000"/>
                <w:sz w:val="20"/>
              </w:rPr>
            </w:pPr>
          </w:p>
        </w:tc>
        <w:tc>
          <w:tcPr>
            <w:tcW w:w="856" w:type="pct"/>
            <w:vMerge/>
            <w:vAlign w:val="center"/>
          </w:tcPr>
          <w:p w:rsidR="008B26D8" w:rsidRPr="00F34986" w:rsidRDefault="008B26D8" w:rsidP="008B26D8">
            <w:pPr>
              <w:keepNext/>
              <w:jc w:val="center"/>
              <w:rPr>
                <w:rFonts w:ascii="Arial Narrow" w:hAnsi="Arial Narrow"/>
                <w:b/>
                <w:color w:val="000000"/>
                <w:sz w:val="20"/>
              </w:rPr>
            </w:pPr>
          </w:p>
        </w:tc>
        <w:tc>
          <w:tcPr>
            <w:tcW w:w="635" w:type="pc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Dolutegravir 50mg OD + Kivexa OD</w:t>
            </w:r>
          </w:p>
          <w:p w:rsidR="008B26D8" w:rsidRPr="00F34986" w:rsidRDefault="008B26D8" w:rsidP="008B26D8">
            <w:pPr>
              <w:keepNext/>
              <w:jc w:val="center"/>
              <w:rPr>
                <w:rFonts w:ascii="Arial Narrow" w:hAnsi="Arial Narrow"/>
                <w:b/>
                <w:color w:val="000000"/>
                <w:sz w:val="20"/>
              </w:rPr>
            </w:pPr>
          </w:p>
        </w:tc>
        <w:tc>
          <w:tcPr>
            <w:tcW w:w="592" w:type="pct"/>
            <w:gridSpan w:val="2"/>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Atripla</w:t>
            </w:r>
          </w:p>
          <w:p w:rsidR="008B26D8" w:rsidRPr="00F34986" w:rsidRDefault="008B26D8" w:rsidP="008B26D8">
            <w:pPr>
              <w:keepNext/>
              <w:jc w:val="center"/>
              <w:rPr>
                <w:rFonts w:ascii="Arial Narrow" w:hAnsi="Arial Narrow"/>
                <w:b/>
                <w:color w:val="000000"/>
                <w:sz w:val="20"/>
              </w:rPr>
            </w:pPr>
          </w:p>
        </w:tc>
        <w:tc>
          <w:tcPr>
            <w:tcW w:w="734" w:type="pct"/>
            <w:gridSpan w:val="2"/>
            <w:vMerge/>
            <w:vAlign w:val="center"/>
          </w:tcPr>
          <w:p w:rsidR="008B26D8" w:rsidRPr="00F34986" w:rsidRDefault="008B26D8" w:rsidP="008B26D8">
            <w:pPr>
              <w:keepNext/>
              <w:jc w:val="center"/>
              <w:rPr>
                <w:rFonts w:ascii="Arial Narrow" w:hAnsi="Arial Narrow"/>
                <w:b/>
                <w:color w:val="000000"/>
                <w:sz w:val="20"/>
              </w:rPr>
            </w:pPr>
          </w:p>
        </w:tc>
      </w:tr>
      <w:tr w:rsidR="008B26D8" w:rsidRPr="00F34986">
        <w:tc>
          <w:tcPr>
            <w:tcW w:w="5000" w:type="pct"/>
            <w:gridSpan w:val="12"/>
            <w:shd w:val="clear" w:color="auto" w:fill="auto"/>
          </w:tcPr>
          <w:p w:rsidR="008B26D8" w:rsidRPr="00F34986" w:rsidRDefault="008B26D8" w:rsidP="008B26D8">
            <w:pPr>
              <w:keepNext/>
              <w:jc w:val="left"/>
              <w:rPr>
                <w:rFonts w:ascii="Arial Narrow" w:hAnsi="Arial Narrow"/>
                <w:b/>
                <w:color w:val="000000"/>
                <w:sz w:val="20"/>
              </w:rPr>
            </w:pPr>
            <w:r w:rsidRPr="00F34986">
              <w:rPr>
                <w:rFonts w:ascii="Arial Narrow" w:hAnsi="Arial Narrow"/>
                <w:b/>
                <w:color w:val="000000"/>
                <w:sz w:val="20"/>
              </w:rPr>
              <w:t>Benefits</w:t>
            </w:r>
          </w:p>
        </w:tc>
      </w:tr>
      <w:tr w:rsidR="008B26D8" w:rsidRPr="00F34986">
        <w:tc>
          <w:tcPr>
            <w:tcW w:w="5000" w:type="pct"/>
            <w:gridSpan w:val="12"/>
            <w:shd w:val="clear" w:color="auto" w:fill="auto"/>
            <w:vAlign w:val="center"/>
          </w:tcPr>
          <w:p w:rsidR="008B26D8" w:rsidRPr="00F34986" w:rsidRDefault="008B26D8" w:rsidP="008B26D8">
            <w:pPr>
              <w:keepNext/>
              <w:jc w:val="left"/>
              <w:rPr>
                <w:rFonts w:ascii="Arial Narrow" w:hAnsi="Arial Narrow"/>
                <w:b/>
                <w:color w:val="000000"/>
                <w:sz w:val="20"/>
              </w:rPr>
            </w:pPr>
            <w:r w:rsidRPr="00F34986">
              <w:rPr>
                <w:rFonts w:ascii="Arial Narrow" w:hAnsi="Arial Narrow"/>
                <w:b/>
                <w:color w:val="000000"/>
                <w:sz w:val="20"/>
              </w:rPr>
              <w:t>Proportion of patients with HIV RNA level of less than 50 copies/mL at 48 weeks</w:t>
            </w:r>
          </w:p>
        </w:tc>
      </w:tr>
      <w:tr w:rsidR="008B26D8" w:rsidRPr="00F34986" w:rsidTr="00DC52BE">
        <w:tc>
          <w:tcPr>
            <w:tcW w:w="679" w:type="pct"/>
            <w:shd w:val="clear" w:color="auto" w:fill="auto"/>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SINGLE</w:t>
            </w:r>
          </w:p>
        </w:tc>
        <w:tc>
          <w:tcPr>
            <w:tcW w:w="675"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364/414</w:t>
            </w:r>
          </w:p>
        </w:tc>
        <w:tc>
          <w:tcPr>
            <w:tcW w:w="829"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338/419</w:t>
            </w:r>
          </w:p>
        </w:tc>
        <w:tc>
          <w:tcPr>
            <w:tcW w:w="856" w:type="pct"/>
            <w:vAlign w:val="center"/>
          </w:tcPr>
          <w:p w:rsidR="006F237D" w:rsidRPr="00F34986" w:rsidRDefault="006F237D" w:rsidP="008B26D8">
            <w:pPr>
              <w:keepNext/>
              <w:jc w:val="center"/>
              <w:rPr>
                <w:rFonts w:ascii="Arial Narrow" w:hAnsi="Arial Narrow"/>
                <w:color w:val="000000"/>
                <w:sz w:val="20"/>
              </w:rPr>
            </w:pPr>
            <w:r>
              <w:rPr>
                <w:rFonts w:ascii="Arial Narrow" w:hAnsi="Arial Narrow"/>
                <w:color w:val="000000"/>
                <w:sz w:val="20"/>
              </w:rPr>
              <w:t>1.09 (1.03, 1.16)</w:t>
            </w:r>
          </w:p>
        </w:tc>
        <w:tc>
          <w:tcPr>
            <w:tcW w:w="635"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88</w:t>
            </w:r>
          </w:p>
        </w:tc>
        <w:tc>
          <w:tcPr>
            <w:tcW w:w="592"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81</w:t>
            </w:r>
          </w:p>
        </w:tc>
        <w:tc>
          <w:tcPr>
            <w:tcW w:w="734"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7.3 (2.3, 12.2)</w:t>
            </w:r>
          </w:p>
        </w:tc>
      </w:tr>
      <w:tr w:rsidR="008B26D8" w:rsidRPr="00F34986">
        <w:tc>
          <w:tcPr>
            <w:tcW w:w="5000" w:type="pct"/>
            <w:gridSpan w:val="12"/>
            <w:shd w:val="clear" w:color="auto" w:fill="auto"/>
            <w:vAlign w:val="center"/>
          </w:tcPr>
          <w:p w:rsidR="008B26D8" w:rsidRPr="00F34986" w:rsidRDefault="008B26D8" w:rsidP="008B26D8">
            <w:pPr>
              <w:keepNext/>
              <w:jc w:val="left"/>
              <w:rPr>
                <w:rFonts w:ascii="Arial Narrow" w:hAnsi="Arial Narrow"/>
                <w:color w:val="000000"/>
                <w:sz w:val="20"/>
              </w:rPr>
            </w:pPr>
            <w:r w:rsidRPr="00F34986">
              <w:rPr>
                <w:rFonts w:ascii="Arial Narrow" w:hAnsi="Arial Narrow"/>
                <w:b/>
                <w:color w:val="000000"/>
                <w:sz w:val="20"/>
              </w:rPr>
              <w:t>Proportion of patients with HIV RNA level of less than 50 copies/mL at 96 weeks</w:t>
            </w:r>
          </w:p>
        </w:tc>
      </w:tr>
      <w:tr w:rsidR="008B26D8" w:rsidRPr="00F34986" w:rsidTr="00DC52BE">
        <w:tc>
          <w:tcPr>
            <w:tcW w:w="679" w:type="pct"/>
            <w:shd w:val="clear" w:color="auto" w:fill="auto"/>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SINGLE</w:t>
            </w:r>
          </w:p>
        </w:tc>
        <w:tc>
          <w:tcPr>
            <w:tcW w:w="675"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332/414</w:t>
            </w:r>
          </w:p>
        </w:tc>
        <w:tc>
          <w:tcPr>
            <w:tcW w:w="829"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303/419</w:t>
            </w:r>
          </w:p>
        </w:tc>
        <w:tc>
          <w:tcPr>
            <w:tcW w:w="856" w:type="pct"/>
            <w:vAlign w:val="center"/>
          </w:tcPr>
          <w:p w:rsidR="008B26D8" w:rsidRPr="00F34986" w:rsidRDefault="006F237D" w:rsidP="008B26D8">
            <w:pPr>
              <w:keepNext/>
              <w:jc w:val="center"/>
              <w:rPr>
                <w:rFonts w:ascii="Arial Narrow" w:hAnsi="Arial Narrow"/>
                <w:color w:val="000000"/>
                <w:sz w:val="20"/>
              </w:rPr>
            </w:pPr>
            <w:r>
              <w:rPr>
                <w:rFonts w:ascii="Arial Narrow" w:hAnsi="Arial Narrow"/>
                <w:color w:val="000000"/>
                <w:sz w:val="20"/>
              </w:rPr>
              <w:t xml:space="preserve"> 1.11 (1.03, 1.20)</w:t>
            </w:r>
          </w:p>
        </w:tc>
        <w:tc>
          <w:tcPr>
            <w:tcW w:w="635"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80</w:t>
            </w:r>
          </w:p>
        </w:tc>
        <w:tc>
          <w:tcPr>
            <w:tcW w:w="631"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72</w:t>
            </w:r>
          </w:p>
        </w:tc>
        <w:tc>
          <w:tcPr>
            <w:tcW w:w="695"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7.9 (2.1, 13.6)</w:t>
            </w:r>
          </w:p>
        </w:tc>
      </w:tr>
      <w:tr w:rsidR="008B26D8" w:rsidRPr="00F34986">
        <w:tc>
          <w:tcPr>
            <w:tcW w:w="5000" w:type="pct"/>
            <w:gridSpan w:val="12"/>
            <w:tcBorders>
              <w:top w:val="double" w:sz="4" w:space="0" w:color="auto"/>
            </w:tcBorders>
            <w:shd w:val="clear" w:color="auto" w:fill="auto"/>
            <w:vAlign w:val="center"/>
          </w:tcPr>
          <w:p w:rsidR="008B26D8" w:rsidRPr="00F34986" w:rsidRDefault="008B26D8" w:rsidP="008B26D8">
            <w:pPr>
              <w:keepNext/>
              <w:rPr>
                <w:rFonts w:ascii="Arial Narrow" w:hAnsi="Arial Narrow"/>
                <w:b/>
                <w:color w:val="000000"/>
                <w:sz w:val="20"/>
              </w:rPr>
            </w:pPr>
            <w:r w:rsidRPr="00F34986">
              <w:rPr>
                <w:rFonts w:ascii="Arial Narrow" w:hAnsi="Arial Narrow"/>
                <w:b/>
                <w:color w:val="000000"/>
                <w:sz w:val="20"/>
              </w:rPr>
              <w:t>Harms^</w:t>
            </w:r>
          </w:p>
        </w:tc>
      </w:tr>
      <w:tr w:rsidR="008B26D8" w:rsidRPr="00F34986" w:rsidTr="00DC52BE">
        <w:trPr>
          <w:trHeight w:val="70"/>
        </w:trPr>
        <w:tc>
          <w:tcPr>
            <w:tcW w:w="685" w:type="pct"/>
            <w:gridSpan w:val="2"/>
            <w:vMerge w:val="restart"/>
            <w:shd w:val="clear" w:color="auto" w:fill="auto"/>
            <w:vAlign w:val="center"/>
          </w:tcPr>
          <w:p w:rsidR="008B26D8" w:rsidRPr="00F34986" w:rsidRDefault="00DC52BE" w:rsidP="008B26D8">
            <w:pPr>
              <w:keepNext/>
              <w:jc w:val="center"/>
              <w:rPr>
                <w:rFonts w:ascii="Arial Narrow" w:hAnsi="Arial Narrow"/>
                <w:b/>
                <w:color w:val="000000"/>
                <w:sz w:val="20"/>
              </w:rPr>
            </w:pPr>
            <w:r>
              <w:rPr>
                <w:rFonts w:ascii="Arial Narrow" w:hAnsi="Arial Narrow"/>
                <w:b/>
                <w:color w:val="000000"/>
                <w:sz w:val="20"/>
              </w:rPr>
              <w:t>Adverse events reported in SINGLE</w:t>
            </w:r>
          </w:p>
        </w:tc>
        <w:tc>
          <w:tcPr>
            <w:tcW w:w="669" w:type="pct"/>
            <w:gridSpan w:val="2"/>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Dolutegravir 50mg OD + Kivexa OD</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n/N</w:t>
            </w:r>
          </w:p>
        </w:tc>
        <w:tc>
          <w:tcPr>
            <w:tcW w:w="829" w:type="pct"/>
            <w:gridSpan w:val="2"/>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Atripla</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n/N</w:t>
            </w:r>
          </w:p>
        </w:tc>
        <w:tc>
          <w:tcPr>
            <w:tcW w:w="856" w:type="pct"/>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RR</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(95% CI)</w:t>
            </w:r>
          </w:p>
        </w:tc>
        <w:tc>
          <w:tcPr>
            <w:tcW w:w="1227" w:type="pct"/>
            <w:gridSpan w:val="3"/>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Event rate/100 patients*</w:t>
            </w:r>
          </w:p>
        </w:tc>
        <w:tc>
          <w:tcPr>
            <w:tcW w:w="734" w:type="pct"/>
            <w:gridSpan w:val="2"/>
            <w:vMerge w:val="restar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RD</w:t>
            </w:r>
          </w:p>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(95% CI)</w:t>
            </w:r>
          </w:p>
        </w:tc>
      </w:tr>
      <w:tr w:rsidR="008B26D8" w:rsidRPr="00F34986" w:rsidTr="00DC52BE">
        <w:trPr>
          <w:trHeight w:val="810"/>
        </w:trPr>
        <w:tc>
          <w:tcPr>
            <w:tcW w:w="685" w:type="pct"/>
            <w:gridSpan w:val="2"/>
            <w:vMerge/>
            <w:shd w:val="clear" w:color="auto" w:fill="auto"/>
            <w:vAlign w:val="center"/>
          </w:tcPr>
          <w:p w:rsidR="008B26D8" w:rsidRPr="00F34986" w:rsidRDefault="008B26D8" w:rsidP="008B26D8">
            <w:pPr>
              <w:keepNext/>
              <w:jc w:val="center"/>
              <w:rPr>
                <w:rFonts w:ascii="Arial Narrow" w:hAnsi="Arial Narrow"/>
                <w:b/>
                <w:color w:val="000000"/>
                <w:sz w:val="20"/>
              </w:rPr>
            </w:pPr>
          </w:p>
        </w:tc>
        <w:tc>
          <w:tcPr>
            <w:tcW w:w="669" w:type="pct"/>
            <w:gridSpan w:val="2"/>
            <w:vMerge/>
            <w:vAlign w:val="center"/>
          </w:tcPr>
          <w:p w:rsidR="008B26D8" w:rsidRPr="00F34986" w:rsidRDefault="008B26D8" w:rsidP="008B26D8">
            <w:pPr>
              <w:keepNext/>
              <w:jc w:val="center"/>
              <w:rPr>
                <w:rFonts w:ascii="Arial Narrow" w:hAnsi="Arial Narrow"/>
                <w:b/>
                <w:color w:val="000000"/>
                <w:sz w:val="20"/>
              </w:rPr>
            </w:pPr>
          </w:p>
        </w:tc>
        <w:tc>
          <w:tcPr>
            <w:tcW w:w="829" w:type="pct"/>
            <w:gridSpan w:val="2"/>
            <w:vMerge/>
            <w:vAlign w:val="center"/>
          </w:tcPr>
          <w:p w:rsidR="008B26D8" w:rsidRPr="00F34986" w:rsidRDefault="008B26D8" w:rsidP="008B26D8">
            <w:pPr>
              <w:keepNext/>
              <w:jc w:val="center"/>
              <w:rPr>
                <w:rFonts w:ascii="Arial Narrow" w:hAnsi="Arial Narrow"/>
                <w:b/>
                <w:color w:val="000000"/>
                <w:sz w:val="20"/>
              </w:rPr>
            </w:pPr>
          </w:p>
        </w:tc>
        <w:tc>
          <w:tcPr>
            <w:tcW w:w="856" w:type="pct"/>
            <w:vMerge/>
            <w:vAlign w:val="center"/>
          </w:tcPr>
          <w:p w:rsidR="008B26D8" w:rsidRPr="00F34986" w:rsidRDefault="008B26D8" w:rsidP="008B26D8">
            <w:pPr>
              <w:keepNext/>
              <w:jc w:val="center"/>
              <w:rPr>
                <w:rFonts w:ascii="Arial Narrow" w:hAnsi="Arial Narrow"/>
                <w:b/>
                <w:color w:val="000000"/>
                <w:sz w:val="20"/>
              </w:rPr>
            </w:pPr>
          </w:p>
        </w:tc>
        <w:tc>
          <w:tcPr>
            <w:tcW w:w="668" w:type="pct"/>
            <w:gridSpan w:val="2"/>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Dolutegravir 50mg OD + Kivexa OD</w:t>
            </w:r>
          </w:p>
          <w:p w:rsidR="008B26D8" w:rsidRPr="00F34986" w:rsidRDefault="008B26D8" w:rsidP="008B26D8">
            <w:pPr>
              <w:keepNext/>
              <w:jc w:val="center"/>
              <w:rPr>
                <w:rFonts w:ascii="Arial Narrow" w:hAnsi="Arial Narrow"/>
                <w:b/>
                <w:color w:val="000000"/>
                <w:sz w:val="20"/>
              </w:rPr>
            </w:pPr>
          </w:p>
        </w:tc>
        <w:tc>
          <w:tcPr>
            <w:tcW w:w="559" w:type="pct"/>
            <w:vAlign w:val="center"/>
          </w:tcPr>
          <w:p w:rsidR="008B26D8" w:rsidRPr="00F34986" w:rsidRDefault="008B26D8" w:rsidP="008B26D8">
            <w:pPr>
              <w:keepNext/>
              <w:jc w:val="center"/>
              <w:rPr>
                <w:rFonts w:ascii="Arial Narrow" w:hAnsi="Arial Narrow"/>
                <w:b/>
                <w:color w:val="000000"/>
                <w:sz w:val="20"/>
              </w:rPr>
            </w:pPr>
            <w:r w:rsidRPr="00F34986">
              <w:rPr>
                <w:rFonts w:ascii="Arial Narrow" w:hAnsi="Arial Narrow"/>
                <w:b/>
                <w:color w:val="000000"/>
                <w:sz w:val="20"/>
              </w:rPr>
              <w:t>Atripla</w:t>
            </w:r>
          </w:p>
          <w:p w:rsidR="008B26D8" w:rsidRPr="00F34986" w:rsidRDefault="008B26D8" w:rsidP="008B26D8">
            <w:pPr>
              <w:keepNext/>
              <w:jc w:val="center"/>
              <w:rPr>
                <w:rFonts w:ascii="Arial Narrow" w:hAnsi="Arial Narrow"/>
                <w:b/>
                <w:color w:val="000000"/>
                <w:sz w:val="20"/>
              </w:rPr>
            </w:pPr>
          </w:p>
        </w:tc>
        <w:tc>
          <w:tcPr>
            <w:tcW w:w="734" w:type="pct"/>
            <w:gridSpan w:val="2"/>
            <w:vMerge/>
            <w:vAlign w:val="center"/>
          </w:tcPr>
          <w:p w:rsidR="008B26D8" w:rsidRPr="00F34986" w:rsidRDefault="008B26D8" w:rsidP="008B26D8">
            <w:pPr>
              <w:keepNext/>
              <w:jc w:val="center"/>
              <w:rPr>
                <w:rFonts w:ascii="Arial Narrow" w:hAnsi="Arial Narrow"/>
                <w:b/>
                <w:color w:val="000000"/>
                <w:sz w:val="20"/>
              </w:rPr>
            </w:pPr>
          </w:p>
        </w:tc>
      </w:tr>
      <w:tr w:rsidR="008B26D8" w:rsidRPr="00F34986" w:rsidTr="00DC52BE">
        <w:tc>
          <w:tcPr>
            <w:tcW w:w="690" w:type="pct"/>
            <w:gridSpan w:val="3"/>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Abnormal dreams</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31/414</w:t>
            </w:r>
          </w:p>
        </w:tc>
        <w:tc>
          <w:tcPr>
            <w:tcW w:w="824"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73/419</w:t>
            </w:r>
          </w:p>
        </w:tc>
        <w:tc>
          <w:tcPr>
            <w:tcW w:w="856"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0.43 (0.29, 0.64)</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7</w:t>
            </w:r>
          </w:p>
        </w:tc>
        <w:tc>
          <w:tcPr>
            <w:tcW w:w="559"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17</w:t>
            </w:r>
          </w:p>
        </w:tc>
        <w:tc>
          <w:tcPr>
            <w:tcW w:w="734" w:type="pct"/>
            <w:gridSpan w:val="2"/>
            <w:vAlign w:val="center"/>
          </w:tcPr>
          <w:p w:rsidR="008B26D8" w:rsidRPr="00F34986" w:rsidRDefault="006F237D" w:rsidP="002D279C">
            <w:pPr>
              <w:keepNext/>
              <w:jc w:val="center"/>
              <w:rPr>
                <w:rFonts w:ascii="Arial Narrow" w:hAnsi="Arial Narrow"/>
                <w:color w:val="000000"/>
                <w:sz w:val="20"/>
              </w:rPr>
            </w:pPr>
            <w:r>
              <w:rPr>
                <w:rFonts w:ascii="Arial Narrow" w:hAnsi="Arial Narrow"/>
                <w:color w:val="000000"/>
                <w:sz w:val="20"/>
              </w:rPr>
              <w:t>-10 (-</w:t>
            </w:r>
            <w:r w:rsidR="002D279C">
              <w:rPr>
                <w:rFonts w:ascii="Arial Narrow" w:hAnsi="Arial Narrow"/>
                <w:color w:val="000000"/>
                <w:sz w:val="20"/>
              </w:rPr>
              <w:t>13</w:t>
            </w:r>
            <w:r>
              <w:rPr>
                <w:rFonts w:ascii="Arial Narrow" w:hAnsi="Arial Narrow"/>
                <w:color w:val="000000"/>
                <w:sz w:val="20"/>
              </w:rPr>
              <w:t>, -</w:t>
            </w:r>
            <w:r w:rsidR="002D279C">
              <w:rPr>
                <w:rFonts w:ascii="Arial Narrow" w:hAnsi="Arial Narrow"/>
                <w:color w:val="000000"/>
                <w:sz w:val="20"/>
              </w:rPr>
              <w:t>7</w:t>
            </w:r>
            <w:r>
              <w:rPr>
                <w:rFonts w:ascii="Arial Narrow" w:hAnsi="Arial Narrow"/>
                <w:color w:val="000000"/>
                <w:sz w:val="20"/>
              </w:rPr>
              <w:t>)</w:t>
            </w:r>
          </w:p>
        </w:tc>
      </w:tr>
      <w:tr w:rsidR="008B26D8" w:rsidRPr="00F34986" w:rsidTr="00DC52BE">
        <w:tc>
          <w:tcPr>
            <w:tcW w:w="690" w:type="pct"/>
            <w:gridSpan w:val="3"/>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Insomnia</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69/414</w:t>
            </w:r>
          </w:p>
        </w:tc>
        <w:tc>
          <w:tcPr>
            <w:tcW w:w="824"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46/419</w:t>
            </w:r>
          </w:p>
        </w:tc>
        <w:tc>
          <w:tcPr>
            <w:tcW w:w="856"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1.52 (1.07, 2.15)</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17</w:t>
            </w:r>
          </w:p>
        </w:tc>
        <w:tc>
          <w:tcPr>
            <w:tcW w:w="559"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11</w:t>
            </w:r>
          </w:p>
        </w:tc>
        <w:tc>
          <w:tcPr>
            <w:tcW w:w="734" w:type="pct"/>
            <w:gridSpan w:val="2"/>
          </w:tcPr>
          <w:p w:rsidR="002D279C" w:rsidRPr="00F34986" w:rsidRDefault="002D279C" w:rsidP="008B26D8">
            <w:pPr>
              <w:keepNext/>
              <w:jc w:val="center"/>
              <w:rPr>
                <w:rFonts w:ascii="Arial Narrow" w:hAnsi="Arial Narrow"/>
                <w:color w:val="000000"/>
                <w:sz w:val="20"/>
              </w:rPr>
            </w:pPr>
            <w:r>
              <w:rPr>
                <w:rFonts w:ascii="Arial Narrow" w:hAnsi="Arial Narrow"/>
                <w:color w:val="000000"/>
                <w:sz w:val="20"/>
              </w:rPr>
              <w:t>6 (2, 9)</w:t>
            </w:r>
          </w:p>
        </w:tc>
      </w:tr>
      <w:tr w:rsidR="008B26D8" w:rsidRPr="00F34986" w:rsidTr="00DC52BE">
        <w:tc>
          <w:tcPr>
            <w:tcW w:w="685" w:type="pct"/>
            <w:gridSpan w:val="2"/>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Dizziness</w:t>
            </w:r>
          </w:p>
        </w:tc>
        <w:tc>
          <w:tcPr>
            <w:tcW w:w="674"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40/414</w:t>
            </w:r>
          </w:p>
        </w:tc>
        <w:tc>
          <w:tcPr>
            <w:tcW w:w="824"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153/419</w:t>
            </w:r>
          </w:p>
        </w:tc>
        <w:tc>
          <w:tcPr>
            <w:tcW w:w="856"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0.26 (0.19, 0.36)</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10</w:t>
            </w:r>
          </w:p>
        </w:tc>
        <w:tc>
          <w:tcPr>
            <w:tcW w:w="559"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37</w:t>
            </w:r>
          </w:p>
        </w:tc>
        <w:tc>
          <w:tcPr>
            <w:tcW w:w="734" w:type="pct"/>
            <w:gridSpan w:val="2"/>
          </w:tcPr>
          <w:p w:rsidR="002D279C" w:rsidRPr="00F34986" w:rsidRDefault="002D279C" w:rsidP="002D279C">
            <w:pPr>
              <w:keepNext/>
              <w:jc w:val="center"/>
              <w:rPr>
                <w:rFonts w:ascii="Arial Narrow" w:hAnsi="Arial Narrow"/>
                <w:color w:val="000000"/>
                <w:sz w:val="20"/>
              </w:rPr>
            </w:pPr>
            <w:r>
              <w:rPr>
                <w:rFonts w:ascii="Arial Narrow" w:hAnsi="Arial Narrow"/>
                <w:color w:val="000000"/>
                <w:sz w:val="20"/>
              </w:rPr>
              <w:t>-27 (-30, -24)</w:t>
            </w:r>
          </w:p>
        </w:tc>
      </w:tr>
      <w:tr w:rsidR="008B26D8" w:rsidRPr="00F34986" w:rsidTr="00DC52BE">
        <w:tc>
          <w:tcPr>
            <w:tcW w:w="685" w:type="pct"/>
            <w:gridSpan w:val="2"/>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Somnolence</w:t>
            </w:r>
          </w:p>
        </w:tc>
        <w:tc>
          <w:tcPr>
            <w:tcW w:w="674"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9/414</w:t>
            </w:r>
          </w:p>
        </w:tc>
        <w:tc>
          <w:tcPr>
            <w:tcW w:w="824"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24/419</w:t>
            </w:r>
          </w:p>
        </w:tc>
        <w:tc>
          <w:tcPr>
            <w:tcW w:w="856"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0.38 (0.18, 0.81)</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2</w:t>
            </w:r>
          </w:p>
        </w:tc>
        <w:tc>
          <w:tcPr>
            <w:tcW w:w="559"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6</w:t>
            </w:r>
          </w:p>
        </w:tc>
        <w:tc>
          <w:tcPr>
            <w:tcW w:w="734" w:type="pct"/>
            <w:gridSpan w:val="2"/>
          </w:tcPr>
          <w:p w:rsidR="002D279C" w:rsidRPr="00F34986" w:rsidRDefault="002D279C" w:rsidP="008B26D8">
            <w:pPr>
              <w:keepNext/>
              <w:jc w:val="center"/>
              <w:rPr>
                <w:rFonts w:ascii="Arial Narrow" w:hAnsi="Arial Narrow"/>
                <w:color w:val="000000"/>
                <w:sz w:val="20"/>
              </w:rPr>
            </w:pPr>
            <w:r>
              <w:rPr>
                <w:rFonts w:ascii="Arial Narrow" w:hAnsi="Arial Narrow"/>
                <w:color w:val="000000"/>
                <w:sz w:val="20"/>
              </w:rPr>
              <w:t>-4 (-5, -2)</w:t>
            </w:r>
          </w:p>
        </w:tc>
      </w:tr>
      <w:tr w:rsidR="008B26D8" w:rsidRPr="00F34986" w:rsidTr="00DC52BE">
        <w:tc>
          <w:tcPr>
            <w:tcW w:w="685" w:type="pct"/>
            <w:gridSpan w:val="2"/>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Rash</w:t>
            </w:r>
          </w:p>
        </w:tc>
        <w:tc>
          <w:tcPr>
            <w:tcW w:w="674" w:type="pct"/>
            <w:gridSpan w:val="3"/>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19/414</w:t>
            </w:r>
          </w:p>
        </w:tc>
        <w:tc>
          <w:tcPr>
            <w:tcW w:w="824"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60/419</w:t>
            </w:r>
          </w:p>
        </w:tc>
        <w:tc>
          <w:tcPr>
            <w:tcW w:w="856"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0.32 (0.19, 0.53)</w:t>
            </w:r>
          </w:p>
        </w:tc>
        <w:tc>
          <w:tcPr>
            <w:tcW w:w="668" w:type="pct"/>
            <w:gridSpan w:val="2"/>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5</w:t>
            </w:r>
          </w:p>
        </w:tc>
        <w:tc>
          <w:tcPr>
            <w:tcW w:w="559" w:type="pct"/>
            <w:vAlign w:val="center"/>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14</w:t>
            </w:r>
          </w:p>
        </w:tc>
        <w:tc>
          <w:tcPr>
            <w:tcW w:w="734" w:type="pct"/>
            <w:gridSpan w:val="2"/>
          </w:tcPr>
          <w:p w:rsidR="002D279C" w:rsidRPr="00F34986" w:rsidRDefault="002D279C" w:rsidP="008B26D8">
            <w:pPr>
              <w:keepNext/>
              <w:jc w:val="center"/>
              <w:rPr>
                <w:rFonts w:ascii="Arial Narrow" w:hAnsi="Arial Narrow"/>
                <w:color w:val="000000"/>
                <w:sz w:val="20"/>
              </w:rPr>
            </w:pPr>
            <w:r>
              <w:rPr>
                <w:rFonts w:ascii="Arial Narrow" w:hAnsi="Arial Narrow"/>
                <w:color w:val="000000"/>
                <w:sz w:val="20"/>
              </w:rPr>
              <w:t>-10 (-12, -8)</w:t>
            </w:r>
          </w:p>
        </w:tc>
      </w:tr>
      <w:tr w:rsidR="008B26D8" w:rsidRPr="00F34986" w:rsidTr="00DC52BE">
        <w:tc>
          <w:tcPr>
            <w:tcW w:w="685" w:type="pct"/>
            <w:gridSpan w:val="2"/>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Influenza</w:t>
            </w:r>
          </w:p>
        </w:tc>
        <w:tc>
          <w:tcPr>
            <w:tcW w:w="674" w:type="pct"/>
            <w:gridSpan w:val="3"/>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824"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856"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 '''''''''''''''''''''''''</w:t>
            </w:r>
          </w:p>
        </w:tc>
        <w:tc>
          <w:tcPr>
            <w:tcW w:w="668" w:type="pct"/>
            <w:gridSpan w:val="2"/>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59"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4" w:type="pct"/>
            <w:gridSpan w:val="2"/>
          </w:tcPr>
          <w:p w:rsidR="002D279C"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 ''''''' '''''</w:t>
            </w:r>
          </w:p>
        </w:tc>
      </w:tr>
      <w:tr w:rsidR="008B26D8" w:rsidRPr="00F34986" w:rsidTr="00DC52BE">
        <w:tc>
          <w:tcPr>
            <w:tcW w:w="685" w:type="pct"/>
            <w:gridSpan w:val="2"/>
            <w:shd w:val="clear" w:color="auto" w:fill="auto"/>
          </w:tcPr>
          <w:p w:rsidR="008B26D8" w:rsidRPr="00F34986" w:rsidRDefault="008B26D8" w:rsidP="008B26D8">
            <w:pPr>
              <w:keepNext/>
              <w:jc w:val="center"/>
              <w:rPr>
                <w:rFonts w:ascii="Arial Narrow" w:hAnsi="Arial Narrow"/>
                <w:color w:val="000000"/>
                <w:sz w:val="20"/>
              </w:rPr>
            </w:pPr>
            <w:r w:rsidRPr="00F34986">
              <w:rPr>
                <w:rFonts w:ascii="Arial Narrow" w:hAnsi="Arial Narrow"/>
                <w:color w:val="000000"/>
                <w:sz w:val="20"/>
              </w:rPr>
              <w:t>Pain in extremity</w:t>
            </w:r>
          </w:p>
        </w:tc>
        <w:tc>
          <w:tcPr>
            <w:tcW w:w="674" w:type="pct"/>
            <w:gridSpan w:val="3"/>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824"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856"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 '''''''''''''''''''''''''''</w:t>
            </w:r>
          </w:p>
        </w:tc>
        <w:tc>
          <w:tcPr>
            <w:tcW w:w="668" w:type="pct"/>
            <w:gridSpan w:val="2"/>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59" w:type="pct"/>
            <w:vAlign w:val="center"/>
          </w:tcPr>
          <w:p w:rsidR="008B26D8"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4" w:type="pct"/>
            <w:gridSpan w:val="2"/>
            <w:vAlign w:val="center"/>
          </w:tcPr>
          <w:p w:rsidR="002D279C" w:rsidRPr="002C14D3" w:rsidRDefault="002C14D3" w:rsidP="008B26D8">
            <w:pPr>
              <w:keepNext/>
              <w:jc w:val="center"/>
              <w:rPr>
                <w:rFonts w:ascii="Arial Narrow" w:hAnsi="Arial Narrow"/>
                <w:color w:val="000000"/>
                <w:sz w:val="20"/>
                <w:highlight w:val="black"/>
              </w:rPr>
            </w:pPr>
            <w:r>
              <w:rPr>
                <w:rFonts w:ascii="Arial Narrow" w:hAnsi="Arial Narrow"/>
                <w:noProof/>
                <w:color w:val="000000"/>
                <w:sz w:val="20"/>
                <w:highlight w:val="black"/>
              </w:rPr>
              <w:t>''' '''''' ''''''</w:t>
            </w:r>
          </w:p>
        </w:tc>
      </w:tr>
    </w:tbl>
    <w:p w:rsidR="008B26D8" w:rsidRPr="00F34986" w:rsidRDefault="008B26D8" w:rsidP="008B26D8">
      <w:pPr>
        <w:pStyle w:val="TableFooter"/>
        <w:keepNext/>
        <w:ind w:left="720"/>
      </w:pPr>
      <w:r w:rsidRPr="00F34986">
        <w:t>* Mean (SD) duration of treatment in SINGLE: 606.3 (1</w:t>
      </w:r>
      <w:r w:rsidR="002939FE" w:rsidRPr="00F34986">
        <w:t>70.63 days) for dolutegravir + K</w:t>
      </w:r>
      <w:r w:rsidRPr="00F34986">
        <w:t>ivexa, 554.4 (221.46) days for Atripla</w:t>
      </w:r>
    </w:p>
    <w:p w:rsidR="008B26D8" w:rsidRPr="00F34986" w:rsidRDefault="008B26D8" w:rsidP="005D4BE9">
      <w:pPr>
        <w:pStyle w:val="TableFooter"/>
        <w:ind w:left="720"/>
      </w:pPr>
      <w:r w:rsidRPr="00F34986">
        <w:t>^Only statistically significant differences are shown. Abbreviations: RD = risk difference; RR = risk ratio</w:t>
      </w:r>
    </w:p>
    <w:p w:rsidR="008B26D8" w:rsidRPr="00F34986" w:rsidRDefault="008B26D8" w:rsidP="008B26D8">
      <w:pPr>
        <w:pStyle w:val="TableFooter"/>
        <w:ind w:firstLine="720"/>
      </w:pPr>
      <w:r w:rsidRPr="00F34986">
        <w:t>Source: Compiled during the evaluation</w:t>
      </w:r>
    </w:p>
    <w:p w:rsidR="008B26D8" w:rsidRPr="00F34986" w:rsidRDefault="008B26D8" w:rsidP="008B26D8">
      <w:pPr>
        <w:pStyle w:val="TableFooter"/>
        <w:ind w:firstLine="720"/>
      </w:pPr>
    </w:p>
    <w:p w:rsidR="008B26D8" w:rsidRPr="00F34986" w:rsidRDefault="008B26D8" w:rsidP="008B26D8">
      <w:pPr>
        <w:pStyle w:val="ListParagraph"/>
        <w:widowControl/>
        <w:numPr>
          <w:ilvl w:val="1"/>
          <w:numId w:val="2"/>
        </w:numPr>
        <w:rPr>
          <w:szCs w:val="22"/>
        </w:rPr>
      </w:pPr>
      <w:r w:rsidRPr="00F34986">
        <w:t xml:space="preserve">On the basis of direct evidence presented by the submission, for every 100 patients treated with dolutegravir plus </w:t>
      </w:r>
      <w:r w:rsidR="00461877">
        <w:t>Kivexa in comparison to Atripla:</w:t>
      </w:r>
    </w:p>
    <w:p w:rsidR="008B26D8" w:rsidRPr="00F34986" w:rsidRDefault="008B26D8" w:rsidP="00447DC9">
      <w:pPr>
        <w:pStyle w:val="ListParagraph"/>
        <w:widowControl/>
        <w:numPr>
          <w:ilvl w:val="0"/>
          <w:numId w:val="1"/>
        </w:numPr>
        <w:ind w:left="993" w:hanging="284"/>
      </w:pPr>
      <w:r w:rsidRPr="00F34986">
        <w:t xml:space="preserve">Approximately 7 additional patients would </w:t>
      </w:r>
      <w:r w:rsidR="005D4BE9">
        <w:t>have HIV RNA level less</w:t>
      </w:r>
      <w:r w:rsidR="0096509A">
        <w:t xml:space="preserve"> </w:t>
      </w:r>
      <w:r w:rsidR="00DF78CC" w:rsidRPr="00F34986">
        <w:t>than 50 </w:t>
      </w:r>
      <w:r w:rsidRPr="00F34986">
        <w:t>copies/mL over a m</w:t>
      </w:r>
      <w:r w:rsidR="00287ABA" w:rsidRPr="00F34986">
        <w:t>aximum duration of follow-up of</w:t>
      </w:r>
      <w:r w:rsidRPr="00F34986">
        <w:t xml:space="preserve"> 48 weeks.</w:t>
      </w:r>
    </w:p>
    <w:p w:rsidR="008B26D8" w:rsidRPr="00F34986" w:rsidRDefault="008B26D8" w:rsidP="00447DC9">
      <w:pPr>
        <w:pStyle w:val="ListParagraph"/>
        <w:widowControl/>
        <w:numPr>
          <w:ilvl w:val="0"/>
          <w:numId w:val="1"/>
        </w:numPr>
        <w:ind w:left="993" w:hanging="284"/>
      </w:pPr>
      <w:r w:rsidRPr="00F34986">
        <w:t>Approximately 10 fewer patients would have abnormal dreams over a ma</w:t>
      </w:r>
      <w:r w:rsidR="00287ABA" w:rsidRPr="00F34986">
        <w:t xml:space="preserve">ximum duration of follow-up of </w:t>
      </w:r>
      <w:r w:rsidRPr="00F34986">
        <w:t>96 weeks.</w:t>
      </w:r>
    </w:p>
    <w:p w:rsidR="008B26D8" w:rsidRPr="00F34986" w:rsidRDefault="008B26D8" w:rsidP="00447DC9">
      <w:pPr>
        <w:pStyle w:val="ListParagraph"/>
        <w:widowControl/>
        <w:numPr>
          <w:ilvl w:val="0"/>
          <w:numId w:val="1"/>
        </w:numPr>
        <w:ind w:left="993" w:hanging="284"/>
        <w:rPr>
          <w:szCs w:val="22"/>
        </w:rPr>
      </w:pPr>
      <w:r w:rsidRPr="00F34986">
        <w:t>Approximately 6 additional patients would have insomnia over a maximum duration o</w:t>
      </w:r>
      <w:r w:rsidR="00287ABA" w:rsidRPr="00F34986">
        <w:t>f follow-up of</w:t>
      </w:r>
      <w:r w:rsidRPr="00F34986">
        <w:t xml:space="preserve"> 96 weeks.</w:t>
      </w:r>
    </w:p>
    <w:p w:rsidR="008B26D8" w:rsidRPr="00F34986" w:rsidRDefault="008B26D8" w:rsidP="00447DC9">
      <w:pPr>
        <w:pStyle w:val="ListParagraph"/>
        <w:widowControl/>
        <w:numPr>
          <w:ilvl w:val="0"/>
          <w:numId w:val="1"/>
        </w:numPr>
        <w:ind w:left="993" w:hanging="284"/>
        <w:rPr>
          <w:szCs w:val="22"/>
        </w:rPr>
      </w:pPr>
      <w:r w:rsidRPr="00F34986">
        <w:t xml:space="preserve">Approximately 27 fewer patients would have dizziness over a maximum duration of follow-up </w:t>
      </w:r>
      <w:r w:rsidR="00287ABA" w:rsidRPr="00F34986">
        <w:t>of 96</w:t>
      </w:r>
      <w:r w:rsidRPr="00F34986">
        <w:t xml:space="preserve"> weeks. </w:t>
      </w:r>
    </w:p>
    <w:p w:rsidR="008B26D8" w:rsidRPr="00F34986" w:rsidRDefault="008B26D8" w:rsidP="00447DC9">
      <w:pPr>
        <w:pStyle w:val="ListParagraph"/>
        <w:widowControl/>
        <w:numPr>
          <w:ilvl w:val="0"/>
          <w:numId w:val="1"/>
        </w:numPr>
        <w:ind w:left="993" w:hanging="284"/>
        <w:rPr>
          <w:szCs w:val="22"/>
        </w:rPr>
      </w:pPr>
      <w:r w:rsidRPr="00F34986">
        <w:t>Approximately 4 fewer patients would have somnolence over a m</w:t>
      </w:r>
      <w:r w:rsidR="00287ABA" w:rsidRPr="00F34986">
        <w:t>aximum duration of follow-up of</w:t>
      </w:r>
      <w:r w:rsidRPr="00F34986">
        <w:t xml:space="preserve"> 96 weeks.</w:t>
      </w:r>
    </w:p>
    <w:p w:rsidR="008B26D8" w:rsidRPr="00F34986" w:rsidRDefault="008B26D8" w:rsidP="00447DC9">
      <w:pPr>
        <w:pStyle w:val="ListParagraph"/>
        <w:widowControl/>
        <w:numPr>
          <w:ilvl w:val="0"/>
          <w:numId w:val="1"/>
        </w:numPr>
        <w:ind w:left="993" w:hanging="284"/>
        <w:rPr>
          <w:szCs w:val="22"/>
        </w:rPr>
      </w:pPr>
      <w:r w:rsidRPr="00F34986">
        <w:t xml:space="preserve">Approximately 9 </w:t>
      </w:r>
      <w:r w:rsidR="00461877">
        <w:t>fewer</w:t>
      </w:r>
      <w:r w:rsidRPr="00F34986">
        <w:t xml:space="preserve"> patients would have rash over a ma</w:t>
      </w:r>
      <w:r w:rsidR="00287ABA" w:rsidRPr="00F34986">
        <w:t xml:space="preserve">ximum duration of follow-up of </w:t>
      </w:r>
      <w:r w:rsidRPr="00F34986">
        <w:t xml:space="preserve">96 weeks. </w:t>
      </w:r>
    </w:p>
    <w:p w:rsidR="008B26D8" w:rsidRPr="00F34986" w:rsidRDefault="008B26D8" w:rsidP="00447DC9">
      <w:pPr>
        <w:pStyle w:val="ListParagraph"/>
        <w:widowControl/>
        <w:numPr>
          <w:ilvl w:val="0"/>
          <w:numId w:val="1"/>
        </w:numPr>
        <w:ind w:left="993" w:hanging="284"/>
        <w:rPr>
          <w:szCs w:val="22"/>
        </w:rPr>
      </w:pPr>
      <w:r w:rsidRPr="00F34986">
        <w:t>Approximately 3 additional patients would have influenza over a m</w:t>
      </w:r>
      <w:r w:rsidR="00287ABA" w:rsidRPr="00F34986">
        <w:t>aximum duration of follow-up of</w:t>
      </w:r>
      <w:r w:rsidRPr="00F34986">
        <w:t xml:space="preserve"> 96 weeks.</w:t>
      </w:r>
    </w:p>
    <w:p w:rsidR="008B26D8" w:rsidRPr="00F34986" w:rsidRDefault="008B26D8" w:rsidP="00447DC9">
      <w:pPr>
        <w:pStyle w:val="ListParagraph"/>
        <w:widowControl/>
        <w:numPr>
          <w:ilvl w:val="0"/>
          <w:numId w:val="1"/>
        </w:numPr>
        <w:ind w:left="993" w:hanging="284"/>
        <w:rPr>
          <w:szCs w:val="22"/>
        </w:rPr>
      </w:pPr>
      <w:r w:rsidRPr="00F34986">
        <w:t xml:space="preserve">Approximately </w:t>
      </w:r>
      <w:r w:rsidR="00C07156">
        <w:t>3</w:t>
      </w:r>
      <w:r w:rsidR="00C07156" w:rsidRPr="00F34986">
        <w:t xml:space="preserve"> </w:t>
      </w:r>
      <w:r w:rsidRPr="00F34986">
        <w:t>additional patients would have pain in extremity over a m</w:t>
      </w:r>
      <w:r w:rsidR="00287ABA" w:rsidRPr="00F34986">
        <w:t>aximum duration of follow-up of</w:t>
      </w:r>
      <w:r w:rsidRPr="00F34986">
        <w:t xml:space="preserve"> 96 weeks. </w:t>
      </w:r>
    </w:p>
    <w:p w:rsidR="00B60939" w:rsidRPr="00882085" w:rsidRDefault="00B60939" w:rsidP="00FC1884"/>
    <w:p w:rsidR="005D4BE9" w:rsidRDefault="005D4BE9" w:rsidP="001944CD">
      <w:pPr>
        <w:pStyle w:val="BodyText"/>
      </w:pPr>
      <w:bookmarkStart w:id="11" w:name="_Toc398632119"/>
    </w:p>
    <w:p w:rsidR="00B60939" w:rsidRPr="001944CD" w:rsidRDefault="00B60939" w:rsidP="001944CD">
      <w:pPr>
        <w:rPr>
          <w:b/>
        </w:rPr>
      </w:pPr>
      <w:r w:rsidRPr="001944CD">
        <w:rPr>
          <w:b/>
        </w:rPr>
        <w:t>Clinical claim</w:t>
      </w:r>
      <w:bookmarkEnd w:id="11"/>
    </w:p>
    <w:p w:rsidR="00B60939" w:rsidRPr="00882085" w:rsidRDefault="00B60939" w:rsidP="00B60939">
      <w:pPr>
        <w:ind w:left="720" w:hanging="720"/>
        <w:rPr>
          <w:szCs w:val="22"/>
        </w:rPr>
      </w:pPr>
    </w:p>
    <w:p w:rsidR="00EE1AD3" w:rsidRPr="005F7595" w:rsidRDefault="00277180" w:rsidP="00EE1AD3">
      <w:pPr>
        <w:pStyle w:val="ListParagraph"/>
        <w:widowControl/>
        <w:numPr>
          <w:ilvl w:val="1"/>
          <w:numId w:val="2"/>
        </w:numPr>
        <w:rPr>
          <w:bCs/>
        </w:rPr>
      </w:pPr>
      <w:r w:rsidRPr="00F34986">
        <w:lastRenderedPageBreak/>
        <w:t xml:space="preserve">The submission describes the Triumeq FDC as bioequivalent to dolutegravir 50mg + Kivexa.  </w:t>
      </w:r>
      <w:r w:rsidR="00C13DE1" w:rsidRPr="00F34986">
        <w:t xml:space="preserve">The ESC agreed this </w:t>
      </w:r>
      <w:r w:rsidR="00D870F8" w:rsidRPr="00F34986">
        <w:t xml:space="preserve">may be </w:t>
      </w:r>
      <w:r w:rsidR="00C13DE1" w:rsidRPr="00F34986">
        <w:t>reasonable</w:t>
      </w:r>
      <w:r w:rsidR="00B1594A" w:rsidRPr="00F34986">
        <w:t xml:space="preserve">, subject to </w:t>
      </w:r>
      <w:r w:rsidR="00287ABA" w:rsidRPr="00F34986">
        <w:t xml:space="preserve">advice from the </w:t>
      </w:r>
      <w:r w:rsidR="00B1594A" w:rsidRPr="00F34986">
        <w:t>TGA</w:t>
      </w:r>
      <w:r w:rsidR="00C13DE1" w:rsidRPr="00F34986">
        <w:t>.</w:t>
      </w:r>
    </w:p>
    <w:p w:rsidR="005F7595" w:rsidRDefault="005F7595" w:rsidP="005F7595">
      <w:pPr>
        <w:widowControl/>
        <w:rPr>
          <w:bCs/>
        </w:rPr>
      </w:pPr>
    </w:p>
    <w:p w:rsidR="00903D4B" w:rsidRPr="005F7595" w:rsidRDefault="005F7595" w:rsidP="005D4BE9">
      <w:pPr>
        <w:widowControl/>
        <w:jc w:val="center"/>
        <w:rPr>
          <w:bCs/>
          <w:i/>
        </w:rPr>
      </w:pPr>
      <w:r w:rsidRPr="005F7595">
        <w:rPr>
          <w:bCs/>
          <w:i/>
        </w:rPr>
        <w:t>For detail on PBAC’s view, see section 7 “PBAC outcome”</w:t>
      </w:r>
    </w:p>
    <w:p w:rsidR="00B60939" w:rsidRPr="00882085" w:rsidRDefault="00B60939" w:rsidP="00EE1AD3">
      <w:pPr>
        <w:rPr>
          <w:szCs w:val="22"/>
        </w:rPr>
      </w:pPr>
    </w:p>
    <w:p w:rsidR="00B60939" w:rsidRPr="001944CD" w:rsidRDefault="00B60939" w:rsidP="001944CD">
      <w:pPr>
        <w:rPr>
          <w:b/>
        </w:rPr>
      </w:pPr>
      <w:bookmarkStart w:id="12" w:name="_Toc398632120"/>
      <w:r w:rsidRPr="001944CD">
        <w:rPr>
          <w:b/>
        </w:rPr>
        <w:t>Economic analysis</w:t>
      </w:r>
      <w:bookmarkEnd w:id="12"/>
    </w:p>
    <w:p w:rsidR="00B60939" w:rsidRPr="00882085" w:rsidRDefault="00B60939" w:rsidP="00B60939">
      <w:pPr>
        <w:ind w:left="720" w:hanging="720"/>
        <w:rPr>
          <w:szCs w:val="22"/>
        </w:rPr>
      </w:pPr>
    </w:p>
    <w:p w:rsidR="00C1348D" w:rsidRPr="008D1EBD" w:rsidRDefault="005D7F2F" w:rsidP="008D1EBD">
      <w:pPr>
        <w:pStyle w:val="ListParagraph"/>
        <w:widowControl/>
        <w:numPr>
          <w:ilvl w:val="1"/>
          <w:numId w:val="2"/>
        </w:numPr>
        <w:rPr>
          <w:i/>
        </w:rPr>
      </w:pPr>
      <w:r w:rsidRPr="005D7F2F">
        <w:t>The submission presents a co</w:t>
      </w:r>
      <w:r w:rsidR="00562B42">
        <w:t>s</w:t>
      </w:r>
      <w:r w:rsidRPr="005D7F2F">
        <w:t>t-minimisation analysis</w:t>
      </w:r>
      <w:r>
        <w:t xml:space="preserve"> based on </w:t>
      </w:r>
      <w:r w:rsidR="003E4912">
        <w:t>1 </w:t>
      </w:r>
      <w:r w:rsidRPr="005D7F2F">
        <w:t>Triumeq tablet = 1</w:t>
      </w:r>
      <w:r w:rsidR="002939FE">
        <w:t> </w:t>
      </w:r>
      <w:r w:rsidRPr="005D7F2F">
        <w:t>dolutegravir 50mg tablet + 1 Kivex</w:t>
      </w:r>
      <w:r w:rsidR="008520D6">
        <w:t xml:space="preserve">a tablet, presented </w:t>
      </w:r>
      <w:r w:rsidR="0000621A">
        <w:t>below</w:t>
      </w:r>
      <w:r w:rsidRPr="005D7F2F">
        <w:t>.</w:t>
      </w:r>
    </w:p>
    <w:p w:rsidR="005D7F2F" w:rsidRPr="005D7F2F" w:rsidRDefault="005D7F2F" w:rsidP="005D7F2F">
      <w:pPr>
        <w:pStyle w:val="ListParagraph"/>
        <w:widowControl/>
      </w:pPr>
    </w:p>
    <w:p w:rsidR="005D7F2F" w:rsidRPr="0041724F" w:rsidRDefault="005D7F2F" w:rsidP="003B3F02">
      <w:pPr>
        <w:keepNext/>
        <w:ind w:firstLine="709"/>
        <w:rPr>
          <w:rFonts w:ascii="Arial Narrow" w:hAnsi="Arial Narrow"/>
          <w:b/>
          <w:bCs/>
          <w:sz w:val="20"/>
        </w:rPr>
      </w:pPr>
      <w:r w:rsidRPr="0041724F">
        <w:rPr>
          <w:rFonts w:ascii="Arial Narrow" w:hAnsi="Arial Narrow"/>
          <w:b/>
          <w:bCs/>
          <w:sz w:val="20"/>
        </w:rPr>
        <w:t>Cost-minimisation analysis of Triumeq to dolutegravir plus Kivexa</w:t>
      </w:r>
    </w:p>
    <w:tbl>
      <w:tblPr>
        <w:tblW w:w="459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853"/>
        <w:gridCol w:w="1559"/>
        <w:gridCol w:w="567"/>
        <w:gridCol w:w="711"/>
        <w:gridCol w:w="918"/>
        <w:gridCol w:w="2318"/>
      </w:tblGrid>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b/>
                <w:bCs/>
                <w:sz w:val="20"/>
              </w:rPr>
            </w:pPr>
            <w:r w:rsidRPr="000E44AB">
              <w:rPr>
                <w:rFonts w:ascii="Arial Narrow" w:hAnsi="Arial Narrow"/>
                <w:b/>
                <w:bCs/>
                <w:sz w:val="20"/>
              </w:rPr>
              <w:t>Product</w:t>
            </w:r>
          </w:p>
        </w:tc>
        <w:tc>
          <w:tcPr>
            <w:tcW w:w="511"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PBS Code</w:t>
            </w:r>
          </w:p>
        </w:tc>
        <w:tc>
          <w:tcPr>
            <w:tcW w:w="934"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Strength</w:t>
            </w:r>
          </w:p>
        </w:tc>
        <w:tc>
          <w:tcPr>
            <w:tcW w:w="340"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Max Qty</w:t>
            </w:r>
          </w:p>
        </w:tc>
        <w:tc>
          <w:tcPr>
            <w:tcW w:w="426"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Pack size</w:t>
            </w:r>
          </w:p>
        </w:tc>
        <w:tc>
          <w:tcPr>
            <w:tcW w:w="550"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DPMQ</w:t>
            </w:r>
          </w:p>
        </w:tc>
        <w:tc>
          <w:tcPr>
            <w:tcW w:w="1390" w:type="pct"/>
            <w:shd w:val="clear" w:color="auto" w:fill="auto"/>
            <w:vAlign w:val="center"/>
          </w:tcPr>
          <w:p w:rsidR="005D7F2F" w:rsidRPr="000E44AB" w:rsidRDefault="005D7F2F" w:rsidP="003B3F02">
            <w:pPr>
              <w:keepNext/>
              <w:jc w:val="center"/>
              <w:rPr>
                <w:rFonts w:ascii="Arial Narrow" w:hAnsi="Arial Narrow"/>
                <w:b/>
                <w:bCs/>
                <w:sz w:val="20"/>
              </w:rPr>
            </w:pPr>
            <w:r w:rsidRPr="000E44AB">
              <w:rPr>
                <w:rFonts w:ascii="Arial Narrow" w:hAnsi="Arial Narrow"/>
                <w:b/>
                <w:bCs/>
                <w:sz w:val="20"/>
              </w:rPr>
              <w:t>Cost per daily dose (1 tab dolutegravir + 1 tab Kivexa OR 1 tab Triumeq)</w:t>
            </w:r>
          </w:p>
        </w:tc>
      </w:tr>
      <w:tr w:rsidR="005D7F2F" w:rsidRPr="0041724F">
        <w:tc>
          <w:tcPr>
            <w:tcW w:w="5000" w:type="pct"/>
            <w:gridSpan w:val="7"/>
            <w:shd w:val="clear" w:color="auto" w:fill="auto"/>
          </w:tcPr>
          <w:p w:rsidR="005D7F2F" w:rsidRPr="000E44AB" w:rsidRDefault="005D7F2F" w:rsidP="003B3F02">
            <w:pPr>
              <w:keepNext/>
              <w:rPr>
                <w:rFonts w:ascii="Arial Narrow" w:hAnsi="Arial Narrow"/>
                <w:b/>
                <w:bCs/>
                <w:sz w:val="20"/>
              </w:rPr>
            </w:pPr>
            <w:r w:rsidRPr="000E44AB">
              <w:rPr>
                <w:rFonts w:ascii="Arial Narrow" w:hAnsi="Arial Narrow"/>
                <w:b/>
                <w:bCs/>
                <w:sz w:val="20"/>
              </w:rPr>
              <w:t>S100 (Public)</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Dolutegravir</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10065R</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50mg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3B3F02">
            <w:pPr>
              <w:keepNext/>
              <w:jc w:val="center"/>
              <w:rPr>
                <w:rFonts w:ascii="Arial Narrow" w:hAnsi="Arial Narrow"/>
                <w:sz w:val="20"/>
                <w:highlight w:val="black"/>
              </w:rPr>
            </w:pPr>
            <w:r>
              <w:rPr>
                <w:rFonts w:ascii="Arial Narrow" w:hAnsi="Arial Narrow"/>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Kivexa</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5603x</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Abacavir 300mg</w:t>
            </w:r>
          </w:p>
          <w:p w:rsidR="005D7F2F" w:rsidRPr="000E44AB" w:rsidRDefault="005D7F2F" w:rsidP="003B3F02">
            <w:pPr>
              <w:keepNext/>
              <w:jc w:val="center"/>
              <w:rPr>
                <w:rFonts w:ascii="Arial Narrow" w:hAnsi="Arial Narrow"/>
                <w:sz w:val="20"/>
              </w:rPr>
            </w:pPr>
            <w:r w:rsidRPr="000E44AB">
              <w:rPr>
                <w:rFonts w:ascii="Arial Narrow" w:hAnsi="Arial Narrow"/>
                <w:sz w:val="20"/>
              </w:rPr>
              <w:t>Lamivudine 300mg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3B3F02">
            <w:pPr>
              <w:keepNext/>
              <w:jc w:val="center"/>
              <w:rPr>
                <w:rFonts w:ascii="Arial Narrow" w:hAnsi="Arial Narrow"/>
                <w:sz w:val="20"/>
                <w:highlight w:val="black"/>
              </w:rPr>
            </w:pPr>
            <w:r>
              <w:rPr>
                <w:rFonts w:ascii="Arial Narrow" w:hAnsi="Arial Narrow"/>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Triumeq</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NA</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Dolutegravir 50mg</w:t>
            </w:r>
          </w:p>
          <w:p w:rsidR="005D7F2F" w:rsidRPr="000E44AB" w:rsidRDefault="005D7F2F" w:rsidP="003B3F02">
            <w:pPr>
              <w:keepNext/>
              <w:jc w:val="center"/>
              <w:rPr>
                <w:rFonts w:ascii="Arial Narrow" w:hAnsi="Arial Narrow"/>
                <w:sz w:val="20"/>
              </w:rPr>
            </w:pPr>
            <w:r w:rsidRPr="000E44AB">
              <w:rPr>
                <w:rFonts w:ascii="Arial Narrow" w:hAnsi="Arial Narrow"/>
                <w:sz w:val="20"/>
              </w:rPr>
              <w:t>Abacavir 300mg</w:t>
            </w:r>
          </w:p>
          <w:p w:rsidR="005D7F2F" w:rsidRPr="000E44AB" w:rsidRDefault="005D7F2F" w:rsidP="003B3F02">
            <w:pPr>
              <w:keepNext/>
              <w:jc w:val="center"/>
              <w:rPr>
                <w:rFonts w:ascii="Arial Narrow" w:hAnsi="Arial Narrow"/>
                <w:sz w:val="20"/>
              </w:rPr>
            </w:pPr>
            <w:r w:rsidRPr="000E44AB">
              <w:rPr>
                <w:rFonts w:ascii="Arial Narrow" w:hAnsi="Arial Narrow"/>
                <w:sz w:val="20"/>
              </w:rPr>
              <w:t>Lamivudine 300mg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3B3F02">
            <w:pPr>
              <w:keepNext/>
              <w:jc w:val="center"/>
              <w:rPr>
                <w:rFonts w:ascii="Arial Narrow" w:hAnsi="Arial Narrow"/>
                <w:sz w:val="20"/>
                <w:highlight w:val="black"/>
              </w:rPr>
            </w:pPr>
            <w:r>
              <w:rPr>
                <w:rFonts w:ascii="Arial Narrow" w:hAnsi="Arial Narrow"/>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3060" w:type="pct"/>
            <w:gridSpan w:val="5"/>
            <w:shd w:val="clear" w:color="auto" w:fill="auto"/>
          </w:tcPr>
          <w:p w:rsidR="005D7F2F" w:rsidRPr="000E44AB" w:rsidRDefault="005D7F2F" w:rsidP="003B3F02">
            <w:pPr>
              <w:keepNext/>
              <w:jc w:val="right"/>
              <w:rPr>
                <w:rFonts w:ascii="Arial Narrow" w:hAnsi="Arial Narrow"/>
                <w:sz w:val="20"/>
              </w:rPr>
            </w:pPr>
            <w:r w:rsidRPr="000E44AB">
              <w:rPr>
                <w:rFonts w:ascii="Arial Narrow" w:hAnsi="Arial Narrow"/>
                <w:sz w:val="20"/>
              </w:rPr>
              <w:t>Incremental cost (Triumeq – dolutegravir + Kivexa)</w:t>
            </w:r>
          </w:p>
        </w:tc>
        <w:tc>
          <w:tcPr>
            <w:tcW w:w="550" w:type="pct"/>
            <w:shd w:val="clear" w:color="auto" w:fill="auto"/>
            <w:vAlign w:val="center"/>
          </w:tcPr>
          <w:p w:rsidR="005D7F2F" w:rsidRPr="002C14D3" w:rsidRDefault="002C14D3" w:rsidP="003B3F02">
            <w:pPr>
              <w:keepNext/>
              <w:jc w:val="center"/>
              <w:rPr>
                <w:rFonts w:ascii="Arial Narrow" w:hAnsi="Arial Narrow"/>
                <w:sz w:val="20"/>
                <w:highlight w:val="black"/>
              </w:rPr>
            </w:pPr>
            <w:r>
              <w:rPr>
                <w:rFonts w:ascii="Arial Narrow" w:hAnsi="Arial Narrow"/>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5000" w:type="pct"/>
            <w:gridSpan w:val="7"/>
            <w:shd w:val="clear" w:color="auto" w:fill="auto"/>
          </w:tcPr>
          <w:p w:rsidR="005D7F2F" w:rsidRPr="000E44AB" w:rsidRDefault="005D7F2F" w:rsidP="003B3F02">
            <w:pPr>
              <w:keepNext/>
              <w:rPr>
                <w:rFonts w:ascii="Arial Narrow" w:hAnsi="Arial Narrow"/>
                <w:b/>
                <w:bCs/>
                <w:iCs/>
                <w:sz w:val="20"/>
              </w:rPr>
            </w:pPr>
            <w:r w:rsidRPr="000E44AB">
              <w:rPr>
                <w:rFonts w:ascii="Arial Narrow" w:hAnsi="Arial Narrow"/>
                <w:b/>
                <w:bCs/>
                <w:sz w:val="20"/>
              </w:rPr>
              <w:t>S100 (Private)</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Dolutegravir</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10070B</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50mg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0E44AB">
            <w:pPr>
              <w:keepNext/>
              <w:jc w:val="center"/>
              <w:rPr>
                <w:rFonts w:ascii="Arial Narrow" w:hAnsi="Arial Narrow"/>
                <w:iCs/>
                <w:sz w:val="20"/>
                <w:highlight w:val="black"/>
              </w:rPr>
            </w:pPr>
            <w:r>
              <w:rPr>
                <w:rFonts w:ascii="Arial Narrow" w:hAnsi="Arial Narrow"/>
                <w:iCs/>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Kivexa</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6458X</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Abacavir300mg</w:t>
            </w:r>
          </w:p>
          <w:p w:rsidR="005D7F2F" w:rsidRPr="000E44AB" w:rsidRDefault="005D7F2F" w:rsidP="003B3F02">
            <w:pPr>
              <w:keepNext/>
              <w:jc w:val="center"/>
              <w:rPr>
                <w:rFonts w:ascii="Arial Narrow" w:hAnsi="Arial Narrow"/>
                <w:sz w:val="20"/>
              </w:rPr>
            </w:pPr>
            <w:r w:rsidRPr="000E44AB">
              <w:rPr>
                <w:rFonts w:ascii="Arial Narrow" w:hAnsi="Arial Narrow"/>
                <w:sz w:val="20"/>
              </w:rPr>
              <w:t>Lamivudine 300mg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 ''''</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850" w:type="pct"/>
            <w:shd w:val="clear" w:color="auto" w:fill="auto"/>
            <w:vAlign w:val="center"/>
          </w:tcPr>
          <w:p w:rsidR="005D7F2F" w:rsidRPr="000E44AB" w:rsidRDefault="005D7F2F" w:rsidP="003B3F02">
            <w:pPr>
              <w:keepNext/>
              <w:jc w:val="left"/>
              <w:rPr>
                <w:rFonts w:ascii="Arial Narrow" w:hAnsi="Arial Narrow"/>
                <w:sz w:val="20"/>
              </w:rPr>
            </w:pPr>
            <w:r w:rsidRPr="000E44AB">
              <w:rPr>
                <w:rFonts w:ascii="Arial Narrow" w:hAnsi="Arial Narrow"/>
                <w:sz w:val="20"/>
              </w:rPr>
              <w:t>Triumeq</w:t>
            </w:r>
          </w:p>
        </w:tc>
        <w:tc>
          <w:tcPr>
            <w:tcW w:w="511"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NA</w:t>
            </w:r>
          </w:p>
        </w:tc>
        <w:tc>
          <w:tcPr>
            <w:tcW w:w="934"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Dolutegravir 50mg</w:t>
            </w:r>
          </w:p>
          <w:p w:rsidR="005D7F2F" w:rsidRPr="000E44AB" w:rsidRDefault="005D7F2F" w:rsidP="003B3F02">
            <w:pPr>
              <w:keepNext/>
              <w:jc w:val="center"/>
              <w:rPr>
                <w:rFonts w:ascii="Arial Narrow" w:hAnsi="Arial Narrow"/>
                <w:sz w:val="20"/>
              </w:rPr>
            </w:pPr>
            <w:r w:rsidRPr="000E44AB">
              <w:rPr>
                <w:rFonts w:ascii="Arial Narrow" w:hAnsi="Arial Narrow"/>
                <w:sz w:val="20"/>
              </w:rPr>
              <w:t>Abacavir 300mg</w:t>
            </w:r>
          </w:p>
          <w:p w:rsidR="005D7F2F" w:rsidRPr="000E44AB" w:rsidRDefault="005D7F2F" w:rsidP="003B3F02">
            <w:pPr>
              <w:keepNext/>
              <w:jc w:val="center"/>
              <w:rPr>
                <w:rFonts w:ascii="Arial Narrow" w:hAnsi="Arial Narrow"/>
                <w:sz w:val="20"/>
              </w:rPr>
            </w:pPr>
            <w:r w:rsidRPr="000E44AB">
              <w:rPr>
                <w:rFonts w:ascii="Arial Narrow" w:hAnsi="Arial Narrow"/>
                <w:sz w:val="20"/>
              </w:rPr>
              <w:t>Lamivudine 300mg</w:t>
            </w:r>
          </w:p>
        </w:tc>
        <w:tc>
          <w:tcPr>
            <w:tcW w:w="340"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60</w:t>
            </w:r>
          </w:p>
        </w:tc>
        <w:tc>
          <w:tcPr>
            <w:tcW w:w="426" w:type="pct"/>
            <w:shd w:val="clear" w:color="auto" w:fill="auto"/>
            <w:vAlign w:val="center"/>
          </w:tcPr>
          <w:p w:rsidR="005D7F2F" w:rsidRPr="000E44AB" w:rsidRDefault="005D7F2F" w:rsidP="003B3F02">
            <w:pPr>
              <w:keepNext/>
              <w:jc w:val="center"/>
              <w:rPr>
                <w:rFonts w:ascii="Arial Narrow" w:hAnsi="Arial Narrow"/>
                <w:sz w:val="20"/>
              </w:rPr>
            </w:pPr>
            <w:r w:rsidRPr="000E44AB">
              <w:rPr>
                <w:rFonts w:ascii="Arial Narrow" w:hAnsi="Arial Narrow"/>
                <w:sz w:val="20"/>
              </w:rPr>
              <w:t>30</w:t>
            </w:r>
          </w:p>
        </w:tc>
        <w:tc>
          <w:tcPr>
            <w:tcW w:w="55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r w:rsidR="005D7F2F" w:rsidRPr="0041724F">
        <w:tc>
          <w:tcPr>
            <w:tcW w:w="3060" w:type="pct"/>
            <w:gridSpan w:val="5"/>
            <w:shd w:val="clear" w:color="auto" w:fill="auto"/>
          </w:tcPr>
          <w:p w:rsidR="005D7F2F" w:rsidRPr="000E44AB" w:rsidRDefault="005D7F2F" w:rsidP="003B3F02">
            <w:pPr>
              <w:keepNext/>
              <w:jc w:val="right"/>
              <w:rPr>
                <w:rFonts w:ascii="Arial Narrow" w:hAnsi="Arial Narrow"/>
                <w:sz w:val="20"/>
              </w:rPr>
            </w:pPr>
            <w:r w:rsidRPr="000E44AB">
              <w:rPr>
                <w:rFonts w:ascii="Arial Narrow" w:hAnsi="Arial Narrow"/>
                <w:sz w:val="20"/>
              </w:rPr>
              <w:t>Incremental cost (Triumeq – dolutegravir + Kivexa)</w:t>
            </w:r>
          </w:p>
        </w:tc>
        <w:tc>
          <w:tcPr>
            <w:tcW w:w="55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c>
          <w:tcPr>
            <w:tcW w:w="1390" w:type="pct"/>
            <w:shd w:val="clear" w:color="auto" w:fill="auto"/>
            <w:vAlign w:val="center"/>
          </w:tcPr>
          <w:p w:rsidR="005D7F2F" w:rsidRPr="002C14D3" w:rsidRDefault="002C14D3" w:rsidP="003B3F02">
            <w:pPr>
              <w:keepNext/>
              <w:jc w:val="center"/>
              <w:rPr>
                <w:rFonts w:ascii="Arial Narrow" w:hAnsi="Arial Narrow"/>
                <w:iCs/>
                <w:sz w:val="20"/>
                <w:highlight w:val="black"/>
              </w:rPr>
            </w:pPr>
            <w:r>
              <w:rPr>
                <w:rFonts w:ascii="Arial Narrow" w:hAnsi="Arial Narrow"/>
                <w:iCs/>
                <w:noProof/>
                <w:color w:val="000000"/>
                <w:sz w:val="20"/>
                <w:highlight w:val="black"/>
              </w:rPr>
              <w:t>''''''''''''''</w:t>
            </w:r>
          </w:p>
        </w:tc>
      </w:tr>
    </w:tbl>
    <w:p w:rsidR="005D7F2F" w:rsidRPr="000E44AB" w:rsidRDefault="005D7F2F" w:rsidP="003B3F02">
      <w:pPr>
        <w:keepNext/>
        <w:tabs>
          <w:tab w:val="left" w:pos="284"/>
        </w:tabs>
        <w:ind w:left="993" w:hanging="284"/>
        <w:rPr>
          <w:rFonts w:ascii="Arial Narrow" w:hAnsi="Arial Narrow"/>
          <w:sz w:val="20"/>
        </w:rPr>
      </w:pPr>
      <w:r w:rsidRPr="000E44AB">
        <w:rPr>
          <w:rFonts w:ascii="Arial Narrow" w:hAnsi="Arial Narrow"/>
          <w:sz w:val="20"/>
          <w:vertAlign w:val="superscript"/>
        </w:rPr>
        <w:t>a</w:t>
      </w:r>
      <w:r w:rsidR="000209BF">
        <w:rPr>
          <w:rFonts w:ascii="Arial Narrow" w:hAnsi="Arial Narrow"/>
          <w:sz w:val="20"/>
          <w:vertAlign w:val="superscript"/>
        </w:rPr>
        <w:t xml:space="preserve"> </w:t>
      </w:r>
      <w:r w:rsidRPr="000E44AB">
        <w:rPr>
          <w:rFonts w:ascii="Arial Narrow" w:hAnsi="Arial Narrow"/>
          <w:sz w:val="20"/>
        </w:rPr>
        <w:t xml:space="preserve">Dolutegravir DPMQ listed as </w:t>
      </w:r>
      <w:r w:rsidR="002C14D3">
        <w:rPr>
          <w:rFonts w:ascii="Arial Narrow" w:hAnsi="Arial Narrow"/>
          <w:noProof/>
          <w:color w:val="000000"/>
          <w:sz w:val="20"/>
          <w:highlight w:val="black"/>
        </w:rPr>
        <w:t>'''''''''''''''''''''''</w:t>
      </w:r>
      <w:r w:rsidRPr="000E44AB">
        <w:rPr>
          <w:rFonts w:ascii="Arial Narrow" w:hAnsi="Arial Narrow"/>
          <w:sz w:val="20"/>
        </w:rPr>
        <w:t xml:space="preserve"> in submission but is $1,377.86 in PBS schedule</w:t>
      </w:r>
    </w:p>
    <w:p w:rsidR="005D7F2F" w:rsidRPr="0041724F" w:rsidRDefault="005D7F2F" w:rsidP="000209BF">
      <w:pPr>
        <w:keepNext/>
        <w:tabs>
          <w:tab w:val="left" w:pos="284"/>
        </w:tabs>
        <w:ind w:left="709"/>
        <w:rPr>
          <w:rFonts w:ascii="Arial Narrow" w:hAnsi="Arial Narrow"/>
          <w:sz w:val="20"/>
        </w:rPr>
      </w:pPr>
      <w:r w:rsidRPr="000E44AB">
        <w:rPr>
          <w:rFonts w:ascii="Arial Narrow" w:hAnsi="Arial Narrow"/>
          <w:sz w:val="20"/>
          <w:vertAlign w:val="superscript"/>
        </w:rPr>
        <w:t>b</w:t>
      </w:r>
      <w:r w:rsidR="000209BF">
        <w:rPr>
          <w:rFonts w:ascii="Arial Narrow" w:hAnsi="Arial Narrow"/>
          <w:sz w:val="20"/>
          <w:vertAlign w:val="superscript"/>
        </w:rPr>
        <w:t xml:space="preserve"> </w:t>
      </w:r>
      <w:r w:rsidRPr="000E44AB">
        <w:rPr>
          <w:rFonts w:ascii="Arial Narrow" w:hAnsi="Arial Narrow"/>
          <w:sz w:val="20"/>
        </w:rPr>
        <w:t xml:space="preserve">Price for Kivexa is lower than currently listed on PBS schedule as lamivudine will be subject to a price reduction from 1 October 2014.  The price of Kivexa </w:t>
      </w:r>
      <w:r w:rsidR="001048CB">
        <w:rPr>
          <w:rFonts w:ascii="Arial Narrow" w:hAnsi="Arial Narrow"/>
          <w:sz w:val="20"/>
        </w:rPr>
        <w:t>was</w:t>
      </w:r>
      <w:r w:rsidR="001048CB" w:rsidRPr="000E44AB">
        <w:rPr>
          <w:rFonts w:ascii="Arial Narrow" w:hAnsi="Arial Narrow"/>
          <w:sz w:val="20"/>
        </w:rPr>
        <w:t xml:space="preserve"> </w:t>
      </w:r>
      <w:r w:rsidRPr="000E44AB">
        <w:rPr>
          <w:rFonts w:ascii="Arial Narrow" w:hAnsi="Arial Narrow"/>
          <w:sz w:val="20"/>
        </w:rPr>
        <w:t>adjusted to reflect the upcoming price reduction.</w:t>
      </w:r>
    </w:p>
    <w:p w:rsidR="005D7F2F" w:rsidRPr="0041724F" w:rsidRDefault="005D7F2F" w:rsidP="005D7F2F">
      <w:pPr>
        <w:ind w:left="993" w:hanging="284"/>
        <w:rPr>
          <w:rFonts w:ascii="Arial Narrow" w:hAnsi="Arial Narrow"/>
          <w:sz w:val="20"/>
        </w:rPr>
      </w:pPr>
      <w:r w:rsidRPr="0041724F">
        <w:rPr>
          <w:rFonts w:ascii="Arial Narrow" w:hAnsi="Arial Narrow"/>
          <w:sz w:val="20"/>
        </w:rPr>
        <w:t>Source: Table D.2 and D.3, p157 of the submission</w:t>
      </w:r>
    </w:p>
    <w:p w:rsidR="00A86E8B" w:rsidRDefault="00A86E8B" w:rsidP="00A86E8B">
      <w:pPr>
        <w:widowControl/>
        <w:rPr>
          <w:szCs w:val="22"/>
        </w:rPr>
      </w:pPr>
    </w:p>
    <w:p w:rsidR="008D1EBD" w:rsidRPr="00F34986" w:rsidRDefault="008D1EBD" w:rsidP="008D1EBD">
      <w:pPr>
        <w:pStyle w:val="ListParagraph"/>
        <w:widowControl/>
        <w:numPr>
          <w:ilvl w:val="1"/>
          <w:numId w:val="2"/>
        </w:numPr>
      </w:pPr>
      <w:r w:rsidRPr="00F34986">
        <w:t>The price proposed for the Triumeq is higher than the current PBS price for Atripla</w:t>
      </w:r>
      <w:r w:rsidR="005A7A30" w:rsidRPr="00F34986">
        <w:t xml:space="preserve"> ($2,073.36 DPMQ)</w:t>
      </w:r>
      <w:r w:rsidRPr="00F34986">
        <w:t xml:space="preserve">, and </w:t>
      </w:r>
      <w:r w:rsidR="00D84547" w:rsidRPr="00F34986">
        <w:t xml:space="preserve">other </w:t>
      </w:r>
      <w:r w:rsidRPr="00F34986">
        <w:t xml:space="preserve">similar PBS listed combination antiviral drugs (see </w:t>
      </w:r>
      <w:r w:rsidR="0000621A">
        <w:t xml:space="preserve">table </w:t>
      </w:r>
      <w:r w:rsidRPr="00F34986">
        <w:t>below for comparative approved ex-manufacturer prices).</w:t>
      </w:r>
    </w:p>
    <w:p w:rsidR="008D1EBD" w:rsidRPr="00F34986" w:rsidRDefault="008D1EBD" w:rsidP="008D1EBD">
      <w:pPr>
        <w:keepNext/>
        <w:ind w:firstLine="709"/>
        <w:rPr>
          <w:rFonts w:ascii="Arial Narrow" w:hAnsi="Arial Narrow"/>
          <w:b/>
          <w:bCs/>
          <w:sz w:val="20"/>
        </w:rPr>
      </w:pPr>
      <w:r w:rsidRPr="00F34986">
        <w:rPr>
          <w:rFonts w:ascii="Arial Narrow" w:hAnsi="Arial Narrow"/>
          <w:b/>
          <w:bCs/>
          <w:sz w:val="20"/>
        </w:rPr>
        <w:lastRenderedPageBreak/>
        <w:t>Ex-manufacturer prices for triple and quadruple combination antivirals</w:t>
      </w:r>
    </w:p>
    <w:tbl>
      <w:tblPr>
        <w:tblStyle w:val="TableGrid"/>
        <w:tblW w:w="0" w:type="auto"/>
        <w:tblInd w:w="817" w:type="dxa"/>
        <w:tblLook w:val="04A0" w:firstRow="1" w:lastRow="0" w:firstColumn="1" w:lastColumn="0" w:noHBand="0" w:noVBand="1"/>
      </w:tblPr>
      <w:tblGrid>
        <w:gridCol w:w="1843"/>
        <w:gridCol w:w="2693"/>
        <w:gridCol w:w="992"/>
        <w:gridCol w:w="1134"/>
        <w:gridCol w:w="1510"/>
      </w:tblGrid>
      <w:tr w:rsidR="008D1EBD" w:rsidRPr="00F34986">
        <w:trPr>
          <w:cantSplit/>
        </w:trPr>
        <w:tc>
          <w:tcPr>
            <w:tcW w:w="1843" w:type="dxa"/>
          </w:tcPr>
          <w:p w:rsidR="008D1EBD" w:rsidRPr="00F34986" w:rsidRDefault="008D1EBD" w:rsidP="008D1EBD">
            <w:pPr>
              <w:keepNext/>
              <w:rPr>
                <w:rFonts w:ascii="Arial Narrow" w:hAnsi="Arial Narrow"/>
                <w:b/>
                <w:sz w:val="20"/>
              </w:rPr>
            </w:pPr>
            <w:r w:rsidRPr="00F34986">
              <w:rPr>
                <w:rFonts w:ascii="Arial Narrow" w:hAnsi="Arial Narrow"/>
                <w:b/>
                <w:sz w:val="20"/>
              </w:rPr>
              <w:t xml:space="preserve">Drug </w:t>
            </w:r>
          </w:p>
        </w:tc>
        <w:tc>
          <w:tcPr>
            <w:tcW w:w="2693" w:type="dxa"/>
          </w:tcPr>
          <w:p w:rsidR="008D1EBD" w:rsidRPr="00F34986" w:rsidRDefault="008D1EBD" w:rsidP="008D1EBD">
            <w:pPr>
              <w:keepNext/>
              <w:rPr>
                <w:rFonts w:ascii="Arial Narrow" w:hAnsi="Arial Narrow"/>
                <w:b/>
                <w:sz w:val="20"/>
              </w:rPr>
            </w:pPr>
            <w:r w:rsidRPr="00F34986">
              <w:rPr>
                <w:rFonts w:ascii="Arial Narrow" w:hAnsi="Arial Narrow"/>
                <w:b/>
                <w:sz w:val="20"/>
              </w:rPr>
              <w:t>Form</w:t>
            </w:r>
          </w:p>
        </w:tc>
        <w:tc>
          <w:tcPr>
            <w:tcW w:w="992" w:type="dxa"/>
          </w:tcPr>
          <w:p w:rsidR="008D1EBD" w:rsidRPr="00F34986" w:rsidRDefault="008D1EBD" w:rsidP="008D1EBD">
            <w:pPr>
              <w:keepNext/>
              <w:rPr>
                <w:rFonts w:ascii="Arial Narrow" w:hAnsi="Arial Narrow"/>
                <w:b/>
                <w:sz w:val="20"/>
              </w:rPr>
            </w:pPr>
            <w:r w:rsidRPr="00F34986">
              <w:rPr>
                <w:rFonts w:ascii="Arial Narrow" w:hAnsi="Arial Narrow"/>
                <w:b/>
                <w:sz w:val="20"/>
              </w:rPr>
              <w:t>Brand</w:t>
            </w:r>
          </w:p>
        </w:tc>
        <w:tc>
          <w:tcPr>
            <w:tcW w:w="1134" w:type="dxa"/>
            <w:noWrap/>
          </w:tcPr>
          <w:p w:rsidR="008D1EBD" w:rsidRPr="00F34986" w:rsidRDefault="008D1EBD" w:rsidP="008D1EBD">
            <w:pPr>
              <w:keepNext/>
              <w:rPr>
                <w:rFonts w:ascii="Arial Narrow" w:hAnsi="Arial Narrow"/>
                <w:b/>
                <w:sz w:val="20"/>
              </w:rPr>
            </w:pPr>
            <w:r w:rsidRPr="00F34986">
              <w:rPr>
                <w:rFonts w:ascii="Arial Narrow" w:hAnsi="Arial Narrow"/>
                <w:b/>
                <w:sz w:val="20"/>
              </w:rPr>
              <w:t>Pack Quantity</w:t>
            </w:r>
          </w:p>
        </w:tc>
        <w:tc>
          <w:tcPr>
            <w:tcW w:w="1510" w:type="dxa"/>
            <w:noWrap/>
          </w:tcPr>
          <w:p w:rsidR="008D1EBD" w:rsidRPr="00F34986" w:rsidRDefault="008D1EBD" w:rsidP="008D1EBD">
            <w:pPr>
              <w:keepNext/>
              <w:rPr>
                <w:rFonts w:ascii="Arial Narrow" w:hAnsi="Arial Narrow"/>
                <w:b/>
                <w:sz w:val="20"/>
              </w:rPr>
            </w:pPr>
            <w:r w:rsidRPr="00F34986">
              <w:rPr>
                <w:rFonts w:ascii="Arial Narrow" w:hAnsi="Arial Narrow"/>
                <w:b/>
                <w:sz w:val="20"/>
              </w:rPr>
              <w:t>Approved Ex</w:t>
            </w:r>
            <w:r w:rsidRPr="00F34986">
              <w:rPr>
                <w:rFonts w:ascii="Arial Narrow" w:hAnsi="Arial Narrow"/>
                <w:b/>
                <w:sz w:val="20"/>
              </w:rPr>
              <w:noBreakHyphen/>
              <w:t>Manufacturer Price</w:t>
            </w:r>
          </w:p>
        </w:tc>
      </w:tr>
      <w:tr w:rsidR="008D1EBD" w:rsidRPr="00F34986">
        <w:trPr>
          <w:cantSplit/>
        </w:trPr>
        <w:tc>
          <w:tcPr>
            <w:tcW w:w="8172" w:type="dxa"/>
            <w:gridSpan w:val="5"/>
            <w:shd w:val="clear" w:color="auto" w:fill="EEECE1" w:themeFill="background2"/>
          </w:tcPr>
          <w:p w:rsidR="008D1EBD" w:rsidRPr="00F34986" w:rsidRDefault="00CD31CE" w:rsidP="008D1EBD">
            <w:pPr>
              <w:keepNext/>
              <w:jc w:val="left"/>
              <w:rPr>
                <w:rFonts w:ascii="Arial Narrow" w:hAnsi="Arial Narrow"/>
                <w:b/>
                <w:sz w:val="20"/>
              </w:rPr>
            </w:pPr>
            <w:r w:rsidRPr="00F34986">
              <w:rPr>
                <w:rFonts w:ascii="Arial Narrow" w:hAnsi="Arial Narrow"/>
                <w:b/>
                <w:sz w:val="20"/>
              </w:rPr>
              <w:t>Currently PBS listed</w:t>
            </w:r>
            <w:r w:rsidR="008D1EBD" w:rsidRPr="00F34986">
              <w:rPr>
                <w:rFonts w:ascii="Arial Narrow" w:hAnsi="Arial Narrow"/>
                <w:b/>
                <w:sz w:val="20"/>
              </w:rPr>
              <w:t xml:space="preserve"> triple and quadruple combinations  </w:t>
            </w:r>
          </w:p>
        </w:tc>
      </w:tr>
      <w:tr w:rsidR="008D1EBD" w:rsidRPr="00F34986">
        <w:tc>
          <w:tcPr>
            <w:tcW w:w="1843" w:type="dxa"/>
          </w:tcPr>
          <w:p w:rsidR="008D1EBD" w:rsidRPr="00F34986" w:rsidRDefault="008D1EBD" w:rsidP="008D1EBD">
            <w:pPr>
              <w:keepNext/>
              <w:jc w:val="left"/>
              <w:rPr>
                <w:rFonts w:ascii="Arial Narrow" w:hAnsi="Arial Narrow"/>
                <w:sz w:val="20"/>
              </w:rPr>
            </w:pPr>
            <w:r w:rsidRPr="00F34986">
              <w:rPr>
                <w:rFonts w:ascii="Arial Narrow" w:hAnsi="Arial Narrow"/>
                <w:sz w:val="20"/>
              </w:rPr>
              <w:t>Tenofovir with emtricitabine and efavirenz</w:t>
            </w:r>
          </w:p>
        </w:tc>
        <w:tc>
          <w:tcPr>
            <w:tcW w:w="2693" w:type="dxa"/>
          </w:tcPr>
          <w:p w:rsidR="008D1EBD" w:rsidRPr="00F34986" w:rsidRDefault="008D1EBD" w:rsidP="008D1EBD">
            <w:pPr>
              <w:keepNext/>
              <w:jc w:val="left"/>
              <w:rPr>
                <w:rFonts w:ascii="Arial Narrow" w:hAnsi="Arial Narrow"/>
                <w:sz w:val="20"/>
              </w:rPr>
            </w:pPr>
            <w:r w:rsidRPr="00F34986">
              <w:rPr>
                <w:rFonts w:ascii="Arial Narrow" w:hAnsi="Arial Narrow"/>
                <w:sz w:val="20"/>
              </w:rPr>
              <w:t>Tablet containing tenofovir disoproxil fumarate 300 mg with emtricitabine 200 mg and efavirenz 600 mg</w:t>
            </w:r>
          </w:p>
        </w:tc>
        <w:tc>
          <w:tcPr>
            <w:tcW w:w="992" w:type="dxa"/>
          </w:tcPr>
          <w:p w:rsidR="008D1EBD" w:rsidRPr="00F34986" w:rsidRDefault="008D1EBD" w:rsidP="008D1EBD">
            <w:pPr>
              <w:keepNext/>
              <w:jc w:val="left"/>
              <w:rPr>
                <w:rFonts w:ascii="Arial Narrow" w:hAnsi="Arial Narrow"/>
                <w:sz w:val="20"/>
              </w:rPr>
            </w:pPr>
            <w:r w:rsidRPr="00F34986">
              <w:rPr>
                <w:rFonts w:ascii="Arial Narrow" w:hAnsi="Arial Narrow"/>
                <w:sz w:val="20"/>
              </w:rPr>
              <w:t>Atripla</w:t>
            </w:r>
          </w:p>
        </w:tc>
        <w:tc>
          <w:tcPr>
            <w:tcW w:w="1134"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30</w:t>
            </w:r>
          </w:p>
        </w:tc>
        <w:tc>
          <w:tcPr>
            <w:tcW w:w="1510"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$1,036.68</w:t>
            </w:r>
          </w:p>
        </w:tc>
      </w:tr>
      <w:tr w:rsidR="008D1EBD" w:rsidRPr="00F34986">
        <w:tc>
          <w:tcPr>
            <w:tcW w:w="1843" w:type="dxa"/>
          </w:tcPr>
          <w:p w:rsidR="008D1EBD" w:rsidRPr="00F34986" w:rsidRDefault="008D1EBD" w:rsidP="008D1EBD">
            <w:pPr>
              <w:keepNext/>
              <w:jc w:val="left"/>
              <w:rPr>
                <w:rFonts w:ascii="Arial Narrow" w:hAnsi="Arial Narrow"/>
                <w:sz w:val="20"/>
              </w:rPr>
            </w:pPr>
            <w:r w:rsidRPr="00F34986">
              <w:rPr>
                <w:rFonts w:ascii="Arial Narrow" w:hAnsi="Arial Narrow"/>
                <w:sz w:val="20"/>
              </w:rPr>
              <w:t>Tenofovir with emtricitabine and rilpivirine</w:t>
            </w:r>
          </w:p>
        </w:tc>
        <w:tc>
          <w:tcPr>
            <w:tcW w:w="2693" w:type="dxa"/>
          </w:tcPr>
          <w:p w:rsidR="008D1EBD" w:rsidRPr="00F34986" w:rsidRDefault="008D1EBD" w:rsidP="008D1EBD">
            <w:pPr>
              <w:keepNext/>
              <w:jc w:val="left"/>
              <w:rPr>
                <w:rFonts w:ascii="Arial Narrow" w:hAnsi="Arial Narrow"/>
                <w:sz w:val="20"/>
              </w:rPr>
            </w:pPr>
            <w:r w:rsidRPr="00F34986">
              <w:rPr>
                <w:rFonts w:ascii="Arial Narrow" w:hAnsi="Arial Narrow"/>
                <w:sz w:val="20"/>
              </w:rPr>
              <w:t>Tablet containing tenofovir disoproxil fumarate 300 mg with emtricitabine 200 mg and rilpivirine 25 mg (as hydrochloride)</w:t>
            </w:r>
          </w:p>
        </w:tc>
        <w:tc>
          <w:tcPr>
            <w:tcW w:w="992" w:type="dxa"/>
          </w:tcPr>
          <w:p w:rsidR="008D1EBD" w:rsidRPr="00F34986" w:rsidRDefault="008D1EBD" w:rsidP="008D1EBD">
            <w:pPr>
              <w:keepNext/>
              <w:jc w:val="left"/>
              <w:rPr>
                <w:rFonts w:ascii="Arial Narrow" w:hAnsi="Arial Narrow"/>
                <w:sz w:val="20"/>
              </w:rPr>
            </w:pPr>
            <w:r w:rsidRPr="00F34986">
              <w:rPr>
                <w:rFonts w:ascii="Arial Narrow" w:hAnsi="Arial Narrow"/>
                <w:sz w:val="20"/>
              </w:rPr>
              <w:t>Eviplera</w:t>
            </w:r>
          </w:p>
        </w:tc>
        <w:tc>
          <w:tcPr>
            <w:tcW w:w="1134"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30</w:t>
            </w:r>
          </w:p>
        </w:tc>
        <w:tc>
          <w:tcPr>
            <w:tcW w:w="1510"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$1,036.68</w:t>
            </w:r>
          </w:p>
        </w:tc>
      </w:tr>
      <w:tr w:rsidR="008D1EBD" w:rsidRPr="00F34986">
        <w:tc>
          <w:tcPr>
            <w:tcW w:w="1843" w:type="dxa"/>
          </w:tcPr>
          <w:p w:rsidR="008D1EBD" w:rsidRPr="00F34986" w:rsidRDefault="008D1EBD" w:rsidP="008D1EBD">
            <w:pPr>
              <w:keepNext/>
              <w:jc w:val="left"/>
              <w:rPr>
                <w:rFonts w:ascii="Arial Narrow" w:hAnsi="Arial Narrow"/>
                <w:sz w:val="20"/>
              </w:rPr>
            </w:pPr>
            <w:r w:rsidRPr="00F34986">
              <w:rPr>
                <w:rFonts w:ascii="Arial Narrow" w:hAnsi="Arial Narrow"/>
                <w:sz w:val="20"/>
              </w:rPr>
              <w:t>Tenofovir with emtricitabine, elvitegravir and cobicistat</w:t>
            </w:r>
          </w:p>
        </w:tc>
        <w:tc>
          <w:tcPr>
            <w:tcW w:w="2693" w:type="dxa"/>
          </w:tcPr>
          <w:p w:rsidR="008D1EBD" w:rsidRPr="00F34986" w:rsidRDefault="008D1EBD" w:rsidP="008D1EBD">
            <w:pPr>
              <w:keepNext/>
              <w:jc w:val="left"/>
              <w:rPr>
                <w:rFonts w:ascii="Arial Narrow" w:hAnsi="Arial Narrow"/>
                <w:sz w:val="20"/>
              </w:rPr>
            </w:pPr>
            <w:r w:rsidRPr="00F34986">
              <w:rPr>
                <w:rFonts w:ascii="Arial Narrow" w:hAnsi="Arial Narrow"/>
                <w:sz w:val="20"/>
              </w:rPr>
              <w:t>Tablet containing tenofovir disoproxil fumarate 300 mg with emtricitabine 200 mg, elvitegravir 150 mg and cobicistat 150 mg</w:t>
            </w:r>
          </w:p>
        </w:tc>
        <w:tc>
          <w:tcPr>
            <w:tcW w:w="992" w:type="dxa"/>
          </w:tcPr>
          <w:p w:rsidR="008D1EBD" w:rsidRPr="00F34986" w:rsidRDefault="008D1EBD" w:rsidP="008D1EBD">
            <w:pPr>
              <w:keepNext/>
              <w:jc w:val="left"/>
              <w:rPr>
                <w:rFonts w:ascii="Arial Narrow" w:hAnsi="Arial Narrow"/>
                <w:sz w:val="20"/>
              </w:rPr>
            </w:pPr>
            <w:r w:rsidRPr="00F34986">
              <w:rPr>
                <w:rFonts w:ascii="Arial Narrow" w:hAnsi="Arial Narrow"/>
                <w:sz w:val="20"/>
              </w:rPr>
              <w:t>Stribild</w:t>
            </w:r>
          </w:p>
        </w:tc>
        <w:tc>
          <w:tcPr>
            <w:tcW w:w="1134"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30</w:t>
            </w:r>
          </w:p>
        </w:tc>
        <w:tc>
          <w:tcPr>
            <w:tcW w:w="1510" w:type="dxa"/>
            <w:noWrap/>
          </w:tcPr>
          <w:p w:rsidR="008D1EBD" w:rsidRPr="00F34986" w:rsidRDefault="008D1EBD" w:rsidP="008D1EBD">
            <w:pPr>
              <w:keepNext/>
              <w:jc w:val="left"/>
              <w:rPr>
                <w:rFonts w:ascii="Arial Narrow" w:hAnsi="Arial Narrow"/>
                <w:sz w:val="20"/>
              </w:rPr>
            </w:pPr>
            <w:r w:rsidRPr="00F34986">
              <w:rPr>
                <w:rFonts w:ascii="Arial Narrow" w:hAnsi="Arial Narrow"/>
                <w:sz w:val="20"/>
              </w:rPr>
              <w:t>$1,036.68</w:t>
            </w:r>
          </w:p>
        </w:tc>
      </w:tr>
      <w:tr w:rsidR="008D1EBD" w:rsidRPr="00F34986">
        <w:tc>
          <w:tcPr>
            <w:tcW w:w="8172" w:type="dxa"/>
            <w:gridSpan w:val="5"/>
            <w:shd w:val="clear" w:color="auto" w:fill="EEECE1" w:themeFill="background2"/>
          </w:tcPr>
          <w:p w:rsidR="008D1EBD" w:rsidRPr="00F34986" w:rsidRDefault="008D1EBD" w:rsidP="008D1EBD">
            <w:pPr>
              <w:keepNext/>
              <w:jc w:val="left"/>
              <w:rPr>
                <w:rFonts w:ascii="Arial Narrow" w:hAnsi="Arial Narrow"/>
                <w:b/>
                <w:sz w:val="20"/>
              </w:rPr>
            </w:pPr>
            <w:r w:rsidRPr="00F34986">
              <w:rPr>
                <w:rFonts w:ascii="Arial Narrow" w:hAnsi="Arial Narrow"/>
                <w:b/>
                <w:sz w:val="20"/>
              </w:rPr>
              <w:t>Proposed listing</w:t>
            </w:r>
          </w:p>
        </w:tc>
      </w:tr>
      <w:tr w:rsidR="008D1EBD" w:rsidRPr="00F34986">
        <w:tc>
          <w:tcPr>
            <w:tcW w:w="1843" w:type="dxa"/>
          </w:tcPr>
          <w:p w:rsidR="008D1EBD" w:rsidRPr="00F34986" w:rsidRDefault="008D1EBD" w:rsidP="008D1EBD">
            <w:pPr>
              <w:jc w:val="left"/>
              <w:rPr>
                <w:rFonts w:ascii="Arial Narrow" w:hAnsi="Arial Narrow"/>
                <w:sz w:val="20"/>
              </w:rPr>
            </w:pPr>
            <w:r w:rsidRPr="00F34986">
              <w:rPr>
                <w:rFonts w:ascii="Arial Narrow" w:hAnsi="Arial Narrow"/>
                <w:sz w:val="20"/>
              </w:rPr>
              <w:t xml:space="preserve">Dolutegravir with abacavir and lamivudine </w:t>
            </w:r>
          </w:p>
        </w:tc>
        <w:tc>
          <w:tcPr>
            <w:tcW w:w="2693" w:type="dxa"/>
          </w:tcPr>
          <w:p w:rsidR="008D1EBD" w:rsidRPr="00F34986" w:rsidRDefault="008D1EBD" w:rsidP="008D1EBD">
            <w:pPr>
              <w:jc w:val="left"/>
              <w:rPr>
                <w:rFonts w:ascii="Arial Narrow" w:hAnsi="Arial Narrow"/>
                <w:sz w:val="20"/>
              </w:rPr>
            </w:pPr>
            <w:r w:rsidRPr="00F34986">
              <w:rPr>
                <w:rFonts w:ascii="Arial Narrow" w:hAnsi="Arial Narrow"/>
                <w:sz w:val="20"/>
              </w:rPr>
              <w:t xml:space="preserve">Tablet containing dolutegravir 50mg with abacavir 600mg and lamivudine 300mg </w:t>
            </w:r>
          </w:p>
        </w:tc>
        <w:tc>
          <w:tcPr>
            <w:tcW w:w="992" w:type="dxa"/>
          </w:tcPr>
          <w:p w:rsidR="008D1EBD" w:rsidRPr="00F34986" w:rsidRDefault="008D1EBD" w:rsidP="008D1EBD">
            <w:pPr>
              <w:jc w:val="left"/>
              <w:rPr>
                <w:rFonts w:ascii="Arial Narrow" w:hAnsi="Arial Narrow"/>
                <w:sz w:val="20"/>
              </w:rPr>
            </w:pPr>
            <w:r w:rsidRPr="00F34986">
              <w:rPr>
                <w:rFonts w:ascii="Arial Narrow" w:hAnsi="Arial Narrow"/>
                <w:sz w:val="20"/>
              </w:rPr>
              <w:t>Triumeq</w:t>
            </w:r>
          </w:p>
        </w:tc>
        <w:tc>
          <w:tcPr>
            <w:tcW w:w="1134" w:type="dxa"/>
            <w:noWrap/>
          </w:tcPr>
          <w:p w:rsidR="008D1EBD" w:rsidRPr="00F34986" w:rsidRDefault="008D1EBD" w:rsidP="008D1EBD">
            <w:pPr>
              <w:jc w:val="left"/>
              <w:rPr>
                <w:rFonts w:ascii="Arial Narrow" w:hAnsi="Arial Narrow"/>
                <w:sz w:val="20"/>
              </w:rPr>
            </w:pPr>
            <w:r w:rsidRPr="00F34986">
              <w:rPr>
                <w:rFonts w:ascii="Arial Narrow" w:hAnsi="Arial Narrow"/>
                <w:sz w:val="20"/>
              </w:rPr>
              <w:t>30</w:t>
            </w:r>
          </w:p>
        </w:tc>
        <w:tc>
          <w:tcPr>
            <w:tcW w:w="1510" w:type="dxa"/>
            <w:noWrap/>
          </w:tcPr>
          <w:p w:rsidR="008D1EBD" w:rsidRPr="002C14D3" w:rsidRDefault="002C14D3" w:rsidP="008D1EBD">
            <w:pPr>
              <w:jc w:val="left"/>
              <w:rPr>
                <w:rFonts w:ascii="Arial Narrow" w:hAnsi="Arial Narrow"/>
                <w:sz w:val="20"/>
                <w:highlight w:val="black"/>
              </w:rPr>
            </w:pPr>
            <w:r>
              <w:rPr>
                <w:rFonts w:ascii="Arial Narrow" w:hAnsi="Arial Narrow"/>
                <w:noProof/>
                <w:color w:val="000000"/>
                <w:sz w:val="20"/>
                <w:highlight w:val="black"/>
              </w:rPr>
              <w:t>''''''''''''''''''''</w:t>
            </w:r>
          </w:p>
        </w:tc>
      </w:tr>
    </w:tbl>
    <w:p w:rsidR="008D1EBD" w:rsidRPr="00F34986" w:rsidRDefault="008D1EBD" w:rsidP="00A86E8B">
      <w:pPr>
        <w:widowControl/>
        <w:rPr>
          <w:rFonts w:ascii="Arial Narrow" w:hAnsi="Arial Narrow"/>
          <w:sz w:val="20"/>
        </w:rPr>
      </w:pPr>
      <w:r w:rsidRPr="00F34986">
        <w:rPr>
          <w:rFonts w:ascii="Arial Narrow" w:hAnsi="Arial Narrow"/>
          <w:sz w:val="20"/>
        </w:rPr>
        <w:tab/>
        <w:t xml:space="preserve">Source: </w:t>
      </w:r>
      <w:r w:rsidRPr="005F78E3">
        <w:rPr>
          <w:rFonts w:ascii="Arial Narrow" w:hAnsi="Arial Narrow"/>
          <w:sz w:val="20"/>
        </w:rPr>
        <w:t>http://www.pbs.gov.au/info/industry/pricing/ex-manufacturer-price</w:t>
      </w:r>
      <w:r w:rsidRPr="00F34986">
        <w:rPr>
          <w:rFonts w:ascii="Arial Narrow" w:hAnsi="Arial Narrow"/>
          <w:sz w:val="20"/>
        </w:rPr>
        <w:t>.</w:t>
      </w:r>
    </w:p>
    <w:p w:rsidR="008D1EBD" w:rsidRPr="00EA721A" w:rsidRDefault="008D1EBD" w:rsidP="00A86E8B">
      <w:pPr>
        <w:widowControl/>
        <w:rPr>
          <w:i/>
          <w:sz w:val="18"/>
          <w:szCs w:val="18"/>
        </w:rPr>
      </w:pPr>
    </w:p>
    <w:p w:rsidR="008E5FDE" w:rsidRPr="001944CD" w:rsidRDefault="00C25D9C" w:rsidP="001944CD">
      <w:pPr>
        <w:rPr>
          <w:b/>
        </w:rPr>
      </w:pPr>
      <w:bookmarkStart w:id="13" w:name="_Toc398632121"/>
      <w:r w:rsidRPr="001944CD">
        <w:rPr>
          <w:b/>
        </w:rPr>
        <w:t>Drug cost/patient/year</w:t>
      </w:r>
      <w:bookmarkEnd w:id="13"/>
    </w:p>
    <w:p w:rsidR="008E5FDE" w:rsidRPr="004B79B0" w:rsidRDefault="008E5FDE" w:rsidP="004B79B0"/>
    <w:p w:rsidR="00C25D9C" w:rsidRPr="008E5FDE" w:rsidRDefault="005D7F2F" w:rsidP="008E5FDE">
      <w:pPr>
        <w:pStyle w:val="ListParagraph"/>
        <w:widowControl/>
        <w:numPr>
          <w:ilvl w:val="1"/>
          <w:numId w:val="2"/>
        </w:numPr>
        <w:rPr>
          <w:iCs/>
        </w:rPr>
      </w:pPr>
      <w:r w:rsidRPr="008E5FDE">
        <w:rPr>
          <w:iCs/>
        </w:rPr>
        <w:t xml:space="preserve">Assuming 6.09 scripts/year </w:t>
      </w:r>
      <w:r w:rsidR="008E5FDE" w:rsidRPr="008E5FDE">
        <w:rPr>
          <w:iCs/>
        </w:rPr>
        <w:t>for Triumeq and its nominated comparator</w:t>
      </w:r>
      <w:r w:rsidR="000209BF">
        <w:rPr>
          <w:iCs/>
        </w:rPr>
        <w:t>s</w:t>
      </w:r>
      <w:r w:rsidR="008E5FDE" w:rsidRPr="008E5FDE">
        <w:rPr>
          <w:iCs/>
        </w:rPr>
        <w:t xml:space="preserve"> of dolutegravir + Kivexa</w:t>
      </w:r>
      <w:r w:rsidR="000209BF">
        <w:rPr>
          <w:iCs/>
        </w:rPr>
        <w:t xml:space="preserve"> and Atripla</w:t>
      </w:r>
      <w:r w:rsidR="008E5FDE">
        <w:rPr>
          <w:iCs/>
        </w:rPr>
        <w:t>, drug costs/patient/year</w:t>
      </w:r>
      <w:r w:rsidR="008520D6">
        <w:rPr>
          <w:iCs/>
        </w:rPr>
        <w:t xml:space="preserve"> are summarised </w:t>
      </w:r>
      <w:r w:rsidR="0000621A">
        <w:rPr>
          <w:iCs/>
        </w:rPr>
        <w:t>below</w:t>
      </w:r>
      <w:r w:rsidR="008E5FDE" w:rsidRPr="008E5FDE">
        <w:rPr>
          <w:iCs/>
        </w:rPr>
        <w:t>.</w:t>
      </w:r>
    </w:p>
    <w:p w:rsidR="0000621A" w:rsidRDefault="0000621A" w:rsidP="008E5FDE">
      <w:pPr>
        <w:ind w:firstLine="709"/>
        <w:rPr>
          <w:rFonts w:ascii="Arial Narrow" w:hAnsi="Arial Narrow"/>
          <w:b/>
          <w:bCs/>
          <w:sz w:val="20"/>
        </w:rPr>
      </w:pPr>
    </w:p>
    <w:p w:rsidR="008E5FDE" w:rsidRPr="0041724F" w:rsidRDefault="008E5FDE" w:rsidP="008E5FDE">
      <w:pPr>
        <w:ind w:firstLine="709"/>
        <w:rPr>
          <w:rFonts w:ascii="Arial Narrow" w:hAnsi="Arial Narrow"/>
          <w:b/>
          <w:bCs/>
          <w:sz w:val="20"/>
        </w:rPr>
      </w:pPr>
      <w:r>
        <w:rPr>
          <w:rFonts w:ascii="Arial Narrow" w:hAnsi="Arial Narrow"/>
          <w:b/>
          <w:bCs/>
          <w:sz w:val="20"/>
        </w:rPr>
        <w:t>Drug cost/patient/year</w:t>
      </w:r>
      <w:r w:rsidRPr="0041724F">
        <w:rPr>
          <w:rFonts w:ascii="Arial Narrow" w:hAnsi="Arial Narrow"/>
          <w:b/>
          <w:bCs/>
          <w:sz w:val="20"/>
        </w:rPr>
        <w:t xml:space="preserve"> </w:t>
      </w:r>
      <w:r>
        <w:rPr>
          <w:rFonts w:ascii="Arial Narrow" w:hAnsi="Arial Narrow"/>
          <w:b/>
          <w:bCs/>
          <w:sz w:val="20"/>
        </w:rPr>
        <w:t>for</w:t>
      </w:r>
      <w:r w:rsidRPr="0041724F">
        <w:rPr>
          <w:rFonts w:ascii="Arial Narrow" w:hAnsi="Arial Narrow"/>
          <w:b/>
          <w:bCs/>
          <w:sz w:val="20"/>
        </w:rPr>
        <w:t xml:space="preserve"> Triumeq</w:t>
      </w:r>
      <w:r w:rsidR="00A60023">
        <w:rPr>
          <w:rFonts w:ascii="Arial Narrow" w:hAnsi="Arial Narrow"/>
          <w:b/>
          <w:bCs/>
          <w:sz w:val="20"/>
        </w:rPr>
        <w:t xml:space="preserve">, </w:t>
      </w:r>
      <w:r w:rsidRPr="0041724F">
        <w:rPr>
          <w:rFonts w:ascii="Arial Narrow" w:hAnsi="Arial Narrow"/>
          <w:b/>
          <w:bCs/>
          <w:sz w:val="20"/>
        </w:rPr>
        <w:t xml:space="preserve">dolutegravir </w:t>
      </w:r>
      <w:r>
        <w:rPr>
          <w:rFonts w:ascii="Arial Narrow" w:hAnsi="Arial Narrow"/>
          <w:b/>
          <w:bCs/>
          <w:sz w:val="20"/>
        </w:rPr>
        <w:t>+</w:t>
      </w:r>
      <w:r w:rsidRPr="0041724F">
        <w:rPr>
          <w:rFonts w:ascii="Arial Narrow" w:hAnsi="Arial Narrow"/>
          <w:b/>
          <w:bCs/>
          <w:sz w:val="20"/>
        </w:rPr>
        <w:t xml:space="preserve"> Kivexa</w:t>
      </w:r>
      <w:r w:rsidR="00A60023">
        <w:rPr>
          <w:rFonts w:ascii="Arial Narrow" w:hAnsi="Arial Narrow"/>
          <w:b/>
          <w:bCs/>
          <w:sz w:val="20"/>
        </w:rPr>
        <w:t xml:space="preserve"> </w:t>
      </w:r>
      <w:r w:rsidR="00A60023" w:rsidRPr="00A2445F">
        <w:rPr>
          <w:rFonts w:ascii="Arial Narrow" w:hAnsi="Arial Narrow"/>
          <w:b/>
          <w:bCs/>
          <w:sz w:val="20"/>
        </w:rPr>
        <w:t>and</w:t>
      </w:r>
      <w:r w:rsidR="00A60023" w:rsidRPr="00A60023">
        <w:rPr>
          <w:rFonts w:ascii="Arial Narrow" w:hAnsi="Arial Narrow"/>
          <w:b/>
          <w:bCs/>
          <w:i/>
          <w:sz w:val="20"/>
        </w:rPr>
        <w:t xml:space="preserve"> </w:t>
      </w:r>
      <w:r w:rsidR="00A60023" w:rsidRPr="000209BF">
        <w:rPr>
          <w:rFonts w:ascii="Arial Narrow" w:hAnsi="Arial Narrow"/>
          <w:b/>
          <w:bCs/>
          <w:sz w:val="20"/>
        </w:rPr>
        <w:t>Atripla</w:t>
      </w:r>
    </w:p>
    <w:tbl>
      <w:tblPr>
        <w:tblStyle w:val="TableGrid"/>
        <w:tblW w:w="0" w:type="auto"/>
        <w:tblInd w:w="709" w:type="dxa"/>
        <w:tblCellMar>
          <w:left w:w="28" w:type="dxa"/>
          <w:right w:w="28" w:type="dxa"/>
        </w:tblCellMar>
        <w:tblLook w:val="04A0" w:firstRow="1" w:lastRow="0" w:firstColumn="1" w:lastColumn="0" w:noHBand="0" w:noVBand="1"/>
      </w:tblPr>
      <w:tblGrid>
        <w:gridCol w:w="2787"/>
        <w:gridCol w:w="2793"/>
        <w:gridCol w:w="2793"/>
      </w:tblGrid>
      <w:tr w:rsidR="005D7F2F" w:rsidRPr="005D7F2F">
        <w:tc>
          <w:tcPr>
            <w:tcW w:w="2787" w:type="dxa"/>
          </w:tcPr>
          <w:p w:rsidR="005D7F2F" w:rsidRPr="005D7F2F" w:rsidRDefault="005D7F2F" w:rsidP="005D7F2F">
            <w:pPr>
              <w:rPr>
                <w:rFonts w:ascii="Arial Narrow" w:hAnsi="Arial Narrow"/>
                <w:sz w:val="20"/>
              </w:rPr>
            </w:pPr>
          </w:p>
        </w:tc>
        <w:tc>
          <w:tcPr>
            <w:tcW w:w="2793" w:type="dxa"/>
            <w:vAlign w:val="center"/>
          </w:tcPr>
          <w:p w:rsidR="005D7F2F" w:rsidRPr="005D7F2F" w:rsidRDefault="005D7F2F" w:rsidP="005D7F2F">
            <w:pPr>
              <w:jc w:val="center"/>
              <w:rPr>
                <w:rFonts w:ascii="Arial Narrow" w:hAnsi="Arial Narrow"/>
                <w:b/>
                <w:bCs/>
                <w:sz w:val="20"/>
              </w:rPr>
            </w:pPr>
            <w:r w:rsidRPr="005D7F2F">
              <w:rPr>
                <w:rFonts w:ascii="Arial Narrow" w:hAnsi="Arial Narrow"/>
                <w:b/>
                <w:bCs/>
                <w:sz w:val="20"/>
              </w:rPr>
              <w:t>S100 Public</w:t>
            </w:r>
          </w:p>
        </w:tc>
        <w:tc>
          <w:tcPr>
            <w:tcW w:w="2793" w:type="dxa"/>
            <w:vAlign w:val="center"/>
          </w:tcPr>
          <w:p w:rsidR="005D7F2F" w:rsidRPr="005D7F2F" w:rsidRDefault="005D7F2F" w:rsidP="005D7F2F">
            <w:pPr>
              <w:jc w:val="center"/>
              <w:rPr>
                <w:rFonts w:ascii="Arial Narrow" w:hAnsi="Arial Narrow"/>
                <w:b/>
                <w:bCs/>
                <w:sz w:val="20"/>
              </w:rPr>
            </w:pPr>
            <w:r w:rsidRPr="005D7F2F">
              <w:rPr>
                <w:rFonts w:ascii="Arial Narrow" w:hAnsi="Arial Narrow"/>
                <w:b/>
                <w:bCs/>
                <w:sz w:val="20"/>
              </w:rPr>
              <w:t>S100 Private</w:t>
            </w:r>
          </w:p>
        </w:tc>
      </w:tr>
      <w:tr w:rsidR="005D7F2F" w:rsidRPr="005D7F2F">
        <w:tc>
          <w:tcPr>
            <w:tcW w:w="2787" w:type="dxa"/>
          </w:tcPr>
          <w:p w:rsidR="005D7F2F" w:rsidRPr="005D7F2F" w:rsidRDefault="005D7F2F" w:rsidP="005D7F2F">
            <w:pPr>
              <w:rPr>
                <w:rFonts w:ascii="Arial Narrow" w:hAnsi="Arial Narrow"/>
                <w:sz w:val="20"/>
              </w:rPr>
            </w:pPr>
            <w:r>
              <w:rPr>
                <w:rFonts w:ascii="Arial Narrow" w:hAnsi="Arial Narrow"/>
                <w:sz w:val="20"/>
              </w:rPr>
              <w:t xml:space="preserve">Triumeq </w:t>
            </w:r>
          </w:p>
        </w:tc>
        <w:tc>
          <w:tcPr>
            <w:tcW w:w="2793" w:type="dxa"/>
            <w:vAlign w:val="center"/>
          </w:tcPr>
          <w:p w:rsidR="005D7F2F" w:rsidRPr="002C14D3" w:rsidRDefault="002C14D3" w:rsidP="005D7F2F">
            <w:pPr>
              <w:jc w:val="center"/>
              <w:rPr>
                <w:rFonts w:ascii="Arial Narrow" w:hAnsi="Arial Narrow"/>
                <w:sz w:val="20"/>
                <w:highlight w:val="black"/>
              </w:rPr>
            </w:pPr>
            <w:r>
              <w:rPr>
                <w:rFonts w:ascii="Arial Narrow" w:hAnsi="Arial Narrow"/>
                <w:noProof/>
                <w:color w:val="000000"/>
                <w:sz w:val="20"/>
                <w:highlight w:val="black"/>
              </w:rPr>
              <w:t>''''''''''''''''''''''''''</w:t>
            </w:r>
          </w:p>
        </w:tc>
        <w:tc>
          <w:tcPr>
            <w:tcW w:w="2793" w:type="dxa"/>
            <w:vAlign w:val="center"/>
          </w:tcPr>
          <w:p w:rsidR="005D7F2F" w:rsidRPr="002C14D3" w:rsidRDefault="002C14D3" w:rsidP="005D7F2F">
            <w:pPr>
              <w:jc w:val="center"/>
              <w:rPr>
                <w:rFonts w:ascii="Arial Narrow" w:hAnsi="Arial Narrow"/>
                <w:sz w:val="20"/>
                <w:highlight w:val="black"/>
              </w:rPr>
            </w:pPr>
            <w:r>
              <w:rPr>
                <w:rFonts w:ascii="Arial Narrow" w:hAnsi="Arial Narrow"/>
                <w:noProof/>
                <w:color w:val="000000"/>
                <w:sz w:val="20"/>
                <w:highlight w:val="black"/>
              </w:rPr>
              <w:t>'''''''''''''''''''''''</w:t>
            </w:r>
          </w:p>
        </w:tc>
      </w:tr>
      <w:tr w:rsidR="005D7F2F" w:rsidRPr="005D7F2F">
        <w:tc>
          <w:tcPr>
            <w:tcW w:w="2787" w:type="dxa"/>
          </w:tcPr>
          <w:p w:rsidR="005D7F2F" w:rsidRPr="005D7F2F" w:rsidRDefault="005D7F2F" w:rsidP="005D7F2F">
            <w:pPr>
              <w:rPr>
                <w:rFonts w:ascii="Arial Narrow" w:hAnsi="Arial Narrow"/>
                <w:sz w:val="20"/>
              </w:rPr>
            </w:pPr>
            <w:r>
              <w:rPr>
                <w:rFonts w:ascii="Arial Narrow" w:hAnsi="Arial Narrow"/>
                <w:sz w:val="20"/>
              </w:rPr>
              <w:t>Dol</w:t>
            </w:r>
            <w:r w:rsidR="003868D1">
              <w:rPr>
                <w:rFonts w:ascii="Arial Narrow" w:hAnsi="Arial Narrow"/>
                <w:sz w:val="20"/>
              </w:rPr>
              <w:t>u</w:t>
            </w:r>
            <w:r>
              <w:rPr>
                <w:rFonts w:ascii="Arial Narrow" w:hAnsi="Arial Narrow"/>
                <w:sz w:val="20"/>
              </w:rPr>
              <w:t>tegravir + Kivexa</w:t>
            </w:r>
          </w:p>
        </w:tc>
        <w:tc>
          <w:tcPr>
            <w:tcW w:w="2793" w:type="dxa"/>
            <w:vAlign w:val="center"/>
          </w:tcPr>
          <w:p w:rsidR="005D7F2F" w:rsidRPr="005D7F2F" w:rsidRDefault="005D7F2F" w:rsidP="005D7F2F">
            <w:pPr>
              <w:jc w:val="center"/>
              <w:rPr>
                <w:rFonts w:ascii="Arial Narrow" w:hAnsi="Arial Narrow"/>
                <w:sz w:val="20"/>
              </w:rPr>
            </w:pPr>
            <w:r>
              <w:rPr>
                <w:rFonts w:ascii="Arial Narrow" w:hAnsi="Arial Narrow"/>
                <w:sz w:val="20"/>
              </w:rPr>
              <w:t>$13,408.84</w:t>
            </w:r>
          </w:p>
        </w:tc>
        <w:tc>
          <w:tcPr>
            <w:tcW w:w="2793" w:type="dxa"/>
            <w:vAlign w:val="center"/>
          </w:tcPr>
          <w:p w:rsidR="005D7F2F" w:rsidRPr="005D7F2F" w:rsidRDefault="005D7F2F" w:rsidP="008E5FDE">
            <w:pPr>
              <w:jc w:val="center"/>
              <w:rPr>
                <w:rFonts w:ascii="Arial Narrow" w:hAnsi="Arial Narrow"/>
                <w:sz w:val="20"/>
              </w:rPr>
            </w:pPr>
            <w:r>
              <w:rPr>
                <w:rFonts w:ascii="Arial Narrow" w:hAnsi="Arial Narrow"/>
                <w:sz w:val="20"/>
              </w:rPr>
              <w:t>$13,</w:t>
            </w:r>
            <w:r w:rsidR="008E5FDE">
              <w:rPr>
                <w:rFonts w:ascii="Arial Narrow" w:hAnsi="Arial Narrow"/>
                <w:sz w:val="20"/>
              </w:rPr>
              <w:t>946.10</w:t>
            </w:r>
          </w:p>
        </w:tc>
      </w:tr>
      <w:tr w:rsidR="00A60023" w:rsidRPr="005D7F2F">
        <w:tc>
          <w:tcPr>
            <w:tcW w:w="2787" w:type="dxa"/>
          </w:tcPr>
          <w:p w:rsidR="00A60023" w:rsidRPr="000209BF" w:rsidRDefault="00A60023" w:rsidP="005D7F2F">
            <w:pPr>
              <w:rPr>
                <w:rFonts w:ascii="Arial Narrow" w:hAnsi="Arial Narrow"/>
                <w:sz w:val="20"/>
              </w:rPr>
            </w:pPr>
            <w:r w:rsidRPr="000209BF">
              <w:rPr>
                <w:rFonts w:ascii="Arial Narrow" w:hAnsi="Arial Narrow"/>
                <w:sz w:val="20"/>
              </w:rPr>
              <w:t>Atripla</w:t>
            </w:r>
          </w:p>
        </w:tc>
        <w:tc>
          <w:tcPr>
            <w:tcW w:w="2793" w:type="dxa"/>
            <w:vAlign w:val="center"/>
          </w:tcPr>
          <w:p w:rsidR="00A60023" w:rsidRPr="000209BF" w:rsidRDefault="00A60023" w:rsidP="005D7F2F">
            <w:pPr>
              <w:jc w:val="center"/>
              <w:rPr>
                <w:rFonts w:ascii="Arial Narrow" w:hAnsi="Arial Narrow"/>
                <w:sz w:val="20"/>
              </w:rPr>
            </w:pPr>
            <w:r w:rsidRPr="000209BF">
              <w:rPr>
                <w:rFonts w:ascii="Arial Narrow" w:hAnsi="Arial Narrow"/>
                <w:sz w:val="20"/>
              </w:rPr>
              <w:t>$12,626.76</w:t>
            </w:r>
          </w:p>
        </w:tc>
        <w:tc>
          <w:tcPr>
            <w:tcW w:w="2793" w:type="dxa"/>
            <w:vAlign w:val="center"/>
          </w:tcPr>
          <w:p w:rsidR="00A60023" w:rsidRPr="000209BF" w:rsidRDefault="00A60023" w:rsidP="008E5FDE">
            <w:pPr>
              <w:jc w:val="center"/>
              <w:rPr>
                <w:rFonts w:ascii="Arial Narrow" w:hAnsi="Arial Narrow"/>
                <w:sz w:val="20"/>
              </w:rPr>
            </w:pPr>
            <w:r w:rsidRPr="000209BF">
              <w:rPr>
                <w:rFonts w:ascii="Arial Narrow" w:hAnsi="Arial Narrow"/>
                <w:sz w:val="20"/>
              </w:rPr>
              <w:t>$12,911.53</w:t>
            </w:r>
          </w:p>
        </w:tc>
      </w:tr>
    </w:tbl>
    <w:p w:rsidR="005D7F2F" w:rsidRPr="005D7F2F" w:rsidRDefault="005D7F2F" w:rsidP="005D7F2F">
      <w:pPr>
        <w:ind w:left="709"/>
      </w:pPr>
    </w:p>
    <w:p w:rsidR="00C25D9C" w:rsidRPr="00F34986" w:rsidRDefault="00A60023" w:rsidP="00A60023">
      <w:pPr>
        <w:pStyle w:val="ListParagraph"/>
        <w:widowControl/>
        <w:numPr>
          <w:ilvl w:val="1"/>
          <w:numId w:val="2"/>
        </w:numPr>
        <w:rPr>
          <w:iCs/>
        </w:rPr>
      </w:pPr>
      <w:r w:rsidRPr="00F34986">
        <w:rPr>
          <w:iCs/>
        </w:rPr>
        <w:t>The ESC noted that the submission assumed relatively more patients substituting Triumeq for dolutegravir + Truvada than for cheaper single tablet FDCs including Atripla. The absolute and relative substitution of Triumeq for other combinations is speculative and has financial implications because of the difference in costs associated with alternative combination regimens.</w:t>
      </w:r>
    </w:p>
    <w:p w:rsidR="00A60023" w:rsidRPr="00A60023" w:rsidRDefault="00A60023" w:rsidP="00A60023">
      <w:pPr>
        <w:pStyle w:val="ListParagraph"/>
        <w:widowControl/>
        <w:rPr>
          <w:i/>
          <w:iCs/>
        </w:rPr>
      </w:pPr>
    </w:p>
    <w:p w:rsidR="00B60939" w:rsidRPr="001944CD" w:rsidRDefault="00B60939" w:rsidP="001944CD">
      <w:pPr>
        <w:rPr>
          <w:b/>
        </w:rPr>
      </w:pPr>
      <w:bookmarkStart w:id="14" w:name="_Toc398632122"/>
      <w:r w:rsidRPr="001944CD">
        <w:rPr>
          <w:b/>
        </w:rPr>
        <w:t>Estimated PBS usage &amp; financial implications</w:t>
      </w:r>
      <w:bookmarkEnd w:id="14"/>
    </w:p>
    <w:p w:rsidR="005F78E3" w:rsidRPr="00A60023" w:rsidRDefault="005F78E3" w:rsidP="005F78E3">
      <w:pPr>
        <w:pStyle w:val="PBACHeading1"/>
        <w:numPr>
          <w:ilvl w:val="0"/>
          <w:numId w:val="0"/>
        </w:numPr>
        <w:ind w:left="720"/>
      </w:pPr>
    </w:p>
    <w:p w:rsidR="007C22E3" w:rsidRPr="004C14AB" w:rsidRDefault="007C22E3" w:rsidP="007C22E3">
      <w:pPr>
        <w:pStyle w:val="ListParagraph"/>
        <w:widowControl/>
        <w:numPr>
          <w:ilvl w:val="1"/>
          <w:numId w:val="2"/>
        </w:numPr>
        <w:rPr>
          <w:bCs/>
          <w:szCs w:val="22"/>
        </w:rPr>
      </w:pPr>
      <w:r w:rsidRPr="004C14AB">
        <w:t xml:space="preserve">The </w:t>
      </w:r>
      <w:r w:rsidRPr="004C14AB">
        <w:rPr>
          <w:iCs/>
        </w:rPr>
        <w:t xml:space="preserve">submission presented a mixed epidemiological and market share approach to estimate the utilisation and financial impact of Triumeq if listed on the PBS. </w:t>
      </w:r>
    </w:p>
    <w:p w:rsidR="007C22E3" w:rsidRPr="007C22E3" w:rsidRDefault="007C22E3" w:rsidP="007C22E3">
      <w:pPr>
        <w:pStyle w:val="ListParagraph"/>
        <w:widowControl/>
        <w:rPr>
          <w:bCs/>
          <w:szCs w:val="22"/>
          <w:highlight w:val="yellow"/>
        </w:rPr>
      </w:pPr>
    </w:p>
    <w:p w:rsidR="007C22E3" w:rsidRPr="00A4415E" w:rsidRDefault="007C22E3" w:rsidP="007C22E3">
      <w:pPr>
        <w:pStyle w:val="ListParagraph"/>
        <w:widowControl/>
        <w:numPr>
          <w:ilvl w:val="1"/>
          <w:numId w:val="2"/>
        </w:numPr>
        <w:rPr>
          <w:bCs/>
          <w:szCs w:val="22"/>
        </w:rPr>
      </w:pPr>
      <w:r w:rsidRPr="004C14AB">
        <w:rPr>
          <w:iCs/>
        </w:rPr>
        <w:t xml:space="preserve">The submission anticipated the listing of Triumeq to impact on two areas of the HIV treatment market: the use of integrase inhibitors (dolutegravir and raltegravir) plus a dual NRTI </w:t>
      </w:r>
      <w:r w:rsidR="00F93BD5">
        <w:rPr>
          <w:iCs/>
        </w:rPr>
        <w:t>FDC</w:t>
      </w:r>
      <w:r w:rsidRPr="004C14AB">
        <w:rPr>
          <w:iCs/>
        </w:rPr>
        <w:t xml:space="preserve"> (Kivexa and Truvada), and the use of alternative single tablet regimens (Atripla, Eviplera, Stribild). </w:t>
      </w:r>
    </w:p>
    <w:p w:rsidR="00447DC9" w:rsidRPr="00B54DC2" w:rsidRDefault="00447DC9" w:rsidP="00447DC9">
      <w:pPr>
        <w:rPr>
          <w:bCs/>
          <w:iCs/>
          <w:szCs w:val="22"/>
        </w:rPr>
      </w:pPr>
    </w:p>
    <w:p w:rsidR="00447DC9" w:rsidRPr="00B54DC2" w:rsidRDefault="00447DC9" w:rsidP="00447DC9">
      <w:pPr>
        <w:pStyle w:val="ListParagraph"/>
        <w:numPr>
          <w:ilvl w:val="1"/>
          <w:numId w:val="2"/>
        </w:numPr>
        <w:rPr>
          <w:bCs/>
          <w:iCs/>
          <w:szCs w:val="22"/>
        </w:rPr>
      </w:pPr>
      <w:r w:rsidRPr="00B54DC2">
        <w:rPr>
          <w:bCs/>
          <w:iCs/>
          <w:szCs w:val="22"/>
        </w:rPr>
        <w:t xml:space="preserve">The </w:t>
      </w:r>
      <w:r w:rsidR="000A26D4">
        <w:rPr>
          <w:bCs/>
          <w:iCs/>
          <w:szCs w:val="22"/>
        </w:rPr>
        <w:t xml:space="preserve">submission’s </w:t>
      </w:r>
      <w:r w:rsidRPr="00B54DC2">
        <w:rPr>
          <w:bCs/>
          <w:iCs/>
          <w:szCs w:val="22"/>
        </w:rPr>
        <w:t xml:space="preserve">predicted number of patients treated with, and costs for </w:t>
      </w:r>
      <w:r w:rsidR="00A4415E">
        <w:rPr>
          <w:bCs/>
          <w:iCs/>
          <w:szCs w:val="22"/>
        </w:rPr>
        <w:t>Triumeq, and t</w:t>
      </w:r>
      <w:r w:rsidRPr="00B54DC2">
        <w:rPr>
          <w:bCs/>
          <w:iCs/>
          <w:szCs w:val="22"/>
        </w:rPr>
        <w:t xml:space="preserve">he net cost offsets to the PBS for substitution of alternative therapies (Atripla, </w:t>
      </w:r>
      <w:r w:rsidRPr="00B54DC2">
        <w:rPr>
          <w:bCs/>
          <w:iCs/>
          <w:szCs w:val="22"/>
        </w:rPr>
        <w:lastRenderedPageBreak/>
        <w:t xml:space="preserve">INI plus Kivexa and INI plus Truvada) </w:t>
      </w:r>
      <w:r w:rsidR="00A4415E">
        <w:rPr>
          <w:bCs/>
          <w:iCs/>
          <w:szCs w:val="22"/>
        </w:rPr>
        <w:t xml:space="preserve">are provided in the </w:t>
      </w:r>
      <w:r w:rsidR="00D954E0">
        <w:rPr>
          <w:bCs/>
          <w:iCs/>
          <w:szCs w:val="22"/>
        </w:rPr>
        <w:t xml:space="preserve">two </w:t>
      </w:r>
      <w:r w:rsidR="00A4415E">
        <w:rPr>
          <w:bCs/>
          <w:iCs/>
          <w:szCs w:val="22"/>
        </w:rPr>
        <w:t>following tables</w:t>
      </w:r>
      <w:r w:rsidR="00A4415E" w:rsidRPr="00B54DC2">
        <w:rPr>
          <w:bCs/>
          <w:iCs/>
          <w:szCs w:val="22"/>
        </w:rPr>
        <w:t>.</w:t>
      </w:r>
    </w:p>
    <w:p w:rsidR="007C22E3" w:rsidRPr="00447DC9" w:rsidRDefault="00BD6405" w:rsidP="00447DC9">
      <w:pPr>
        <w:rPr>
          <w:bCs/>
          <w:i/>
          <w:iCs/>
          <w:szCs w:val="22"/>
        </w:rPr>
      </w:pPr>
      <w:r w:rsidRPr="00B54DC2">
        <w:rPr>
          <w:bCs/>
          <w:iCs/>
          <w:szCs w:val="22"/>
        </w:rPr>
        <w:t xml:space="preserve"> </w:t>
      </w:r>
    </w:p>
    <w:p w:rsidR="00447DC9" w:rsidRPr="00070B80" w:rsidRDefault="00447DC9" w:rsidP="00B262DF">
      <w:pPr>
        <w:widowControl/>
        <w:ind w:firstLine="720"/>
        <w:contextualSpacing/>
        <w:rPr>
          <w:rFonts w:ascii="Arial Narrow" w:hAnsi="Arial Narrow"/>
          <w:b/>
          <w:iCs/>
          <w:sz w:val="20"/>
        </w:rPr>
      </w:pPr>
      <w:r w:rsidRPr="00070B80">
        <w:rPr>
          <w:rFonts w:ascii="Arial Narrow" w:hAnsi="Arial Narrow"/>
          <w:b/>
          <w:iCs/>
          <w:sz w:val="20"/>
        </w:rPr>
        <w:t xml:space="preserve">Estimated cost for Triumeq </w:t>
      </w:r>
    </w:p>
    <w:tbl>
      <w:tblPr>
        <w:tblStyle w:val="TableGrid"/>
        <w:tblW w:w="4594" w:type="pct"/>
        <w:tblInd w:w="737" w:type="dxa"/>
        <w:tblCellMar>
          <w:left w:w="28" w:type="dxa"/>
          <w:right w:w="28" w:type="dxa"/>
        </w:tblCellMar>
        <w:tblLook w:val="04A0" w:firstRow="1" w:lastRow="0" w:firstColumn="1" w:lastColumn="0" w:noHBand="0" w:noVBand="1"/>
      </w:tblPr>
      <w:tblGrid>
        <w:gridCol w:w="2679"/>
        <w:gridCol w:w="968"/>
        <w:gridCol w:w="1175"/>
        <w:gridCol w:w="1175"/>
        <w:gridCol w:w="1175"/>
        <w:gridCol w:w="1173"/>
      </w:tblGrid>
      <w:tr w:rsidR="00447DC9" w:rsidRPr="00070B80">
        <w:tc>
          <w:tcPr>
            <w:tcW w:w="1614" w:type="pct"/>
          </w:tcPr>
          <w:p w:rsidR="00447DC9" w:rsidRPr="00070B80" w:rsidRDefault="00447DC9" w:rsidP="00B54DC2">
            <w:pPr>
              <w:widowControl/>
              <w:contextualSpacing/>
              <w:rPr>
                <w:rFonts w:ascii="Arial Narrow" w:hAnsi="Arial Narrow"/>
                <w:iCs/>
                <w:sz w:val="20"/>
              </w:rPr>
            </w:pPr>
          </w:p>
        </w:tc>
        <w:tc>
          <w:tcPr>
            <w:tcW w:w="536"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2015</w:t>
            </w:r>
          </w:p>
        </w:tc>
        <w:tc>
          <w:tcPr>
            <w:tcW w:w="713"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2016</w:t>
            </w:r>
          </w:p>
        </w:tc>
        <w:tc>
          <w:tcPr>
            <w:tcW w:w="713"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2017</w:t>
            </w:r>
          </w:p>
        </w:tc>
        <w:tc>
          <w:tcPr>
            <w:tcW w:w="713"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2018</w:t>
            </w:r>
          </w:p>
        </w:tc>
        <w:tc>
          <w:tcPr>
            <w:tcW w:w="712"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2019</w:t>
            </w:r>
          </w:p>
        </w:tc>
      </w:tr>
      <w:tr w:rsidR="00447DC9" w:rsidRPr="00070B80">
        <w:tc>
          <w:tcPr>
            <w:tcW w:w="1614"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 xml:space="preserve">Total number of patients </w:t>
            </w:r>
          </w:p>
        </w:tc>
        <w:tc>
          <w:tcPr>
            <w:tcW w:w="536"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1614" w:type="pct"/>
          </w:tcPr>
          <w:p w:rsidR="00447DC9" w:rsidRPr="00070B80" w:rsidRDefault="00447DC9" w:rsidP="00D954E0">
            <w:pPr>
              <w:widowControl/>
              <w:contextualSpacing/>
              <w:rPr>
                <w:rFonts w:ascii="Arial Narrow" w:hAnsi="Arial Narrow"/>
                <w:iCs/>
                <w:sz w:val="20"/>
                <w:vertAlign w:val="superscript"/>
              </w:rPr>
            </w:pPr>
            <w:r w:rsidRPr="00070B80">
              <w:rPr>
                <w:rFonts w:ascii="Arial Narrow" w:hAnsi="Arial Narrow"/>
                <w:iCs/>
                <w:sz w:val="20"/>
              </w:rPr>
              <w:t>Number of packs</w:t>
            </w:r>
          </w:p>
        </w:tc>
        <w:tc>
          <w:tcPr>
            <w:tcW w:w="536"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1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1614"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Total cost of Triumeq to PBS/RPBS</w:t>
            </w:r>
          </w:p>
        </w:tc>
        <w:tc>
          <w:tcPr>
            <w:tcW w:w="536"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1614" w:type="pct"/>
          </w:tcPr>
          <w:p w:rsidR="00447DC9" w:rsidRPr="00070B80" w:rsidRDefault="00447DC9" w:rsidP="00D954E0">
            <w:pPr>
              <w:widowControl/>
              <w:contextualSpacing/>
              <w:rPr>
                <w:rFonts w:ascii="Arial Narrow" w:hAnsi="Arial Narrow"/>
                <w:iCs/>
                <w:sz w:val="20"/>
              </w:rPr>
            </w:pPr>
            <w:r w:rsidRPr="00070B80">
              <w:rPr>
                <w:rFonts w:ascii="Arial Narrow" w:hAnsi="Arial Narrow"/>
                <w:iCs/>
                <w:sz w:val="20"/>
              </w:rPr>
              <w:t>Copayments</w:t>
            </w:r>
          </w:p>
        </w:tc>
        <w:tc>
          <w:tcPr>
            <w:tcW w:w="536"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1614"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Net cost to PBS/RPBS</w:t>
            </w:r>
          </w:p>
        </w:tc>
        <w:tc>
          <w:tcPr>
            <w:tcW w:w="536"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3"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1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bl>
    <w:p w:rsidR="00447DC9" w:rsidRPr="00E749CB" w:rsidRDefault="00447DC9" w:rsidP="00B262DF">
      <w:pPr>
        <w:widowControl/>
        <w:ind w:firstLine="720"/>
        <w:contextualSpacing/>
        <w:rPr>
          <w:rFonts w:ascii="Arial Narrow" w:hAnsi="Arial Narrow"/>
          <w:iCs/>
          <w:sz w:val="20"/>
        </w:rPr>
      </w:pPr>
      <w:r w:rsidRPr="00070B80">
        <w:rPr>
          <w:rFonts w:ascii="Arial Narrow" w:hAnsi="Arial Narrow"/>
          <w:iCs/>
          <w:sz w:val="20"/>
        </w:rPr>
        <w:t>Source: Commentary Table E.2.1</w:t>
      </w:r>
    </w:p>
    <w:p w:rsidR="00447DC9" w:rsidRDefault="00447DC9" w:rsidP="00447DC9">
      <w:pPr>
        <w:widowControl/>
        <w:contextualSpacing/>
        <w:rPr>
          <w:i/>
          <w:iCs/>
        </w:rPr>
      </w:pPr>
    </w:p>
    <w:p w:rsidR="0028787B" w:rsidRPr="0028787B" w:rsidRDefault="0028787B" w:rsidP="0028787B">
      <w:pPr>
        <w:widowControl/>
        <w:ind w:left="709"/>
        <w:contextualSpacing/>
        <w:rPr>
          <w:iCs/>
        </w:rPr>
      </w:pPr>
      <w:r w:rsidRPr="0028787B">
        <w:rPr>
          <w:iCs/>
        </w:rPr>
        <w:t>The redacted table shows:</w:t>
      </w:r>
    </w:p>
    <w:p w:rsidR="0028787B" w:rsidRPr="0028787B" w:rsidRDefault="0028787B" w:rsidP="0028787B">
      <w:pPr>
        <w:widowControl/>
        <w:ind w:left="709"/>
        <w:contextualSpacing/>
        <w:rPr>
          <w:iCs/>
        </w:rPr>
      </w:pPr>
      <w:r w:rsidRPr="0028787B">
        <w:rPr>
          <w:iCs/>
        </w:rPr>
        <w:t>Estimated patient numbers to be less than 10,000 per year;</w:t>
      </w:r>
    </w:p>
    <w:p w:rsidR="0028787B" w:rsidRPr="0028787B" w:rsidRDefault="0028787B" w:rsidP="0028787B">
      <w:pPr>
        <w:widowControl/>
        <w:ind w:left="709"/>
        <w:contextualSpacing/>
        <w:rPr>
          <w:iCs/>
        </w:rPr>
      </w:pPr>
      <w:r w:rsidRPr="0028787B">
        <w:rPr>
          <w:iCs/>
        </w:rPr>
        <w:t>Estimate</w:t>
      </w:r>
      <w:r w:rsidR="00161106">
        <w:rPr>
          <w:iCs/>
        </w:rPr>
        <w:t>d</w:t>
      </w:r>
      <w:r w:rsidRPr="0028787B">
        <w:rPr>
          <w:iCs/>
        </w:rPr>
        <w:t xml:space="preserve"> net cost to the PBS/RPBS </w:t>
      </w:r>
      <w:r w:rsidR="00161106">
        <w:rPr>
          <w:iCs/>
        </w:rPr>
        <w:t xml:space="preserve">for Triumeq </w:t>
      </w:r>
      <w:r w:rsidRPr="0028787B">
        <w:rPr>
          <w:iCs/>
        </w:rPr>
        <w:t>to be less than $10 million per year in year 1 increasing to $30-$60 million per year in year 5.</w:t>
      </w:r>
      <w:r w:rsidRPr="0028787B">
        <w:rPr>
          <w:iCs/>
        </w:rPr>
        <w:tab/>
      </w:r>
    </w:p>
    <w:p w:rsidR="0028787B" w:rsidRDefault="0028787B" w:rsidP="00447DC9">
      <w:pPr>
        <w:widowControl/>
        <w:contextualSpacing/>
        <w:rPr>
          <w:i/>
          <w:iCs/>
        </w:rPr>
      </w:pPr>
    </w:p>
    <w:p w:rsidR="00447DC9" w:rsidRPr="00070B80" w:rsidRDefault="00447DC9" w:rsidP="00B262DF">
      <w:pPr>
        <w:widowControl/>
        <w:ind w:firstLine="720"/>
        <w:contextualSpacing/>
        <w:rPr>
          <w:rFonts w:ascii="Arial Narrow" w:hAnsi="Arial Narrow"/>
          <w:b/>
          <w:iCs/>
          <w:sz w:val="20"/>
        </w:rPr>
      </w:pPr>
      <w:r w:rsidRPr="00070B80">
        <w:rPr>
          <w:rFonts w:ascii="Arial Narrow" w:hAnsi="Arial Narrow"/>
          <w:b/>
          <w:iCs/>
          <w:sz w:val="20"/>
        </w:rPr>
        <w:t>Cost offset for substituted drugs</w:t>
      </w:r>
    </w:p>
    <w:tbl>
      <w:tblPr>
        <w:tblStyle w:val="TableGrid"/>
        <w:tblW w:w="4594" w:type="pct"/>
        <w:tblInd w:w="737" w:type="dxa"/>
        <w:tblCellMar>
          <w:left w:w="28" w:type="dxa"/>
          <w:right w:w="28" w:type="dxa"/>
        </w:tblCellMar>
        <w:tblLook w:val="04A0" w:firstRow="1" w:lastRow="0" w:firstColumn="1" w:lastColumn="0" w:noHBand="0" w:noVBand="1"/>
      </w:tblPr>
      <w:tblGrid>
        <w:gridCol w:w="2678"/>
        <w:gridCol w:w="970"/>
        <w:gridCol w:w="1175"/>
        <w:gridCol w:w="1175"/>
        <w:gridCol w:w="1175"/>
        <w:gridCol w:w="1172"/>
      </w:tblGrid>
      <w:tr w:rsidR="00447DC9" w:rsidRPr="00070B80" w:rsidTr="00D954E0">
        <w:tc>
          <w:tcPr>
            <w:tcW w:w="1605" w:type="pct"/>
          </w:tcPr>
          <w:p w:rsidR="00447DC9" w:rsidRPr="00070B80" w:rsidRDefault="00447DC9" w:rsidP="00B54DC2">
            <w:pPr>
              <w:widowControl/>
              <w:contextualSpacing/>
              <w:rPr>
                <w:rFonts w:ascii="Arial Narrow" w:hAnsi="Arial Narrow"/>
                <w:iCs/>
                <w:sz w:val="20"/>
              </w:rPr>
            </w:pPr>
          </w:p>
        </w:tc>
        <w:tc>
          <w:tcPr>
            <w:tcW w:w="581"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2015</w:t>
            </w:r>
          </w:p>
        </w:tc>
        <w:tc>
          <w:tcPr>
            <w:tcW w:w="704"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2016</w:t>
            </w:r>
          </w:p>
        </w:tc>
        <w:tc>
          <w:tcPr>
            <w:tcW w:w="704"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2017</w:t>
            </w:r>
          </w:p>
        </w:tc>
        <w:tc>
          <w:tcPr>
            <w:tcW w:w="704"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2018</w:t>
            </w:r>
          </w:p>
        </w:tc>
        <w:tc>
          <w:tcPr>
            <w:tcW w:w="702" w:type="pct"/>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2019</w:t>
            </w:r>
          </w:p>
        </w:tc>
      </w:tr>
      <w:tr w:rsidR="00447DC9" w:rsidRPr="00070B80">
        <w:tc>
          <w:tcPr>
            <w:tcW w:w="5000" w:type="pct"/>
            <w:gridSpan w:val="6"/>
          </w:tcPr>
          <w:p w:rsidR="00447DC9" w:rsidRPr="00D954E0" w:rsidRDefault="00447DC9" w:rsidP="00B54DC2">
            <w:pPr>
              <w:widowControl/>
              <w:contextualSpacing/>
              <w:rPr>
                <w:rFonts w:ascii="Arial Narrow" w:hAnsi="Arial Narrow"/>
                <w:b/>
                <w:iCs/>
                <w:sz w:val="20"/>
              </w:rPr>
            </w:pPr>
            <w:r w:rsidRPr="00D954E0">
              <w:rPr>
                <w:rFonts w:ascii="Arial Narrow" w:hAnsi="Arial Narrow"/>
                <w:b/>
                <w:iCs/>
                <w:sz w:val="20"/>
              </w:rPr>
              <w:t>Switching from Atripla (and other single table regimens)</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 xml:space="preserve">Total number of patients </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vertAlign w:val="superscript"/>
              </w:rPr>
            </w:pPr>
            <w:r w:rsidRPr="00070B80">
              <w:rPr>
                <w:rFonts w:ascii="Arial Narrow" w:hAnsi="Arial Narrow"/>
                <w:iCs/>
                <w:sz w:val="20"/>
              </w:rPr>
              <w:t>Number of packs</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Total cost of Triumeq to PBS/RPBS</w:t>
            </w:r>
          </w:p>
        </w:tc>
        <w:tc>
          <w:tcPr>
            <w:tcW w:w="581"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Copayments</w:t>
            </w:r>
          </w:p>
        </w:tc>
        <w:tc>
          <w:tcPr>
            <w:tcW w:w="581"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Net cost to PBS/RPBS</w:t>
            </w:r>
          </w:p>
        </w:tc>
        <w:tc>
          <w:tcPr>
            <w:tcW w:w="581"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5000" w:type="pct"/>
            <w:gridSpan w:val="6"/>
          </w:tcPr>
          <w:p w:rsidR="00447DC9" w:rsidRPr="00D954E0" w:rsidRDefault="00447DC9" w:rsidP="00B54DC2">
            <w:pPr>
              <w:widowControl/>
              <w:contextualSpacing/>
              <w:rPr>
                <w:rFonts w:ascii="Arial Narrow" w:hAnsi="Arial Narrow"/>
                <w:b/>
                <w:iCs/>
                <w:sz w:val="20"/>
              </w:rPr>
            </w:pPr>
            <w:r w:rsidRPr="00D954E0">
              <w:rPr>
                <w:rFonts w:ascii="Arial Narrow" w:hAnsi="Arial Narrow"/>
                <w:b/>
                <w:iCs/>
                <w:sz w:val="20"/>
              </w:rPr>
              <w:t>Switching from INI plus Kivexa</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 xml:space="preserve">Total number of patients </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vertAlign w:val="superscript"/>
              </w:rPr>
            </w:pPr>
            <w:r w:rsidRPr="00070B80">
              <w:rPr>
                <w:rFonts w:ascii="Arial Narrow" w:hAnsi="Arial Narrow"/>
                <w:iCs/>
                <w:sz w:val="20"/>
              </w:rPr>
              <w:t>Number of packs</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Total cost of Triumeq to PBS/RPBS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rsidTr="00D954E0">
        <w:tc>
          <w:tcPr>
            <w:tcW w:w="1605" w:type="pct"/>
          </w:tcPr>
          <w:p w:rsidR="00447DC9" w:rsidRPr="00070B80" w:rsidRDefault="00447DC9" w:rsidP="00D954E0">
            <w:pPr>
              <w:widowControl/>
              <w:contextualSpacing/>
              <w:rPr>
                <w:rFonts w:ascii="Arial Narrow" w:hAnsi="Arial Narrow"/>
                <w:iCs/>
                <w:sz w:val="20"/>
              </w:rPr>
            </w:pPr>
            <w:r w:rsidRPr="00070B80">
              <w:rPr>
                <w:rFonts w:ascii="Arial Narrow" w:hAnsi="Arial Narrow"/>
                <w:iCs/>
                <w:sz w:val="20"/>
              </w:rPr>
              <w:t>Copayments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Net cost to PBS/RPBS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tc>
          <w:tcPr>
            <w:tcW w:w="5000" w:type="pct"/>
            <w:gridSpan w:val="6"/>
          </w:tcPr>
          <w:p w:rsidR="00447DC9" w:rsidRPr="00D954E0" w:rsidRDefault="00447DC9" w:rsidP="00B54DC2">
            <w:pPr>
              <w:widowControl/>
              <w:contextualSpacing/>
              <w:rPr>
                <w:rFonts w:ascii="Arial Narrow" w:hAnsi="Arial Narrow"/>
                <w:b/>
                <w:iCs/>
                <w:sz w:val="20"/>
              </w:rPr>
            </w:pPr>
            <w:r w:rsidRPr="00D954E0">
              <w:rPr>
                <w:rFonts w:ascii="Arial Narrow" w:hAnsi="Arial Narrow"/>
                <w:b/>
                <w:iCs/>
                <w:sz w:val="20"/>
              </w:rPr>
              <w:t>Switching from INI plus Truvada</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 xml:space="preserve">Total number of patients </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vertAlign w:val="superscript"/>
              </w:rPr>
            </w:pPr>
            <w:r w:rsidRPr="00070B80">
              <w:rPr>
                <w:rFonts w:ascii="Arial Narrow" w:hAnsi="Arial Narrow"/>
                <w:iCs/>
                <w:sz w:val="20"/>
              </w:rPr>
              <w:t>Number of packs</w:t>
            </w:r>
          </w:p>
        </w:tc>
        <w:tc>
          <w:tcPr>
            <w:tcW w:w="581"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center"/>
              <w:rPr>
                <w:rFonts w:ascii="Arial Narrow" w:hAnsi="Arial Narrow"/>
                <w:iCs/>
                <w:sz w:val="20"/>
                <w:highlight w:val="black"/>
              </w:rPr>
            </w:pPr>
            <w:r>
              <w:rPr>
                <w:rFonts w:ascii="Arial Narrow" w:hAnsi="Arial Narrow"/>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Total cost of Triumeq to PBS/RPBS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Copayments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Net cost to PBS/RPBS</w:t>
            </w:r>
          </w:p>
        </w:tc>
        <w:tc>
          <w:tcPr>
            <w:tcW w:w="581"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
                <w:iCs/>
                <w:sz w:val="20"/>
                <w:highlight w:val="black"/>
              </w:rPr>
            </w:pPr>
            <w:r>
              <w:rPr>
                <w:rFonts w:ascii="Arial Narrow" w:hAnsi="Arial Narrow"/>
                <w:i/>
                <w:iCs/>
                <w:noProof/>
                <w:color w:val="000000"/>
                <w:sz w:val="20"/>
                <w:highlight w:val="black"/>
              </w:rPr>
              <w:t>'''''''''''''''''''''''''''''</w:t>
            </w:r>
          </w:p>
        </w:tc>
      </w:tr>
      <w:tr w:rsidR="00447DC9" w:rsidRPr="00070B80" w:rsidTr="00D954E0">
        <w:tc>
          <w:tcPr>
            <w:tcW w:w="1605" w:type="pct"/>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Total cost offsets</w:t>
            </w:r>
          </w:p>
        </w:tc>
        <w:tc>
          <w:tcPr>
            <w:tcW w:w="581"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4"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702" w:type="pct"/>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bl>
    <w:p w:rsidR="00D954E0" w:rsidRPr="00070B80" w:rsidRDefault="00D954E0" w:rsidP="00D954E0">
      <w:pPr>
        <w:widowControl/>
        <w:ind w:firstLine="720"/>
        <w:contextualSpacing/>
        <w:rPr>
          <w:rFonts w:ascii="Arial Narrow" w:hAnsi="Arial Narrow"/>
          <w:iCs/>
          <w:sz w:val="20"/>
        </w:rPr>
      </w:pPr>
      <w:r w:rsidRPr="00070B80">
        <w:rPr>
          <w:rFonts w:ascii="Arial Narrow" w:hAnsi="Arial Narrow"/>
          <w:iCs/>
          <w:sz w:val="20"/>
        </w:rPr>
        <w:t>Source: Commentary Table E.3.1</w:t>
      </w:r>
      <w:r>
        <w:rPr>
          <w:rFonts w:ascii="Arial Narrow" w:hAnsi="Arial Narrow"/>
          <w:iCs/>
          <w:sz w:val="20"/>
        </w:rPr>
        <w:t xml:space="preserve">. </w:t>
      </w:r>
      <w:r w:rsidRPr="00070B80">
        <w:rPr>
          <w:rFonts w:ascii="Arial Narrow" w:hAnsi="Arial Narrow"/>
          <w:iCs/>
          <w:sz w:val="20"/>
        </w:rPr>
        <w:t>Text in italics indicate values calculated during the evaluation</w:t>
      </w:r>
      <w:r>
        <w:rPr>
          <w:rFonts w:ascii="Arial Narrow" w:hAnsi="Arial Narrow"/>
          <w:iCs/>
          <w:sz w:val="20"/>
        </w:rPr>
        <w:t>.</w:t>
      </w:r>
    </w:p>
    <w:p w:rsidR="00447DC9" w:rsidRPr="00070B80" w:rsidRDefault="00447DC9" w:rsidP="00B262DF">
      <w:pPr>
        <w:widowControl/>
        <w:ind w:firstLine="720"/>
        <w:contextualSpacing/>
        <w:rPr>
          <w:rFonts w:ascii="Arial Narrow" w:hAnsi="Arial Narrow"/>
          <w:iCs/>
          <w:sz w:val="20"/>
        </w:rPr>
      </w:pPr>
      <w:r w:rsidRPr="00070B80">
        <w:rPr>
          <w:rFonts w:ascii="Arial Narrow" w:hAnsi="Arial Narrow"/>
          <w:iCs/>
          <w:sz w:val="20"/>
        </w:rPr>
        <w:t xml:space="preserve">INI = Integrase Inhibitor </w:t>
      </w:r>
    </w:p>
    <w:p w:rsidR="00161106" w:rsidRDefault="00161106" w:rsidP="00161106">
      <w:pPr>
        <w:pStyle w:val="PBACHeading1"/>
        <w:numPr>
          <w:ilvl w:val="0"/>
          <w:numId w:val="0"/>
        </w:numPr>
        <w:ind w:left="720"/>
      </w:pPr>
    </w:p>
    <w:p w:rsidR="00161106" w:rsidRPr="004F47E1" w:rsidRDefault="00161106" w:rsidP="00161106">
      <w:pPr>
        <w:pStyle w:val="PBACHeading1"/>
        <w:numPr>
          <w:ilvl w:val="0"/>
          <w:numId w:val="0"/>
        </w:numPr>
        <w:ind w:left="720"/>
      </w:pPr>
    </w:p>
    <w:p w:rsidR="00447DC9" w:rsidRPr="00A4415E" w:rsidRDefault="00A4415E" w:rsidP="00A4415E">
      <w:pPr>
        <w:pStyle w:val="ListParagraph"/>
        <w:numPr>
          <w:ilvl w:val="1"/>
          <w:numId w:val="2"/>
        </w:numPr>
        <w:rPr>
          <w:iCs/>
        </w:rPr>
      </w:pPr>
      <w:r>
        <w:rPr>
          <w:iCs/>
        </w:rPr>
        <w:t>The t</w:t>
      </w:r>
      <w:r w:rsidR="00447DC9" w:rsidRPr="00A4415E">
        <w:rPr>
          <w:iCs/>
        </w:rPr>
        <w:t xml:space="preserve">able </w:t>
      </w:r>
      <w:r>
        <w:rPr>
          <w:iCs/>
        </w:rPr>
        <w:t>below</w:t>
      </w:r>
      <w:r w:rsidR="00447DC9" w:rsidRPr="00A4415E">
        <w:rPr>
          <w:iCs/>
        </w:rPr>
        <w:t xml:space="preserve"> summarises the net financial implication for the PBS/RPBS</w:t>
      </w:r>
      <w:r w:rsidR="00BA0A29">
        <w:rPr>
          <w:iCs/>
        </w:rPr>
        <w:t xml:space="preserve"> from the submission</w:t>
      </w:r>
      <w:r w:rsidR="00447DC9" w:rsidRPr="00A4415E">
        <w:rPr>
          <w:iCs/>
        </w:rPr>
        <w:t xml:space="preserve">. </w:t>
      </w:r>
    </w:p>
    <w:p w:rsidR="00447DC9" w:rsidRPr="004F47E1" w:rsidRDefault="00447DC9" w:rsidP="00447DC9">
      <w:pPr>
        <w:widowControl/>
        <w:contextualSpacing/>
        <w:rPr>
          <w:iCs/>
        </w:rPr>
      </w:pPr>
    </w:p>
    <w:p w:rsidR="00447DC9" w:rsidRPr="00070B80" w:rsidRDefault="00447DC9" w:rsidP="00B262DF">
      <w:pPr>
        <w:widowControl/>
        <w:ind w:firstLine="720"/>
        <w:contextualSpacing/>
        <w:rPr>
          <w:rFonts w:ascii="Arial Narrow" w:hAnsi="Arial Narrow"/>
          <w:b/>
          <w:iCs/>
          <w:sz w:val="20"/>
        </w:rPr>
      </w:pPr>
      <w:r w:rsidRPr="00070B80">
        <w:rPr>
          <w:rFonts w:ascii="Arial Narrow" w:hAnsi="Arial Narrow"/>
          <w:b/>
          <w:iCs/>
          <w:sz w:val="20"/>
        </w:rPr>
        <w:t xml:space="preserve">Estimated financial impact on the PBS/RPBS of listing Triumeq </w:t>
      </w:r>
    </w:p>
    <w:tbl>
      <w:tblPr>
        <w:tblStyle w:val="TableGrid"/>
        <w:tblW w:w="0" w:type="auto"/>
        <w:tblInd w:w="737" w:type="dxa"/>
        <w:tblCellMar>
          <w:left w:w="28" w:type="dxa"/>
          <w:right w:w="28" w:type="dxa"/>
        </w:tblCellMar>
        <w:tblLook w:val="04A0" w:firstRow="1" w:lastRow="0" w:firstColumn="1" w:lastColumn="0" w:noHBand="0" w:noVBand="1"/>
      </w:tblPr>
      <w:tblGrid>
        <w:gridCol w:w="2410"/>
        <w:gridCol w:w="1276"/>
        <w:gridCol w:w="1275"/>
        <w:gridCol w:w="1134"/>
        <w:gridCol w:w="1134"/>
        <w:gridCol w:w="1117"/>
      </w:tblGrid>
      <w:tr w:rsidR="00447DC9" w:rsidRPr="00070B80">
        <w:tc>
          <w:tcPr>
            <w:tcW w:w="2410" w:type="dxa"/>
          </w:tcPr>
          <w:p w:rsidR="00447DC9" w:rsidRPr="00070B80" w:rsidRDefault="00447DC9" w:rsidP="00B54DC2">
            <w:pPr>
              <w:widowControl/>
              <w:contextualSpacing/>
              <w:rPr>
                <w:rFonts w:ascii="Arial Narrow" w:hAnsi="Arial Narrow"/>
                <w:iCs/>
                <w:sz w:val="20"/>
              </w:rPr>
            </w:pPr>
          </w:p>
        </w:tc>
        <w:tc>
          <w:tcPr>
            <w:tcW w:w="1276" w:type="dxa"/>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2015</w:t>
            </w:r>
          </w:p>
        </w:tc>
        <w:tc>
          <w:tcPr>
            <w:tcW w:w="1275" w:type="dxa"/>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2016</w:t>
            </w:r>
          </w:p>
        </w:tc>
        <w:tc>
          <w:tcPr>
            <w:tcW w:w="1134" w:type="dxa"/>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2017</w:t>
            </w:r>
          </w:p>
        </w:tc>
        <w:tc>
          <w:tcPr>
            <w:tcW w:w="1134" w:type="dxa"/>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2018</w:t>
            </w:r>
          </w:p>
        </w:tc>
        <w:tc>
          <w:tcPr>
            <w:tcW w:w="1117" w:type="dxa"/>
            <w:vAlign w:val="center"/>
          </w:tcPr>
          <w:p w:rsidR="00447DC9" w:rsidRPr="00070B80" w:rsidRDefault="00447DC9" w:rsidP="00B54DC2">
            <w:pPr>
              <w:widowControl/>
              <w:contextualSpacing/>
              <w:jc w:val="center"/>
              <w:rPr>
                <w:rFonts w:ascii="Arial Narrow" w:hAnsi="Arial Narrow"/>
                <w:b/>
                <w:iCs/>
                <w:sz w:val="20"/>
              </w:rPr>
            </w:pPr>
            <w:r w:rsidRPr="00070B80">
              <w:rPr>
                <w:rFonts w:ascii="Arial Narrow" w:hAnsi="Arial Narrow"/>
                <w:b/>
                <w:iCs/>
                <w:sz w:val="20"/>
              </w:rPr>
              <w:t>2019</w:t>
            </w:r>
          </w:p>
        </w:tc>
      </w:tr>
      <w:tr w:rsidR="00447DC9" w:rsidRPr="00070B80">
        <w:tc>
          <w:tcPr>
            <w:tcW w:w="2410" w:type="dxa"/>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Net cost of listing Triumeq</w:t>
            </w:r>
          </w:p>
        </w:tc>
        <w:tc>
          <w:tcPr>
            <w:tcW w:w="1276"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275"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17"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2410" w:type="dxa"/>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Cost offsets for substituted drugs</w:t>
            </w:r>
          </w:p>
        </w:tc>
        <w:tc>
          <w:tcPr>
            <w:tcW w:w="1276"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275"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17"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r w:rsidR="00447DC9" w:rsidRPr="00070B80">
        <w:tc>
          <w:tcPr>
            <w:tcW w:w="2410" w:type="dxa"/>
          </w:tcPr>
          <w:p w:rsidR="00447DC9" w:rsidRPr="00070B80" w:rsidRDefault="00447DC9" w:rsidP="00B54DC2">
            <w:pPr>
              <w:widowControl/>
              <w:contextualSpacing/>
              <w:rPr>
                <w:rFonts w:ascii="Arial Narrow" w:hAnsi="Arial Narrow"/>
                <w:iCs/>
                <w:sz w:val="20"/>
              </w:rPr>
            </w:pPr>
            <w:r w:rsidRPr="00070B80">
              <w:rPr>
                <w:rFonts w:ascii="Arial Narrow" w:hAnsi="Arial Narrow"/>
                <w:iCs/>
                <w:sz w:val="20"/>
              </w:rPr>
              <w:t>Difference</w:t>
            </w:r>
          </w:p>
        </w:tc>
        <w:tc>
          <w:tcPr>
            <w:tcW w:w="1276"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275"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34"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c>
          <w:tcPr>
            <w:tcW w:w="1117" w:type="dxa"/>
            <w:vAlign w:val="center"/>
          </w:tcPr>
          <w:p w:rsidR="00447DC9" w:rsidRPr="002C14D3" w:rsidRDefault="002C14D3" w:rsidP="00B54DC2">
            <w:pPr>
              <w:widowControl/>
              <w:contextualSpacing/>
              <w:jc w:val="right"/>
              <w:rPr>
                <w:rFonts w:ascii="Arial Narrow" w:hAnsi="Arial Narrow"/>
                <w:iCs/>
                <w:sz w:val="20"/>
                <w:highlight w:val="black"/>
              </w:rPr>
            </w:pPr>
            <w:r>
              <w:rPr>
                <w:rFonts w:ascii="Arial Narrow" w:hAnsi="Arial Narrow"/>
                <w:iCs/>
                <w:noProof/>
                <w:color w:val="000000"/>
                <w:sz w:val="20"/>
                <w:highlight w:val="black"/>
              </w:rPr>
              <w:t>'''''''''''''''''''''''''''''''</w:t>
            </w:r>
          </w:p>
        </w:tc>
      </w:tr>
    </w:tbl>
    <w:p w:rsidR="00447DC9" w:rsidRPr="00070B80" w:rsidRDefault="00447DC9" w:rsidP="00B262DF">
      <w:pPr>
        <w:widowControl/>
        <w:ind w:firstLine="720"/>
        <w:contextualSpacing/>
        <w:rPr>
          <w:rFonts w:ascii="Arial Narrow" w:hAnsi="Arial Narrow"/>
          <w:iCs/>
          <w:sz w:val="20"/>
        </w:rPr>
      </w:pPr>
      <w:r w:rsidRPr="00070B80">
        <w:rPr>
          <w:rFonts w:ascii="Arial Narrow" w:hAnsi="Arial Narrow"/>
          <w:iCs/>
          <w:sz w:val="20"/>
        </w:rPr>
        <w:t>Source: Commentary Table E.3.1</w:t>
      </w:r>
    </w:p>
    <w:p w:rsidR="00F93BD5" w:rsidRDefault="00F93BD5" w:rsidP="0084294C">
      <w:pPr>
        <w:rPr>
          <w:iCs/>
        </w:rPr>
      </w:pPr>
    </w:p>
    <w:p w:rsidR="00161106" w:rsidRPr="0028787B" w:rsidRDefault="000D05C6" w:rsidP="00161106">
      <w:pPr>
        <w:widowControl/>
        <w:ind w:left="709"/>
        <w:contextualSpacing/>
        <w:rPr>
          <w:iCs/>
        </w:rPr>
      </w:pPr>
      <w:r>
        <w:rPr>
          <w:iCs/>
        </w:rPr>
        <w:lastRenderedPageBreak/>
        <w:t>The redacted table shows the e</w:t>
      </w:r>
      <w:r w:rsidR="00161106" w:rsidRPr="0028787B">
        <w:rPr>
          <w:iCs/>
        </w:rPr>
        <w:t>stimate</w:t>
      </w:r>
      <w:r w:rsidR="00161106">
        <w:rPr>
          <w:iCs/>
        </w:rPr>
        <w:t>d financial impact on the PBS/RPBS</w:t>
      </w:r>
      <w:r w:rsidR="00161106" w:rsidRPr="0028787B">
        <w:rPr>
          <w:iCs/>
        </w:rPr>
        <w:t xml:space="preserve"> to be </w:t>
      </w:r>
      <w:r>
        <w:rPr>
          <w:iCs/>
        </w:rPr>
        <w:t>a saving of less than $10 million per year.</w:t>
      </w:r>
    </w:p>
    <w:p w:rsidR="00161106" w:rsidRPr="0084294C" w:rsidRDefault="00161106" w:rsidP="0084294C">
      <w:pPr>
        <w:rPr>
          <w:iCs/>
        </w:rPr>
      </w:pPr>
    </w:p>
    <w:p w:rsidR="00F93BD5" w:rsidRPr="00A4415E" w:rsidRDefault="00F93BD5" w:rsidP="00F93BD5">
      <w:pPr>
        <w:pStyle w:val="ListParagraph"/>
        <w:widowControl/>
        <w:numPr>
          <w:ilvl w:val="1"/>
          <w:numId w:val="2"/>
        </w:numPr>
        <w:rPr>
          <w:bCs/>
          <w:szCs w:val="22"/>
        </w:rPr>
      </w:pPr>
      <w:r>
        <w:rPr>
          <w:iCs/>
        </w:rPr>
        <w:t xml:space="preserve">In summary, </w:t>
      </w:r>
      <w:r w:rsidRPr="00A4415E">
        <w:rPr>
          <w:bCs/>
          <w:szCs w:val="22"/>
        </w:rPr>
        <w:t>DUSC considered the utilisation estimates presented in the submission to be underestimated and cost savings overestimated based on the following issues:</w:t>
      </w:r>
    </w:p>
    <w:p w:rsidR="00F93BD5" w:rsidRPr="00A4415E" w:rsidRDefault="00F93BD5" w:rsidP="00F93BD5">
      <w:pPr>
        <w:pStyle w:val="BodyText"/>
        <w:numPr>
          <w:ilvl w:val="0"/>
          <w:numId w:val="12"/>
        </w:numPr>
        <w:ind w:left="993" w:hanging="284"/>
        <w:jc w:val="both"/>
        <w:rPr>
          <w:b/>
          <w:szCs w:val="22"/>
        </w:rPr>
      </w:pPr>
      <w:r w:rsidRPr="00A4415E">
        <w:rPr>
          <w:szCs w:val="22"/>
        </w:rPr>
        <w:t>The extent of substitution of Truvada</w:t>
      </w:r>
      <w:r w:rsidRPr="00A4415E">
        <w:rPr>
          <w:szCs w:val="22"/>
          <w:vertAlign w:val="superscript"/>
        </w:rPr>
        <w:t xml:space="preserve"> </w:t>
      </w:r>
      <w:r w:rsidRPr="00A4415E">
        <w:rPr>
          <w:szCs w:val="22"/>
        </w:rPr>
        <w:t xml:space="preserve">+ an integrase inhibitor (INI) drives the projected cost saving.  DUSC considers the rate of substitution of Truvada + INI is overestimated in the submission given that Truvada is the NRTI backbone of currently available single tablet regimens. This is not the case for Kivexa patients. </w:t>
      </w:r>
    </w:p>
    <w:p w:rsidR="00F93BD5" w:rsidRPr="00A4415E" w:rsidRDefault="00F93BD5" w:rsidP="00F93BD5">
      <w:pPr>
        <w:pStyle w:val="BodyText"/>
        <w:numPr>
          <w:ilvl w:val="0"/>
          <w:numId w:val="12"/>
        </w:numPr>
        <w:ind w:left="993" w:hanging="284"/>
        <w:jc w:val="both"/>
        <w:rPr>
          <w:b/>
          <w:szCs w:val="22"/>
        </w:rPr>
      </w:pPr>
      <w:r w:rsidRPr="00A4415E">
        <w:rPr>
          <w:szCs w:val="22"/>
        </w:rPr>
        <w:t>A number of data sources used in Section E could not be verified and appear to be based on US estimates. It is unclear how transferrable these estimates are to the Australian context.</w:t>
      </w:r>
    </w:p>
    <w:p w:rsidR="00F93BD5" w:rsidRPr="0084294C" w:rsidRDefault="00F93BD5" w:rsidP="00F93BD5">
      <w:pPr>
        <w:pStyle w:val="BodyText"/>
        <w:numPr>
          <w:ilvl w:val="0"/>
          <w:numId w:val="12"/>
        </w:numPr>
        <w:ind w:left="993" w:hanging="284"/>
        <w:jc w:val="both"/>
        <w:rPr>
          <w:b/>
          <w:szCs w:val="22"/>
        </w:rPr>
      </w:pPr>
      <w:r w:rsidRPr="00A4415E">
        <w:rPr>
          <w:szCs w:val="22"/>
        </w:rPr>
        <w:t>The underlying assumption of no likely growth in the market may not be reasonable given Triumeq offers a different NRTI backbone and this may meet an unmet clinical need for those patients that are not suitable for the current single tablet regimens.</w:t>
      </w:r>
    </w:p>
    <w:p w:rsidR="0084294C" w:rsidRPr="00F93BD5" w:rsidRDefault="0084294C" w:rsidP="0084294C">
      <w:pPr>
        <w:pStyle w:val="BodyText"/>
        <w:ind w:left="993"/>
        <w:jc w:val="both"/>
        <w:rPr>
          <w:b/>
          <w:szCs w:val="22"/>
        </w:rPr>
      </w:pPr>
    </w:p>
    <w:p w:rsidR="00BA0A29" w:rsidRDefault="00BA0A29" w:rsidP="00BA0A29">
      <w:pPr>
        <w:pStyle w:val="ListParagraph"/>
        <w:numPr>
          <w:ilvl w:val="1"/>
          <w:numId w:val="2"/>
        </w:numPr>
        <w:rPr>
          <w:iCs/>
        </w:rPr>
      </w:pPr>
      <w:r>
        <w:rPr>
          <w:iCs/>
        </w:rPr>
        <w:t>The</w:t>
      </w:r>
      <w:r w:rsidRPr="00B54DC2">
        <w:rPr>
          <w:iCs/>
        </w:rPr>
        <w:t xml:space="preserve"> DUSC considered that revised </w:t>
      </w:r>
      <w:r>
        <w:rPr>
          <w:iCs/>
        </w:rPr>
        <w:t>estimates</w:t>
      </w:r>
      <w:r w:rsidRPr="00B54DC2">
        <w:rPr>
          <w:iCs/>
        </w:rPr>
        <w:t xml:space="preserve"> should remove the </w:t>
      </w:r>
      <w:r>
        <w:rPr>
          <w:iCs/>
        </w:rPr>
        <w:t>proportion</w:t>
      </w:r>
      <w:r w:rsidRPr="00B54DC2">
        <w:rPr>
          <w:iCs/>
        </w:rPr>
        <w:t xml:space="preserve"> delaying treatment by one year (small impact), amend the error in proportion of patients on INI + dual NRTI switching from </w:t>
      </w:r>
      <w:r w:rsidR="002C14D3">
        <w:rPr>
          <w:iCs/>
          <w:noProof/>
          <w:color w:val="000000"/>
          <w:highlight w:val="black"/>
        </w:rPr>
        <w:t>''''''''''</w:t>
      </w:r>
      <w:r w:rsidRPr="00B54DC2">
        <w:rPr>
          <w:iCs/>
        </w:rPr>
        <w:t xml:space="preserve"> to </w:t>
      </w:r>
      <w:r w:rsidR="002C14D3">
        <w:rPr>
          <w:iCs/>
          <w:noProof/>
          <w:color w:val="000000"/>
          <w:highlight w:val="black"/>
        </w:rPr>
        <w:t>''''''''''''</w:t>
      </w:r>
      <w:r w:rsidRPr="00B54DC2">
        <w:rPr>
          <w:iCs/>
        </w:rPr>
        <w:t xml:space="preserve"> (small impact), assume a base case estimate of Triumeq uptake in </w:t>
      </w:r>
      <w:r w:rsidR="002C14D3">
        <w:rPr>
          <w:iCs/>
          <w:noProof/>
          <w:color w:val="000000"/>
          <w:highlight w:val="black"/>
        </w:rPr>
        <w:t>'''''''''''</w:t>
      </w:r>
      <w:r w:rsidRPr="00B54DC2">
        <w:rPr>
          <w:iCs/>
        </w:rPr>
        <w:t xml:space="preserve"> rather than </w:t>
      </w:r>
      <w:r w:rsidR="002C14D3">
        <w:rPr>
          <w:iCs/>
          <w:noProof/>
          <w:color w:val="000000"/>
          <w:highlight w:val="black"/>
        </w:rPr>
        <w:t>''''''''''''</w:t>
      </w:r>
      <w:r w:rsidRPr="00B54DC2">
        <w:rPr>
          <w:iCs/>
        </w:rPr>
        <w:t xml:space="preserve"> of patients taking INI + Truvada (large impact), delete the annual Triumeq cessation from Year 1 (small impact), and remove discontinuations from the treatment experienced patients (small impact). </w:t>
      </w:r>
      <w:r w:rsidR="0084294C">
        <w:rPr>
          <w:iCs/>
        </w:rPr>
        <w:t xml:space="preserve">The </w:t>
      </w:r>
      <w:r w:rsidRPr="00B54DC2">
        <w:rPr>
          <w:iCs/>
        </w:rPr>
        <w:t xml:space="preserve">DUSC noted that based on the price of Triumeq proposed in the submission, these changes result in a net cost to the PBS over 5 years rather than a saving. </w:t>
      </w:r>
    </w:p>
    <w:p w:rsidR="00576972" w:rsidRDefault="00576972" w:rsidP="00576972">
      <w:pPr>
        <w:widowControl/>
        <w:rPr>
          <w:szCs w:val="22"/>
        </w:rPr>
      </w:pPr>
    </w:p>
    <w:p w:rsidR="00903D4B" w:rsidRPr="00903D4B" w:rsidRDefault="00903D4B" w:rsidP="00903D4B">
      <w:pPr>
        <w:widowControl/>
        <w:ind w:firstLine="709"/>
        <w:rPr>
          <w:i/>
          <w:szCs w:val="22"/>
        </w:rPr>
      </w:pPr>
      <w:r w:rsidRPr="00903D4B">
        <w:rPr>
          <w:i/>
          <w:szCs w:val="22"/>
        </w:rPr>
        <w:t>For more detail on PBAC’s view, see section 7 “PBAC outcome”</w:t>
      </w:r>
    </w:p>
    <w:p w:rsidR="00903D4B" w:rsidRDefault="00903D4B" w:rsidP="00576972">
      <w:pPr>
        <w:widowControl/>
        <w:rPr>
          <w:szCs w:val="22"/>
        </w:rPr>
      </w:pPr>
    </w:p>
    <w:p w:rsidR="005D4BE9" w:rsidRDefault="005D4BE9" w:rsidP="00576972">
      <w:pPr>
        <w:widowControl/>
        <w:rPr>
          <w:szCs w:val="22"/>
        </w:rPr>
      </w:pPr>
    </w:p>
    <w:p w:rsidR="00D030CA" w:rsidRPr="001944CD" w:rsidRDefault="00D030CA" w:rsidP="001944CD">
      <w:pPr>
        <w:rPr>
          <w:b/>
        </w:rPr>
      </w:pPr>
      <w:bookmarkStart w:id="15" w:name="_Toc398632125"/>
      <w:r w:rsidRPr="001944CD">
        <w:rPr>
          <w:b/>
        </w:rPr>
        <w:t xml:space="preserve">Request under </w:t>
      </w:r>
      <w:r w:rsidR="00C32C8F" w:rsidRPr="001944CD">
        <w:rPr>
          <w:b/>
        </w:rPr>
        <w:t>s</w:t>
      </w:r>
      <w:r w:rsidRPr="001944CD">
        <w:rPr>
          <w:b/>
        </w:rPr>
        <w:t xml:space="preserve">ubsection 101(4AC) of the </w:t>
      </w:r>
      <w:r w:rsidR="00C21B06" w:rsidRPr="001944CD">
        <w:rPr>
          <w:b/>
        </w:rPr>
        <w:t xml:space="preserve">National Health </w:t>
      </w:r>
      <w:bookmarkEnd w:id="15"/>
      <w:r w:rsidR="00F93BD5" w:rsidRPr="001944CD">
        <w:rPr>
          <w:b/>
        </w:rPr>
        <w:t>Act</w:t>
      </w:r>
      <w:r w:rsidR="00C21B06" w:rsidRPr="001944CD">
        <w:rPr>
          <w:b/>
        </w:rPr>
        <w:t xml:space="preserve"> 1953 (‘the Act’)</w:t>
      </w:r>
    </w:p>
    <w:p w:rsidR="00576972" w:rsidRDefault="00576972" w:rsidP="00576972">
      <w:pPr>
        <w:widowControl/>
        <w:rPr>
          <w:szCs w:val="22"/>
        </w:rPr>
      </w:pPr>
    </w:p>
    <w:p w:rsidR="0071549F" w:rsidRDefault="00540671" w:rsidP="0071549F">
      <w:pPr>
        <w:pStyle w:val="ListParagraph"/>
        <w:widowControl/>
        <w:numPr>
          <w:ilvl w:val="1"/>
          <w:numId w:val="2"/>
        </w:numPr>
      </w:pPr>
      <w:r w:rsidRPr="00CB795C">
        <w:t>The sub</w:t>
      </w:r>
      <w:r>
        <w:t xml:space="preserve">mission </w:t>
      </w:r>
      <w:r w:rsidR="000A26D4">
        <w:t>requested</w:t>
      </w:r>
      <w:r>
        <w:t xml:space="preserve"> the PBAC </w:t>
      </w:r>
      <w:r w:rsidR="00FE31AB">
        <w:t xml:space="preserve">provide </w:t>
      </w:r>
      <w:r>
        <w:t>advi</w:t>
      </w:r>
      <w:r w:rsidR="00FE31AB">
        <w:t>c</w:t>
      </w:r>
      <w:r>
        <w:t xml:space="preserve">e </w:t>
      </w:r>
      <w:r w:rsidR="00FE31AB">
        <w:t xml:space="preserve">to </w:t>
      </w:r>
      <w:r>
        <w:t xml:space="preserve">the Minister under </w:t>
      </w:r>
      <w:r w:rsidR="00C32C8F">
        <w:t>sub</w:t>
      </w:r>
      <w:r>
        <w:t>section 101(4AC) of the Act</w:t>
      </w:r>
      <w:r w:rsidR="00FE31AB">
        <w:t>.</w:t>
      </w:r>
      <w:r>
        <w:t xml:space="preserve"> </w:t>
      </w:r>
      <w:r w:rsidR="00FE31AB">
        <w:t xml:space="preserve">The submission also noted that if such advice is given, </w:t>
      </w:r>
      <w:r w:rsidRPr="00171927">
        <w:t xml:space="preserve">the price of Triumeq </w:t>
      </w:r>
      <w:r w:rsidR="00FE31AB">
        <w:t xml:space="preserve">could </w:t>
      </w:r>
      <w:r w:rsidRPr="00171927">
        <w:t>be maintained</w:t>
      </w:r>
      <w:r w:rsidR="000A26D4">
        <w:t xml:space="preserve"> [sic]</w:t>
      </w:r>
      <w:r w:rsidR="00FE31AB">
        <w:t>, at the Ministers discretion,</w:t>
      </w:r>
      <w:r w:rsidRPr="00171927">
        <w:t xml:space="preserve"> in the event of any future reductions in the price of abacavir or lamivudine</w:t>
      </w:r>
      <w:r w:rsidR="00BB70C7">
        <w:t>.</w:t>
      </w:r>
      <w:r>
        <w:t xml:space="preserve"> The framework from </w:t>
      </w:r>
      <w:r w:rsidRPr="00895D4B">
        <w:t>Compliance to Medicines Working Group Report to PBAC April 2010</w:t>
      </w:r>
      <w:r>
        <w:t xml:space="preserve"> is used as the basis to address the submission’s request.</w:t>
      </w:r>
    </w:p>
    <w:p w:rsidR="0071549F" w:rsidRDefault="0071549F" w:rsidP="00BA370D">
      <w:pPr>
        <w:widowControl/>
        <w:ind w:left="720"/>
      </w:pPr>
    </w:p>
    <w:p w:rsidR="00BA370D" w:rsidRDefault="00BA370D" w:rsidP="00BA370D">
      <w:pPr>
        <w:pStyle w:val="BodyText"/>
        <w:ind w:firstLine="720"/>
        <w:rPr>
          <w:b/>
          <w:iCs/>
        </w:rPr>
      </w:pPr>
      <w:r>
        <w:t xml:space="preserve">Section </w:t>
      </w:r>
      <w:r w:rsidRPr="00AC5820">
        <w:rPr>
          <w:iCs/>
        </w:rPr>
        <w:t xml:space="preserve">101(4AC) of the Act </w:t>
      </w:r>
      <w:r>
        <w:rPr>
          <w:iCs/>
        </w:rPr>
        <w:t>states that:</w:t>
      </w:r>
    </w:p>
    <w:p w:rsidR="00BA370D" w:rsidRPr="00F93BD5" w:rsidRDefault="00BA370D" w:rsidP="00F93BD5">
      <w:pPr>
        <w:pStyle w:val="BodyText"/>
        <w:ind w:left="993"/>
        <w:rPr>
          <w:b/>
          <w:i/>
        </w:rPr>
      </w:pPr>
      <w:r w:rsidRPr="00F93BD5">
        <w:rPr>
          <w:i/>
        </w:rPr>
        <w:t>If the Committee is satisfied that the therapy involving a combination item provides, for some patients:</w:t>
      </w:r>
    </w:p>
    <w:p w:rsidR="00BA370D" w:rsidRPr="00F93BD5" w:rsidRDefault="00BA370D" w:rsidP="00F93BD5">
      <w:pPr>
        <w:pStyle w:val="BodyText"/>
        <w:numPr>
          <w:ilvl w:val="0"/>
          <w:numId w:val="10"/>
        </w:numPr>
        <w:tabs>
          <w:tab w:val="left" w:pos="1418"/>
        </w:tabs>
        <w:ind w:left="993" w:firstLine="0"/>
        <w:rPr>
          <w:b/>
          <w:i/>
        </w:rPr>
      </w:pPr>
      <w:r w:rsidRPr="00F93BD5">
        <w:rPr>
          <w:i/>
        </w:rPr>
        <w:t>a significant improvement in patient compliance with the therapy; or</w:t>
      </w:r>
    </w:p>
    <w:p w:rsidR="00BA370D" w:rsidRPr="00F93BD5" w:rsidRDefault="00BA370D" w:rsidP="00F93BD5">
      <w:pPr>
        <w:pStyle w:val="BodyText"/>
        <w:numPr>
          <w:ilvl w:val="0"/>
          <w:numId w:val="10"/>
        </w:numPr>
        <w:tabs>
          <w:tab w:val="left" w:pos="1418"/>
        </w:tabs>
        <w:ind w:left="993" w:firstLine="0"/>
        <w:rPr>
          <w:b/>
          <w:i/>
        </w:rPr>
      </w:pPr>
      <w:r w:rsidRPr="00F93BD5">
        <w:rPr>
          <w:i/>
        </w:rPr>
        <w:t>a significant improvement in efficacy or reduction in toxicity;</w:t>
      </w:r>
    </w:p>
    <w:p w:rsidR="00BA370D" w:rsidRPr="00F93BD5" w:rsidRDefault="00BA370D" w:rsidP="00F93BD5">
      <w:pPr>
        <w:pStyle w:val="BodyText"/>
        <w:ind w:left="993"/>
        <w:rPr>
          <w:b/>
          <w:i/>
        </w:rPr>
      </w:pPr>
      <w:r w:rsidRPr="00F93BD5">
        <w:rPr>
          <w:i/>
        </w:rPr>
        <w:t>over alternative therapies, then the Committee must advise the Minister accordingly.</w:t>
      </w:r>
    </w:p>
    <w:p w:rsidR="00BA370D" w:rsidRDefault="00BA370D" w:rsidP="00BA370D">
      <w:pPr>
        <w:widowControl/>
        <w:ind w:left="720"/>
      </w:pPr>
    </w:p>
    <w:p w:rsidR="00BA370D" w:rsidRDefault="00BA370D" w:rsidP="00BA370D">
      <w:pPr>
        <w:pStyle w:val="ListParagraph"/>
        <w:widowControl/>
        <w:numPr>
          <w:ilvl w:val="1"/>
          <w:numId w:val="2"/>
        </w:numPr>
      </w:pPr>
      <w:r>
        <w:t xml:space="preserve">The submission makes a claim of both improved compliance and improved </w:t>
      </w:r>
      <w:r w:rsidR="003B76F9">
        <w:t>efficacy and reduced toxicity.</w:t>
      </w:r>
    </w:p>
    <w:p w:rsidR="00BA370D" w:rsidRDefault="00BA370D" w:rsidP="003A3CFD">
      <w:pPr>
        <w:widowControl/>
      </w:pPr>
    </w:p>
    <w:p w:rsidR="00150C68" w:rsidRPr="00EA1479" w:rsidRDefault="00515C96" w:rsidP="00EA1479">
      <w:pPr>
        <w:pStyle w:val="ListParagraph"/>
        <w:widowControl/>
        <w:numPr>
          <w:ilvl w:val="1"/>
          <w:numId w:val="2"/>
        </w:numPr>
      </w:pPr>
      <w:r>
        <w:rPr>
          <w:bCs/>
          <w:szCs w:val="22"/>
        </w:rPr>
        <w:lastRenderedPageBreak/>
        <w:t xml:space="preserve">The PBAC agreed with </w:t>
      </w:r>
      <w:r w:rsidR="00AC59DD">
        <w:rPr>
          <w:bCs/>
          <w:szCs w:val="22"/>
        </w:rPr>
        <w:t>the</w:t>
      </w:r>
      <w:r>
        <w:rPr>
          <w:bCs/>
          <w:szCs w:val="22"/>
        </w:rPr>
        <w:t xml:space="preserve"> </w:t>
      </w:r>
      <w:r w:rsidR="00150C68">
        <w:rPr>
          <w:bCs/>
          <w:szCs w:val="22"/>
        </w:rPr>
        <w:t xml:space="preserve">DUSC </w:t>
      </w:r>
      <w:r>
        <w:rPr>
          <w:bCs/>
          <w:szCs w:val="22"/>
        </w:rPr>
        <w:t xml:space="preserve">that </w:t>
      </w:r>
      <w:r w:rsidR="00150C68">
        <w:rPr>
          <w:bCs/>
          <w:szCs w:val="22"/>
        </w:rPr>
        <w:t xml:space="preserve">the claim of improved compliance over the alternative therapy nominated in the submission (dolutegravir + Kivexa) </w:t>
      </w:r>
      <w:r w:rsidR="00F93BD5">
        <w:rPr>
          <w:bCs/>
          <w:szCs w:val="22"/>
        </w:rPr>
        <w:t>was</w:t>
      </w:r>
      <w:r w:rsidR="00C111D6">
        <w:rPr>
          <w:bCs/>
          <w:szCs w:val="22"/>
        </w:rPr>
        <w:t xml:space="preserve"> not reliably demonstrated based on the following issues:</w:t>
      </w:r>
    </w:p>
    <w:p w:rsidR="00150C68" w:rsidRPr="00C111D6" w:rsidRDefault="00150C68" w:rsidP="00F93BD5">
      <w:pPr>
        <w:pStyle w:val="BodyText"/>
        <w:numPr>
          <w:ilvl w:val="0"/>
          <w:numId w:val="11"/>
        </w:numPr>
        <w:ind w:left="993" w:hanging="284"/>
        <w:rPr>
          <w:b/>
          <w:szCs w:val="22"/>
        </w:rPr>
      </w:pPr>
      <w:r w:rsidRPr="00C111D6">
        <w:rPr>
          <w:szCs w:val="22"/>
        </w:rPr>
        <w:t>No data are presented using the Triumeq combination item</w:t>
      </w:r>
      <w:r w:rsidR="00EA1479">
        <w:rPr>
          <w:szCs w:val="22"/>
        </w:rPr>
        <w:t>;</w:t>
      </w:r>
    </w:p>
    <w:p w:rsidR="00150C68" w:rsidRPr="00EA1479" w:rsidRDefault="00150C68" w:rsidP="00F93BD5">
      <w:pPr>
        <w:pStyle w:val="BodyText"/>
        <w:numPr>
          <w:ilvl w:val="0"/>
          <w:numId w:val="11"/>
        </w:numPr>
        <w:ind w:left="993" w:hanging="284"/>
        <w:rPr>
          <w:szCs w:val="22"/>
        </w:rPr>
      </w:pPr>
      <w:r w:rsidRPr="00C111D6">
        <w:rPr>
          <w:szCs w:val="22"/>
        </w:rPr>
        <w:t>The comparative compliance of Triumeq and the alternative therapy has not been measured</w:t>
      </w:r>
      <w:r w:rsidR="00EA1479">
        <w:rPr>
          <w:szCs w:val="22"/>
        </w:rPr>
        <w:t>;</w:t>
      </w:r>
    </w:p>
    <w:p w:rsidR="00150C68" w:rsidRPr="00EA1479" w:rsidRDefault="00150C68" w:rsidP="00F93BD5">
      <w:pPr>
        <w:pStyle w:val="BodyText"/>
        <w:numPr>
          <w:ilvl w:val="0"/>
          <w:numId w:val="11"/>
        </w:numPr>
        <w:ind w:left="993" w:hanging="284"/>
        <w:rPr>
          <w:szCs w:val="22"/>
        </w:rPr>
      </w:pPr>
      <w:r w:rsidRPr="00C111D6">
        <w:rPr>
          <w:szCs w:val="22"/>
        </w:rPr>
        <w:t>The external validity of the data presented is questionable given potential differences in treatment and health systems that may influence compliance</w:t>
      </w:r>
      <w:r w:rsidR="00EA1479">
        <w:rPr>
          <w:szCs w:val="22"/>
        </w:rPr>
        <w:t>;</w:t>
      </w:r>
    </w:p>
    <w:p w:rsidR="00150C68" w:rsidRPr="00EA1479" w:rsidRDefault="00150C68" w:rsidP="00F93BD5">
      <w:pPr>
        <w:pStyle w:val="BodyText"/>
        <w:numPr>
          <w:ilvl w:val="0"/>
          <w:numId w:val="11"/>
        </w:numPr>
        <w:ind w:left="993" w:hanging="284"/>
        <w:rPr>
          <w:szCs w:val="22"/>
        </w:rPr>
      </w:pPr>
      <w:r w:rsidRPr="00C111D6">
        <w:rPr>
          <w:szCs w:val="22"/>
        </w:rPr>
        <w:t>No clear association between a change in compliance and clinical outcome has been established in the studies presented and particularly not for Triumeq or the nominated alternative therapy</w:t>
      </w:r>
      <w:r w:rsidR="00EA1479">
        <w:rPr>
          <w:szCs w:val="22"/>
        </w:rPr>
        <w:t>;</w:t>
      </w:r>
    </w:p>
    <w:p w:rsidR="00150C68" w:rsidRDefault="00150C68" w:rsidP="00F93BD5">
      <w:pPr>
        <w:pStyle w:val="BodyText"/>
        <w:numPr>
          <w:ilvl w:val="0"/>
          <w:numId w:val="11"/>
        </w:numPr>
        <w:ind w:left="993" w:hanging="284"/>
        <w:rPr>
          <w:szCs w:val="22"/>
        </w:rPr>
      </w:pPr>
      <w:r w:rsidRPr="00C111D6">
        <w:rPr>
          <w:szCs w:val="22"/>
        </w:rPr>
        <w:t>The relative impact and extent of cost on compliance decisions about HIV treatment has not been established in Australia</w:t>
      </w:r>
      <w:r w:rsidR="00F93BD5">
        <w:rPr>
          <w:szCs w:val="22"/>
        </w:rPr>
        <w:t>.</w:t>
      </w:r>
    </w:p>
    <w:p w:rsidR="00EA1479" w:rsidRPr="00EA1479" w:rsidRDefault="00EA1479" w:rsidP="00EA1479">
      <w:pPr>
        <w:pStyle w:val="BodyText"/>
        <w:ind w:left="992"/>
        <w:rPr>
          <w:szCs w:val="22"/>
        </w:rPr>
      </w:pPr>
    </w:p>
    <w:p w:rsidR="00F93BD5" w:rsidRDefault="00D165C1" w:rsidP="00F93BD5">
      <w:pPr>
        <w:pStyle w:val="ListParagraph"/>
        <w:widowControl/>
        <w:numPr>
          <w:ilvl w:val="1"/>
          <w:numId w:val="2"/>
        </w:numPr>
      </w:pPr>
      <w:r>
        <w:rPr>
          <w:bCs/>
          <w:szCs w:val="22"/>
        </w:rPr>
        <w:t xml:space="preserve">The </w:t>
      </w:r>
      <w:r w:rsidR="00515C96">
        <w:rPr>
          <w:bCs/>
          <w:szCs w:val="22"/>
        </w:rPr>
        <w:t xml:space="preserve">PBAC accepted the </w:t>
      </w:r>
      <w:r w:rsidR="00A60234" w:rsidRPr="00F34986">
        <w:t xml:space="preserve">ESC </w:t>
      </w:r>
      <w:r w:rsidR="00515C96">
        <w:t xml:space="preserve">advice </w:t>
      </w:r>
      <w:r w:rsidR="00A60234" w:rsidRPr="00F34986">
        <w:t>that t</w:t>
      </w:r>
      <w:r w:rsidR="00540671" w:rsidRPr="00F34986">
        <w:t xml:space="preserve">he data </w:t>
      </w:r>
      <w:r w:rsidR="006E76A8" w:rsidRPr="00F34986">
        <w:t xml:space="preserve">provided in the submission on compliance to </w:t>
      </w:r>
      <w:r w:rsidR="00A77FB3" w:rsidRPr="00F34986">
        <w:t>1</w:t>
      </w:r>
      <w:r w:rsidR="006E76A8" w:rsidRPr="00F34986">
        <w:t xml:space="preserve">, </w:t>
      </w:r>
      <w:r w:rsidR="00A77FB3" w:rsidRPr="00F34986">
        <w:t xml:space="preserve">2 </w:t>
      </w:r>
      <w:r w:rsidR="006E76A8" w:rsidRPr="00F34986">
        <w:t xml:space="preserve">or </w:t>
      </w:r>
      <w:r w:rsidR="00A77FB3" w:rsidRPr="00F34986">
        <w:t xml:space="preserve">3 </w:t>
      </w:r>
      <w:r w:rsidR="006E76A8" w:rsidRPr="00F34986">
        <w:t xml:space="preserve">or more pills per day and the impact on health outcomes using an arbitrary medication possession ratio </w:t>
      </w:r>
      <w:r w:rsidR="00F93BD5">
        <w:t>did</w:t>
      </w:r>
      <w:r w:rsidR="00F93BD5" w:rsidRPr="00F34986">
        <w:t xml:space="preserve"> </w:t>
      </w:r>
      <w:r w:rsidR="003F0A37" w:rsidRPr="00F34986">
        <w:t xml:space="preserve">not adequately support a claim for a </w:t>
      </w:r>
      <w:r w:rsidR="00530B75">
        <w:t>significant</w:t>
      </w:r>
      <w:r w:rsidR="00530B75" w:rsidRPr="00F34986">
        <w:t xml:space="preserve"> </w:t>
      </w:r>
      <w:r w:rsidR="003F0A37" w:rsidRPr="00F34986">
        <w:t xml:space="preserve">clinical benefit for the Triumeq FDC versus Kivexa plus </w:t>
      </w:r>
      <w:r w:rsidR="009068BD" w:rsidRPr="00F34986">
        <w:t>d</w:t>
      </w:r>
      <w:r w:rsidR="009E1F02" w:rsidRPr="00F34986">
        <w:t>olutegravir. The data</w:t>
      </w:r>
      <w:r w:rsidR="003F0A37" w:rsidRPr="00F34986">
        <w:t xml:space="preserve"> </w:t>
      </w:r>
      <w:r w:rsidR="009E1F02" w:rsidRPr="00F34986">
        <w:t>wa</w:t>
      </w:r>
      <w:r w:rsidR="00540671" w:rsidRPr="00F34986">
        <w:t>s not directly relevant to Triumeq or its components, as no patients used Triumeq and very few patients in the stu</w:t>
      </w:r>
      <w:r w:rsidR="00200E83" w:rsidRPr="00F34986">
        <w:t>dies used integrase inhibitors.</w:t>
      </w:r>
      <w:r w:rsidR="00540671" w:rsidRPr="00F34986">
        <w:t xml:space="preserve"> </w:t>
      </w:r>
      <w:r w:rsidR="00515C96">
        <w:t>I</w:t>
      </w:r>
      <w:r w:rsidR="00A60234" w:rsidRPr="00F34986">
        <w:t>n particular that</w:t>
      </w:r>
      <w:r w:rsidR="009E1F02" w:rsidRPr="00F34986">
        <w:t xml:space="preserve"> dolutegravir-based regimens might be more robust in the face of reduced compliance because</w:t>
      </w:r>
      <w:r w:rsidR="00A60234" w:rsidRPr="00F34986">
        <w:t xml:space="preserve"> </w:t>
      </w:r>
      <w:r w:rsidR="00540671" w:rsidRPr="00F34986">
        <w:t xml:space="preserve">the half-life of </w:t>
      </w:r>
      <w:r w:rsidR="009E1F02" w:rsidRPr="00F34986">
        <w:t>dolutegravir is</w:t>
      </w:r>
      <w:r w:rsidR="00A60234" w:rsidRPr="00F34986">
        <w:t xml:space="preserve"> generally greater than the </w:t>
      </w:r>
      <w:r w:rsidR="009068BD" w:rsidRPr="00F34986">
        <w:t>protease inhibitor</w:t>
      </w:r>
      <w:r w:rsidR="009E1F02" w:rsidRPr="00F34986">
        <w:t>-based regimens</w:t>
      </w:r>
      <w:r w:rsidR="00A60234" w:rsidRPr="00F34986">
        <w:t xml:space="preserve"> described in the presented </w:t>
      </w:r>
      <w:r w:rsidR="00F82669" w:rsidRPr="00F34986">
        <w:t>data,</w:t>
      </w:r>
      <w:r w:rsidR="009E1F02" w:rsidRPr="00F34986">
        <w:t xml:space="preserve"> and</w:t>
      </w:r>
      <w:r w:rsidR="00F82669" w:rsidRPr="00F34986">
        <w:t xml:space="preserve"> because</w:t>
      </w:r>
      <w:r w:rsidR="009E1F02" w:rsidRPr="00F34986">
        <w:t xml:space="preserve"> </w:t>
      </w:r>
      <w:r w:rsidR="00A60234" w:rsidRPr="00F34986">
        <w:t xml:space="preserve">the barrier to </w:t>
      </w:r>
      <w:r w:rsidR="00241783" w:rsidRPr="00F34986">
        <w:t xml:space="preserve">development of genetic </w:t>
      </w:r>
      <w:r w:rsidR="00A60234" w:rsidRPr="00F34986">
        <w:t xml:space="preserve">resistance for dolutegravir containing regimens appears high </w:t>
      </w:r>
      <w:r w:rsidR="00241783" w:rsidRPr="00F34986">
        <w:t xml:space="preserve">even among treatment experienced patients </w:t>
      </w:r>
      <w:r w:rsidR="00A60234" w:rsidRPr="00F34986">
        <w:t>(SAILING)</w:t>
      </w:r>
      <w:r w:rsidR="009E1F02" w:rsidRPr="00F34986">
        <w:t xml:space="preserve">. </w:t>
      </w:r>
    </w:p>
    <w:p w:rsidR="00F93BD5" w:rsidRDefault="00F93BD5" w:rsidP="00F93BD5">
      <w:pPr>
        <w:pStyle w:val="ListParagraph"/>
        <w:widowControl/>
      </w:pPr>
    </w:p>
    <w:p w:rsidR="00F93BD5" w:rsidRDefault="00F93BD5" w:rsidP="00F93BD5">
      <w:pPr>
        <w:pStyle w:val="ListParagraph"/>
        <w:widowControl/>
        <w:numPr>
          <w:ilvl w:val="1"/>
          <w:numId w:val="2"/>
        </w:numPr>
      </w:pPr>
      <w:r>
        <w:t>The</w:t>
      </w:r>
      <w:r w:rsidR="00D165C1">
        <w:t xml:space="preserve"> </w:t>
      </w:r>
      <w:r w:rsidR="00515C96">
        <w:t xml:space="preserve">PBAC also agreed with the </w:t>
      </w:r>
      <w:r w:rsidR="009E1F02" w:rsidRPr="00F34986">
        <w:t xml:space="preserve">ESC </w:t>
      </w:r>
      <w:r w:rsidR="00241783" w:rsidRPr="00F34986">
        <w:t>that the observed differences in compliance among those receiving 1 versus 2 dose per day regimens</w:t>
      </w:r>
      <w:r w:rsidR="00B97E2F" w:rsidRPr="00F34986">
        <w:t>,</w:t>
      </w:r>
      <w:r w:rsidR="00241783" w:rsidRPr="00F34986">
        <w:t xml:space="preserve"> </w:t>
      </w:r>
      <w:r w:rsidR="00B97E2F" w:rsidRPr="00F34986">
        <w:t xml:space="preserve">although statistically significant, </w:t>
      </w:r>
      <w:r w:rsidR="00241783" w:rsidRPr="00F34986">
        <w:t xml:space="preserve">appeared trivial </w:t>
      </w:r>
      <w:r w:rsidR="00B97E2F" w:rsidRPr="00F34986">
        <w:t xml:space="preserve">and of doubtful significance (median </w:t>
      </w:r>
      <w:r w:rsidR="009068BD" w:rsidRPr="00F34986">
        <w:t xml:space="preserve">medication possession ratio </w:t>
      </w:r>
      <w:r w:rsidR="00B97E2F" w:rsidRPr="00F34986">
        <w:t>= 0.95 vs 0.94</w:t>
      </w:r>
      <w:r w:rsidR="00241783" w:rsidRPr="00F34986">
        <w:t>), and that drawing inferences from the observational data presented was limited by potenti</w:t>
      </w:r>
      <w:r w:rsidR="00200E83" w:rsidRPr="00F34986">
        <w:t>al for significant confounding.</w:t>
      </w:r>
      <w:r>
        <w:t xml:space="preserve"> </w:t>
      </w:r>
    </w:p>
    <w:p w:rsidR="00F93BD5" w:rsidRDefault="00F93BD5" w:rsidP="00F93BD5">
      <w:pPr>
        <w:pStyle w:val="ListParagraph"/>
        <w:widowControl/>
      </w:pPr>
    </w:p>
    <w:p w:rsidR="00540671" w:rsidRPr="00903D4B" w:rsidRDefault="00F93BD5" w:rsidP="00F93BD5">
      <w:pPr>
        <w:pStyle w:val="ListParagraph"/>
        <w:widowControl/>
        <w:numPr>
          <w:ilvl w:val="1"/>
          <w:numId w:val="2"/>
        </w:numPr>
      </w:pPr>
      <w:r w:rsidRPr="00903D4B">
        <w:t xml:space="preserve">In addition, the </w:t>
      </w:r>
      <w:r w:rsidR="006441FB" w:rsidRPr="00903D4B">
        <w:t xml:space="preserve">PBAC </w:t>
      </w:r>
      <w:r w:rsidRPr="00903D4B">
        <w:t xml:space="preserve">noted that the submission assessed </w:t>
      </w:r>
      <w:r w:rsidR="00540671" w:rsidRPr="00903D4B">
        <w:t>the impact of a reduction in co</w:t>
      </w:r>
      <w:r w:rsidR="00FA60D9">
        <w:t>-</w:t>
      </w:r>
      <w:r w:rsidR="00540671" w:rsidRPr="00903D4B">
        <w:t>payments on compliance, where no clear improvement in compliance could be attributed to fewer out-of-pocket costs.</w:t>
      </w:r>
    </w:p>
    <w:p w:rsidR="00223528" w:rsidRPr="00515C96" w:rsidRDefault="00223528" w:rsidP="00223528">
      <w:pPr>
        <w:rPr>
          <w:color w:val="FF0000"/>
        </w:rPr>
      </w:pPr>
    </w:p>
    <w:p w:rsidR="002F48A6" w:rsidRPr="00903D4B" w:rsidRDefault="00EA1479" w:rsidP="0017701E">
      <w:pPr>
        <w:pStyle w:val="ListParagraph"/>
        <w:widowControl/>
        <w:numPr>
          <w:ilvl w:val="1"/>
          <w:numId w:val="2"/>
        </w:numPr>
        <w:rPr>
          <w:bCs/>
          <w:szCs w:val="22"/>
        </w:rPr>
      </w:pPr>
      <w:r w:rsidRPr="00903D4B">
        <w:rPr>
          <w:bCs/>
          <w:szCs w:val="22"/>
        </w:rPr>
        <w:t xml:space="preserve">In terms of </w:t>
      </w:r>
      <w:r w:rsidR="00F93BD5" w:rsidRPr="00903D4B">
        <w:rPr>
          <w:bCs/>
          <w:szCs w:val="22"/>
        </w:rPr>
        <w:t xml:space="preserve">the claim of </w:t>
      </w:r>
      <w:r w:rsidRPr="00903D4B">
        <w:rPr>
          <w:bCs/>
          <w:szCs w:val="22"/>
        </w:rPr>
        <w:t>improved efficacy and reduced toxicity</w:t>
      </w:r>
      <w:r w:rsidR="00463161" w:rsidRPr="00903D4B">
        <w:rPr>
          <w:bCs/>
          <w:szCs w:val="22"/>
        </w:rPr>
        <w:t>, the submission</w:t>
      </w:r>
      <w:r w:rsidR="00EE1AD3" w:rsidRPr="00903D4B">
        <w:rPr>
          <w:bCs/>
          <w:szCs w:val="22"/>
        </w:rPr>
        <w:t xml:space="preserve"> claimed that results from the SINGLE trial </w:t>
      </w:r>
      <w:r w:rsidR="00A844EC" w:rsidRPr="00903D4B">
        <w:rPr>
          <w:bCs/>
          <w:szCs w:val="22"/>
        </w:rPr>
        <w:t>demonstrated a statist</w:t>
      </w:r>
      <w:r w:rsidR="00EE1AD3" w:rsidRPr="00903D4B">
        <w:rPr>
          <w:bCs/>
          <w:szCs w:val="22"/>
        </w:rPr>
        <w:t>i</w:t>
      </w:r>
      <w:r w:rsidR="00A844EC" w:rsidRPr="00903D4B">
        <w:rPr>
          <w:bCs/>
          <w:szCs w:val="22"/>
        </w:rPr>
        <w:t>c</w:t>
      </w:r>
      <w:r w:rsidR="00EE1AD3" w:rsidRPr="00903D4B">
        <w:rPr>
          <w:bCs/>
          <w:szCs w:val="22"/>
        </w:rPr>
        <w:t xml:space="preserve">ally significant improvement in efficacy as well as reduction in toxicity associated with treatment with dolutegravir plus Kivexa when compared with Atripla. </w:t>
      </w:r>
      <w:r w:rsidR="00D870F8" w:rsidRPr="00903D4B">
        <w:rPr>
          <w:bCs/>
          <w:szCs w:val="22"/>
        </w:rPr>
        <w:t xml:space="preserve">The </w:t>
      </w:r>
      <w:r w:rsidR="006441FB" w:rsidRPr="00903D4B">
        <w:rPr>
          <w:bCs/>
          <w:szCs w:val="22"/>
        </w:rPr>
        <w:t xml:space="preserve">PBAC agreed with the </w:t>
      </w:r>
      <w:r w:rsidR="00D870F8" w:rsidRPr="00903D4B">
        <w:rPr>
          <w:bCs/>
          <w:szCs w:val="22"/>
        </w:rPr>
        <w:t>ESC that the SINGLE results suggested that dolutegravir + Kivexa is statistically superior to Atripla for the proportion of patient</w:t>
      </w:r>
      <w:r w:rsidR="00AC59DD">
        <w:rPr>
          <w:bCs/>
          <w:szCs w:val="22"/>
        </w:rPr>
        <w:t>s achieving a viral load of &lt;50 </w:t>
      </w:r>
      <w:r w:rsidR="00D870F8" w:rsidRPr="00903D4B">
        <w:rPr>
          <w:bCs/>
          <w:szCs w:val="22"/>
        </w:rPr>
        <w:t xml:space="preserve">copies/mL at 48 and 96 weeks. </w:t>
      </w:r>
      <w:r w:rsidR="006441FB" w:rsidRPr="00903D4B">
        <w:rPr>
          <w:bCs/>
          <w:szCs w:val="22"/>
        </w:rPr>
        <w:t>Although</w:t>
      </w:r>
      <w:r w:rsidR="00D870F8" w:rsidRPr="00903D4B">
        <w:rPr>
          <w:bCs/>
          <w:szCs w:val="22"/>
        </w:rPr>
        <w:t xml:space="preserve"> dolutegravir + Kivexa appeared to have a favourable side-effects profile</w:t>
      </w:r>
      <w:r w:rsidR="006441FB" w:rsidRPr="00903D4B">
        <w:rPr>
          <w:bCs/>
          <w:szCs w:val="22"/>
        </w:rPr>
        <w:t xml:space="preserve">, </w:t>
      </w:r>
      <w:r w:rsidR="000A4597" w:rsidRPr="00903D4B">
        <w:rPr>
          <w:bCs/>
          <w:szCs w:val="22"/>
        </w:rPr>
        <w:t>th</w:t>
      </w:r>
      <w:r w:rsidR="006441FB" w:rsidRPr="00903D4B">
        <w:rPr>
          <w:bCs/>
          <w:szCs w:val="22"/>
        </w:rPr>
        <w:t>e</w:t>
      </w:r>
      <w:r w:rsidR="000A4597" w:rsidRPr="00903D4B">
        <w:rPr>
          <w:bCs/>
          <w:szCs w:val="22"/>
        </w:rPr>
        <w:t xml:space="preserve"> study was not carried out with the FDC proposed for listing, and the clinical relevance of a small increase in the proportion of patients achieving viral suppression &lt;50</w:t>
      </w:r>
      <w:r w:rsidR="00F93BD5" w:rsidRPr="00903D4B">
        <w:rPr>
          <w:bCs/>
          <w:szCs w:val="22"/>
        </w:rPr>
        <w:t> </w:t>
      </w:r>
      <w:r w:rsidR="000A4597" w:rsidRPr="00903D4B">
        <w:rPr>
          <w:bCs/>
          <w:szCs w:val="22"/>
        </w:rPr>
        <w:t>copies/mL is not established.</w:t>
      </w:r>
    </w:p>
    <w:p w:rsidR="0017701E" w:rsidRDefault="0017701E" w:rsidP="002F48A6">
      <w:pPr>
        <w:widowControl/>
        <w:rPr>
          <w:bCs/>
          <w:i/>
          <w:szCs w:val="22"/>
        </w:rPr>
      </w:pPr>
    </w:p>
    <w:p w:rsidR="00F34986" w:rsidRDefault="00F34986" w:rsidP="00F34986">
      <w:pPr>
        <w:pStyle w:val="ListParagraph"/>
        <w:ind w:left="709"/>
        <w:rPr>
          <w:i/>
          <w:szCs w:val="22"/>
        </w:rPr>
      </w:pPr>
      <w:r>
        <w:rPr>
          <w:i/>
          <w:szCs w:val="22"/>
        </w:rPr>
        <w:t>For more detail on PBAC’s view, see section 7 “PBAC outcome”</w:t>
      </w:r>
    </w:p>
    <w:p w:rsidR="00F34986" w:rsidRDefault="00F34986" w:rsidP="002F48A6">
      <w:pPr>
        <w:widowControl/>
        <w:rPr>
          <w:bCs/>
          <w:i/>
          <w:szCs w:val="22"/>
        </w:rPr>
      </w:pPr>
    </w:p>
    <w:p w:rsidR="005210DA" w:rsidRPr="005210DA" w:rsidRDefault="005210DA" w:rsidP="005210DA">
      <w:pPr>
        <w:widowControl/>
        <w:rPr>
          <w:b/>
          <w:bCs/>
          <w:i/>
          <w:szCs w:val="22"/>
        </w:rPr>
      </w:pPr>
    </w:p>
    <w:p w:rsidR="005210DA" w:rsidRPr="005F78E3" w:rsidRDefault="005210DA" w:rsidP="005F78E3">
      <w:pPr>
        <w:pStyle w:val="PBACHeading1"/>
      </w:pPr>
      <w:r w:rsidRPr="005F78E3">
        <w:lastRenderedPageBreak/>
        <w:t>PBAC Outcome</w:t>
      </w:r>
    </w:p>
    <w:p w:rsidR="005F78E3" w:rsidRDefault="005F78E3" w:rsidP="005F78E3">
      <w:pPr>
        <w:pStyle w:val="PBACHeading1"/>
        <w:numPr>
          <w:ilvl w:val="0"/>
          <w:numId w:val="0"/>
        </w:numPr>
        <w:ind w:left="720"/>
      </w:pPr>
    </w:p>
    <w:p w:rsidR="0078345D" w:rsidRDefault="001234F4" w:rsidP="00D13A27">
      <w:pPr>
        <w:widowControl/>
        <w:numPr>
          <w:ilvl w:val="1"/>
          <w:numId w:val="2"/>
        </w:numPr>
        <w:rPr>
          <w:bCs/>
          <w:szCs w:val="22"/>
          <w:lang w:val="en-GB"/>
        </w:rPr>
      </w:pPr>
      <w:r w:rsidRPr="001234F4">
        <w:rPr>
          <w:bCs/>
          <w:szCs w:val="22"/>
          <w:lang w:val="en-GB"/>
        </w:rPr>
        <w:t xml:space="preserve">The </w:t>
      </w:r>
      <w:r>
        <w:rPr>
          <w:bCs/>
          <w:szCs w:val="22"/>
          <w:lang w:val="en-GB"/>
        </w:rPr>
        <w:t xml:space="preserve">PBAC recommended </w:t>
      </w:r>
      <w:r w:rsidR="0084294C">
        <w:rPr>
          <w:bCs/>
          <w:szCs w:val="22"/>
          <w:lang w:val="en-GB"/>
        </w:rPr>
        <w:t xml:space="preserve">Section 100 (Highly Specialised Drugs Program) </w:t>
      </w:r>
      <w:r>
        <w:rPr>
          <w:bCs/>
          <w:szCs w:val="22"/>
          <w:lang w:val="en-GB"/>
        </w:rPr>
        <w:t xml:space="preserve">listing of </w:t>
      </w:r>
      <w:r w:rsidR="00D75A53">
        <w:rPr>
          <w:bCs/>
          <w:szCs w:val="22"/>
          <w:lang w:val="en-GB"/>
        </w:rPr>
        <w:t>doluteg</w:t>
      </w:r>
      <w:r w:rsidR="0048769F">
        <w:rPr>
          <w:bCs/>
          <w:szCs w:val="22"/>
          <w:lang w:val="en-GB"/>
        </w:rPr>
        <w:t>r</w:t>
      </w:r>
      <w:r w:rsidR="00D75A53">
        <w:rPr>
          <w:bCs/>
          <w:szCs w:val="22"/>
          <w:lang w:val="en-GB"/>
        </w:rPr>
        <w:t>avir+lamivudine+a</w:t>
      </w:r>
      <w:r w:rsidR="00675E77">
        <w:rPr>
          <w:bCs/>
          <w:szCs w:val="22"/>
          <w:lang w:val="en-GB"/>
        </w:rPr>
        <w:t>bacavir</w:t>
      </w:r>
      <w:r w:rsidR="00903D4B">
        <w:rPr>
          <w:bCs/>
          <w:szCs w:val="22"/>
          <w:lang w:val="en-GB"/>
        </w:rPr>
        <w:t xml:space="preserve"> (Tri</w:t>
      </w:r>
      <w:r w:rsidR="0084294C">
        <w:rPr>
          <w:bCs/>
          <w:szCs w:val="22"/>
          <w:lang w:val="en-GB"/>
        </w:rPr>
        <w:t>u</w:t>
      </w:r>
      <w:r w:rsidR="00903D4B">
        <w:rPr>
          <w:bCs/>
          <w:szCs w:val="22"/>
          <w:lang w:val="en-GB"/>
        </w:rPr>
        <w:t>meq</w:t>
      </w:r>
      <w:r w:rsidR="00DA2C07">
        <w:rPr>
          <w:bCs/>
          <w:szCs w:val="22"/>
          <w:lang w:val="en-GB"/>
        </w:rPr>
        <w:t xml:space="preserve"> FDC</w:t>
      </w:r>
      <w:r w:rsidR="00903D4B">
        <w:rPr>
          <w:bCs/>
          <w:szCs w:val="22"/>
          <w:lang w:val="en-GB"/>
        </w:rPr>
        <w:t>)</w:t>
      </w:r>
      <w:r w:rsidR="00140B87">
        <w:rPr>
          <w:bCs/>
          <w:szCs w:val="22"/>
          <w:lang w:val="en-GB"/>
        </w:rPr>
        <w:t>.</w:t>
      </w:r>
      <w:r w:rsidR="00675E77">
        <w:rPr>
          <w:bCs/>
          <w:szCs w:val="22"/>
          <w:lang w:val="en-GB"/>
        </w:rPr>
        <w:t xml:space="preserve"> </w:t>
      </w:r>
      <w:r w:rsidR="00E13989">
        <w:rPr>
          <w:bCs/>
          <w:szCs w:val="22"/>
          <w:lang w:val="en-GB"/>
        </w:rPr>
        <w:t xml:space="preserve">The PBAC recommended </w:t>
      </w:r>
      <w:r w:rsidR="002A60A8">
        <w:rPr>
          <w:bCs/>
          <w:szCs w:val="22"/>
          <w:lang w:val="en-GB"/>
        </w:rPr>
        <w:t xml:space="preserve">the special arrangements under the </w:t>
      </w:r>
      <w:r w:rsidR="00675E77">
        <w:rPr>
          <w:bCs/>
          <w:szCs w:val="22"/>
          <w:lang w:val="en-GB"/>
        </w:rPr>
        <w:t>Highly Specialised Drugs Program</w:t>
      </w:r>
      <w:r w:rsidR="007576E9">
        <w:rPr>
          <w:bCs/>
          <w:szCs w:val="22"/>
          <w:lang w:val="en-GB"/>
        </w:rPr>
        <w:t>,</w:t>
      </w:r>
      <w:r w:rsidR="00D75A53">
        <w:rPr>
          <w:bCs/>
          <w:szCs w:val="22"/>
          <w:lang w:val="en-GB"/>
        </w:rPr>
        <w:t xml:space="preserve"> Private Hospital Authority Required and Public Hospital Authority Required (STREAMLINED)</w:t>
      </w:r>
      <w:r w:rsidR="00675E77">
        <w:rPr>
          <w:bCs/>
          <w:szCs w:val="22"/>
          <w:lang w:val="en-GB"/>
        </w:rPr>
        <w:t>.</w:t>
      </w:r>
      <w:r w:rsidR="00AD3E37">
        <w:rPr>
          <w:bCs/>
          <w:szCs w:val="22"/>
          <w:lang w:val="en-GB"/>
        </w:rPr>
        <w:t xml:space="preserve"> </w:t>
      </w:r>
    </w:p>
    <w:p w:rsidR="00CB47E3" w:rsidRPr="00D13A27" w:rsidRDefault="00CB47E3" w:rsidP="00CB47E3">
      <w:pPr>
        <w:widowControl/>
        <w:ind w:left="720"/>
        <w:rPr>
          <w:bCs/>
          <w:szCs w:val="22"/>
          <w:lang w:val="en-GB"/>
        </w:rPr>
      </w:pPr>
    </w:p>
    <w:p w:rsidR="002A60A8" w:rsidRPr="001234F4" w:rsidRDefault="00D13A27" w:rsidP="00DA2C07">
      <w:pPr>
        <w:widowControl/>
        <w:numPr>
          <w:ilvl w:val="1"/>
          <w:numId w:val="2"/>
        </w:numPr>
        <w:rPr>
          <w:bCs/>
          <w:szCs w:val="22"/>
          <w:lang w:val="en-GB"/>
        </w:rPr>
      </w:pPr>
      <w:r w:rsidRPr="001234F4">
        <w:rPr>
          <w:bCs/>
          <w:szCs w:val="22"/>
          <w:lang w:val="en-GB"/>
        </w:rPr>
        <w:t xml:space="preserve">The </w:t>
      </w:r>
      <w:r>
        <w:rPr>
          <w:bCs/>
          <w:szCs w:val="22"/>
          <w:lang w:val="en-GB"/>
        </w:rPr>
        <w:t xml:space="preserve">PBAC recommended the listing of </w:t>
      </w:r>
      <w:r w:rsidR="00B51AB1">
        <w:rPr>
          <w:bCs/>
          <w:szCs w:val="22"/>
          <w:lang w:val="en-GB"/>
        </w:rPr>
        <w:t>Triumeq</w:t>
      </w:r>
      <w:r>
        <w:rPr>
          <w:bCs/>
          <w:szCs w:val="22"/>
          <w:lang w:val="en-GB"/>
        </w:rPr>
        <w:t xml:space="preserve"> on a cost-minimisation basis with </w:t>
      </w:r>
      <w:r w:rsidR="00B51AB1">
        <w:rPr>
          <w:bCs/>
          <w:szCs w:val="22"/>
          <w:lang w:val="en-GB"/>
        </w:rPr>
        <w:t>emtricitabine+tenofovir+efavirenz</w:t>
      </w:r>
      <w:r w:rsidR="00DA2C07" w:rsidRPr="00DA2C07">
        <w:t xml:space="preserve"> </w:t>
      </w:r>
      <w:r w:rsidR="00DA2C07">
        <w:t>(</w:t>
      </w:r>
      <w:r w:rsidR="00DA2C07" w:rsidRPr="00DA2C07">
        <w:rPr>
          <w:bCs/>
          <w:szCs w:val="22"/>
          <w:lang w:val="en-GB"/>
        </w:rPr>
        <w:t>Atripla FDC</w:t>
      </w:r>
      <w:r w:rsidR="00B51AB1">
        <w:rPr>
          <w:bCs/>
          <w:szCs w:val="22"/>
          <w:lang w:val="en-GB"/>
        </w:rPr>
        <w:t>)</w:t>
      </w:r>
      <w:r>
        <w:rPr>
          <w:bCs/>
          <w:szCs w:val="22"/>
          <w:lang w:val="en-GB"/>
        </w:rPr>
        <w:t xml:space="preserve"> for the treatment of patients with HIV. </w:t>
      </w:r>
      <w:r w:rsidR="005F7595">
        <w:rPr>
          <w:bCs/>
          <w:szCs w:val="22"/>
          <w:lang w:val="en-GB"/>
        </w:rPr>
        <w:t xml:space="preserve"> The equi-effective doses are</w:t>
      </w:r>
      <w:r w:rsidR="005F7595" w:rsidRPr="005F7595">
        <w:t xml:space="preserve"> </w:t>
      </w:r>
      <w:r w:rsidR="005F7595" w:rsidRPr="005F7595">
        <w:rPr>
          <w:bCs/>
          <w:szCs w:val="22"/>
          <w:lang w:val="en-GB"/>
        </w:rPr>
        <w:t xml:space="preserve">dolutegravir 50mg + abacavir 600mg + lamivudine 300mg from one Triumeq </w:t>
      </w:r>
      <w:r w:rsidR="00DA2C07">
        <w:rPr>
          <w:bCs/>
          <w:szCs w:val="22"/>
          <w:lang w:val="en-GB"/>
        </w:rPr>
        <w:t>tablet</w:t>
      </w:r>
      <w:r w:rsidR="005F7595">
        <w:rPr>
          <w:bCs/>
          <w:szCs w:val="22"/>
          <w:lang w:val="en-GB"/>
        </w:rPr>
        <w:t xml:space="preserve"> is equal to</w:t>
      </w:r>
      <w:r w:rsidR="005F7595" w:rsidRPr="005F7595">
        <w:t xml:space="preserve"> </w:t>
      </w:r>
      <w:r w:rsidR="005F7595" w:rsidRPr="005F7595">
        <w:rPr>
          <w:bCs/>
          <w:szCs w:val="22"/>
          <w:lang w:val="en-GB"/>
        </w:rPr>
        <w:t>tenofovir disoproxil fumarate 300 mg with emtricitabine 200 mg and efavirenz 600 mg</w:t>
      </w:r>
      <w:r w:rsidR="005F7595">
        <w:rPr>
          <w:bCs/>
          <w:szCs w:val="22"/>
          <w:lang w:val="en-GB"/>
        </w:rPr>
        <w:t xml:space="preserve"> from one Atripla </w:t>
      </w:r>
      <w:r w:rsidR="00DA2C07">
        <w:rPr>
          <w:bCs/>
          <w:szCs w:val="22"/>
          <w:lang w:val="en-GB"/>
        </w:rPr>
        <w:t>tablet</w:t>
      </w:r>
      <w:r w:rsidR="005F7595">
        <w:rPr>
          <w:bCs/>
          <w:szCs w:val="22"/>
          <w:lang w:val="en-GB"/>
        </w:rPr>
        <w:t xml:space="preserve">.  </w:t>
      </w:r>
      <w:r w:rsidR="0059756A">
        <w:rPr>
          <w:bCs/>
          <w:szCs w:val="22"/>
          <w:lang w:val="en-GB"/>
        </w:rPr>
        <w:t xml:space="preserve"> </w:t>
      </w:r>
    </w:p>
    <w:p w:rsidR="007D3C09" w:rsidRDefault="007D3C09" w:rsidP="007D3C09">
      <w:pPr>
        <w:widowControl/>
        <w:rPr>
          <w:bCs/>
          <w:szCs w:val="22"/>
          <w:lang w:val="en-GB"/>
        </w:rPr>
      </w:pPr>
    </w:p>
    <w:p w:rsidR="0059756A" w:rsidRDefault="00245BB6" w:rsidP="0059756A">
      <w:pPr>
        <w:widowControl/>
        <w:numPr>
          <w:ilvl w:val="1"/>
          <w:numId w:val="2"/>
        </w:numPr>
        <w:rPr>
          <w:bCs/>
          <w:szCs w:val="22"/>
          <w:lang w:val="en-GB"/>
        </w:rPr>
      </w:pPr>
      <w:r w:rsidRPr="00245BB6">
        <w:rPr>
          <w:bCs/>
          <w:szCs w:val="22"/>
          <w:lang w:val="en-GB"/>
        </w:rPr>
        <w:t xml:space="preserve">The </w:t>
      </w:r>
      <w:r>
        <w:rPr>
          <w:bCs/>
          <w:szCs w:val="22"/>
          <w:lang w:val="en-GB"/>
        </w:rPr>
        <w:t xml:space="preserve">PBAC </w:t>
      </w:r>
      <w:r w:rsidR="00D75A53">
        <w:rPr>
          <w:bCs/>
          <w:szCs w:val="22"/>
          <w:lang w:val="en-GB"/>
        </w:rPr>
        <w:t>considered</w:t>
      </w:r>
      <w:r w:rsidR="00A25A86">
        <w:rPr>
          <w:bCs/>
          <w:szCs w:val="22"/>
          <w:lang w:val="en-GB"/>
        </w:rPr>
        <w:t xml:space="preserve"> </w:t>
      </w:r>
      <w:r w:rsidR="00A76DF9">
        <w:rPr>
          <w:bCs/>
          <w:szCs w:val="22"/>
          <w:lang w:val="en-GB"/>
        </w:rPr>
        <w:t xml:space="preserve">the </w:t>
      </w:r>
      <w:r w:rsidR="00A00112">
        <w:rPr>
          <w:bCs/>
          <w:szCs w:val="22"/>
          <w:lang w:val="en-GB"/>
        </w:rPr>
        <w:t xml:space="preserve">addition of </w:t>
      </w:r>
      <w:r w:rsidR="004D5ACC">
        <w:rPr>
          <w:bCs/>
          <w:szCs w:val="22"/>
          <w:lang w:val="en-GB"/>
        </w:rPr>
        <w:t>a note stating that this drug is not recommended for patients with integrase inhibitor resistance</w:t>
      </w:r>
      <w:r w:rsidR="00A00112">
        <w:rPr>
          <w:bCs/>
          <w:szCs w:val="22"/>
          <w:lang w:val="en-GB"/>
        </w:rPr>
        <w:t xml:space="preserve"> to the restriction was unnecessary as clinicians would be aware of this recommendation</w:t>
      </w:r>
      <w:r w:rsidR="00675E77">
        <w:rPr>
          <w:bCs/>
          <w:szCs w:val="22"/>
          <w:lang w:val="en-GB"/>
        </w:rPr>
        <w:t>.</w:t>
      </w:r>
    </w:p>
    <w:p w:rsidR="00191551" w:rsidRDefault="00191551" w:rsidP="00191551">
      <w:pPr>
        <w:widowControl/>
        <w:rPr>
          <w:bCs/>
          <w:szCs w:val="22"/>
          <w:lang w:val="en-GB"/>
        </w:rPr>
      </w:pPr>
    </w:p>
    <w:p w:rsidR="00191551" w:rsidRDefault="00191551" w:rsidP="005210DA">
      <w:pPr>
        <w:widowControl/>
        <w:numPr>
          <w:ilvl w:val="1"/>
          <w:numId w:val="2"/>
        </w:numPr>
        <w:rPr>
          <w:bCs/>
          <w:szCs w:val="22"/>
          <w:lang w:val="en-GB"/>
        </w:rPr>
      </w:pPr>
      <w:r>
        <w:rPr>
          <w:bCs/>
          <w:szCs w:val="22"/>
          <w:lang w:val="en-GB"/>
        </w:rPr>
        <w:t>The PBAC accepted the proposed clinical place for Triumeq FDC and that this combination therapy can be used in any line of therapy.</w:t>
      </w:r>
    </w:p>
    <w:p w:rsidR="00C37841" w:rsidRDefault="00C37841" w:rsidP="00C37841">
      <w:pPr>
        <w:widowControl/>
        <w:rPr>
          <w:bCs/>
          <w:szCs w:val="22"/>
          <w:lang w:val="en-GB"/>
        </w:rPr>
      </w:pPr>
    </w:p>
    <w:p w:rsidR="00D4555F" w:rsidRDefault="003F2605" w:rsidP="008815D0">
      <w:pPr>
        <w:widowControl/>
        <w:numPr>
          <w:ilvl w:val="1"/>
          <w:numId w:val="2"/>
        </w:numPr>
        <w:rPr>
          <w:bCs/>
          <w:szCs w:val="22"/>
          <w:lang w:val="en-GB"/>
        </w:rPr>
      </w:pPr>
      <w:r w:rsidRPr="008815D0">
        <w:rPr>
          <w:bCs/>
          <w:szCs w:val="22"/>
          <w:lang w:val="en-GB"/>
        </w:rPr>
        <w:t>The PBAC noted that the main comparator nominated by the submission was the individual component products given concurrently</w:t>
      </w:r>
      <w:r w:rsidR="00DA2C07">
        <w:rPr>
          <w:bCs/>
          <w:szCs w:val="22"/>
          <w:lang w:val="en-GB"/>
        </w:rPr>
        <w:t>,</w:t>
      </w:r>
      <w:r w:rsidRPr="008815D0">
        <w:rPr>
          <w:bCs/>
          <w:szCs w:val="22"/>
          <w:lang w:val="en-GB"/>
        </w:rPr>
        <w:t xml:space="preserve"> </w:t>
      </w:r>
      <w:r w:rsidR="00CC5E12">
        <w:rPr>
          <w:bCs/>
          <w:szCs w:val="22"/>
          <w:lang w:val="en-GB"/>
        </w:rPr>
        <w:t>with</w:t>
      </w:r>
      <w:r w:rsidR="00CC5E12" w:rsidRPr="008815D0">
        <w:rPr>
          <w:bCs/>
          <w:szCs w:val="22"/>
          <w:lang w:val="en-GB"/>
        </w:rPr>
        <w:t xml:space="preserve"> </w:t>
      </w:r>
      <w:r w:rsidRPr="008815D0">
        <w:rPr>
          <w:bCs/>
          <w:szCs w:val="22"/>
          <w:lang w:val="en-GB"/>
        </w:rPr>
        <w:t>Atripla</w:t>
      </w:r>
      <w:r w:rsidR="00CC5E12">
        <w:rPr>
          <w:bCs/>
          <w:szCs w:val="22"/>
          <w:lang w:val="en-GB"/>
        </w:rPr>
        <w:t xml:space="preserve"> nominated</w:t>
      </w:r>
      <w:r w:rsidRPr="008815D0">
        <w:rPr>
          <w:bCs/>
          <w:szCs w:val="22"/>
          <w:lang w:val="en-GB"/>
        </w:rPr>
        <w:t xml:space="preserve"> as a secondary comparator. The </w:t>
      </w:r>
      <w:r w:rsidR="00691CEE" w:rsidRPr="008815D0">
        <w:rPr>
          <w:bCs/>
          <w:szCs w:val="22"/>
          <w:lang w:val="en-GB"/>
        </w:rPr>
        <w:t xml:space="preserve">PBAC </w:t>
      </w:r>
      <w:r w:rsidR="003E1F63" w:rsidRPr="008815D0">
        <w:rPr>
          <w:bCs/>
          <w:szCs w:val="22"/>
          <w:lang w:val="en-GB"/>
        </w:rPr>
        <w:t>considered</w:t>
      </w:r>
      <w:r w:rsidR="00A62BEC" w:rsidRPr="008815D0">
        <w:rPr>
          <w:bCs/>
          <w:szCs w:val="22"/>
          <w:lang w:val="en-GB"/>
        </w:rPr>
        <w:t xml:space="preserve"> that Atripla</w:t>
      </w:r>
      <w:r w:rsidR="007576E9">
        <w:rPr>
          <w:bCs/>
          <w:szCs w:val="22"/>
          <w:lang w:val="en-GB"/>
        </w:rPr>
        <w:t>, as the market leader,</w:t>
      </w:r>
      <w:r w:rsidR="00A62BEC" w:rsidRPr="008815D0">
        <w:rPr>
          <w:bCs/>
          <w:szCs w:val="22"/>
          <w:lang w:val="en-GB"/>
        </w:rPr>
        <w:t xml:space="preserve"> would be the most likely therapy replaced in clinical practice.</w:t>
      </w:r>
      <w:r w:rsidR="000A52F3">
        <w:rPr>
          <w:bCs/>
          <w:szCs w:val="22"/>
          <w:lang w:val="en-GB"/>
        </w:rPr>
        <w:t xml:space="preserve"> </w:t>
      </w:r>
      <w:r w:rsidR="00A62BEC" w:rsidRPr="008815D0">
        <w:rPr>
          <w:bCs/>
          <w:szCs w:val="22"/>
          <w:lang w:val="en-GB"/>
        </w:rPr>
        <w:t xml:space="preserve">The PBAC noted </w:t>
      </w:r>
      <w:r w:rsidR="003E1F63" w:rsidRPr="008815D0">
        <w:rPr>
          <w:bCs/>
          <w:szCs w:val="22"/>
          <w:lang w:val="en-GB"/>
        </w:rPr>
        <w:t xml:space="preserve">that </w:t>
      </w:r>
      <w:r w:rsidR="00A62BEC" w:rsidRPr="008815D0">
        <w:rPr>
          <w:bCs/>
          <w:szCs w:val="22"/>
          <w:lang w:val="en-GB"/>
        </w:rPr>
        <w:t>the sponsor</w:t>
      </w:r>
      <w:r w:rsidR="003E1F63" w:rsidRPr="008815D0">
        <w:rPr>
          <w:bCs/>
          <w:szCs w:val="22"/>
          <w:lang w:val="en-GB"/>
        </w:rPr>
        <w:t>’s Pre-PBAC Response asserted that Atripla or other triple</w:t>
      </w:r>
      <w:r w:rsidR="008815D0" w:rsidRPr="008815D0">
        <w:rPr>
          <w:bCs/>
          <w:szCs w:val="22"/>
          <w:lang w:val="en-GB"/>
        </w:rPr>
        <w:t xml:space="preserve"> and quadruple</w:t>
      </w:r>
      <w:r w:rsidR="003E1F63" w:rsidRPr="008815D0">
        <w:rPr>
          <w:bCs/>
          <w:szCs w:val="22"/>
          <w:lang w:val="en-GB"/>
        </w:rPr>
        <w:t xml:space="preserve"> FDCs were not likely to be replaced by Triumeq and claimed that the choice of comparator was consistent with the </w:t>
      </w:r>
      <w:r w:rsidR="003E1F63" w:rsidRPr="008815D0">
        <w:rPr>
          <w:bCs/>
          <w:i/>
          <w:szCs w:val="22"/>
          <w:lang w:val="en-GB"/>
        </w:rPr>
        <w:t>Guidelines for preparing submissions to the PBAC</w:t>
      </w:r>
      <w:r w:rsidR="006A3AD7">
        <w:rPr>
          <w:bCs/>
          <w:i/>
          <w:szCs w:val="22"/>
          <w:lang w:val="en-GB"/>
        </w:rPr>
        <w:t xml:space="preserve"> 2013</w:t>
      </w:r>
      <w:r w:rsidR="008815D0" w:rsidRPr="008815D0">
        <w:rPr>
          <w:bCs/>
          <w:i/>
          <w:szCs w:val="22"/>
          <w:lang w:val="en-GB"/>
        </w:rPr>
        <w:t xml:space="preserve">, </w:t>
      </w:r>
      <w:r w:rsidR="008815D0" w:rsidRPr="008815D0">
        <w:rPr>
          <w:bCs/>
          <w:szCs w:val="22"/>
          <w:lang w:val="en-GB"/>
        </w:rPr>
        <w:t xml:space="preserve">in that for </w:t>
      </w:r>
      <w:r w:rsidR="00F93BD5">
        <w:rPr>
          <w:bCs/>
          <w:szCs w:val="22"/>
          <w:lang w:val="en-GB"/>
        </w:rPr>
        <w:t xml:space="preserve">FDC </w:t>
      </w:r>
      <w:r w:rsidR="008815D0" w:rsidRPr="008815D0">
        <w:rPr>
          <w:bCs/>
          <w:szCs w:val="22"/>
          <w:lang w:val="en-GB"/>
        </w:rPr>
        <w:t>products a comparison may be made against the components concomitantly.</w:t>
      </w:r>
      <w:r w:rsidR="008815D0">
        <w:rPr>
          <w:bCs/>
          <w:szCs w:val="22"/>
          <w:lang w:val="en-GB"/>
        </w:rPr>
        <w:t xml:space="preserve">  The Pre-PBAC response also presented data showing the treatment uptake of dolutegravir in early 2014</w:t>
      </w:r>
      <w:r w:rsidR="00D4555F">
        <w:rPr>
          <w:bCs/>
          <w:szCs w:val="22"/>
          <w:lang w:val="en-GB"/>
        </w:rPr>
        <w:t xml:space="preserve"> and that treatment uptake has been rapid.</w:t>
      </w:r>
    </w:p>
    <w:p w:rsidR="00D4555F" w:rsidRDefault="00D4555F" w:rsidP="00D4555F">
      <w:pPr>
        <w:widowControl/>
        <w:rPr>
          <w:bCs/>
          <w:szCs w:val="22"/>
          <w:lang w:val="en-GB"/>
        </w:rPr>
      </w:pPr>
    </w:p>
    <w:p w:rsidR="00D4555F" w:rsidRDefault="00D4555F" w:rsidP="00D4555F">
      <w:pPr>
        <w:widowControl/>
        <w:numPr>
          <w:ilvl w:val="1"/>
          <w:numId w:val="2"/>
        </w:numPr>
        <w:rPr>
          <w:i/>
        </w:rPr>
      </w:pPr>
      <w:r>
        <w:t xml:space="preserve">The PBAC noted the following passage from the </w:t>
      </w:r>
      <w:r>
        <w:rPr>
          <w:i/>
        </w:rPr>
        <w:t>Guidelines:</w:t>
      </w:r>
    </w:p>
    <w:p w:rsidR="00D4555F" w:rsidRPr="00364C43" w:rsidRDefault="00D4555F" w:rsidP="00D4555F">
      <w:pPr>
        <w:pStyle w:val="Header"/>
        <w:ind w:left="720"/>
        <w:rPr>
          <w:i/>
        </w:rPr>
      </w:pPr>
      <w:r>
        <w:rPr>
          <w:i/>
        </w:rPr>
        <w:t>“</w:t>
      </w:r>
      <w:r w:rsidRPr="00364C43">
        <w:rPr>
          <w:i/>
        </w:rPr>
        <w:t>More than one comparison should usually be presented for a combination product, such as one or more of the following:</w:t>
      </w:r>
    </w:p>
    <w:p w:rsidR="00D4555F" w:rsidRPr="00364C43" w:rsidRDefault="00D4555F" w:rsidP="000A52F3">
      <w:pPr>
        <w:widowControl/>
        <w:numPr>
          <w:ilvl w:val="0"/>
          <w:numId w:val="9"/>
        </w:numPr>
        <w:ind w:left="1077" w:hanging="357"/>
        <w:jc w:val="left"/>
        <w:rPr>
          <w:i/>
        </w:rPr>
      </w:pPr>
      <w:r w:rsidRPr="00364C43">
        <w:rPr>
          <w:i/>
        </w:rPr>
        <w:t xml:space="preserve">the combination product against its component products given concomitantly as the basis for a cost-minimisation recommendation (this need not apply where the combination product consists of the individual dosage forms in a composite packaging) </w:t>
      </w:r>
    </w:p>
    <w:p w:rsidR="00D4555F" w:rsidRPr="00364C43" w:rsidRDefault="00D4555F" w:rsidP="00D4555F">
      <w:pPr>
        <w:widowControl/>
        <w:numPr>
          <w:ilvl w:val="0"/>
          <w:numId w:val="9"/>
        </w:numPr>
        <w:spacing w:before="100" w:beforeAutospacing="1" w:after="100" w:afterAutospacing="1"/>
        <w:jc w:val="left"/>
        <w:rPr>
          <w:i/>
        </w:rPr>
      </w:pPr>
      <w:r w:rsidRPr="00364C43">
        <w:rPr>
          <w:i/>
        </w:rPr>
        <w:t xml:space="preserve">the combination product (or its components given concomitantly) against each of the component products given alone as the basis for establishing at least an additive beneficial effectiveness (or the basis to establish no loss of beneficial effectiveness of the components in the case of fixed combination vaccine products; see , Product type 3), thus involving at least two comparisons depending on the number of components in the fixed combination product </w:t>
      </w:r>
    </w:p>
    <w:p w:rsidR="00191551" w:rsidRPr="001055E6" w:rsidRDefault="00D4555F" w:rsidP="00335C0D">
      <w:pPr>
        <w:widowControl/>
        <w:numPr>
          <w:ilvl w:val="0"/>
          <w:numId w:val="9"/>
        </w:numPr>
        <w:spacing w:before="100" w:beforeAutospacing="1" w:after="100" w:afterAutospacing="1"/>
        <w:jc w:val="left"/>
        <w:rPr>
          <w:i/>
        </w:rPr>
      </w:pPr>
      <w:r w:rsidRPr="00364C43">
        <w:rPr>
          <w:i/>
        </w:rPr>
        <w:t>the combination product against the therapy that prescribers would most replace in practice, should this be expected to vary from the current concomitant use of the individual components.</w:t>
      </w:r>
      <w:r>
        <w:rPr>
          <w:i/>
        </w:rPr>
        <w:t>”</w:t>
      </w:r>
      <w:r w:rsidRPr="00364C43">
        <w:rPr>
          <w:i/>
        </w:rPr>
        <w:t xml:space="preserve"> </w:t>
      </w:r>
    </w:p>
    <w:p w:rsidR="001055E6" w:rsidRDefault="001055E6" w:rsidP="001055E6">
      <w:pPr>
        <w:widowControl/>
        <w:numPr>
          <w:ilvl w:val="1"/>
          <w:numId w:val="2"/>
        </w:numPr>
        <w:rPr>
          <w:bCs/>
          <w:szCs w:val="22"/>
          <w:lang w:val="en-GB"/>
        </w:rPr>
      </w:pPr>
      <w:r>
        <w:rPr>
          <w:bCs/>
          <w:szCs w:val="22"/>
          <w:lang w:val="en-GB"/>
        </w:rPr>
        <w:t>Overall, the PBAC did not consider that the only</w:t>
      </w:r>
      <w:r w:rsidR="00DA2C07">
        <w:rPr>
          <w:bCs/>
          <w:szCs w:val="22"/>
          <w:lang w:val="en-GB"/>
        </w:rPr>
        <w:t xml:space="preserve"> c</w:t>
      </w:r>
      <w:r>
        <w:rPr>
          <w:bCs/>
          <w:szCs w:val="22"/>
          <w:lang w:val="en-GB"/>
        </w:rPr>
        <w:t>omparator was the individual components give</w:t>
      </w:r>
      <w:r w:rsidR="00DF6CFF">
        <w:rPr>
          <w:bCs/>
          <w:szCs w:val="22"/>
          <w:lang w:val="en-GB"/>
        </w:rPr>
        <w:t>n</w:t>
      </w:r>
      <w:r>
        <w:rPr>
          <w:bCs/>
          <w:szCs w:val="22"/>
          <w:lang w:val="en-GB"/>
        </w:rPr>
        <w:t xml:space="preserve"> concurrently, rather that Atripla would be the most likely therapy </w:t>
      </w:r>
      <w:r>
        <w:rPr>
          <w:bCs/>
          <w:szCs w:val="22"/>
          <w:lang w:val="en-GB"/>
        </w:rPr>
        <w:lastRenderedPageBreak/>
        <w:t xml:space="preserve">replaced in clinical practice. The PBAC therefore concluded that Atripla was </w:t>
      </w:r>
      <w:r w:rsidR="0059756A">
        <w:rPr>
          <w:bCs/>
          <w:szCs w:val="22"/>
          <w:lang w:val="en-GB"/>
        </w:rPr>
        <w:t xml:space="preserve">also a main </w:t>
      </w:r>
      <w:r>
        <w:rPr>
          <w:bCs/>
          <w:szCs w:val="22"/>
          <w:lang w:val="en-GB"/>
        </w:rPr>
        <w:t>comparator.</w:t>
      </w:r>
    </w:p>
    <w:p w:rsidR="00DE5380" w:rsidRDefault="00DE5380" w:rsidP="00DE5380">
      <w:pPr>
        <w:widowControl/>
        <w:ind w:left="720"/>
        <w:rPr>
          <w:bCs/>
          <w:szCs w:val="22"/>
          <w:lang w:val="en-GB"/>
        </w:rPr>
      </w:pPr>
    </w:p>
    <w:p w:rsidR="00AC4A36" w:rsidRPr="007B3B37" w:rsidRDefault="00AC4A36" w:rsidP="00AC4A36">
      <w:pPr>
        <w:widowControl/>
        <w:numPr>
          <w:ilvl w:val="1"/>
          <w:numId w:val="2"/>
        </w:numPr>
        <w:rPr>
          <w:bCs/>
          <w:szCs w:val="22"/>
          <w:lang w:val="en-GB"/>
        </w:rPr>
      </w:pPr>
      <w:r w:rsidRPr="00BA1AA1">
        <w:t xml:space="preserve">The PBAC </w:t>
      </w:r>
      <w:r w:rsidR="00287053" w:rsidRPr="00BA1AA1">
        <w:t>noted that the primary trial (ING114580) presented no clinically relevant outcomes as it measured only pharmacokinetic data after a single dose in healthy patients. The PBAC also noted that the supplementary evidence trials (SPRING-2, SINGLE and FLAMINGO) did not present treatment with Triumeq in the comparison.  Instead, patients are treated with dolutegravir + Kivexa or another antiretroviral regimen. The submission relied on the supplementary trials to provide efficacy data on Triumeq</w:t>
      </w:r>
      <w:r w:rsidR="00CC5E12">
        <w:t>, including versus Atripla</w:t>
      </w:r>
      <w:r w:rsidR="00287053" w:rsidRPr="00BA1AA1">
        <w:t>.</w:t>
      </w:r>
    </w:p>
    <w:p w:rsidR="00B930E2" w:rsidRDefault="00B930E2" w:rsidP="00B930E2">
      <w:pPr>
        <w:widowControl/>
        <w:rPr>
          <w:bCs/>
          <w:szCs w:val="22"/>
          <w:lang w:val="en-GB"/>
        </w:rPr>
      </w:pPr>
    </w:p>
    <w:p w:rsidR="00DA2C07" w:rsidRDefault="00CC5E12" w:rsidP="00DA2C07">
      <w:pPr>
        <w:widowControl/>
        <w:numPr>
          <w:ilvl w:val="1"/>
          <w:numId w:val="2"/>
        </w:numPr>
      </w:pPr>
      <w:r w:rsidRPr="00CC5E12">
        <w:t xml:space="preserve">The PBAC acknowledged that the TGA has accepted the bioequivalence of Triumeq FDC to dolutegravir and Kivexa taken concomitantly. Accordingly, the PBAC agreed </w:t>
      </w:r>
      <w:r w:rsidR="00DA2C07">
        <w:t xml:space="preserve">than </w:t>
      </w:r>
      <w:r w:rsidRPr="00CC5E12">
        <w:t>Triumeq is non-inferior to its components</w:t>
      </w:r>
      <w:r>
        <w:t>.</w:t>
      </w:r>
      <w:r w:rsidRPr="00CC5E12">
        <w:t xml:space="preserve"> </w:t>
      </w:r>
    </w:p>
    <w:p w:rsidR="00DA2C07" w:rsidRDefault="00DA2C07" w:rsidP="00DA2C07">
      <w:pPr>
        <w:widowControl/>
        <w:ind w:left="720"/>
      </w:pPr>
    </w:p>
    <w:p w:rsidR="00DA2C07" w:rsidRPr="00DA2C07" w:rsidRDefault="00DA2C07" w:rsidP="00DA2C07">
      <w:pPr>
        <w:pStyle w:val="ListParagraph"/>
        <w:numPr>
          <w:ilvl w:val="1"/>
          <w:numId w:val="2"/>
        </w:numPr>
      </w:pPr>
      <w:r w:rsidRPr="00DA2C07">
        <w:t>The PBAC noted it could only recommend listing at the higher price proposed than the alternative therapy or therapies if it is satisfied that the new drug provides, for some patients, a significant improvement in efficacy or reduction of toxicity over the alternative therapy or therapies.  The alternative therapies in this case include the combination drug, Atripla.</w:t>
      </w:r>
    </w:p>
    <w:p w:rsidR="00DA2C07" w:rsidRDefault="00DA2C07" w:rsidP="00DA2C07">
      <w:pPr>
        <w:widowControl/>
        <w:ind w:left="720"/>
      </w:pPr>
    </w:p>
    <w:p w:rsidR="00CC5E12" w:rsidRDefault="00CC5E12" w:rsidP="00CC5E12">
      <w:pPr>
        <w:pStyle w:val="ListParagraph"/>
        <w:numPr>
          <w:ilvl w:val="1"/>
          <w:numId w:val="2"/>
        </w:numPr>
      </w:pPr>
      <w:r w:rsidRPr="00CC5E12">
        <w:t xml:space="preserve">The PBAC noted that a statistically significantly greater proportion of patients treated with dolutegravir + Kivexa achieved a viral load of &lt;50 copies/mL at 48 and 96 weeks compared with Atripla in the SINGLE trial. However, the clinical significance of this difference is not established in the submission. The PBAC agreed with ESC that the stronger assertion of clinical superiority for Triumeq FDC over Atripla FDC was plausible, but not adequately supported by the available </w:t>
      </w:r>
      <w:r w:rsidR="006441FB">
        <w:t>evidence</w:t>
      </w:r>
      <w:r w:rsidRPr="00CC5E12">
        <w:t>.</w:t>
      </w:r>
      <w:r>
        <w:t xml:space="preserve"> </w:t>
      </w:r>
      <w:r w:rsidRPr="00CC5E12">
        <w:t xml:space="preserve">Therefore, the PBAC </w:t>
      </w:r>
      <w:r>
        <w:t>considered</w:t>
      </w:r>
      <w:r w:rsidRPr="00CC5E12">
        <w:t xml:space="preserve"> that</w:t>
      </w:r>
      <w:r>
        <w:t>, at the present time, it is reasonable to conclude that</w:t>
      </w:r>
      <w:r w:rsidRPr="00CC5E12">
        <w:t xml:space="preserve"> Triumeq is non-inferior in terms of efficacy and comparable in terms of safety to Atripla.</w:t>
      </w:r>
    </w:p>
    <w:p w:rsidR="00335C0D" w:rsidRDefault="00335C0D" w:rsidP="00335C0D">
      <w:pPr>
        <w:pStyle w:val="ListParagraph"/>
      </w:pPr>
    </w:p>
    <w:p w:rsidR="00675E77" w:rsidRPr="00582C1B" w:rsidRDefault="00A02765" w:rsidP="001770E7">
      <w:pPr>
        <w:widowControl/>
        <w:numPr>
          <w:ilvl w:val="1"/>
          <w:numId w:val="2"/>
        </w:numPr>
        <w:rPr>
          <w:bCs/>
          <w:iCs/>
          <w:szCs w:val="22"/>
        </w:rPr>
      </w:pPr>
      <w:r w:rsidRPr="00920A5B">
        <w:rPr>
          <w:bCs/>
          <w:szCs w:val="22"/>
          <w:lang w:val="en-GB"/>
        </w:rPr>
        <w:t xml:space="preserve">The PBAC </w:t>
      </w:r>
      <w:r w:rsidR="00DF1E85">
        <w:rPr>
          <w:bCs/>
          <w:szCs w:val="22"/>
          <w:lang w:val="en-GB"/>
        </w:rPr>
        <w:t>agreed</w:t>
      </w:r>
      <w:r w:rsidR="001770E7">
        <w:rPr>
          <w:bCs/>
          <w:szCs w:val="22"/>
          <w:lang w:val="en-GB"/>
        </w:rPr>
        <w:t xml:space="preserve"> with </w:t>
      </w:r>
      <w:r w:rsidR="00920A5B">
        <w:rPr>
          <w:bCs/>
          <w:szCs w:val="22"/>
          <w:lang w:val="en-GB"/>
        </w:rPr>
        <w:t>DUSC</w:t>
      </w:r>
      <w:r w:rsidR="00F9324B">
        <w:rPr>
          <w:bCs/>
          <w:szCs w:val="22"/>
          <w:lang w:val="en-GB"/>
        </w:rPr>
        <w:t xml:space="preserve"> that the rate of switching from Truvada + INI to Triumeq is overestimated in the submission given that Truvada is the NRTI backbone of currently available single tablet regimens. This is not the case for Kivexa patients.  </w:t>
      </w:r>
      <w:r w:rsidR="00920A5B" w:rsidRPr="00B54DC2">
        <w:rPr>
          <w:bCs/>
          <w:iCs/>
          <w:szCs w:val="22"/>
        </w:rPr>
        <w:t xml:space="preserve"> </w:t>
      </w:r>
      <w:r w:rsidR="002B3D24">
        <w:rPr>
          <w:bCs/>
          <w:iCs/>
          <w:szCs w:val="22"/>
        </w:rPr>
        <w:t xml:space="preserve"> </w:t>
      </w:r>
      <w:r w:rsidR="00EC1BED">
        <w:rPr>
          <w:szCs w:val="22"/>
        </w:rPr>
        <w:t xml:space="preserve">The PBAC noted that the submission’s estimates would require revision to reflect the </w:t>
      </w:r>
      <w:r w:rsidR="00D8420D">
        <w:rPr>
          <w:szCs w:val="22"/>
        </w:rPr>
        <w:t xml:space="preserve">advice from DUSC and the </w:t>
      </w:r>
      <w:r w:rsidR="00EC1BED">
        <w:rPr>
          <w:szCs w:val="22"/>
        </w:rPr>
        <w:t>basis on which PBAC has recommended listing.</w:t>
      </w:r>
    </w:p>
    <w:p w:rsidR="00582C1B" w:rsidRDefault="00582C1B" w:rsidP="00582C1B">
      <w:pPr>
        <w:pStyle w:val="ListParagraph"/>
        <w:rPr>
          <w:bCs/>
          <w:iCs/>
          <w:szCs w:val="22"/>
        </w:rPr>
      </w:pPr>
    </w:p>
    <w:p w:rsidR="00582C1B" w:rsidRPr="00582C1B" w:rsidRDefault="00582C1B" w:rsidP="00582C1B">
      <w:pPr>
        <w:widowControl/>
        <w:numPr>
          <w:ilvl w:val="1"/>
          <w:numId w:val="2"/>
        </w:numPr>
        <w:rPr>
          <w:bCs/>
          <w:szCs w:val="22"/>
          <w:lang w:val="en-GB"/>
        </w:rPr>
      </w:pPr>
      <w:r>
        <w:rPr>
          <w:bCs/>
          <w:szCs w:val="22"/>
          <w:lang w:val="en-GB"/>
        </w:rPr>
        <w:t>The PBAC noted the PSCR argued</w:t>
      </w:r>
      <w:r w:rsidR="001D1A90">
        <w:rPr>
          <w:bCs/>
          <w:szCs w:val="22"/>
          <w:lang w:val="en-GB"/>
        </w:rPr>
        <w:t>,</w:t>
      </w:r>
      <w:r>
        <w:rPr>
          <w:bCs/>
          <w:szCs w:val="22"/>
          <w:lang w:val="en-GB"/>
        </w:rPr>
        <w:t xml:space="preserve"> and the ESC agreed</w:t>
      </w:r>
      <w:r w:rsidR="001D1A90">
        <w:rPr>
          <w:bCs/>
          <w:szCs w:val="22"/>
          <w:lang w:val="en-GB"/>
        </w:rPr>
        <w:t>,</w:t>
      </w:r>
      <w:r>
        <w:rPr>
          <w:bCs/>
          <w:szCs w:val="22"/>
          <w:lang w:val="en-GB"/>
        </w:rPr>
        <w:t xml:space="preserve"> that it is current practice to screen all newly diagnosed HIV patients for the allele that is associated with high risk for experiencing a hypersensitivity reaction to abacavir</w:t>
      </w:r>
      <w:r w:rsidR="001D1A90">
        <w:rPr>
          <w:bCs/>
          <w:szCs w:val="22"/>
          <w:lang w:val="en-GB"/>
        </w:rPr>
        <w:t>, regardless of whether the patient is to be treated with a therapy containing abacavir</w:t>
      </w:r>
      <w:r>
        <w:rPr>
          <w:bCs/>
          <w:szCs w:val="22"/>
          <w:lang w:val="en-GB"/>
        </w:rPr>
        <w:t xml:space="preserve">. The PBAC considered that it could not confirm this was the case. </w:t>
      </w:r>
      <w:r w:rsidR="005463C3">
        <w:rPr>
          <w:bCs/>
          <w:szCs w:val="22"/>
          <w:lang w:val="en-GB"/>
        </w:rPr>
        <w:t>This PBAC noted that i</w:t>
      </w:r>
      <w:r>
        <w:rPr>
          <w:bCs/>
          <w:szCs w:val="22"/>
          <w:lang w:val="en-GB"/>
        </w:rPr>
        <w:t xml:space="preserve">f a higher rate of screening for the allele </w:t>
      </w:r>
      <w:r w:rsidR="006069AD">
        <w:rPr>
          <w:bCs/>
          <w:szCs w:val="22"/>
          <w:lang w:val="en-GB"/>
        </w:rPr>
        <w:t xml:space="preserve">(which is funded by the MBS) </w:t>
      </w:r>
      <w:r>
        <w:rPr>
          <w:bCs/>
          <w:szCs w:val="22"/>
          <w:lang w:val="en-GB"/>
        </w:rPr>
        <w:t>occurs as a result of listing Triumeq on the PBS, the</w:t>
      </w:r>
      <w:r w:rsidR="0065107D">
        <w:rPr>
          <w:bCs/>
          <w:szCs w:val="22"/>
          <w:lang w:val="en-GB"/>
        </w:rPr>
        <w:t>re would be financial implication</w:t>
      </w:r>
      <w:r w:rsidR="006069AD">
        <w:rPr>
          <w:bCs/>
          <w:szCs w:val="22"/>
          <w:lang w:val="en-GB"/>
        </w:rPr>
        <w:t>s</w:t>
      </w:r>
      <w:r w:rsidR="0065107D">
        <w:rPr>
          <w:bCs/>
          <w:szCs w:val="22"/>
          <w:lang w:val="en-GB"/>
        </w:rPr>
        <w:t xml:space="preserve"> for the </w:t>
      </w:r>
      <w:r>
        <w:rPr>
          <w:bCs/>
          <w:szCs w:val="22"/>
          <w:lang w:val="en-GB"/>
        </w:rPr>
        <w:t xml:space="preserve">MBS. </w:t>
      </w:r>
    </w:p>
    <w:p w:rsidR="00C21B06" w:rsidRPr="00F9324B" w:rsidRDefault="00C21B06" w:rsidP="00C21B06">
      <w:pPr>
        <w:widowControl/>
        <w:rPr>
          <w:bCs/>
          <w:iCs/>
          <w:szCs w:val="22"/>
        </w:rPr>
      </w:pPr>
    </w:p>
    <w:p w:rsidR="004A31EE" w:rsidRPr="00C32C8F" w:rsidRDefault="004A31EE" w:rsidP="004A31EE">
      <w:pPr>
        <w:pStyle w:val="ListParagraph"/>
        <w:widowControl/>
        <w:numPr>
          <w:ilvl w:val="1"/>
          <w:numId w:val="2"/>
        </w:numPr>
        <w:ind w:left="709"/>
        <w:rPr>
          <w:u w:val="single"/>
        </w:rPr>
      </w:pPr>
      <w:r w:rsidRPr="00C32C8F">
        <w:rPr>
          <w:u w:val="single"/>
        </w:rPr>
        <w:t>Advice to the Minister under subsection 101(</w:t>
      </w:r>
      <w:r>
        <w:rPr>
          <w:u w:val="single"/>
        </w:rPr>
        <w:t>4AC</w:t>
      </w:r>
      <w:r w:rsidRPr="00C32C8F">
        <w:rPr>
          <w:u w:val="single"/>
        </w:rPr>
        <w:t>) of the Act</w:t>
      </w:r>
    </w:p>
    <w:p w:rsidR="000A4597" w:rsidRPr="004A31EE" w:rsidRDefault="000A4597" w:rsidP="004A31EE">
      <w:pPr>
        <w:pStyle w:val="ListParagraph"/>
        <w:widowControl/>
        <w:ind w:left="709"/>
      </w:pPr>
      <w:r w:rsidRPr="004A31EE">
        <w:t xml:space="preserve">The PBAC noted the submission </w:t>
      </w:r>
      <w:r w:rsidR="00515C96" w:rsidRPr="004A31EE">
        <w:t>requested</w:t>
      </w:r>
      <w:r w:rsidRPr="004A31EE">
        <w:t xml:space="preserve"> that the PBAC advise the Minister under </w:t>
      </w:r>
      <w:r w:rsidR="00C32C8F" w:rsidRPr="004A31EE">
        <w:t>sub</w:t>
      </w:r>
      <w:r w:rsidRPr="004A31EE">
        <w:t>section 101(4AC) of the Act</w:t>
      </w:r>
      <w:r w:rsidR="005F7595" w:rsidRPr="004A31EE">
        <w:t>.</w:t>
      </w:r>
      <w:r w:rsidRPr="004A31EE">
        <w:t xml:space="preserve"> Based on the reasons provided in </w:t>
      </w:r>
      <w:r w:rsidR="00C21B06" w:rsidRPr="004A31EE">
        <w:t>paragraphs 6.</w:t>
      </w:r>
      <w:r w:rsidR="006441FB" w:rsidRPr="004A31EE">
        <w:t xml:space="preserve">30 </w:t>
      </w:r>
      <w:r w:rsidR="00C21B06" w:rsidRPr="004A31EE">
        <w:t>to 6.3</w:t>
      </w:r>
      <w:r w:rsidR="006441FB" w:rsidRPr="004A31EE">
        <w:t>4</w:t>
      </w:r>
      <w:r w:rsidRPr="004A31EE">
        <w:t xml:space="preserve">, the PBAC decided it was not satisfied as required by </w:t>
      </w:r>
      <w:r w:rsidR="00C32C8F" w:rsidRPr="004A31EE">
        <w:t>sub</w:t>
      </w:r>
      <w:r w:rsidR="00DA2C07" w:rsidRPr="004A31EE">
        <w:t>s</w:t>
      </w:r>
      <w:r w:rsidRPr="004A31EE">
        <w:t>ection 101(4AC) and therefore will not provide advice to the Minister under that section.</w:t>
      </w:r>
    </w:p>
    <w:p w:rsidR="006744CF" w:rsidRDefault="006744CF" w:rsidP="006744CF">
      <w:pPr>
        <w:widowControl/>
        <w:rPr>
          <w:iCs/>
        </w:rPr>
      </w:pPr>
    </w:p>
    <w:p w:rsidR="006744CF" w:rsidRDefault="006744CF" w:rsidP="006744CF">
      <w:pPr>
        <w:widowControl/>
        <w:numPr>
          <w:ilvl w:val="1"/>
          <w:numId w:val="2"/>
        </w:numPr>
      </w:pPr>
      <w:r w:rsidRPr="006744CF">
        <w:t xml:space="preserve">The </w:t>
      </w:r>
      <w:r>
        <w:t>PBAC</w:t>
      </w:r>
      <w:r w:rsidRPr="006744CF">
        <w:t xml:space="preserve"> noted that the submission did not propose a risk share arrangement.</w:t>
      </w:r>
    </w:p>
    <w:p w:rsidR="008A3AB3" w:rsidRPr="006744CF" w:rsidRDefault="008A3AB3" w:rsidP="008A3AB3">
      <w:pPr>
        <w:widowControl/>
        <w:ind w:left="720"/>
      </w:pPr>
    </w:p>
    <w:p w:rsidR="006805F4" w:rsidRDefault="006805F4" w:rsidP="00EE323F">
      <w:pPr>
        <w:widowControl/>
        <w:numPr>
          <w:ilvl w:val="1"/>
          <w:numId w:val="2"/>
        </w:numPr>
        <w:rPr>
          <w:iCs/>
        </w:rPr>
      </w:pPr>
      <w:r>
        <w:rPr>
          <w:iCs/>
        </w:rPr>
        <w:t xml:space="preserve">The PBAC advised that Section 100 medicines are currently considered </w:t>
      </w:r>
      <w:r w:rsidR="002C064C">
        <w:rPr>
          <w:iCs/>
        </w:rPr>
        <w:t xml:space="preserve">out of scope </w:t>
      </w:r>
      <w:r>
        <w:rPr>
          <w:iCs/>
        </w:rPr>
        <w:t>for prescribing by nurse practitioners.</w:t>
      </w:r>
    </w:p>
    <w:p w:rsidR="006805F4" w:rsidRDefault="006805F4" w:rsidP="006805F4">
      <w:pPr>
        <w:widowControl/>
        <w:rPr>
          <w:iCs/>
        </w:rPr>
      </w:pPr>
    </w:p>
    <w:p w:rsidR="006805F4" w:rsidRDefault="006805F4" w:rsidP="00EE323F">
      <w:pPr>
        <w:widowControl/>
        <w:numPr>
          <w:ilvl w:val="1"/>
          <w:numId w:val="2"/>
        </w:numPr>
        <w:rPr>
          <w:iCs/>
        </w:rPr>
      </w:pPr>
      <w:r>
        <w:rPr>
          <w:iCs/>
        </w:rPr>
        <w:t>The PBAC recommended that the Safety Net 20 Day Rule should not apply</w:t>
      </w:r>
      <w:r w:rsidR="002C064C" w:rsidRPr="00C60315">
        <w:rPr>
          <w:szCs w:val="22"/>
        </w:rPr>
        <w:t>, as it does not apply to items supplied under Section 100.</w:t>
      </w:r>
    </w:p>
    <w:p w:rsidR="006805F4" w:rsidRDefault="006805F4" w:rsidP="006805F4">
      <w:pPr>
        <w:widowControl/>
        <w:rPr>
          <w:iCs/>
        </w:rPr>
      </w:pPr>
    </w:p>
    <w:p w:rsidR="00C32C8F" w:rsidRPr="00C32C8F" w:rsidRDefault="00F41FDF" w:rsidP="00C21B06">
      <w:pPr>
        <w:pStyle w:val="ListParagraph"/>
        <w:widowControl/>
        <w:numPr>
          <w:ilvl w:val="1"/>
          <w:numId w:val="2"/>
        </w:numPr>
        <w:ind w:left="709"/>
        <w:rPr>
          <w:u w:val="single"/>
        </w:rPr>
      </w:pPr>
      <w:r w:rsidRPr="00C32C8F">
        <w:rPr>
          <w:u w:val="single"/>
        </w:rPr>
        <w:t xml:space="preserve">Advice to the Minister under </w:t>
      </w:r>
      <w:r w:rsidR="00DA2C07" w:rsidRPr="00C32C8F">
        <w:rPr>
          <w:u w:val="single"/>
        </w:rPr>
        <w:t>s</w:t>
      </w:r>
      <w:r w:rsidRPr="00C32C8F">
        <w:rPr>
          <w:u w:val="single"/>
        </w:rPr>
        <w:t>ubsection 101</w:t>
      </w:r>
      <w:r w:rsidR="00DA2C07" w:rsidRPr="00C32C8F">
        <w:rPr>
          <w:u w:val="single"/>
        </w:rPr>
        <w:t>(</w:t>
      </w:r>
      <w:r w:rsidRPr="00C32C8F">
        <w:rPr>
          <w:u w:val="single"/>
        </w:rPr>
        <w:t>3BA</w:t>
      </w:r>
      <w:r w:rsidR="00DA2C07" w:rsidRPr="00C32C8F">
        <w:rPr>
          <w:u w:val="single"/>
        </w:rPr>
        <w:t>)</w:t>
      </w:r>
      <w:r w:rsidRPr="00C32C8F">
        <w:rPr>
          <w:u w:val="single"/>
        </w:rPr>
        <w:t xml:space="preserve"> of the </w:t>
      </w:r>
      <w:r w:rsidR="00C32C8F" w:rsidRPr="00C32C8F">
        <w:rPr>
          <w:u w:val="single"/>
        </w:rPr>
        <w:t>Act</w:t>
      </w:r>
    </w:p>
    <w:p w:rsidR="00C21B06" w:rsidRDefault="00F41FDF" w:rsidP="00C32C8F">
      <w:pPr>
        <w:pStyle w:val="ListParagraph"/>
        <w:widowControl/>
        <w:ind w:left="709"/>
      </w:pPr>
      <w:r w:rsidRPr="00504C7D">
        <w:t xml:space="preserve">In accordance with subsection 101(3BA) of the </w:t>
      </w:r>
      <w:r w:rsidR="00C21B06" w:rsidRPr="00C21B06">
        <w:t>Act,</w:t>
      </w:r>
      <w:r w:rsidRPr="00504C7D">
        <w:t xml:space="preserve"> the PBAC advised that it is of the opinion that </w:t>
      </w:r>
      <w:r>
        <w:t>Triumeq</w:t>
      </w:r>
      <w:r w:rsidRPr="00504C7D">
        <w:t xml:space="preserve"> should </w:t>
      </w:r>
      <w:r>
        <w:t xml:space="preserve">not </w:t>
      </w:r>
      <w:r w:rsidRPr="00504C7D">
        <w:t>be treated as interchangeable on an individual patient basis with</w:t>
      </w:r>
      <w:r>
        <w:t xml:space="preserve"> other antiretroviral therapies</w:t>
      </w:r>
      <w:r w:rsidRPr="00504C7D">
        <w:t>.</w:t>
      </w:r>
    </w:p>
    <w:p w:rsidR="00C21B06" w:rsidRDefault="00C21B06" w:rsidP="005F78E3"/>
    <w:p w:rsidR="005210DA" w:rsidRPr="00920A5B" w:rsidRDefault="005210DA" w:rsidP="005210DA">
      <w:pPr>
        <w:widowControl/>
        <w:rPr>
          <w:b/>
          <w:bCs/>
          <w:szCs w:val="22"/>
          <w:lang w:val="en-GB"/>
        </w:rPr>
      </w:pPr>
    </w:p>
    <w:p w:rsidR="005210DA" w:rsidRPr="005210DA" w:rsidRDefault="005210DA" w:rsidP="005210DA">
      <w:pPr>
        <w:widowControl/>
        <w:rPr>
          <w:b/>
          <w:bCs/>
          <w:szCs w:val="22"/>
          <w:lang w:val="en-GB"/>
        </w:rPr>
      </w:pPr>
      <w:r w:rsidRPr="005210DA">
        <w:rPr>
          <w:b/>
          <w:bCs/>
          <w:szCs w:val="22"/>
          <w:lang w:val="en-GB"/>
        </w:rPr>
        <w:t>Outcome:</w:t>
      </w:r>
    </w:p>
    <w:p w:rsidR="005210DA" w:rsidRDefault="005210DA" w:rsidP="005210DA">
      <w:pPr>
        <w:widowControl/>
        <w:rPr>
          <w:bCs/>
          <w:szCs w:val="22"/>
          <w:lang w:val="en-GB"/>
        </w:rPr>
      </w:pPr>
      <w:r w:rsidRPr="005210DA">
        <w:rPr>
          <w:bCs/>
          <w:szCs w:val="22"/>
          <w:lang w:val="en-GB"/>
        </w:rPr>
        <w:t xml:space="preserve">Recommended </w:t>
      </w:r>
    </w:p>
    <w:p w:rsidR="00E35B27" w:rsidRDefault="00E35B27" w:rsidP="005210DA">
      <w:pPr>
        <w:widowControl/>
        <w:rPr>
          <w:bCs/>
          <w:szCs w:val="22"/>
          <w:lang w:val="en-GB"/>
        </w:rPr>
      </w:pPr>
    </w:p>
    <w:p w:rsidR="003868D1" w:rsidRDefault="003868D1" w:rsidP="005F78E3">
      <w:pPr>
        <w:widowControl/>
        <w:rPr>
          <w:b/>
          <w:bCs/>
          <w:szCs w:val="22"/>
          <w:lang w:val="en-GB"/>
        </w:rPr>
      </w:pPr>
    </w:p>
    <w:p w:rsidR="005210DA" w:rsidRPr="005F78E3" w:rsidRDefault="005210DA" w:rsidP="005F78E3">
      <w:pPr>
        <w:pStyle w:val="PBACHeading1"/>
      </w:pPr>
      <w:r w:rsidRPr="005F78E3">
        <w:t>Recommended listing</w:t>
      </w:r>
    </w:p>
    <w:p w:rsidR="003868D1" w:rsidRPr="005F78E3" w:rsidRDefault="003868D1" w:rsidP="005F78E3"/>
    <w:p w:rsidR="005210DA" w:rsidRPr="00A4415E" w:rsidRDefault="005210DA" w:rsidP="005210DA">
      <w:pPr>
        <w:widowControl/>
        <w:numPr>
          <w:ilvl w:val="1"/>
          <w:numId w:val="2"/>
        </w:numPr>
        <w:rPr>
          <w:bCs/>
          <w:szCs w:val="22"/>
        </w:rPr>
      </w:pPr>
      <w:r w:rsidRPr="00A4415E">
        <w:rPr>
          <w:bCs/>
          <w:szCs w:val="22"/>
        </w:rPr>
        <w:t>Add new item:</w:t>
      </w:r>
    </w:p>
    <w:p w:rsidR="00A4415E" w:rsidRDefault="00A4415E" w:rsidP="002F48A6">
      <w:pPr>
        <w:widowControl/>
        <w:rPr>
          <w:bCs/>
          <w:szCs w:val="22"/>
        </w:rPr>
      </w:pPr>
    </w:p>
    <w:tbl>
      <w:tblPr>
        <w:tblW w:w="8505" w:type="dxa"/>
        <w:tblInd w:w="817" w:type="dxa"/>
        <w:tblLayout w:type="fixed"/>
        <w:tblLook w:val="0000" w:firstRow="0" w:lastRow="0" w:firstColumn="0" w:lastColumn="0" w:noHBand="0" w:noVBand="0"/>
      </w:tblPr>
      <w:tblGrid>
        <w:gridCol w:w="2835"/>
        <w:gridCol w:w="425"/>
        <w:gridCol w:w="568"/>
        <w:gridCol w:w="992"/>
        <w:gridCol w:w="1276"/>
        <w:gridCol w:w="2409"/>
      </w:tblGrid>
      <w:tr w:rsidR="005F78E3" w:rsidRPr="00C21B06" w:rsidTr="005F78E3">
        <w:trPr>
          <w:cantSplit/>
          <w:trHeight w:val="471"/>
        </w:trPr>
        <w:tc>
          <w:tcPr>
            <w:tcW w:w="3260" w:type="dxa"/>
            <w:gridSpan w:val="2"/>
            <w:tcBorders>
              <w:bottom w:val="single" w:sz="4" w:space="0" w:color="auto"/>
            </w:tcBorders>
          </w:tcPr>
          <w:p w:rsidR="005F78E3" w:rsidRPr="00C21B06" w:rsidRDefault="005F78E3" w:rsidP="00C21B06">
            <w:pPr>
              <w:keepNext/>
              <w:ind w:left="-108"/>
              <w:jc w:val="left"/>
              <w:rPr>
                <w:rFonts w:ascii="Arial Narrow" w:hAnsi="Arial Narrow"/>
                <w:sz w:val="20"/>
              </w:rPr>
            </w:pPr>
            <w:r w:rsidRPr="00C21B06">
              <w:rPr>
                <w:rFonts w:ascii="Arial Narrow" w:hAnsi="Arial Narrow"/>
                <w:sz w:val="20"/>
              </w:rPr>
              <w:t>Name, Restriction,</w:t>
            </w:r>
          </w:p>
          <w:p w:rsidR="005F78E3" w:rsidRPr="00C21B06" w:rsidRDefault="005F78E3" w:rsidP="00C21B06">
            <w:pPr>
              <w:keepNext/>
              <w:ind w:left="-108"/>
              <w:jc w:val="left"/>
              <w:rPr>
                <w:rFonts w:ascii="Arial Narrow" w:hAnsi="Arial Narrow"/>
                <w:sz w:val="20"/>
              </w:rPr>
            </w:pPr>
            <w:r w:rsidRPr="00C21B06">
              <w:rPr>
                <w:rFonts w:ascii="Arial Narrow" w:hAnsi="Arial Narrow"/>
                <w:sz w:val="20"/>
              </w:rPr>
              <w:t>Manner of administration and form</w:t>
            </w:r>
          </w:p>
        </w:tc>
        <w:tc>
          <w:tcPr>
            <w:tcW w:w="568" w:type="dxa"/>
            <w:tcBorders>
              <w:bottom w:val="single" w:sz="4" w:space="0" w:color="auto"/>
            </w:tcBorders>
          </w:tcPr>
          <w:p w:rsidR="005F78E3" w:rsidRPr="00C21B06" w:rsidRDefault="005F78E3" w:rsidP="00C21B06">
            <w:pPr>
              <w:keepNext/>
              <w:ind w:left="-108"/>
              <w:jc w:val="left"/>
              <w:rPr>
                <w:rFonts w:ascii="Arial Narrow" w:hAnsi="Arial Narrow"/>
                <w:sz w:val="20"/>
              </w:rPr>
            </w:pPr>
            <w:r w:rsidRPr="00C21B06">
              <w:rPr>
                <w:rFonts w:ascii="Arial Narrow" w:hAnsi="Arial Narrow"/>
                <w:sz w:val="20"/>
              </w:rPr>
              <w:t>Max.</w:t>
            </w:r>
          </w:p>
          <w:p w:rsidR="005F78E3" w:rsidRPr="00C21B06" w:rsidRDefault="005F78E3" w:rsidP="00C21B06">
            <w:pPr>
              <w:keepNext/>
              <w:ind w:left="-108"/>
              <w:jc w:val="left"/>
              <w:rPr>
                <w:rFonts w:ascii="Arial Narrow" w:hAnsi="Arial Narrow"/>
                <w:sz w:val="20"/>
              </w:rPr>
            </w:pPr>
            <w:r w:rsidRPr="00C21B06">
              <w:rPr>
                <w:rFonts w:ascii="Arial Narrow" w:hAnsi="Arial Narrow"/>
                <w:sz w:val="20"/>
              </w:rPr>
              <w:t>Qty</w:t>
            </w:r>
          </w:p>
        </w:tc>
        <w:tc>
          <w:tcPr>
            <w:tcW w:w="992" w:type="dxa"/>
            <w:tcBorders>
              <w:bottom w:val="single" w:sz="4" w:space="0" w:color="auto"/>
            </w:tcBorders>
          </w:tcPr>
          <w:p w:rsidR="005F78E3" w:rsidRPr="00C21B06" w:rsidRDefault="005F78E3" w:rsidP="00C21B06">
            <w:pPr>
              <w:keepNext/>
              <w:ind w:left="-108"/>
              <w:jc w:val="left"/>
              <w:rPr>
                <w:rFonts w:ascii="Arial Narrow" w:hAnsi="Arial Narrow"/>
                <w:sz w:val="20"/>
              </w:rPr>
            </w:pPr>
            <w:r w:rsidRPr="00C21B06">
              <w:rPr>
                <w:rFonts w:ascii="Arial Narrow" w:hAnsi="Arial Narrow"/>
                <w:sz w:val="20"/>
              </w:rPr>
              <w:t>№.of</w:t>
            </w:r>
          </w:p>
          <w:p w:rsidR="005F78E3" w:rsidRPr="00C21B06" w:rsidRDefault="005F78E3" w:rsidP="00C21B06">
            <w:pPr>
              <w:keepNext/>
              <w:ind w:left="-108"/>
              <w:jc w:val="left"/>
              <w:rPr>
                <w:rFonts w:ascii="Arial Narrow" w:hAnsi="Arial Narrow"/>
                <w:sz w:val="20"/>
              </w:rPr>
            </w:pPr>
            <w:r w:rsidRPr="00C21B06">
              <w:rPr>
                <w:rFonts w:ascii="Arial Narrow" w:hAnsi="Arial Narrow"/>
                <w:sz w:val="20"/>
              </w:rPr>
              <w:t>Rpts</w:t>
            </w:r>
          </w:p>
        </w:tc>
        <w:tc>
          <w:tcPr>
            <w:tcW w:w="3685" w:type="dxa"/>
            <w:gridSpan w:val="2"/>
            <w:tcBorders>
              <w:bottom w:val="single" w:sz="4" w:space="0" w:color="auto"/>
            </w:tcBorders>
          </w:tcPr>
          <w:p w:rsidR="005F78E3" w:rsidRPr="00C21B06" w:rsidRDefault="005F78E3" w:rsidP="00C21B06">
            <w:pPr>
              <w:keepNext/>
              <w:ind w:right="-249"/>
              <w:jc w:val="left"/>
              <w:rPr>
                <w:rFonts w:ascii="Arial Narrow" w:hAnsi="Arial Narrow"/>
                <w:sz w:val="20"/>
                <w:lang w:val="fr-FR"/>
              </w:rPr>
            </w:pPr>
            <w:r w:rsidRPr="00C21B06">
              <w:rPr>
                <w:rFonts w:ascii="Arial Narrow" w:hAnsi="Arial Narrow"/>
                <w:sz w:val="20"/>
              </w:rPr>
              <w:t>Proprietary Name and Manufacturer</w:t>
            </w:r>
          </w:p>
        </w:tc>
      </w:tr>
      <w:tr w:rsidR="005F78E3" w:rsidRPr="00C21B06" w:rsidTr="005F78E3">
        <w:trPr>
          <w:cantSplit/>
          <w:trHeight w:val="577"/>
        </w:trPr>
        <w:tc>
          <w:tcPr>
            <w:tcW w:w="3260" w:type="dxa"/>
            <w:gridSpan w:val="2"/>
          </w:tcPr>
          <w:p w:rsidR="005F78E3" w:rsidRPr="00C21B06" w:rsidRDefault="005F78E3" w:rsidP="00C21B06">
            <w:pPr>
              <w:keepNext/>
              <w:ind w:left="-108"/>
              <w:jc w:val="left"/>
              <w:rPr>
                <w:rFonts w:ascii="Arial Narrow" w:hAnsi="Arial Narrow"/>
                <w:sz w:val="20"/>
              </w:rPr>
            </w:pPr>
            <w:r w:rsidRPr="00C21B06">
              <w:rPr>
                <w:rFonts w:ascii="Arial Narrow" w:hAnsi="Arial Narrow"/>
                <w:smallCaps/>
                <w:sz w:val="20"/>
              </w:rPr>
              <w:t>Dolutegravir 50mg + abacavir 600mg + lamivudine 300mg, 30 Tablet</w:t>
            </w:r>
          </w:p>
        </w:tc>
        <w:tc>
          <w:tcPr>
            <w:tcW w:w="568" w:type="dxa"/>
          </w:tcPr>
          <w:p w:rsidR="005F78E3" w:rsidRPr="00C21B06" w:rsidRDefault="005F78E3" w:rsidP="00C21B06">
            <w:pPr>
              <w:keepNext/>
              <w:ind w:left="-108"/>
              <w:jc w:val="left"/>
              <w:rPr>
                <w:rFonts w:ascii="Arial Narrow" w:hAnsi="Arial Narrow"/>
                <w:sz w:val="20"/>
              </w:rPr>
            </w:pPr>
            <w:r w:rsidRPr="00C21B06">
              <w:rPr>
                <w:rFonts w:ascii="Arial Narrow" w:hAnsi="Arial Narrow"/>
                <w:sz w:val="20"/>
              </w:rPr>
              <w:t>2</w:t>
            </w:r>
          </w:p>
        </w:tc>
        <w:tc>
          <w:tcPr>
            <w:tcW w:w="992" w:type="dxa"/>
          </w:tcPr>
          <w:p w:rsidR="005F78E3" w:rsidRPr="00C21B06" w:rsidRDefault="005F78E3" w:rsidP="00C21B06">
            <w:pPr>
              <w:keepNext/>
              <w:ind w:left="-108"/>
              <w:jc w:val="left"/>
              <w:rPr>
                <w:rFonts w:ascii="Arial Narrow" w:hAnsi="Arial Narrow"/>
                <w:sz w:val="20"/>
              </w:rPr>
            </w:pPr>
            <w:r w:rsidRPr="00C21B06">
              <w:rPr>
                <w:rFonts w:ascii="Arial Narrow" w:hAnsi="Arial Narrow"/>
                <w:sz w:val="20"/>
              </w:rPr>
              <w:t>5</w:t>
            </w:r>
          </w:p>
        </w:tc>
        <w:tc>
          <w:tcPr>
            <w:tcW w:w="1276" w:type="dxa"/>
          </w:tcPr>
          <w:p w:rsidR="005F78E3" w:rsidRPr="00C21B06" w:rsidRDefault="005F78E3" w:rsidP="00C21B06">
            <w:pPr>
              <w:keepNext/>
              <w:jc w:val="left"/>
              <w:rPr>
                <w:rFonts w:ascii="Arial Narrow" w:hAnsi="Arial Narrow"/>
                <w:sz w:val="20"/>
              </w:rPr>
            </w:pPr>
            <w:r w:rsidRPr="00C21B06">
              <w:rPr>
                <w:rFonts w:ascii="Arial Narrow" w:hAnsi="Arial Narrow"/>
                <w:sz w:val="20"/>
              </w:rPr>
              <w:t>Triumeq</w:t>
            </w:r>
          </w:p>
          <w:p w:rsidR="005F78E3" w:rsidRPr="00C21B06" w:rsidRDefault="005F78E3" w:rsidP="00C21B06">
            <w:pPr>
              <w:keepNext/>
              <w:jc w:val="left"/>
              <w:rPr>
                <w:rFonts w:ascii="Arial Narrow" w:hAnsi="Arial Narrow"/>
                <w:sz w:val="20"/>
              </w:rPr>
            </w:pPr>
          </w:p>
        </w:tc>
        <w:tc>
          <w:tcPr>
            <w:tcW w:w="2409" w:type="dxa"/>
          </w:tcPr>
          <w:p w:rsidR="005F78E3" w:rsidRPr="00C21B06" w:rsidRDefault="005F78E3" w:rsidP="00C21B06">
            <w:pPr>
              <w:keepNext/>
              <w:jc w:val="left"/>
              <w:rPr>
                <w:rFonts w:ascii="Arial Narrow" w:hAnsi="Arial Narrow"/>
                <w:sz w:val="20"/>
              </w:rPr>
            </w:pPr>
            <w:r w:rsidRPr="00C21B06">
              <w:rPr>
                <w:rFonts w:ascii="Arial Narrow" w:hAnsi="Arial Narrow"/>
                <w:sz w:val="20"/>
              </w:rPr>
              <w:t>ViiV Health Care</w:t>
            </w:r>
          </w:p>
        </w:tc>
      </w:tr>
      <w:tr w:rsidR="001A7F8F" w:rsidRPr="00155796">
        <w:trPr>
          <w:cantSplit/>
          <w:trHeight w:val="360"/>
        </w:trPr>
        <w:tc>
          <w:tcPr>
            <w:tcW w:w="8505" w:type="dxa"/>
            <w:gridSpan w:val="6"/>
            <w:tcBorders>
              <w:bottom w:val="single" w:sz="4" w:space="0" w:color="auto"/>
            </w:tcBorders>
          </w:tcPr>
          <w:p w:rsidR="001A7F8F" w:rsidRPr="00155796" w:rsidRDefault="001A7F8F" w:rsidP="0000621A">
            <w:pPr>
              <w:tabs>
                <w:tab w:val="left" w:pos="2843"/>
              </w:tabs>
              <w:ind w:right="34"/>
              <w:rPr>
                <w:sz w:val="20"/>
              </w:rPr>
            </w:pP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 xml:space="preserve">Category / </w:t>
            </w:r>
          </w:p>
          <w:p w:rsidR="001A7F8F" w:rsidRPr="00155796" w:rsidRDefault="001A7F8F" w:rsidP="00C14540">
            <w:pPr>
              <w:rPr>
                <w:rFonts w:ascii="Arial Narrow" w:hAnsi="Arial Narrow"/>
                <w:b/>
                <w:sz w:val="20"/>
              </w:rPr>
            </w:pPr>
            <w:r w:rsidRPr="00155796">
              <w:rPr>
                <w:rFonts w:ascii="Arial Narrow" w:hAnsi="Arial Narrow"/>
                <w:b/>
                <w:sz w:val="20"/>
              </w:rPr>
              <w:t>Program</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Section 100 – Highly Specialised Drugs Program</w:t>
            </w:r>
          </w:p>
          <w:p w:rsidR="001A7F8F" w:rsidRPr="00155796" w:rsidRDefault="001A7F8F" w:rsidP="00C14540">
            <w:pPr>
              <w:rPr>
                <w:rFonts w:ascii="Arial Narrow" w:hAnsi="Arial Narrow"/>
                <w:sz w:val="20"/>
              </w:rPr>
            </w:pP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Prescriber type:</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442399" w:rsidP="00C14540">
            <w:pPr>
              <w:rPr>
                <w:rFonts w:ascii="Arial Narrow" w:hAnsi="Arial Narrow"/>
                <w:sz w:val="20"/>
              </w:rPr>
            </w:pPr>
            <w:r w:rsidRPr="00155796">
              <w:rPr>
                <w:rFonts w:ascii="Arial Narrow" w:hAnsi="Arial Narrow"/>
                <w:sz w:val="20"/>
              </w:rPr>
              <w:fldChar w:fldCharType="begin">
                <w:ffData>
                  <w:name w:val="Check1"/>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Dental  </w:t>
            </w:r>
            <w:r w:rsidRPr="00155796">
              <w:rPr>
                <w:rFonts w:ascii="Arial Narrow" w:hAnsi="Arial Narrow"/>
                <w:sz w:val="20"/>
              </w:rPr>
              <w:fldChar w:fldCharType="begin">
                <w:ffData>
                  <w:name w:val=""/>
                  <w:enabled/>
                  <w:calcOnExit w:val="0"/>
                  <w:checkBox>
                    <w:sizeAuto/>
                    <w:default w:val="1"/>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Medical Practitioners  </w:t>
            </w:r>
            <w:r w:rsidRPr="00155796">
              <w:rPr>
                <w:rFonts w:ascii="Arial Narrow" w:hAnsi="Arial Narrow"/>
                <w:sz w:val="20"/>
              </w:rPr>
              <w:fldChar w:fldCharType="begin">
                <w:ffData>
                  <w:name w:val="Check3"/>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Nurse practitioners  </w:t>
            </w:r>
            <w:r w:rsidRPr="00155796">
              <w:rPr>
                <w:rFonts w:ascii="Arial Narrow" w:hAnsi="Arial Narrow"/>
                <w:sz w:val="20"/>
              </w:rPr>
              <w:fldChar w:fldCharType="begin">
                <w:ffData>
                  <w:name w:val=""/>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Optometrists</w:t>
            </w:r>
          </w:p>
          <w:p w:rsidR="001A7F8F" w:rsidRPr="00155796" w:rsidRDefault="00442399" w:rsidP="00C14540">
            <w:pPr>
              <w:rPr>
                <w:rFonts w:ascii="Arial Narrow" w:hAnsi="Arial Narrow"/>
                <w:sz w:val="20"/>
              </w:rPr>
            </w:pPr>
            <w:r w:rsidRPr="00155796">
              <w:rPr>
                <w:rFonts w:ascii="Arial Narrow" w:hAnsi="Arial Narrow"/>
                <w:sz w:val="20"/>
              </w:rPr>
              <w:fldChar w:fldCharType="begin">
                <w:ffData>
                  <w:name w:val="Check5"/>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Midwives</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Condition:</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HIV infection</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PBS Indication</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HIV infection</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Treatment phase:</w:t>
            </w:r>
          </w:p>
          <w:p w:rsidR="001A7F8F" w:rsidRPr="00155796" w:rsidRDefault="001A7F8F" w:rsidP="00C14540">
            <w:pPr>
              <w:rPr>
                <w:rFonts w:ascii="Arial Narrow" w:hAnsi="Arial Narrow"/>
                <w:i/>
                <w:sz w:val="20"/>
              </w:rPr>
            </w:pP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Initial</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Restriction:</w:t>
            </w:r>
          </w:p>
          <w:p w:rsidR="001A7F8F" w:rsidRPr="00155796" w:rsidRDefault="001A7F8F" w:rsidP="00C14540">
            <w:pPr>
              <w:rPr>
                <w:rFonts w:ascii="Arial Narrow" w:hAnsi="Arial Narrow"/>
                <w:sz w:val="20"/>
              </w:rPr>
            </w:pP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Private Hospital Authority Required</w:t>
            </w:r>
          </w:p>
          <w:p w:rsidR="001A7F8F" w:rsidRPr="00155796" w:rsidRDefault="001A7F8F" w:rsidP="00C14540">
            <w:pPr>
              <w:rPr>
                <w:rFonts w:ascii="Arial Narrow" w:hAnsi="Arial Narrow"/>
                <w:sz w:val="20"/>
              </w:rPr>
            </w:pPr>
            <w:r w:rsidRPr="00155796">
              <w:rPr>
                <w:rFonts w:ascii="Arial Narrow" w:hAnsi="Arial Narrow"/>
                <w:sz w:val="20"/>
              </w:rPr>
              <w:t>Public Hospital Authority Required (STREAMLINED)</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b/>
                <w:sz w:val="20"/>
              </w:rPr>
              <w:t>Treatment criteria:</w:t>
            </w:r>
            <w:r w:rsidRPr="00155796" w:rsidDel="00E51CE1">
              <w:rPr>
                <w:rFonts w:ascii="Arial Narrow" w:hAnsi="Arial Narrow"/>
                <w:b/>
                <w:sz w:val="20"/>
              </w:rPr>
              <w:t xml:space="preserve"> </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b/>
                <w:sz w:val="20"/>
              </w:rPr>
              <w:t>Clinical criteria:</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 xml:space="preserve">Patient must be antiretroviral </w:t>
            </w:r>
            <w:r w:rsidRPr="00C21B06">
              <w:rPr>
                <w:rFonts w:ascii="Arial Narrow" w:hAnsi="Arial Narrow"/>
                <w:sz w:val="20"/>
              </w:rPr>
              <w:t>treatment</w:t>
            </w:r>
            <w:r w:rsidRPr="00155796">
              <w:rPr>
                <w:rFonts w:ascii="Arial Narrow" w:hAnsi="Arial Narrow"/>
                <w:sz w:val="20"/>
              </w:rPr>
              <w:t xml:space="preserve"> naïve.</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b/>
                <w:sz w:val="20"/>
              </w:rPr>
              <w:t>Population criteria:</w:t>
            </w:r>
          </w:p>
        </w:tc>
        <w:tc>
          <w:tcPr>
            <w:tcW w:w="5670" w:type="dxa"/>
            <w:gridSpan w:val="5"/>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Patient must be aged 12 years or older.</w:t>
            </w:r>
          </w:p>
          <w:p w:rsidR="001A7F8F" w:rsidRPr="00155796" w:rsidRDefault="001A7F8F" w:rsidP="00C14540">
            <w:pPr>
              <w:rPr>
                <w:rFonts w:ascii="Arial Narrow" w:hAnsi="Arial Narrow"/>
                <w:sz w:val="20"/>
              </w:rPr>
            </w:pPr>
            <w:r w:rsidRPr="00155796">
              <w:rPr>
                <w:rFonts w:ascii="Arial Narrow" w:hAnsi="Arial Narrow"/>
                <w:sz w:val="20"/>
              </w:rPr>
              <w:t>AND</w:t>
            </w:r>
          </w:p>
          <w:p w:rsidR="001A7F8F" w:rsidRPr="00155796" w:rsidRDefault="001A7F8F" w:rsidP="00C14540">
            <w:pPr>
              <w:rPr>
                <w:rFonts w:ascii="Arial Narrow" w:hAnsi="Arial Narrow"/>
                <w:sz w:val="20"/>
              </w:rPr>
            </w:pPr>
            <w:r w:rsidRPr="00155796">
              <w:rPr>
                <w:rFonts w:ascii="Arial Narrow" w:hAnsi="Arial Narrow"/>
                <w:sz w:val="20"/>
              </w:rPr>
              <w:t>Patient must weigh 40 kg or more.</w:t>
            </w:r>
          </w:p>
        </w:tc>
      </w:tr>
    </w:tbl>
    <w:p w:rsidR="001A7F8F" w:rsidRDefault="001A7F8F" w:rsidP="002F48A6">
      <w:pPr>
        <w:widowControl/>
        <w:rPr>
          <w:bCs/>
          <w:szCs w:val="22"/>
        </w:rPr>
      </w:pPr>
    </w:p>
    <w:tbl>
      <w:tblPr>
        <w:tblW w:w="8505" w:type="dxa"/>
        <w:tblInd w:w="817" w:type="dxa"/>
        <w:tblLayout w:type="fixed"/>
        <w:tblLook w:val="0000" w:firstRow="0" w:lastRow="0" w:firstColumn="0" w:lastColumn="0" w:noHBand="0" w:noVBand="0"/>
      </w:tblPr>
      <w:tblGrid>
        <w:gridCol w:w="2835"/>
        <w:gridCol w:w="5670"/>
      </w:tblGrid>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br w:type="page"/>
            </w:r>
            <w:r w:rsidRPr="00155796">
              <w:rPr>
                <w:rFonts w:ascii="Arial Narrow" w:hAnsi="Arial Narrow"/>
                <w:b/>
                <w:sz w:val="20"/>
              </w:rPr>
              <w:t xml:space="preserve">Category / </w:t>
            </w:r>
          </w:p>
          <w:p w:rsidR="001A7F8F" w:rsidRPr="00155796" w:rsidRDefault="001A7F8F" w:rsidP="00C14540">
            <w:pPr>
              <w:rPr>
                <w:rFonts w:ascii="Arial Narrow" w:hAnsi="Arial Narrow"/>
                <w:b/>
                <w:sz w:val="20"/>
              </w:rPr>
            </w:pPr>
            <w:r w:rsidRPr="00155796">
              <w:rPr>
                <w:rFonts w:ascii="Arial Narrow" w:hAnsi="Arial Narrow"/>
                <w:b/>
                <w:sz w:val="20"/>
              </w:rPr>
              <w:t>Program</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Section 100 – Highly Specialised Drugs Program</w:t>
            </w:r>
          </w:p>
          <w:p w:rsidR="001A7F8F" w:rsidRPr="00155796" w:rsidRDefault="001A7F8F" w:rsidP="00C14540">
            <w:pPr>
              <w:rPr>
                <w:rFonts w:ascii="Arial Narrow" w:hAnsi="Arial Narrow"/>
                <w:sz w:val="20"/>
              </w:rPr>
            </w:pP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Prescriber type:</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442399" w:rsidP="00C14540">
            <w:pPr>
              <w:rPr>
                <w:rFonts w:ascii="Arial Narrow" w:hAnsi="Arial Narrow"/>
                <w:sz w:val="20"/>
              </w:rPr>
            </w:pPr>
            <w:r w:rsidRPr="00155796">
              <w:rPr>
                <w:rFonts w:ascii="Arial Narrow" w:hAnsi="Arial Narrow"/>
                <w:sz w:val="20"/>
              </w:rPr>
              <w:fldChar w:fldCharType="begin">
                <w:ffData>
                  <w:name w:val="Check1"/>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Dental  </w:t>
            </w:r>
            <w:r w:rsidRPr="00155796">
              <w:rPr>
                <w:rFonts w:ascii="Arial Narrow" w:hAnsi="Arial Narrow"/>
                <w:sz w:val="20"/>
              </w:rPr>
              <w:fldChar w:fldCharType="begin">
                <w:ffData>
                  <w:name w:val=""/>
                  <w:enabled/>
                  <w:calcOnExit w:val="0"/>
                  <w:checkBox>
                    <w:sizeAuto/>
                    <w:default w:val="1"/>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Medical Practitioners  </w:t>
            </w:r>
            <w:r w:rsidRPr="00155796">
              <w:rPr>
                <w:rFonts w:ascii="Arial Narrow" w:hAnsi="Arial Narrow"/>
                <w:sz w:val="20"/>
              </w:rPr>
              <w:fldChar w:fldCharType="begin">
                <w:ffData>
                  <w:name w:val="Check3"/>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 xml:space="preserve">Nurse practitioners  </w:t>
            </w:r>
            <w:r w:rsidRPr="00155796">
              <w:rPr>
                <w:rFonts w:ascii="Arial Narrow" w:hAnsi="Arial Narrow"/>
                <w:sz w:val="20"/>
              </w:rPr>
              <w:fldChar w:fldCharType="begin">
                <w:ffData>
                  <w:name w:val=""/>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Optometrists</w:t>
            </w:r>
          </w:p>
          <w:p w:rsidR="001A7F8F" w:rsidRPr="00155796" w:rsidRDefault="00442399" w:rsidP="00C14540">
            <w:pPr>
              <w:rPr>
                <w:rFonts w:ascii="Arial Narrow" w:hAnsi="Arial Narrow"/>
                <w:sz w:val="20"/>
              </w:rPr>
            </w:pPr>
            <w:r w:rsidRPr="00155796">
              <w:rPr>
                <w:rFonts w:ascii="Arial Narrow" w:hAnsi="Arial Narrow"/>
                <w:sz w:val="20"/>
              </w:rPr>
              <w:fldChar w:fldCharType="begin">
                <w:ffData>
                  <w:name w:val="Check5"/>
                  <w:enabled/>
                  <w:calcOnExit w:val="0"/>
                  <w:checkBox>
                    <w:sizeAuto/>
                    <w:default w:val="0"/>
                  </w:checkBox>
                </w:ffData>
              </w:fldChar>
            </w:r>
            <w:r w:rsidR="001A7F8F" w:rsidRPr="00155796">
              <w:rPr>
                <w:rFonts w:ascii="Arial Narrow" w:hAnsi="Arial Narrow"/>
                <w:sz w:val="20"/>
              </w:rPr>
              <w:instrText xml:space="preserve"> FORMCHECKBOX </w:instrText>
            </w:r>
            <w:r w:rsidR="00A940CC">
              <w:rPr>
                <w:rFonts w:ascii="Arial Narrow" w:hAnsi="Arial Narrow"/>
                <w:sz w:val="20"/>
              </w:rPr>
            </w:r>
            <w:r w:rsidR="00A940CC">
              <w:rPr>
                <w:rFonts w:ascii="Arial Narrow" w:hAnsi="Arial Narrow"/>
                <w:sz w:val="20"/>
              </w:rPr>
              <w:fldChar w:fldCharType="separate"/>
            </w:r>
            <w:r w:rsidRPr="00155796">
              <w:rPr>
                <w:rFonts w:ascii="Arial Narrow" w:hAnsi="Arial Narrow"/>
                <w:sz w:val="20"/>
              </w:rPr>
              <w:fldChar w:fldCharType="end"/>
            </w:r>
            <w:r w:rsidR="001A7F8F" w:rsidRPr="00155796">
              <w:rPr>
                <w:rFonts w:ascii="Arial Narrow" w:hAnsi="Arial Narrow"/>
                <w:sz w:val="20"/>
              </w:rPr>
              <w:t>Midwives</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Condition:</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HIV infection</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lastRenderedPageBreak/>
              <w:t>PBS Indication</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HIV infection</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i/>
                <w:sz w:val="20"/>
              </w:rPr>
            </w:pPr>
            <w:r w:rsidRPr="00155796">
              <w:rPr>
                <w:rFonts w:ascii="Arial Narrow" w:hAnsi="Arial Narrow"/>
                <w:b/>
                <w:sz w:val="20"/>
              </w:rPr>
              <w:t>Treatment phase:</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Continuing</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b/>
                <w:sz w:val="20"/>
              </w:rPr>
            </w:pPr>
            <w:r w:rsidRPr="00155796">
              <w:rPr>
                <w:rFonts w:ascii="Arial Narrow" w:hAnsi="Arial Narrow"/>
                <w:b/>
                <w:sz w:val="20"/>
              </w:rPr>
              <w:t>Restriction:</w:t>
            </w:r>
          </w:p>
          <w:p w:rsidR="001A7F8F" w:rsidRPr="00155796" w:rsidRDefault="001A7F8F" w:rsidP="00C14540">
            <w:pPr>
              <w:rPr>
                <w:rFonts w:ascii="Arial Narrow" w:hAnsi="Arial Narrow"/>
                <w:sz w:val="20"/>
              </w:rPr>
            </w:pP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Private Hospital Authority Required</w:t>
            </w:r>
          </w:p>
          <w:p w:rsidR="001A7F8F" w:rsidRPr="00155796" w:rsidRDefault="001A7F8F" w:rsidP="00C14540">
            <w:pPr>
              <w:rPr>
                <w:rFonts w:ascii="Arial Narrow" w:hAnsi="Arial Narrow"/>
                <w:sz w:val="20"/>
              </w:rPr>
            </w:pPr>
            <w:r w:rsidRPr="00155796">
              <w:rPr>
                <w:rFonts w:ascii="Arial Narrow" w:hAnsi="Arial Narrow"/>
                <w:sz w:val="20"/>
              </w:rPr>
              <w:t>Public Hospital Authority Required (STREAMLINED)</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b/>
                <w:sz w:val="20"/>
              </w:rPr>
              <w:t>Clinical criteria:</w:t>
            </w:r>
            <w:r w:rsidRPr="00155796" w:rsidDel="00E51CE1">
              <w:rPr>
                <w:rFonts w:ascii="Arial Narrow" w:hAnsi="Arial Narrow"/>
                <w:b/>
                <w:sz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Patient must have previously received PBS-subsidised therapy for HIV infection.</w:t>
            </w:r>
          </w:p>
        </w:tc>
      </w:tr>
      <w:tr w:rsidR="001A7F8F" w:rsidRPr="00155796">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b/>
                <w:sz w:val="20"/>
              </w:rPr>
              <w:t>Population criteria:</w:t>
            </w:r>
          </w:p>
        </w:tc>
        <w:tc>
          <w:tcPr>
            <w:tcW w:w="5670" w:type="dxa"/>
            <w:tcBorders>
              <w:top w:val="single" w:sz="4" w:space="0" w:color="auto"/>
              <w:left w:val="single" w:sz="4" w:space="0" w:color="auto"/>
              <w:bottom w:val="single" w:sz="4" w:space="0" w:color="auto"/>
              <w:right w:val="single" w:sz="4" w:space="0" w:color="auto"/>
            </w:tcBorders>
          </w:tcPr>
          <w:p w:rsidR="001A7F8F" w:rsidRPr="00155796" w:rsidRDefault="001A7F8F" w:rsidP="00C14540">
            <w:pPr>
              <w:rPr>
                <w:rFonts w:ascii="Arial Narrow" w:hAnsi="Arial Narrow"/>
                <w:sz w:val="20"/>
              </w:rPr>
            </w:pPr>
            <w:r w:rsidRPr="00155796">
              <w:rPr>
                <w:rFonts w:ascii="Arial Narrow" w:hAnsi="Arial Narrow"/>
                <w:sz w:val="20"/>
              </w:rPr>
              <w:t>Patient must be aged 12 years or older</w:t>
            </w:r>
          </w:p>
          <w:p w:rsidR="001A7F8F" w:rsidRPr="00155796" w:rsidRDefault="001A7F8F" w:rsidP="00C14540">
            <w:pPr>
              <w:rPr>
                <w:rFonts w:ascii="Arial Narrow" w:hAnsi="Arial Narrow"/>
                <w:sz w:val="20"/>
              </w:rPr>
            </w:pPr>
            <w:r w:rsidRPr="00155796">
              <w:rPr>
                <w:rFonts w:ascii="Arial Narrow" w:hAnsi="Arial Narrow"/>
                <w:sz w:val="20"/>
              </w:rPr>
              <w:t>AND</w:t>
            </w:r>
          </w:p>
          <w:p w:rsidR="001A7F8F" w:rsidRPr="00155796" w:rsidRDefault="001A7F8F" w:rsidP="00C14540">
            <w:pPr>
              <w:rPr>
                <w:rFonts w:ascii="Arial Narrow" w:hAnsi="Arial Narrow"/>
                <w:sz w:val="20"/>
              </w:rPr>
            </w:pPr>
            <w:r w:rsidRPr="00155796">
              <w:rPr>
                <w:rFonts w:ascii="Arial Narrow" w:hAnsi="Arial Narrow"/>
                <w:sz w:val="20"/>
              </w:rPr>
              <w:t>Patient must weigh 40 kg or more.</w:t>
            </w:r>
          </w:p>
        </w:tc>
      </w:tr>
    </w:tbl>
    <w:p w:rsidR="00D1198C" w:rsidRDefault="00D1198C" w:rsidP="00320ED1">
      <w:pPr>
        <w:widowControl/>
        <w:contextualSpacing/>
        <w:jc w:val="left"/>
        <w:rPr>
          <w:rFonts w:ascii="Calibri" w:hAnsi="Calibri" w:cs="Calibri"/>
          <w:snapToGrid/>
          <w:sz w:val="24"/>
          <w:lang w:eastAsia="en-AU"/>
        </w:rPr>
      </w:pPr>
    </w:p>
    <w:p w:rsidR="00874A81" w:rsidRPr="00F34986" w:rsidRDefault="00874A81" w:rsidP="00320ED1">
      <w:pPr>
        <w:widowControl/>
      </w:pPr>
    </w:p>
    <w:p w:rsidR="00874A81" w:rsidRDefault="00874A81" w:rsidP="00874A81">
      <w:pPr>
        <w:pStyle w:val="ListParagraph"/>
        <w:widowControl/>
        <w:numPr>
          <w:ilvl w:val="0"/>
          <w:numId w:val="2"/>
        </w:numPr>
        <w:rPr>
          <w:b/>
        </w:rPr>
      </w:pPr>
      <w:r w:rsidRPr="00D4420F">
        <w:rPr>
          <w:b/>
        </w:rPr>
        <w:t>Context for Decision</w:t>
      </w:r>
    </w:p>
    <w:p w:rsidR="00874A81" w:rsidRPr="00D4420F" w:rsidRDefault="00874A81" w:rsidP="00874A81">
      <w:pPr>
        <w:pStyle w:val="ListParagraph"/>
        <w:rPr>
          <w:b/>
        </w:rPr>
      </w:pPr>
    </w:p>
    <w:p w:rsidR="00874A81" w:rsidRPr="00D4420F" w:rsidRDefault="00874A81" w:rsidP="00874A81">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74A81" w:rsidRDefault="00874A81" w:rsidP="00874A81"/>
    <w:p w:rsidR="005F78E3" w:rsidRPr="00D4420F" w:rsidRDefault="005F78E3" w:rsidP="00874A81"/>
    <w:p w:rsidR="00874A81" w:rsidRDefault="00874A81" w:rsidP="00874A81">
      <w:pPr>
        <w:pStyle w:val="ListParagraph"/>
        <w:widowControl/>
        <w:numPr>
          <w:ilvl w:val="0"/>
          <w:numId w:val="2"/>
        </w:numPr>
        <w:rPr>
          <w:b/>
        </w:rPr>
      </w:pPr>
      <w:r w:rsidRPr="00D4420F">
        <w:rPr>
          <w:b/>
        </w:rPr>
        <w:t>Sponsor’s Comment</w:t>
      </w:r>
    </w:p>
    <w:p w:rsidR="00874A81" w:rsidRPr="00006D6A" w:rsidRDefault="00874A81" w:rsidP="00874A81">
      <w:pPr>
        <w:rPr>
          <w:i/>
        </w:rPr>
      </w:pPr>
    </w:p>
    <w:p w:rsidR="001A7A8A" w:rsidRDefault="001A7A8A" w:rsidP="001A7A8A">
      <w:pPr>
        <w:ind w:left="1134" w:hanging="425"/>
      </w:pPr>
      <w:r>
        <w:t>Although ViiV Healthcare welcomes the PBAC recommendation to reimburse Triumeq it does not agree with the assumptions and conclusions drawn by the PBAC and asserts:</w:t>
      </w:r>
    </w:p>
    <w:p w:rsidR="001A7A8A" w:rsidRDefault="001A7A8A" w:rsidP="001A7A8A">
      <w:pPr>
        <w:pStyle w:val="ListParagraph"/>
        <w:widowControl/>
        <w:numPr>
          <w:ilvl w:val="0"/>
          <w:numId w:val="21"/>
        </w:numPr>
        <w:snapToGrid w:val="0"/>
        <w:ind w:left="1134" w:hanging="425"/>
        <w:jc w:val="left"/>
      </w:pPr>
      <w:r>
        <w:t>The components of Triumeq, in combination have demonstrated statistically significant superiority versus Atripla at 48, 96 and 144 weeks. As virological suppression is a binary measure, the difference is clinically meaningful.</w:t>
      </w:r>
    </w:p>
    <w:p w:rsidR="001A7A8A" w:rsidRDefault="001A7A8A" w:rsidP="001A7A8A">
      <w:pPr>
        <w:pStyle w:val="ListParagraph"/>
        <w:widowControl/>
        <w:numPr>
          <w:ilvl w:val="0"/>
          <w:numId w:val="21"/>
        </w:numPr>
        <w:snapToGrid w:val="0"/>
        <w:ind w:left="1134" w:hanging="425"/>
        <w:jc w:val="left"/>
      </w:pPr>
      <w:r>
        <w:t>Atripla should not be used as the comparator on a cost minimisation basis because Triumeq will mainly replace its own components  </w:t>
      </w:r>
    </w:p>
    <w:p w:rsidR="001A7A8A" w:rsidRDefault="001A7A8A" w:rsidP="001A7A8A">
      <w:pPr>
        <w:pStyle w:val="ListParagraph"/>
        <w:widowControl/>
        <w:numPr>
          <w:ilvl w:val="0"/>
          <w:numId w:val="21"/>
        </w:numPr>
        <w:snapToGrid w:val="0"/>
        <w:ind w:left="1134" w:hanging="425"/>
        <w:jc w:val="left"/>
      </w:pPr>
      <w:r>
        <w:t xml:space="preserve">Triumeq has no component medicine in common with Atripla and is considered to not be interchangeable on an individual patient basis. </w:t>
      </w:r>
    </w:p>
    <w:p w:rsidR="001A7A8A" w:rsidRDefault="001A7A8A" w:rsidP="001A7A8A">
      <w:pPr>
        <w:widowControl/>
        <w:ind w:left="1134" w:hanging="425"/>
        <w:jc w:val="left"/>
      </w:pPr>
      <w:r>
        <w:t>Therefore doses of the two FDCs should not be regarded as equi-effective.</w:t>
      </w:r>
    </w:p>
    <w:p w:rsidR="00D1198C" w:rsidRDefault="00D1198C" w:rsidP="001A7A8A">
      <w:pPr>
        <w:widowControl/>
        <w:ind w:left="1134" w:hanging="425"/>
        <w:contextualSpacing/>
        <w:jc w:val="left"/>
        <w:rPr>
          <w:rFonts w:ascii="Calibri" w:hAnsi="Calibri" w:cs="Calibri"/>
          <w:snapToGrid/>
          <w:sz w:val="24"/>
          <w:lang w:eastAsia="en-AU"/>
        </w:rPr>
      </w:pPr>
    </w:p>
    <w:sectPr w:rsidR="00D1198C" w:rsidSect="00E21358">
      <w:headerReference w:type="default" r:id="rId9"/>
      <w:footerReference w:type="defaul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D3" w:rsidRDefault="002C14D3" w:rsidP="00124A51">
      <w:r>
        <w:separator/>
      </w:r>
    </w:p>
  </w:endnote>
  <w:endnote w:type="continuationSeparator" w:id="0">
    <w:p w:rsidR="002C14D3" w:rsidRDefault="002C14D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74382"/>
      <w:docPartObj>
        <w:docPartGallery w:val="Page Numbers (Bottom of Page)"/>
        <w:docPartUnique/>
      </w:docPartObj>
    </w:sdtPr>
    <w:sdtEndPr>
      <w:rPr>
        <w:noProof/>
      </w:rPr>
    </w:sdtEndPr>
    <w:sdtContent>
      <w:p w:rsidR="00161106" w:rsidRDefault="00161106">
        <w:pPr>
          <w:pStyle w:val="Footer"/>
          <w:jc w:val="center"/>
        </w:pPr>
      </w:p>
      <w:p w:rsidR="00161106" w:rsidRDefault="00161106">
        <w:pPr>
          <w:pStyle w:val="Footer"/>
          <w:jc w:val="center"/>
        </w:pPr>
        <w:r>
          <w:fldChar w:fldCharType="begin"/>
        </w:r>
        <w:r>
          <w:instrText xml:space="preserve"> PAGE   \* MERGEFORMAT </w:instrText>
        </w:r>
        <w:r>
          <w:fldChar w:fldCharType="separate"/>
        </w:r>
        <w:r w:rsidR="00A940C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D3" w:rsidRDefault="002C14D3" w:rsidP="00124A51">
      <w:r>
        <w:separator/>
      </w:r>
    </w:p>
  </w:footnote>
  <w:footnote w:type="continuationSeparator" w:id="0">
    <w:p w:rsidR="002C14D3" w:rsidRDefault="002C14D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06" w:rsidRPr="00F34986" w:rsidRDefault="00161106" w:rsidP="00983E96">
    <w:pPr>
      <w:pStyle w:val="Header"/>
      <w:jc w:val="center"/>
      <w:rPr>
        <w:i/>
      </w:rPr>
    </w:pPr>
    <w:r>
      <w:rPr>
        <w:i/>
      </w:rPr>
      <w:t>Public Summary Document</w:t>
    </w:r>
    <w:r w:rsidRPr="00F34986">
      <w:rPr>
        <w:i/>
      </w:rPr>
      <w:t xml:space="preserve"> – November 2014 PBAC Meeting</w:t>
    </w:r>
  </w:p>
  <w:p w:rsidR="00161106" w:rsidRDefault="00161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6EEB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D0E1A"/>
    <w:multiLevelType w:val="hybridMultilevel"/>
    <w:tmpl w:val="4D7E37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3540483"/>
    <w:multiLevelType w:val="hybridMultilevel"/>
    <w:tmpl w:val="97FA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A978C9"/>
    <w:multiLevelType w:val="multilevel"/>
    <w:tmpl w:val="ED3CA8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3846072C"/>
    <w:multiLevelType w:val="hybridMultilevel"/>
    <w:tmpl w:val="53625466"/>
    <w:lvl w:ilvl="0" w:tplc="332C778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004C53"/>
    <w:multiLevelType w:val="hybridMultilevel"/>
    <w:tmpl w:val="9AC6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1F4888"/>
    <w:multiLevelType w:val="hybridMultilevel"/>
    <w:tmpl w:val="8EAA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EE7B2F"/>
    <w:multiLevelType w:val="hybridMultilevel"/>
    <w:tmpl w:val="20549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3F7885"/>
    <w:multiLevelType w:val="hybridMultilevel"/>
    <w:tmpl w:val="CE6CC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58FE63EF"/>
    <w:multiLevelType w:val="hybridMultilevel"/>
    <w:tmpl w:val="3274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917750"/>
    <w:multiLevelType w:val="hybridMultilevel"/>
    <w:tmpl w:val="167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4D033C"/>
    <w:multiLevelType w:val="multilevel"/>
    <w:tmpl w:val="3F642B5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Symbol" w:hint="default"/>
        <w:b w:val="0"/>
        <w:i w:val="0"/>
        <w:i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0"/>
  </w:num>
  <w:num w:numId="4">
    <w:abstractNumId w:val="13"/>
  </w:num>
  <w:num w:numId="5">
    <w:abstractNumId w:val="3"/>
  </w:num>
  <w:num w:numId="6">
    <w:abstractNumId w:val="2"/>
  </w:num>
  <w:num w:numId="7">
    <w:abstractNumId w:val="8"/>
  </w:num>
  <w:num w:numId="8">
    <w:abstractNumId w:val="11"/>
  </w:num>
  <w:num w:numId="9">
    <w:abstractNumId w:val="6"/>
  </w:num>
  <w:num w:numId="10">
    <w:abstractNumId w:val="7"/>
  </w:num>
  <w:num w:numId="11">
    <w:abstractNumId w:val="14"/>
  </w:num>
  <w:num w:numId="12">
    <w:abstractNumId w:val="9"/>
  </w:num>
  <w:num w:numId="13">
    <w:abstractNumId w:val="15"/>
  </w:num>
  <w:num w:numId="14">
    <w:abstractNumId w:val="15"/>
  </w:num>
  <w:num w:numId="15">
    <w:abstractNumId w:val="15"/>
  </w:num>
  <w:num w:numId="16">
    <w:abstractNumId w:val="15"/>
  </w:num>
  <w:num w:numId="17">
    <w:abstractNumId w:val="15"/>
  </w:num>
  <w:num w:numId="18">
    <w:abstractNumId w:val="4"/>
  </w:num>
  <w:num w:numId="19">
    <w:abstractNumId w:val="10"/>
  </w:num>
  <w:num w:numId="20">
    <w:abstractNumId w:val="5"/>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70"/>
    <w:rsid w:val="00000790"/>
    <w:rsid w:val="0000110B"/>
    <w:rsid w:val="0000201E"/>
    <w:rsid w:val="00002538"/>
    <w:rsid w:val="00003499"/>
    <w:rsid w:val="00005709"/>
    <w:rsid w:val="0000621A"/>
    <w:rsid w:val="00006D6A"/>
    <w:rsid w:val="00007873"/>
    <w:rsid w:val="00011A95"/>
    <w:rsid w:val="00013247"/>
    <w:rsid w:val="00015886"/>
    <w:rsid w:val="000162EF"/>
    <w:rsid w:val="000203A7"/>
    <w:rsid w:val="000209BF"/>
    <w:rsid w:val="0002225F"/>
    <w:rsid w:val="00023763"/>
    <w:rsid w:val="00025715"/>
    <w:rsid w:val="0003057C"/>
    <w:rsid w:val="000319C8"/>
    <w:rsid w:val="000358CE"/>
    <w:rsid w:val="00040895"/>
    <w:rsid w:val="000435B9"/>
    <w:rsid w:val="00043C37"/>
    <w:rsid w:val="00045CF1"/>
    <w:rsid w:val="000537F7"/>
    <w:rsid w:val="000546D7"/>
    <w:rsid w:val="00061FDD"/>
    <w:rsid w:val="00065AED"/>
    <w:rsid w:val="00071248"/>
    <w:rsid w:val="000712F9"/>
    <w:rsid w:val="000720B9"/>
    <w:rsid w:val="00074EB7"/>
    <w:rsid w:val="00076036"/>
    <w:rsid w:val="000812CA"/>
    <w:rsid w:val="00082BA4"/>
    <w:rsid w:val="00086851"/>
    <w:rsid w:val="0008794C"/>
    <w:rsid w:val="00090C7E"/>
    <w:rsid w:val="00097572"/>
    <w:rsid w:val="000A06C0"/>
    <w:rsid w:val="000A26D4"/>
    <w:rsid w:val="000A2CB7"/>
    <w:rsid w:val="000A4597"/>
    <w:rsid w:val="000A52F3"/>
    <w:rsid w:val="000B1971"/>
    <w:rsid w:val="000B4761"/>
    <w:rsid w:val="000C1A15"/>
    <w:rsid w:val="000C1E1F"/>
    <w:rsid w:val="000C323E"/>
    <w:rsid w:val="000D05C6"/>
    <w:rsid w:val="000D1BFC"/>
    <w:rsid w:val="000D2818"/>
    <w:rsid w:val="000D317C"/>
    <w:rsid w:val="000D6B69"/>
    <w:rsid w:val="000E04D5"/>
    <w:rsid w:val="000E44AB"/>
    <w:rsid w:val="000E471E"/>
    <w:rsid w:val="000F0983"/>
    <w:rsid w:val="000F1437"/>
    <w:rsid w:val="000F4BB8"/>
    <w:rsid w:val="000F7127"/>
    <w:rsid w:val="00100F8A"/>
    <w:rsid w:val="001048CB"/>
    <w:rsid w:val="001055E6"/>
    <w:rsid w:val="0011025E"/>
    <w:rsid w:val="0011032E"/>
    <w:rsid w:val="00110EB5"/>
    <w:rsid w:val="0011348B"/>
    <w:rsid w:val="00114006"/>
    <w:rsid w:val="00115661"/>
    <w:rsid w:val="00121799"/>
    <w:rsid w:val="00121888"/>
    <w:rsid w:val="001222FC"/>
    <w:rsid w:val="0012295A"/>
    <w:rsid w:val="001234F4"/>
    <w:rsid w:val="001237B0"/>
    <w:rsid w:val="00123CCF"/>
    <w:rsid w:val="00124A51"/>
    <w:rsid w:val="00125545"/>
    <w:rsid w:val="001265B6"/>
    <w:rsid w:val="00126621"/>
    <w:rsid w:val="00127388"/>
    <w:rsid w:val="001278C4"/>
    <w:rsid w:val="001301E9"/>
    <w:rsid w:val="00130D4D"/>
    <w:rsid w:val="00133257"/>
    <w:rsid w:val="00137066"/>
    <w:rsid w:val="00137645"/>
    <w:rsid w:val="0014015A"/>
    <w:rsid w:val="001403FD"/>
    <w:rsid w:val="00140B87"/>
    <w:rsid w:val="00140CFA"/>
    <w:rsid w:val="00140E99"/>
    <w:rsid w:val="00145540"/>
    <w:rsid w:val="001456B0"/>
    <w:rsid w:val="00150458"/>
    <w:rsid w:val="00150C68"/>
    <w:rsid w:val="00150D47"/>
    <w:rsid w:val="001511CF"/>
    <w:rsid w:val="001526EA"/>
    <w:rsid w:val="00152BFC"/>
    <w:rsid w:val="00154514"/>
    <w:rsid w:val="00157130"/>
    <w:rsid w:val="00161106"/>
    <w:rsid w:val="00162913"/>
    <w:rsid w:val="00163EFF"/>
    <w:rsid w:val="001647D0"/>
    <w:rsid w:val="001661FB"/>
    <w:rsid w:val="00170327"/>
    <w:rsid w:val="00171927"/>
    <w:rsid w:val="001730F9"/>
    <w:rsid w:val="0017510A"/>
    <w:rsid w:val="0017701E"/>
    <w:rsid w:val="001770E7"/>
    <w:rsid w:val="001819B6"/>
    <w:rsid w:val="00182CC4"/>
    <w:rsid w:val="001837A0"/>
    <w:rsid w:val="0018752F"/>
    <w:rsid w:val="00187BF9"/>
    <w:rsid w:val="00191551"/>
    <w:rsid w:val="001916B2"/>
    <w:rsid w:val="001940F3"/>
    <w:rsid w:val="001944CD"/>
    <w:rsid w:val="00195196"/>
    <w:rsid w:val="00195222"/>
    <w:rsid w:val="001975D8"/>
    <w:rsid w:val="001A0AD6"/>
    <w:rsid w:val="001A35D3"/>
    <w:rsid w:val="001A3DDB"/>
    <w:rsid w:val="001A459A"/>
    <w:rsid w:val="001A7A8A"/>
    <w:rsid w:val="001A7F8F"/>
    <w:rsid w:val="001B10C9"/>
    <w:rsid w:val="001B3443"/>
    <w:rsid w:val="001B5529"/>
    <w:rsid w:val="001C6E66"/>
    <w:rsid w:val="001D097C"/>
    <w:rsid w:val="001D1A90"/>
    <w:rsid w:val="001D752C"/>
    <w:rsid w:val="001E0370"/>
    <w:rsid w:val="001E0EB7"/>
    <w:rsid w:val="001E238E"/>
    <w:rsid w:val="001E2B1E"/>
    <w:rsid w:val="001E52EB"/>
    <w:rsid w:val="001E740C"/>
    <w:rsid w:val="001F1235"/>
    <w:rsid w:val="001F1CB3"/>
    <w:rsid w:val="001F2151"/>
    <w:rsid w:val="001F4A5D"/>
    <w:rsid w:val="001F702C"/>
    <w:rsid w:val="001F7361"/>
    <w:rsid w:val="00200E83"/>
    <w:rsid w:val="00203100"/>
    <w:rsid w:val="002033E2"/>
    <w:rsid w:val="0020385F"/>
    <w:rsid w:val="00203AD9"/>
    <w:rsid w:val="00203D07"/>
    <w:rsid w:val="0020605C"/>
    <w:rsid w:val="0020616B"/>
    <w:rsid w:val="00207021"/>
    <w:rsid w:val="00207D00"/>
    <w:rsid w:val="002103AF"/>
    <w:rsid w:val="002105C1"/>
    <w:rsid w:val="0021352C"/>
    <w:rsid w:val="002206B2"/>
    <w:rsid w:val="00220FAC"/>
    <w:rsid w:val="00222800"/>
    <w:rsid w:val="00223528"/>
    <w:rsid w:val="0022386C"/>
    <w:rsid w:val="002238F2"/>
    <w:rsid w:val="00223B49"/>
    <w:rsid w:val="00224DD4"/>
    <w:rsid w:val="002309CC"/>
    <w:rsid w:val="00234128"/>
    <w:rsid w:val="002341E5"/>
    <w:rsid w:val="00234BE5"/>
    <w:rsid w:val="00236D3C"/>
    <w:rsid w:val="00241783"/>
    <w:rsid w:val="00241BDF"/>
    <w:rsid w:val="00245BB6"/>
    <w:rsid w:val="00251CDE"/>
    <w:rsid w:val="002548F3"/>
    <w:rsid w:val="00254DCF"/>
    <w:rsid w:val="0025534B"/>
    <w:rsid w:val="00255B04"/>
    <w:rsid w:val="00255BB7"/>
    <w:rsid w:val="0026007D"/>
    <w:rsid w:val="00262409"/>
    <w:rsid w:val="00262A87"/>
    <w:rsid w:val="002636CD"/>
    <w:rsid w:val="002646C7"/>
    <w:rsid w:val="0026528F"/>
    <w:rsid w:val="002662B8"/>
    <w:rsid w:val="00272315"/>
    <w:rsid w:val="00273441"/>
    <w:rsid w:val="00273D4B"/>
    <w:rsid w:val="00275C5A"/>
    <w:rsid w:val="00276167"/>
    <w:rsid w:val="00276A2B"/>
    <w:rsid w:val="00277180"/>
    <w:rsid w:val="00281014"/>
    <w:rsid w:val="00283F10"/>
    <w:rsid w:val="002866FF"/>
    <w:rsid w:val="00286D22"/>
    <w:rsid w:val="00287053"/>
    <w:rsid w:val="0028787B"/>
    <w:rsid w:val="00287ABA"/>
    <w:rsid w:val="00287F9F"/>
    <w:rsid w:val="00291FF1"/>
    <w:rsid w:val="002939FE"/>
    <w:rsid w:val="002941A6"/>
    <w:rsid w:val="002A00C0"/>
    <w:rsid w:val="002A14AB"/>
    <w:rsid w:val="002A1732"/>
    <w:rsid w:val="002A1F46"/>
    <w:rsid w:val="002A2FC3"/>
    <w:rsid w:val="002A471E"/>
    <w:rsid w:val="002A60A8"/>
    <w:rsid w:val="002B1C1F"/>
    <w:rsid w:val="002B1E34"/>
    <w:rsid w:val="002B3D24"/>
    <w:rsid w:val="002B432F"/>
    <w:rsid w:val="002B4C74"/>
    <w:rsid w:val="002B5E1F"/>
    <w:rsid w:val="002B6CCE"/>
    <w:rsid w:val="002C064C"/>
    <w:rsid w:val="002C14D3"/>
    <w:rsid w:val="002C25CC"/>
    <w:rsid w:val="002C2775"/>
    <w:rsid w:val="002C27C1"/>
    <w:rsid w:val="002C3F7C"/>
    <w:rsid w:val="002C578B"/>
    <w:rsid w:val="002C5825"/>
    <w:rsid w:val="002D07E8"/>
    <w:rsid w:val="002D1A6D"/>
    <w:rsid w:val="002D279C"/>
    <w:rsid w:val="002D680A"/>
    <w:rsid w:val="002D6A9B"/>
    <w:rsid w:val="002E08B4"/>
    <w:rsid w:val="002E3C2E"/>
    <w:rsid w:val="002E6B91"/>
    <w:rsid w:val="002E6D87"/>
    <w:rsid w:val="002E73D0"/>
    <w:rsid w:val="002E75C6"/>
    <w:rsid w:val="002F0E29"/>
    <w:rsid w:val="002F48A6"/>
    <w:rsid w:val="0030043C"/>
    <w:rsid w:val="00301017"/>
    <w:rsid w:val="00306959"/>
    <w:rsid w:val="0030786C"/>
    <w:rsid w:val="0031031A"/>
    <w:rsid w:val="00310981"/>
    <w:rsid w:val="00313619"/>
    <w:rsid w:val="00313721"/>
    <w:rsid w:val="00315498"/>
    <w:rsid w:val="00317A0C"/>
    <w:rsid w:val="00320ED1"/>
    <w:rsid w:val="00323DB5"/>
    <w:rsid w:val="00330089"/>
    <w:rsid w:val="003301BD"/>
    <w:rsid w:val="00332A6A"/>
    <w:rsid w:val="00332E1C"/>
    <w:rsid w:val="003330D6"/>
    <w:rsid w:val="00335C0D"/>
    <w:rsid w:val="003366C9"/>
    <w:rsid w:val="003371B0"/>
    <w:rsid w:val="003372D9"/>
    <w:rsid w:val="003410E9"/>
    <w:rsid w:val="003414E1"/>
    <w:rsid w:val="00346C7F"/>
    <w:rsid w:val="003518C1"/>
    <w:rsid w:val="0035385C"/>
    <w:rsid w:val="00355EBC"/>
    <w:rsid w:val="0035620E"/>
    <w:rsid w:val="003565F2"/>
    <w:rsid w:val="00357175"/>
    <w:rsid w:val="003572B5"/>
    <w:rsid w:val="003612D1"/>
    <w:rsid w:val="003640EA"/>
    <w:rsid w:val="0036774F"/>
    <w:rsid w:val="00371719"/>
    <w:rsid w:val="00374C4E"/>
    <w:rsid w:val="003762DD"/>
    <w:rsid w:val="00382130"/>
    <w:rsid w:val="00382E66"/>
    <w:rsid w:val="0038365C"/>
    <w:rsid w:val="003868D1"/>
    <w:rsid w:val="0039400A"/>
    <w:rsid w:val="00396FD0"/>
    <w:rsid w:val="003972B2"/>
    <w:rsid w:val="003979F0"/>
    <w:rsid w:val="00397D8E"/>
    <w:rsid w:val="003A05C1"/>
    <w:rsid w:val="003A1A7A"/>
    <w:rsid w:val="003A1CED"/>
    <w:rsid w:val="003A2EA1"/>
    <w:rsid w:val="003A3CFD"/>
    <w:rsid w:val="003B24F2"/>
    <w:rsid w:val="003B3F02"/>
    <w:rsid w:val="003B76F9"/>
    <w:rsid w:val="003B7988"/>
    <w:rsid w:val="003B7CC2"/>
    <w:rsid w:val="003C43ED"/>
    <w:rsid w:val="003D0808"/>
    <w:rsid w:val="003D1828"/>
    <w:rsid w:val="003D1AC8"/>
    <w:rsid w:val="003D2422"/>
    <w:rsid w:val="003D631A"/>
    <w:rsid w:val="003D7782"/>
    <w:rsid w:val="003E1F63"/>
    <w:rsid w:val="003E4912"/>
    <w:rsid w:val="003E4B91"/>
    <w:rsid w:val="003E510A"/>
    <w:rsid w:val="003E6D6D"/>
    <w:rsid w:val="003F0A37"/>
    <w:rsid w:val="003F2605"/>
    <w:rsid w:val="003F4156"/>
    <w:rsid w:val="003F62A3"/>
    <w:rsid w:val="004077E6"/>
    <w:rsid w:val="00407807"/>
    <w:rsid w:val="00410708"/>
    <w:rsid w:val="00410EC7"/>
    <w:rsid w:val="004125DC"/>
    <w:rsid w:val="00413F13"/>
    <w:rsid w:val="00414476"/>
    <w:rsid w:val="004161F4"/>
    <w:rsid w:val="0041724F"/>
    <w:rsid w:val="00420B9F"/>
    <w:rsid w:val="00422221"/>
    <w:rsid w:val="00427535"/>
    <w:rsid w:val="00430768"/>
    <w:rsid w:val="00431362"/>
    <w:rsid w:val="004319F8"/>
    <w:rsid w:val="00433044"/>
    <w:rsid w:val="00437A1C"/>
    <w:rsid w:val="0044010C"/>
    <w:rsid w:val="00442399"/>
    <w:rsid w:val="004443A7"/>
    <w:rsid w:val="004464EB"/>
    <w:rsid w:val="004473C5"/>
    <w:rsid w:val="00447DC9"/>
    <w:rsid w:val="00447F28"/>
    <w:rsid w:val="00453817"/>
    <w:rsid w:val="00453EF7"/>
    <w:rsid w:val="00455D45"/>
    <w:rsid w:val="0045795E"/>
    <w:rsid w:val="00460915"/>
    <w:rsid w:val="00461877"/>
    <w:rsid w:val="00463161"/>
    <w:rsid w:val="00464595"/>
    <w:rsid w:val="00476F20"/>
    <w:rsid w:val="00477DB9"/>
    <w:rsid w:val="00481E9C"/>
    <w:rsid w:val="004867E2"/>
    <w:rsid w:val="0048769F"/>
    <w:rsid w:val="004913A2"/>
    <w:rsid w:val="00491B3A"/>
    <w:rsid w:val="00492CFD"/>
    <w:rsid w:val="00492E95"/>
    <w:rsid w:val="00494E4F"/>
    <w:rsid w:val="004962D2"/>
    <w:rsid w:val="004A0DA1"/>
    <w:rsid w:val="004A206E"/>
    <w:rsid w:val="004A31EE"/>
    <w:rsid w:val="004A3492"/>
    <w:rsid w:val="004A382C"/>
    <w:rsid w:val="004A5E82"/>
    <w:rsid w:val="004A6597"/>
    <w:rsid w:val="004B1CB4"/>
    <w:rsid w:val="004B2F18"/>
    <w:rsid w:val="004B3201"/>
    <w:rsid w:val="004B3332"/>
    <w:rsid w:val="004B3DDB"/>
    <w:rsid w:val="004B44FD"/>
    <w:rsid w:val="004B5CFC"/>
    <w:rsid w:val="004B79B0"/>
    <w:rsid w:val="004C14AB"/>
    <w:rsid w:val="004C1E7C"/>
    <w:rsid w:val="004C2846"/>
    <w:rsid w:val="004C4AED"/>
    <w:rsid w:val="004C4E12"/>
    <w:rsid w:val="004C5556"/>
    <w:rsid w:val="004D5ACC"/>
    <w:rsid w:val="004D60A2"/>
    <w:rsid w:val="004D6E07"/>
    <w:rsid w:val="004D77CE"/>
    <w:rsid w:val="004D7EDF"/>
    <w:rsid w:val="004E0EB8"/>
    <w:rsid w:val="004E2A98"/>
    <w:rsid w:val="004E2ADC"/>
    <w:rsid w:val="004E43B2"/>
    <w:rsid w:val="004E77F0"/>
    <w:rsid w:val="004F1D02"/>
    <w:rsid w:val="004F2679"/>
    <w:rsid w:val="004F377D"/>
    <w:rsid w:val="004F4B8A"/>
    <w:rsid w:val="004F7865"/>
    <w:rsid w:val="00500A21"/>
    <w:rsid w:val="005020B2"/>
    <w:rsid w:val="0050397A"/>
    <w:rsid w:val="00506928"/>
    <w:rsid w:val="00513053"/>
    <w:rsid w:val="00513752"/>
    <w:rsid w:val="005138DB"/>
    <w:rsid w:val="005140D8"/>
    <w:rsid w:val="005152B5"/>
    <w:rsid w:val="00515C96"/>
    <w:rsid w:val="005210DA"/>
    <w:rsid w:val="00521319"/>
    <w:rsid w:val="005216F3"/>
    <w:rsid w:val="00523C28"/>
    <w:rsid w:val="00525BA8"/>
    <w:rsid w:val="00530B75"/>
    <w:rsid w:val="00533AF9"/>
    <w:rsid w:val="00535036"/>
    <w:rsid w:val="00535FFC"/>
    <w:rsid w:val="00540365"/>
    <w:rsid w:val="00540671"/>
    <w:rsid w:val="00540C18"/>
    <w:rsid w:val="0054142C"/>
    <w:rsid w:val="00542045"/>
    <w:rsid w:val="00542D13"/>
    <w:rsid w:val="005463C3"/>
    <w:rsid w:val="00546DD6"/>
    <w:rsid w:val="00552BD3"/>
    <w:rsid w:val="005544AD"/>
    <w:rsid w:val="00555109"/>
    <w:rsid w:val="0055634E"/>
    <w:rsid w:val="00562B42"/>
    <w:rsid w:val="00565379"/>
    <w:rsid w:val="005662FA"/>
    <w:rsid w:val="0056696F"/>
    <w:rsid w:val="00571431"/>
    <w:rsid w:val="00573F9E"/>
    <w:rsid w:val="00575D8D"/>
    <w:rsid w:val="00576972"/>
    <w:rsid w:val="00582C1B"/>
    <w:rsid w:val="00583699"/>
    <w:rsid w:val="005841CA"/>
    <w:rsid w:val="00585CD7"/>
    <w:rsid w:val="005865A2"/>
    <w:rsid w:val="00590D59"/>
    <w:rsid w:val="005921C0"/>
    <w:rsid w:val="00592EC0"/>
    <w:rsid w:val="0059756A"/>
    <w:rsid w:val="005A0B96"/>
    <w:rsid w:val="005A7A30"/>
    <w:rsid w:val="005B5857"/>
    <w:rsid w:val="005B742A"/>
    <w:rsid w:val="005C026F"/>
    <w:rsid w:val="005C1B83"/>
    <w:rsid w:val="005C346B"/>
    <w:rsid w:val="005C5972"/>
    <w:rsid w:val="005C5BF1"/>
    <w:rsid w:val="005C7CBB"/>
    <w:rsid w:val="005D044D"/>
    <w:rsid w:val="005D1048"/>
    <w:rsid w:val="005D18AD"/>
    <w:rsid w:val="005D2032"/>
    <w:rsid w:val="005D28DA"/>
    <w:rsid w:val="005D35AA"/>
    <w:rsid w:val="005D3CDB"/>
    <w:rsid w:val="005D4BE9"/>
    <w:rsid w:val="005D7F2F"/>
    <w:rsid w:val="005E1393"/>
    <w:rsid w:val="005E63D9"/>
    <w:rsid w:val="005E73C0"/>
    <w:rsid w:val="005F0891"/>
    <w:rsid w:val="005F1355"/>
    <w:rsid w:val="005F2706"/>
    <w:rsid w:val="005F4FBE"/>
    <w:rsid w:val="005F63DC"/>
    <w:rsid w:val="005F6A8F"/>
    <w:rsid w:val="005F7595"/>
    <w:rsid w:val="005F78E3"/>
    <w:rsid w:val="00602CC6"/>
    <w:rsid w:val="00603611"/>
    <w:rsid w:val="006040A5"/>
    <w:rsid w:val="0060486E"/>
    <w:rsid w:val="006067E1"/>
    <w:rsid w:val="0060687F"/>
    <w:rsid w:val="006069AD"/>
    <w:rsid w:val="00607669"/>
    <w:rsid w:val="006115AA"/>
    <w:rsid w:val="00612F97"/>
    <w:rsid w:val="0061430E"/>
    <w:rsid w:val="00616802"/>
    <w:rsid w:val="00617E12"/>
    <w:rsid w:val="00620DFA"/>
    <w:rsid w:val="00621477"/>
    <w:rsid w:val="00625128"/>
    <w:rsid w:val="00630938"/>
    <w:rsid w:val="00630E72"/>
    <w:rsid w:val="00631D6B"/>
    <w:rsid w:val="00632D96"/>
    <w:rsid w:val="0063479F"/>
    <w:rsid w:val="00635F18"/>
    <w:rsid w:val="006364A1"/>
    <w:rsid w:val="00637BFD"/>
    <w:rsid w:val="006437EB"/>
    <w:rsid w:val="006441FB"/>
    <w:rsid w:val="006471CC"/>
    <w:rsid w:val="0065079F"/>
    <w:rsid w:val="0065107D"/>
    <w:rsid w:val="0065745E"/>
    <w:rsid w:val="00657B83"/>
    <w:rsid w:val="00661DE0"/>
    <w:rsid w:val="00667B2F"/>
    <w:rsid w:val="00671508"/>
    <w:rsid w:val="00673C91"/>
    <w:rsid w:val="006744CF"/>
    <w:rsid w:val="00674E42"/>
    <w:rsid w:val="00675E77"/>
    <w:rsid w:val="006805F4"/>
    <w:rsid w:val="0068132B"/>
    <w:rsid w:val="00682112"/>
    <w:rsid w:val="00683972"/>
    <w:rsid w:val="00684988"/>
    <w:rsid w:val="00685517"/>
    <w:rsid w:val="006864F1"/>
    <w:rsid w:val="006872BA"/>
    <w:rsid w:val="00690103"/>
    <w:rsid w:val="006917D7"/>
    <w:rsid w:val="00691CEE"/>
    <w:rsid w:val="00694793"/>
    <w:rsid w:val="00694AC7"/>
    <w:rsid w:val="00694E9C"/>
    <w:rsid w:val="00694F44"/>
    <w:rsid w:val="00695003"/>
    <w:rsid w:val="006963A1"/>
    <w:rsid w:val="006A3A89"/>
    <w:rsid w:val="006A3AD7"/>
    <w:rsid w:val="006A3F7B"/>
    <w:rsid w:val="006A56A3"/>
    <w:rsid w:val="006A6A61"/>
    <w:rsid w:val="006A7155"/>
    <w:rsid w:val="006A7AF9"/>
    <w:rsid w:val="006A7E05"/>
    <w:rsid w:val="006B2D5B"/>
    <w:rsid w:val="006B37B7"/>
    <w:rsid w:val="006B406E"/>
    <w:rsid w:val="006C2A8E"/>
    <w:rsid w:val="006C37F7"/>
    <w:rsid w:val="006C6CA4"/>
    <w:rsid w:val="006D332B"/>
    <w:rsid w:val="006D38C9"/>
    <w:rsid w:val="006D3C7D"/>
    <w:rsid w:val="006D47E6"/>
    <w:rsid w:val="006D4EF1"/>
    <w:rsid w:val="006D5940"/>
    <w:rsid w:val="006D5D5F"/>
    <w:rsid w:val="006D74CB"/>
    <w:rsid w:val="006E1756"/>
    <w:rsid w:val="006E2CE7"/>
    <w:rsid w:val="006E76A8"/>
    <w:rsid w:val="006F074E"/>
    <w:rsid w:val="006F0E78"/>
    <w:rsid w:val="006F2105"/>
    <w:rsid w:val="006F237D"/>
    <w:rsid w:val="006F63A5"/>
    <w:rsid w:val="006F6770"/>
    <w:rsid w:val="006F783E"/>
    <w:rsid w:val="00701295"/>
    <w:rsid w:val="0070276E"/>
    <w:rsid w:val="00702F8F"/>
    <w:rsid w:val="007039F4"/>
    <w:rsid w:val="0070527A"/>
    <w:rsid w:val="007103B7"/>
    <w:rsid w:val="00711A36"/>
    <w:rsid w:val="0071549F"/>
    <w:rsid w:val="00715CD9"/>
    <w:rsid w:val="007172AD"/>
    <w:rsid w:val="00717418"/>
    <w:rsid w:val="0072080E"/>
    <w:rsid w:val="007211E7"/>
    <w:rsid w:val="0072197E"/>
    <w:rsid w:val="00722A63"/>
    <w:rsid w:val="00723431"/>
    <w:rsid w:val="00723F7F"/>
    <w:rsid w:val="0072416F"/>
    <w:rsid w:val="00735328"/>
    <w:rsid w:val="0073685B"/>
    <w:rsid w:val="0073721B"/>
    <w:rsid w:val="00740B9F"/>
    <w:rsid w:val="00743903"/>
    <w:rsid w:val="00743964"/>
    <w:rsid w:val="007465A4"/>
    <w:rsid w:val="007476AA"/>
    <w:rsid w:val="007524A1"/>
    <w:rsid w:val="0075348F"/>
    <w:rsid w:val="00757382"/>
    <w:rsid w:val="007576E9"/>
    <w:rsid w:val="00760016"/>
    <w:rsid w:val="007616FD"/>
    <w:rsid w:val="00762638"/>
    <w:rsid w:val="00762AE9"/>
    <w:rsid w:val="0076408D"/>
    <w:rsid w:val="007671C6"/>
    <w:rsid w:val="00772381"/>
    <w:rsid w:val="007740C0"/>
    <w:rsid w:val="00777E2C"/>
    <w:rsid w:val="007803F5"/>
    <w:rsid w:val="00781159"/>
    <w:rsid w:val="0078345D"/>
    <w:rsid w:val="00784982"/>
    <w:rsid w:val="00785579"/>
    <w:rsid w:val="007918F3"/>
    <w:rsid w:val="00792512"/>
    <w:rsid w:val="00795D18"/>
    <w:rsid w:val="00795F79"/>
    <w:rsid w:val="007A0A12"/>
    <w:rsid w:val="007A34EB"/>
    <w:rsid w:val="007A34F9"/>
    <w:rsid w:val="007A3CFA"/>
    <w:rsid w:val="007A3DD5"/>
    <w:rsid w:val="007B251D"/>
    <w:rsid w:val="007B3B37"/>
    <w:rsid w:val="007B3F99"/>
    <w:rsid w:val="007B5084"/>
    <w:rsid w:val="007B77D1"/>
    <w:rsid w:val="007C22E3"/>
    <w:rsid w:val="007C361D"/>
    <w:rsid w:val="007C36AC"/>
    <w:rsid w:val="007C66F9"/>
    <w:rsid w:val="007D0B38"/>
    <w:rsid w:val="007D2111"/>
    <w:rsid w:val="007D3C09"/>
    <w:rsid w:val="007D4A8E"/>
    <w:rsid w:val="007D77A1"/>
    <w:rsid w:val="007D7800"/>
    <w:rsid w:val="007D7C6F"/>
    <w:rsid w:val="007E078D"/>
    <w:rsid w:val="007E3DA2"/>
    <w:rsid w:val="007E6687"/>
    <w:rsid w:val="007F0B8D"/>
    <w:rsid w:val="007F0EC4"/>
    <w:rsid w:val="007F1017"/>
    <w:rsid w:val="007F4A3F"/>
    <w:rsid w:val="007F5F94"/>
    <w:rsid w:val="00803CFC"/>
    <w:rsid w:val="00803DB0"/>
    <w:rsid w:val="00804C54"/>
    <w:rsid w:val="00805142"/>
    <w:rsid w:val="00806D92"/>
    <w:rsid w:val="00807A8B"/>
    <w:rsid w:val="00807E85"/>
    <w:rsid w:val="00807FD3"/>
    <w:rsid w:val="00811080"/>
    <w:rsid w:val="00811CCF"/>
    <w:rsid w:val="00811DFF"/>
    <w:rsid w:val="00812149"/>
    <w:rsid w:val="008166EF"/>
    <w:rsid w:val="00817DDF"/>
    <w:rsid w:val="00820098"/>
    <w:rsid w:val="00821F88"/>
    <w:rsid w:val="00822F0D"/>
    <w:rsid w:val="008230F0"/>
    <w:rsid w:val="00824C74"/>
    <w:rsid w:val="008264EB"/>
    <w:rsid w:val="00833B05"/>
    <w:rsid w:val="00837158"/>
    <w:rsid w:val="00840CA2"/>
    <w:rsid w:val="00841384"/>
    <w:rsid w:val="0084294C"/>
    <w:rsid w:val="008461BD"/>
    <w:rsid w:val="008520D6"/>
    <w:rsid w:val="00852874"/>
    <w:rsid w:val="00856E9A"/>
    <w:rsid w:val="00860E3B"/>
    <w:rsid w:val="00862502"/>
    <w:rsid w:val="00867AE6"/>
    <w:rsid w:val="00874A81"/>
    <w:rsid w:val="008815D0"/>
    <w:rsid w:val="00882874"/>
    <w:rsid w:val="00883787"/>
    <w:rsid w:val="00886913"/>
    <w:rsid w:val="0089047E"/>
    <w:rsid w:val="00894489"/>
    <w:rsid w:val="00895D4B"/>
    <w:rsid w:val="008963A5"/>
    <w:rsid w:val="00897F05"/>
    <w:rsid w:val="008A3AB3"/>
    <w:rsid w:val="008A3C3E"/>
    <w:rsid w:val="008A6648"/>
    <w:rsid w:val="008A79DE"/>
    <w:rsid w:val="008B26D8"/>
    <w:rsid w:val="008B44F9"/>
    <w:rsid w:val="008B4B15"/>
    <w:rsid w:val="008B4BE2"/>
    <w:rsid w:val="008B7D7E"/>
    <w:rsid w:val="008B7F41"/>
    <w:rsid w:val="008C0484"/>
    <w:rsid w:val="008C067C"/>
    <w:rsid w:val="008C25A4"/>
    <w:rsid w:val="008C31B7"/>
    <w:rsid w:val="008C6AFA"/>
    <w:rsid w:val="008C7ECB"/>
    <w:rsid w:val="008D0098"/>
    <w:rsid w:val="008D1C29"/>
    <w:rsid w:val="008D1D78"/>
    <w:rsid w:val="008D1EBD"/>
    <w:rsid w:val="008D4AA7"/>
    <w:rsid w:val="008D59DD"/>
    <w:rsid w:val="008E1B9E"/>
    <w:rsid w:val="008E5FDE"/>
    <w:rsid w:val="008F120A"/>
    <w:rsid w:val="008F323C"/>
    <w:rsid w:val="008F48EB"/>
    <w:rsid w:val="008F4B02"/>
    <w:rsid w:val="008F4C8D"/>
    <w:rsid w:val="008F4F0B"/>
    <w:rsid w:val="008F5E60"/>
    <w:rsid w:val="008F7C72"/>
    <w:rsid w:val="009005C3"/>
    <w:rsid w:val="0090308C"/>
    <w:rsid w:val="00903D4B"/>
    <w:rsid w:val="00904505"/>
    <w:rsid w:val="009062A5"/>
    <w:rsid w:val="009068BD"/>
    <w:rsid w:val="00911272"/>
    <w:rsid w:val="00911BF0"/>
    <w:rsid w:val="009131F4"/>
    <w:rsid w:val="00914D68"/>
    <w:rsid w:val="0091583A"/>
    <w:rsid w:val="00917831"/>
    <w:rsid w:val="00917D5C"/>
    <w:rsid w:val="00920A5B"/>
    <w:rsid w:val="009219E9"/>
    <w:rsid w:val="00922302"/>
    <w:rsid w:val="00922E91"/>
    <w:rsid w:val="0092335A"/>
    <w:rsid w:val="009242B4"/>
    <w:rsid w:val="009270B6"/>
    <w:rsid w:val="00927127"/>
    <w:rsid w:val="0093077A"/>
    <w:rsid w:val="00935AFB"/>
    <w:rsid w:val="00944744"/>
    <w:rsid w:val="00944A8B"/>
    <w:rsid w:val="00945257"/>
    <w:rsid w:val="00945E4A"/>
    <w:rsid w:val="00946C4A"/>
    <w:rsid w:val="00947A31"/>
    <w:rsid w:val="00951F7E"/>
    <w:rsid w:val="00952ED2"/>
    <w:rsid w:val="00954132"/>
    <w:rsid w:val="00956C24"/>
    <w:rsid w:val="0096143F"/>
    <w:rsid w:val="00962682"/>
    <w:rsid w:val="00962CB9"/>
    <w:rsid w:val="00964312"/>
    <w:rsid w:val="00964F7F"/>
    <w:rsid w:val="0096509A"/>
    <w:rsid w:val="009674C7"/>
    <w:rsid w:val="00970A9D"/>
    <w:rsid w:val="00970FA5"/>
    <w:rsid w:val="0097259A"/>
    <w:rsid w:val="009730BE"/>
    <w:rsid w:val="009738DF"/>
    <w:rsid w:val="009758D2"/>
    <w:rsid w:val="0098049F"/>
    <w:rsid w:val="009821BA"/>
    <w:rsid w:val="009836DF"/>
    <w:rsid w:val="00983E57"/>
    <w:rsid w:val="00983E96"/>
    <w:rsid w:val="009843C5"/>
    <w:rsid w:val="0098770B"/>
    <w:rsid w:val="00992A8D"/>
    <w:rsid w:val="00992EFB"/>
    <w:rsid w:val="0099361B"/>
    <w:rsid w:val="00996B1A"/>
    <w:rsid w:val="009A05CE"/>
    <w:rsid w:val="009A5298"/>
    <w:rsid w:val="009A784E"/>
    <w:rsid w:val="009B0CAC"/>
    <w:rsid w:val="009B126E"/>
    <w:rsid w:val="009B2F62"/>
    <w:rsid w:val="009B34AB"/>
    <w:rsid w:val="009B3E26"/>
    <w:rsid w:val="009C4072"/>
    <w:rsid w:val="009C526A"/>
    <w:rsid w:val="009C7DE6"/>
    <w:rsid w:val="009D5B91"/>
    <w:rsid w:val="009E187E"/>
    <w:rsid w:val="009E1F02"/>
    <w:rsid w:val="009E4C07"/>
    <w:rsid w:val="009F06E6"/>
    <w:rsid w:val="009F56FC"/>
    <w:rsid w:val="009F795F"/>
    <w:rsid w:val="00A00112"/>
    <w:rsid w:val="00A02765"/>
    <w:rsid w:val="00A02E58"/>
    <w:rsid w:val="00A03D43"/>
    <w:rsid w:val="00A04380"/>
    <w:rsid w:val="00A06D0D"/>
    <w:rsid w:val="00A106F3"/>
    <w:rsid w:val="00A11CFF"/>
    <w:rsid w:val="00A13948"/>
    <w:rsid w:val="00A16586"/>
    <w:rsid w:val="00A1760E"/>
    <w:rsid w:val="00A17844"/>
    <w:rsid w:val="00A204E8"/>
    <w:rsid w:val="00A210E3"/>
    <w:rsid w:val="00A23DDE"/>
    <w:rsid w:val="00A2445F"/>
    <w:rsid w:val="00A2589A"/>
    <w:rsid w:val="00A25A86"/>
    <w:rsid w:val="00A27108"/>
    <w:rsid w:val="00A27195"/>
    <w:rsid w:val="00A2775B"/>
    <w:rsid w:val="00A27AEC"/>
    <w:rsid w:val="00A27DAC"/>
    <w:rsid w:val="00A35D16"/>
    <w:rsid w:val="00A3619A"/>
    <w:rsid w:val="00A40FD6"/>
    <w:rsid w:val="00A414EF"/>
    <w:rsid w:val="00A4190C"/>
    <w:rsid w:val="00A43C59"/>
    <w:rsid w:val="00A4415E"/>
    <w:rsid w:val="00A4417F"/>
    <w:rsid w:val="00A50ECD"/>
    <w:rsid w:val="00A52729"/>
    <w:rsid w:val="00A52865"/>
    <w:rsid w:val="00A53675"/>
    <w:rsid w:val="00A56471"/>
    <w:rsid w:val="00A56B6A"/>
    <w:rsid w:val="00A578DC"/>
    <w:rsid w:val="00A57BBD"/>
    <w:rsid w:val="00A60023"/>
    <w:rsid w:val="00A60234"/>
    <w:rsid w:val="00A60FB9"/>
    <w:rsid w:val="00A62BEC"/>
    <w:rsid w:val="00A65E1F"/>
    <w:rsid w:val="00A6725B"/>
    <w:rsid w:val="00A71D7F"/>
    <w:rsid w:val="00A75828"/>
    <w:rsid w:val="00A762B8"/>
    <w:rsid w:val="00A76DF9"/>
    <w:rsid w:val="00A77FB3"/>
    <w:rsid w:val="00A801DF"/>
    <w:rsid w:val="00A844EC"/>
    <w:rsid w:val="00A8657A"/>
    <w:rsid w:val="00A86E8B"/>
    <w:rsid w:val="00A87147"/>
    <w:rsid w:val="00A907E3"/>
    <w:rsid w:val="00A90FF6"/>
    <w:rsid w:val="00A93072"/>
    <w:rsid w:val="00A940CC"/>
    <w:rsid w:val="00A959D8"/>
    <w:rsid w:val="00A97E3C"/>
    <w:rsid w:val="00AA0C29"/>
    <w:rsid w:val="00AA158F"/>
    <w:rsid w:val="00AA5EC7"/>
    <w:rsid w:val="00AB042A"/>
    <w:rsid w:val="00AB2D34"/>
    <w:rsid w:val="00AB3430"/>
    <w:rsid w:val="00AB47D8"/>
    <w:rsid w:val="00AB7CFA"/>
    <w:rsid w:val="00AC32AB"/>
    <w:rsid w:val="00AC4A36"/>
    <w:rsid w:val="00AC59DD"/>
    <w:rsid w:val="00AC757D"/>
    <w:rsid w:val="00AD18B6"/>
    <w:rsid w:val="00AD223F"/>
    <w:rsid w:val="00AD39B9"/>
    <w:rsid w:val="00AD3E37"/>
    <w:rsid w:val="00AD4DE0"/>
    <w:rsid w:val="00AE2C5D"/>
    <w:rsid w:val="00AF1807"/>
    <w:rsid w:val="00AF2447"/>
    <w:rsid w:val="00AF6ADD"/>
    <w:rsid w:val="00AF6E5C"/>
    <w:rsid w:val="00B0383D"/>
    <w:rsid w:val="00B0494E"/>
    <w:rsid w:val="00B0722B"/>
    <w:rsid w:val="00B11820"/>
    <w:rsid w:val="00B12069"/>
    <w:rsid w:val="00B134AE"/>
    <w:rsid w:val="00B148EA"/>
    <w:rsid w:val="00B154AD"/>
    <w:rsid w:val="00B1594A"/>
    <w:rsid w:val="00B207C6"/>
    <w:rsid w:val="00B20C6F"/>
    <w:rsid w:val="00B20D52"/>
    <w:rsid w:val="00B21C52"/>
    <w:rsid w:val="00B262DF"/>
    <w:rsid w:val="00B33159"/>
    <w:rsid w:val="00B334CA"/>
    <w:rsid w:val="00B365B9"/>
    <w:rsid w:val="00B36A6F"/>
    <w:rsid w:val="00B371F1"/>
    <w:rsid w:val="00B42851"/>
    <w:rsid w:val="00B43852"/>
    <w:rsid w:val="00B50DB8"/>
    <w:rsid w:val="00B51AB1"/>
    <w:rsid w:val="00B53564"/>
    <w:rsid w:val="00B53905"/>
    <w:rsid w:val="00B54B5B"/>
    <w:rsid w:val="00B54DC2"/>
    <w:rsid w:val="00B54EFF"/>
    <w:rsid w:val="00B5562E"/>
    <w:rsid w:val="00B557BF"/>
    <w:rsid w:val="00B57000"/>
    <w:rsid w:val="00B608E7"/>
    <w:rsid w:val="00B60939"/>
    <w:rsid w:val="00B60AFD"/>
    <w:rsid w:val="00B62715"/>
    <w:rsid w:val="00B6432F"/>
    <w:rsid w:val="00B65A83"/>
    <w:rsid w:val="00B66107"/>
    <w:rsid w:val="00B753F5"/>
    <w:rsid w:val="00B75657"/>
    <w:rsid w:val="00B818A4"/>
    <w:rsid w:val="00B828C6"/>
    <w:rsid w:val="00B82D17"/>
    <w:rsid w:val="00B8335B"/>
    <w:rsid w:val="00B83586"/>
    <w:rsid w:val="00B84E7A"/>
    <w:rsid w:val="00B85057"/>
    <w:rsid w:val="00B85DEC"/>
    <w:rsid w:val="00B8649C"/>
    <w:rsid w:val="00B8717A"/>
    <w:rsid w:val="00B90485"/>
    <w:rsid w:val="00B91360"/>
    <w:rsid w:val="00B916CC"/>
    <w:rsid w:val="00B91E15"/>
    <w:rsid w:val="00B92C70"/>
    <w:rsid w:val="00B92D0B"/>
    <w:rsid w:val="00B930E2"/>
    <w:rsid w:val="00B938E5"/>
    <w:rsid w:val="00B94945"/>
    <w:rsid w:val="00B97E2F"/>
    <w:rsid w:val="00BA0A29"/>
    <w:rsid w:val="00BA1AA1"/>
    <w:rsid w:val="00BA2B24"/>
    <w:rsid w:val="00BA370D"/>
    <w:rsid w:val="00BA5162"/>
    <w:rsid w:val="00BA528B"/>
    <w:rsid w:val="00BA5567"/>
    <w:rsid w:val="00BA60B7"/>
    <w:rsid w:val="00BB1A72"/>
    <w:rsid w:val="00BB4D59"/>
    <w:rsid w:val="00BB651F"/>
    <w:rsid w:val="00BB687D"/>
    <w:rsid w:val="00BB70C7"/>
    <w:rsid w:val="00BB7405"/>
    <w:rsid w:val="00BC0D3F"/>
    <w:rsid w:val="00BC35CE"/>
    <w:rsid w:val="00BC380A"/>
    <w:rsid w:val="00BD013E"/>
    <w:rsid w:val="00BD549D"/>
    <w:rsid w:val="00BD6405"/>
    <w:rsid w:val="00BD6CF3"/>
    <w:rsid w:val="00BD7A2C"/>
    <w:rsid w:val="00BE07F6"/>
    <w:rsid w:val="00BE10BE"/>
    <w:rsid w:val="00BE1C5F"/>
    <w:rsid w:val="00BE2180"/>
    <w:rsid w:val="00BE4275"/>
    <w:rsid w:val="00BE49CE"/>
    <w:rsid w:val="00BE6037"/>
    <w:rsid w:val="00BF2433"/>
    <w:rsid w:val="00BF272B"/>
    <w:rsid w:val="00BF4505"/>
    <w:rsid w:val="00BF61C9"/>
    <w:rsid w:val="00C0101C"/>
    <w:rsid w:val="00C07156"/>
    <w:rsid w:val="00C07219"/>
    <w:rsid w:val="00C111D6"/>
    <w:rsid w:val="00C122FE"/>
    <w:rsid w:val="00C131A1"/>
    <w:rsid w:val="00C13383"/>
    <w:rsid w:val="00C1348D"/>
    <w:rsid w:val="00C13DE1"/>
    <w:rsid w:val="00C14540"/>
    <w:rsid w:val="00C14685"/>
    <w:rsid w:val="00C2158B"/>
    <w:rsid w:val="00C21B06"/>
    <w:rsid w:val="00C25418"/>
    <w:rsid w:val="00C25D9C"/>
    <w:rsid w:val="00C300FF"/>
    <w:rsid w:val="00C31649"/>
    <w:rsid w:val="00C32C8F"/>
    <w:rsid w:val="00C37841"/>
    <w:rsid w:val="00C40385"/>
    <w:rsid w:val="00C43AB0"/>
    <w:rsid w:val="00C515AE"/>
    <w:rsid w:val="00C54A75"/>
    <w:rsid w:val="00C603E4"/>
    <w:rsid w:val="00C6106B"/>
    <w:rsid w:val="00C65576"/>
    <w:rsid w:val="00C66165"/>
    <w:rsid w:val="00C668E6"/>
    <w:rsid w:val="00C7145D"/>
    <w:rsid w:val="00C73637"/>
    <w:rsid w:val="00C750C8"/>
    <w:rsid w:val="00C8186A"/>
    <w:rsid w:val="00C8213F"/>
    <w:rsid w:val="00C82DB7"/>
    <w:rsid w:val="00C8797A"/>
    <w:rsid w:val="00C9320D"/>
    <w:rsid w:val="00C938CF"/>
    <w:rsid w:val="00C93EB9"/>
    <w:rsid w:val="00C9719F"/>
    <w:rsid w:val="00CA5245"/>
    <w:rsid w:val="00CA688E"/>
    <w:rsid w:val="00CA7B09"/>
    <w:rsid w:val="00CA7B37"/>
    <w:rsid w:val="00CB073A"/>
    <w:rsid w:val="00CB14E6"/>
    <w:rsid w:val="00CB47E3"/>
    <w:rsid w:val="00CB4B08"/>
    <w:rsid w:val="00CB5B1A"/>
    <w:rsid w:val="00CB74E7"/>
    <w:rsid w:val="00CB795C"/>
    <w:rsid w:val="00CC0FED"/>
    <w:rsid w:val="00CC43B2"/>
    <w:rsid w:val="00CC5E12"/>
    <w:rsid w:val="00CD12B3"/>
    <w:rsid w:val="00CD31CE"/>
    <w:rsid w:val="00CD3295"/>
    <w:rsid w:val="00CD6ADC"/>
    <w:rsid w:val="00CE334A"/>
    <w:rsid w:val="00CE48B5"/>
    <w:rsid w:val="00CE564D"/>
    <w:rsid w:val="00CE6274"/>
    <w:rsid w:val="00CF456B"/>
    <w:rsid w:val="00CF56B7"/>
    <w:rsid w:val="00CF5A22"/>
    <w:rsid w:val="00D01757"/>
    <w:rsid w:val="00D024C0"/>
    <w:rsid w:val="00D0262E"/>
    <w:rsid w:val="00D030CA"/>
    <w:rsid w:val="00D03AB1"/>
    <w:rsid w:val="00D04563"/>
    <w:rsid w:val="00D07A2E"/>
    <w:rsid w:val="00D110BD"/>
    <w:rsid w:val="00D1198C"/>
    <w:rsid w:val="00D1254C"/>
    <w:rsid w:val="00D13A27"/>
    <w:rsid w:val="00D14A71"/>
    <w:rsid w:val="00D165C1"/>
    <w:rsid w:val="00D17D6C"/>
    <w:rsid w:val="00D214A5"/>
    <w:rsid w:val="00D21CBA"/>
    <w:rsid w:val="00D25390"/>
    <w:rsid w:val="00D31D4F"/>
    <w:rsid w:val="00D33072"/>
    <w:rsid w:val="00D357FF"/>
    <w:rsid w:val="00D401B0"/>
    <w:rsid w:val="00D404E9"/>
    <w:rsid w:val="00D42752"/>
    <w:rsid w:val="00D4555F"/>
    <w:rsid w:val="00D4663B"/>
    <w:rsid w:val="00D5562E"/>
    <w:rsid w:val="00D57185"/>
    <w:rsid w:val="00D62114"/>
    <w:rsid w:val="00D67149"/>
    <w:rsid w:val="00D72518"/>
    <w:rsid w:val="00D743C8"/>
    <w:rsid w:val="00D7549D"/>
    <w:rsid w:val="00D75A53"/>
    <w:rsid w:val="00D767B7"/>
    <w:rsid w:val="00D769AC"/>
    <w:rsid w:val="00D76A44"/>
    <w:rsid w:val="00D8420D"/>
    <w:rsid w:val="00D84547"/>
    <w:rsid w:val="00D84E37"/>
    <w:rsid w:val="00D859CC"/>
    <w:rsid w:val="00D870F8"/>
    <w:rsid w:val="00D8759D"/>
    <w:rsid w:val="00D90311"/>
    <w:rsid w:val="00D93753"/>
    <w:rsid w:val="00D954E0"/>
    <w:rsid w:val="00D97515"/>
    <w:rsid w:val="00DA13DC"/>
    <w:rsid w:val="00DA217E"/>
    <w:rsid w:val="00DA2C07"/>
    <w:rsid w:val="00DA3FC4"/>
    <w:rsid w:val="00DA571A"/>
    <w:rsid w:val="00DA7159"/>
    <w:rsid w:val="00DA77A5"/>
    <w:rsid w:val="00DB1B3E"/>
    <w:rsid w:val="00DB1C5A"/>
    <w:rsid w:val="00DB32D7"/>
    <w:rsid w:val="00DB430E"/>
    <w:rsid w:val="00DB4840"/>
    <w:rsid w:val="00DB7759"/>
    <w:rsid w:val="00DC07C7"/>
    <w:rsid w:val="00DC4C2A"/>
    <w:rsid w:val="00DC52BE"/>
    <w:rsid w:val="00DC5501"/>
    <w:rsid w:val="00DC72CD"/>
    <w:rsid w:val="00DD0972"/>
    <w:rsid w:val="00DD0A34"/>
    <w:rsid w:val="00DD2811"/>
    <w:rsid w:val="00DD3F28"/>
    <w:rsid w:val="00DD4537"/>
    <w:rsid w:val="00DD4E15"/>
    <w:rsid w:val="00DD5106"/>
    <w:rsid w:val="00DE407F"/>
    <w:rsid w:val="00DE4A64"/>
    <w:rsid w:val="00DE4FCB"/>
    <w:rsid w:val="00DE5380"/>
    <w:rsid w:val="00DF1E85"/>
    <w:rsid w:val="00DF329B"/>
    <w:rsid w:val="00DF384E"/>
    <w:rsid w:val="00DF5D2B"/>
    <w:rsid w:val="00DF6CFF"/>
    <w:rsid w:val="00DF78CC"/>
    <w:rsid w:val="00E10149"/>
    <w:rsid w:val="00E105C7"/>
    <w:rsid w:val="00E1141E"/>
    <w:rsid w:val="00E13989"/>
    <w:rsid w:val="00E14BB5"/>
    <w:rsid w:val="00E16372"/>
    <w:rsid w:val="00E200FE"/>
    <w:rsid w:val="00E2040B"/>
    <w:rsid w:val="00E20856"/>
    <w:rsid w:val="00E20A40"/>
    <w:rsid w:val="00E20ED6"/>
    <w:rsid w:val="00E21358"/>
    <w:rsid w:val="00E2249B"/>
    <w:rsid w:val="00E22A0D"/>
    <w:rsid w:val="00E24C46"/>
    <w:rsid w:val="00E2771E"/>
    <w:rsid w:val="00E31375"/>
    <w:rsid w:val="00E326F9"/>
    <w:rsid w:val="00E35B27"/>
    <w:rsid w:val="00E37569"/>
    <w:rsid w:val="00E41E30"/>
    <w:rsid w:val="00E426E4"/>
    <w:rsid w:val="00E43D70"/>
    <w:rsid w:val="00E444AE"/>
    <w:rsid w:val="00E45F29"/>
    <w:rsid w:val="00E47B2C"/>
    <w:rsid w:val="00E505B7"/>
    <w:rsid w:val="00E50857"/>
    <w:rsid w:val="00E51560"/>
    <w:rsid w:val="00E51D14"/>
    <w:rsid w:val="00E55424"/>
    <w:rsid w:val="00E55BB5"/>
    <w:rsid w:val="00E65E79"/>
    <w:rsid w:val="00E6635B"/>
    <w:rsid w:val="00E67416"/>
    <w:rsid w:val="00E718B6"/>
    <w:rsid w:val="00E721E9"/>
    <w:rsid w:val="00E73581"/>
    <w:rsid w:val="00E818DF"/>
    <w:rsid w:val="00E83BDF"/>
    <w:rsid w:val="00E8723C"/>
    <w:rsid w:val="00E87964"/>
    <w:rsid w:val="00E906B8"/>
    <w:rsid w:val="00E90BEA"/>
    <w:rsid w:val="00E9373B"/>
    <w:rsid w:val="00E95721"/>
    <w:rsid w:val="00E96362"/>
    <w:rsid w:val="00EA1479"/>
    <w:rsid w:val="00EA3864"/>
    <w:rsid w:val="00EA3D31"/>
    <w:rsid w:val="00EA6031"/>
    <w:rsid w:val="00EA721A"/>
    <w:rsid w:val="00EA7AEB"/>
    <w:rsid w:val="00EB08C6"/>
    <w:rsid w:val="00EB15B6"/>
    <w:rsid w:val="00EB313B"/>
    <w:rsid w:val="00EB3B75"/>
    <w:rsid w:val="00EB4916"/>
    <w:rsid w:val="00EC00C9"/>
    <w:rsid w:val="00EC1BED"/>
    <w:rsid w:val="00EC7464"/>
    <w:rsid w:val="00EC7EE3"/>
    <w:rsid w:val="00ED4418"/>
    <w:rsid w:val="00ED6E6D"/>
    <w:rsid w:val="00EE07D3"/>
    <w:rsid w:val="00EE1AD3"/>
    <w:rsid w:val="00EE28AF"/>
    <w:rsid w:val="00EE323F"/>
    <w:rsid w:val="00EE5109"/>
    <w:rsid w:val="00EE5B15"/>
    <w:rsid w:val="00EF5DE2"/>
    <w:rsid w:val="00EF60F3"/>
    <w:rsid w:val="00EF68AF"/>
    <w:rsid w:val="00F01428"/>
    <w:rsid w:val="00F03D33"/>
    <w:rsid w:val="00F067A2"/>
    <w:rsid w:val="00F100B9"/>
    <w:rsid w:val="00F156DC"/>
    <w:rsid w:val="00F15E5B"/>
    <w:rsid w:val="00F2034B"/>
    <w:rsid w:val="00F24837"/>
    <w:rsid w:val="00F24C98"/>
    <w:rsid w:val="00F2575F"/>
    <w:rsid w:val="00F32200"/>
    <w:rsid w:val="00F33979"/>
    <w:rsid w:val="00F33DE9"/>
    <w:rsid w:val="00F34986"/>
    <w:rsid w:val="00F35272"/>
    <w:rsid w:val="00F3619A"/>
    <w:rsid w:val="00F37B6A"/>
    <w:rsid w:val="00F40F4E"/>
    <w:rsid w:val="00F41FDF"/>
    <w:rsid w:val="00F44452"/>
    <w:rsid w:val="00F452FE"/>
    <w:rsid w:val="00F46CB6"/>
    <w:rsid w:val="00F54134"/>
    <w:rsid w:val="00F544E7"/>
    <w:rsid w:val="00F55956"/>
    <w:rsid w:val="00F55E73"/>
    <w:rsid w:val="00F57DB7"/>
    <w:rsid w:val="00F60092"/>
    <w:rsid w:val="00F62794"/>
    <w:rsid w:val="00F642FE"/>
    <w:rsid w:val="00F64F53"/>
    <w:rsid w:val="00F65A47"/>
    <w:rsid w:val="00F67C90"/>
    <w:rsid w:val="00F73EA5"/>
    <w:rsid w:val="00F76784"/>
    <w:rsid w:val="00F76FDD"/>
    <w:rsid w:val="00F80950"/>
    <w:rsid w:val="00F80DFD"/>
    <w:rsid w:val="00F80E5D"/>
    <w:rsid w:val="00F817B1"/>
    <w:rsid w:val="00F82669"/>
    <w:rsid w:val="00F851CE"/>
    <w:rsid w:val="00F86386"/>
    <w:rsid w:val="00F86A38"/>
    <w:rsid w:val="00F9021B"/>
    <w:rsid w:val="00F92540"/>
    <w:rsid w:val="00F9324B"/>
    <w:rsid w:val="00F93BD5"/>
    <w:rsid w:val="00F941BC"/>
    <w:rsid w:val="00F95281"/>
    <w:rsid w:val="00F9581A"/>
    <w:rsid w:val="00F97A78"/>
    <w:rsid w:val="00FA24E7"/>
    <w:rsid w:val="00FA2ADF"/>
    <w:rsid w:val="00FA60D9"/>
    <w:rsid w:val="00FB0833"/>
    <w:rsid w:val="00FB2FCB"/>
    <w:rsid w:val="00FB3B7E"/>
    <w:rsid w:val="00FB3DCD"/>
    <w:rsid w:val="00FC1074"/>
    <w:rsid w:val="00FC1884"/>
    <w:rsid w:val="00FC24AA"/>
    <w:rsid w:val="00FC6170"/>
    <w:rsid w:val="00FD2100"/>
    <w:rsid w:val="00FD2990"/>
    <w:rsid w:val="00FD3615"/>
    <w:rsid w:val="00FD3EFB"/>
    <w:rsid w:val="00FD446D"/>
    <w:rsid w:val="00FE04DD"/>
    <w:rsid w:val="00FE05DA"/>
    <w:rsid w:val="00FE0F4B"/>
    <w:rsid w:val="00FE31AB"/>
    <w:rsid w:val="00FE4FF0"/>
    <w:rsid w:val="00FF3DCF"/>
    <w:rsid w:val="00FF5350"/>
    <w:rsid w:val="00FF5AA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Body Text" w:qFormat="1"/>
    <w:lsdException w:name="List Paragraph" w:uiPriority="72"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rsid w:val="00124A51"/>
    <w:pPr>
      <w:tabs>
        <w:tab w:val="center" w:pos="4513"/>
        <w:tab w:val="right" w:pos="9026"/>
      </w:tabs>
    </w:pPr>
  </w:style>
  <w:style w:type="character" w:customStyle="1" w:styleId="FooterChar">
    <w:name w:val="Footer Char"/>
    <w:basedOn w:val="DefaultParagraphFont"/>
    <w:link w:val="Footer"/>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Normalfont">
    <w:name w:val="Normal font"/>
    <w:basedOn w:val="DefaultParagraphFont"/>
    <w:uiPriority w:val="1"/>
    <w:qFormat/>
    <w:rsid w:val="00A907E3"/>
    <w:rPr>
      <w:rFonts w:ascii="Candara" w:hAnsi="Candara"/>
      <w:sz w:val="24"/>
    </w:rPr>
  </w:style>
  <w:style w:type="character" w:customStyle="1" w:styleId="TableText1">
    <w:name w:val="Table Text"/>
    <w:basedOn w:val="DefaultParagraphFont"/>
    <w:uiPriority w:val="4"/>
    <w:qFormat/>
    <w:rsid w:val="00A907E3"/>
    <w:rPr>
      <w:rFonts w:ascii="Arial Narrow" w:hAnsi="Arial Narrow"/>
      <w:sz w:val="20"/>
    </w:rPr>
  </w:style>
  <w:style w:type="paragraph" w:customStyle="1" w:styleId="TableNotes">
    <w:name w:val="Table Notes"/>
    <w:basedOn w:val="Normal"/>
    <w:link w:val="TableNotesChar"/>
    <w:uiPriority w:val="6"/>
    <w:qFormat/>
    <w:rsid w:val="00A907E3"/>
    <w:pPr>
      <w:widowControl/>
      <w:spacing w:after="40" w:line="276" w:lineRule="auto"/>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A907E3"/>
    <w:rPr>
      <w:rFonts w:ascii="Arial Narrow" w:eastAsiaTheme="majorEastAsia" w:hAnsi="Arial Narrow" w:cstheme="majorBidi"/>
      <w:sz w:val="16"/>
      <w:szCs w:val="22"/>
      <w:lang w:eastAsia="en-US" w:bidi="en-US"/>
    </w:rPr>
  </w:style>
  <w:style w:type="character" w:customStyle="1" w:styleId="TableBold">
    <w:name w:val="Table Bold"/>
    <w:basedOn w:val="TableText1"/>
    <w:uiPriority w:val="4"/>
    <w:qFormat/>
    <w:rsid w:val="00A907E3"/>
    <w:rPr>
      <w:rFonts w:ascii="Arial Narrow" w:hAnsi="Arial Narrow"/>
      <w:b/>
      <w:sz w:val="20"/>
      <w:lang w:val="en-AU"/>
    </w:rPr>
  </w:style>
  <w:style w:type="paragraph" w:styleId="DocumentMap">
    <w:name w:val="Document Map"/>
    <w:basedOn w:val="Normal"/>
    <w:link w:val="DocumentMapChar"/>
    <w:semiHidden/>
    <w:unhideWhenUsed/>
    <w:rsid w:val="00540365"/>
    <w:rPr>
      <w:rFonts w:ascii="Tahoma" w:hAnsi="Tahoma" w:cs="Tahoma"/>
      <w:sz w:val="16"/>
      <w:szCs w:val="16"/>
    </w:rPr>
  </w:style>
  <w:style w:type="character" w:customStyle="1" w:styleId="DocumentMapChar">
    <w:name w:val="Document Map Char"/>
    <w:basedOn w:val="DefaultParagraphFont"/>
    <w:link w:val="DocumentMap"/>
    <w:semiHidden/>
    <w:rsid w:val="00540365"/>
    <w:rPr>
      <w:rFonts w:ascii="Tahoma" w:hAnsi="Tahoma" w:cs="Tahoma"/>
      <w:snapToGrid w:val="0"/>
      <w:sz w:val="16"/>
      <w:szCs w:val="16"/>
      <w:lang w:eastAsia="en-US"/>
    </w:rPr>
  </w:style>
  <w:style w:type="paragraph" w:customStyle="1" w:styleId="Default">
    <w:name w:val="Default"/>
    <w:rsid w:val="00895D4B"/>
    <w:pPr>
      <w:autoSpaceDE w:val="0"/>
      <w:autoSpaceDN w:val="0"/>
      <w:adjustRightInd w:val="0"/>
    </w:pPr>
    <w:rPr>
      <w:color w:val="000000"/>
    </w:rPr>
  </w:style>
  <w:style w:type="paragraph" w:styleId="ListBullet">
    <w:name w:val="List Bullet"/>
    <w:basedOn w:val="Normal"/>
    <w:unhideWhenUsed/>
    <w:rsid w:val="009730BE"/>
    <w:pPr>
      <w:numPr>
        <w:numId w:val="3"/>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E4912"/>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447DC9"/>
    <w:pPr>
      <w:jc w:val="both"/>
    </w:pPr>
    <w:rPr>
      <w:rFonts w:ascii="Arial Narrow" w:hAnsi="Arial Narrow"/>
      <w:sz w:val="20"/>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72"/>
    <w:rsid w:val="00C21B0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Body Text" w:qFormat="1"/>
    <w:lsdException w:name="List Paragraph" w:uiPriority="72"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rsid w:val="00124A51"/>
    <w:pPr>
      <w:tabs>
        <w:tab w:val="center" w:pos="4513"/>
        <w:tab w:val="right" w:pos="9026"/>
      </w:tabs>
    </w:pPr>
  </w:style>
  <w:style w:type="character" w:customStyle="1" w:styleId="FooterChar">
    <w:name w:val="Footer Char"/>
    <w:basedOn w:val="DefaultParagraphFont"/>
    <w:link w:val="Footer"/>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Normalfont">
    <w:name w:val="Normal font"/>
    <w:basedOn w:val="DefaultParagraphFont"/>
    <w:uiPriority w:val="1"/>
    <w:qFormat/>
    <w:rsid w:val="00A907E3"/>
    <w:rPr>
      <w:rFonts w:ascii="Candara" w:hAnsi="Candara"/>
      <w:sz w:val="24"/>
    </w:rPr>
  </w:style>
  <w:style w:type="character" w:customStyle="1" w:styleId="TableText1">
    <w:name w:val="Table Text"/>
    <w:basedOn w:val="DefaultParagraphFont"/>
    <w:uiPriority w:val="4"/>
    <w:qFormat/>
    <w:rsid w:val="00A907E3"/>
    <w:rPr>
      <w:rFonts w:ascii="Arial Narrow" w:hAnsi="Arial Narrow"/>
      <w:sz w:val="20"/>
    </w:rPr>
  </w:style>
  <w:style w:type="paragraph" w:customStyle="1" w:styleId="TableNotes">
    <w:name w:val="Table Notes"/>
    <w:basedOn w:val="Normal"/>
    <w:link w:val="TableNotesChar"/>
    <w:uiPriority w:val="6"/>
    <w:qFormat/>
    <w:rsid w:val="00A907E3"/>
    <w:pPr>
      <w:widowControl/>
      <w:spacing w:after="40" w:line="276" w:lineRule="auto"/>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A907E3"/>
    <w:rPr>
      <w:rFonts w:ascii="Arial Narrow" w:eastAsiaTheme="majorEastAsia" w:hAnsi="Arial Narrow" w:cstheme="majorBidi"/>
      <w:sz w:val="16"/>
      <w:szCs w:val="22"/>
      <w:lang w:eastAsia="en-US" w:bidi="en-US"/>
    </w:rPr>
  </w:style>
  <w:style w:type="character" w:customStyle="1" w:styleId="TableBold">
    <w:name w:val="Table Bold"/>
    <w:basedOn w:val="TableText1"/>
    <w:uiPriority w:val="4"/>
    <w:qFormat/>
    <w:rsid w:val="00A907E3"/>
    <w:rPr>
      <w:rFonts w:ascii="Arial Narrow" w:hAnsi="Arial Narrow"/>
      <w:b/>
      <w:sz w:val="20"/>
      <w:lang w:val="en-AU"/>
    </w:rPr>
  </w:style>
  <w:style w:type="paragraph" w:styleId="DocumentMap">
    <w:name w:val="Document Map"/>
    <w:basedOn w:val="Normal"/>
    <w:link w:val="DocumentMapChar"/>
    <w:semiHidden/>
    <w:unhideWhenUsed/>
    <w:rsid w:val="00540365"/>
    <w:rPr>
      <w:rFonts w:ascii="Tahoma" w:hAnsi="Tahoma" w:cs="Tahoma"/>
      <w:sz w:val="16"/>
      <w:szCs w:val="16"/>
    </w:rPr>
  </w:style>
  <w:style w:type="character" w:customStyle="1" w:styleId="DocumentMapChar">
    <w:name w:val="Document Map Char"/>
    <w:basedOn w:val="DefaultParagraphFont"/>
    <w:link w:val="DocumentMap"/>
    <w:semiHidden/>
    <w:rsid w:val="00540365"/>
    <w:rPr>
      <w:rFonts w:ascii="Tahoma" w:hAnsi="Tahoma" w:cs="Tahoma"/>
      <w:snapToGrid w:val="0"/>
      <w:sz w:val="16"/>
      <w:szCs w:val="16"/>
      <w:lang w:eastAsia="en-US"/>
    </w:rPr>
  </w:style>
  <w:style w:type="paragraph" w:customStyle="1" w:styleId="Default">
    <w:name w:val="Default"/>
    <w:rsid w:val="00895D4B"/>
    <w:pPr>
      <w:autoSpaceDE w:val="0"/>
      <w:autoSpaceDN w:val="0"/>
      <w:adjustRightInd w:val="0"/>
    </w:pPr>
    <w:rPr>
      <w:color w:val="000000"/>
    </w:rPr>
  </w:style>
  <w:style w:type="paragraph" w:styleId="ListBullet">
    <w:name w:val="List Bullet"/>
    <w:basedOn w:val="Normal"/>
    <w:unhideWhenUsed/>
    <w:rsid w:val="009730BE"/>
    <w:pPr>
      <w:numPr>
        <w:numId w:val="3"/>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E4912"/>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447DC9"/>
    <w:pPr>
      <w:jc w:val="both"/>
    </w:pPr>
    <w:rPr>
      <w:rFonts w:ascii="Arial Narrow" w:hAnsi="Arial Narrow"/>
      <w:sz w:val="20"/>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72"/>
    <w:rsid w:val="00C21B0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543">
      <w:bodyDiv w:val="1"/>
      <w:marLeft w:val="0"/>
      <w:marRight w:val="0"/>
      <w:marTop w:val="0"/>
      <w:marBottom w:val="0"/>
      <w:divBdr>
        <w:top w:val="none" w:sz="0" w:space="0" w:color="auto"/>
        <w:left w:val="none" w:sz="0" w:space="0" w:color="auto"/>
        <w:bottom w:val="none" w:sz="0" w:space="0" w:color="auto"/>
        <w:right w:val="none" w:sz="0" w:space="0" w:color="auto"/>
      </w:divBdr>
    </w:div>
    <w:div w:id="247546661">
      <w:bodyDiv w:val="1"/>
      <w:marLeft w:val="0"/>
      <w:marRight w:val="0"/>
      <w:marTop w:val="0"/>
      <w:marBottom w:val="0"/>
      <w:divBdr>
        <w:top w:val="none" w:sz="0" w:space="0" w:color="auto"/>
        <w:left w:val="none" w:sz="0" w:space="0" w:color="auto"/>
        <w:bottom w:val="none" w:sz="0" w:space="0" w:color="auto"/>
        <w:right w:val="none" w:sz="0" w:space="0" w:color="auto"/>
      </w:divBdr>
    </w:div>
    <w:div w:id="777455223">
      <w:bodyDiv w:val="1"/>
      <w:marLeft w:val="0"/>
      <w:marRight w:val="0"/>
      <w:marTop w:val="0"/>
      <w:marBottom w:val="0"/>
      <w:divBdr>
        <w:top w:val="none" w:sz="0" w:space="0" w:color="auto"/>
        <w:left w:val="none" w:sz="0" w:space="0" w:color="auto"/>
        <w:bottom w:val="none" w:sz="0" w:space="0" w:color="auto"/>
        <w:right w:val="none" w:sz="0" w:space="0" w:color="auto"/>
      </w:divBdr>
    </w:div>
    <w:div w:id="1263682590">
      <w:bodyDiv w:val="1"/>
      <w:marLeft w:val="0"/>
      <w:marRight w:val="0"/>
      <w:marTop w:val="0"/>
      <w:marBottom w:val="0"/>
      <w:divBdr>
        <w:top w:val="none" w:sz="0" w:space="0" w:color="auto"/>
        <w:left w:val="none" w:sz="0" w:space="0" w:color="auto"/>
        <w:bottom w:val="none" w:sz="0" w:space="0" w:color="auto"/>
        <w:right w:val="none" w:sz="0" w:space="0" w:color="auto"/>
      </w:divBdr>
    </w:div>
    <w:div w:id="17755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BF70-6661-4E35-AAEE-CCFFCFD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6397</Words>
  <Characters>36464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2</cp:revision>
  <cp:lastPrinted>2014-11-26T06:00:00Z</cp:lastPrinted>
  <dcterms:created xsi:type="dcterms:W3CDTF">2015-02-23T22:36:00Z</dcterms:created>
  <dcterms:modified xsi:type="dcterms:W3CDTF">2015-03-03T02:59:00Z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