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16" w:rsidRDefault="00836478" w:rsidP="00201D16">
      <w:pPr>
        <w:ind w:left="720" w:hanging="720"/>
        <w:rPr>
          <w:b/>
          <w:sz w:val="28"/>
        </w:rPr>
      </w:pPr>
      <w:bookmarkStart w:id="0" w:name="_Toc398033187"/>
      <w:bookmarkStart w:id="1" w:name="_Toc341702043"/>
      <w:bookmarkStart w:id="2" w:name="_Toc380742621"/>
      <w:bookmarkStart w:id="3" w:name="_Toc380746188"/>
      <w:bookmarkStart w:id="4" w:name="_Toc380746314"/>
      <w:bookmarkStart w:id="5" w:name="_Toc380746595"/>
      <w:bookmarkStart w:id="6" w:name="_GoBack"/>
      <w:bookmarkEnd w:id="6"/>
      <w:r w:rsidRPr="00201D16">
        <w:rPr>
          <w:b/>
          <w:sz w:val="28"/>
        </w:rPr>
        <w:t>6.6</w:t>
      </w:r>
      <w:r w:rsidR="00382220" w:rsidRPr="00201D16">
        <w:rPr>
          <w:b/>
          <w:sz w:val="28"/>
        </w:rPr>
        <w:tab/>
      </w:r>
      <w:r w:rsidR="004F4D58" w:rsidRPr="00201D16">
        <w:rPr>
          <w:b/>
          <w:sz w:val="28"/>
        </w:rPr>
        <w:t>DIPHTHERIA + TETANUS + ACELLULAR PERTUSSIS (DTPa) VACCINE</w:t>
      </w:r>
      <w:r w:rsidRPr="00201D16">
        <w:rPr>
          <w:b/>
          <w:sz w:val="28"/>
        </w:rPr>
        <w:t xml:space="preserve"> </w:t>
      </w:r>
    </w:p>
    <w:p w:rsidR="004F4D58" w:rsidRPr="00201D16" w:rsidRDefault="00836478" w:rsidP="00201D16">
      <w:pPr>
        <w:ind w:left="720"/>
        <w:rPr>
          <w:b/>
          <w:sz w:val="28"/>
        </w:rPr>
      </w:pPr>
      <w:r w:rsidRPr="00201D16">
        <w:rPr>
          <w:b/>
          <w:sz w:val="28"/>
        </w:rPr>
        <w:t>Infanrix®</w:t>
      </w:r>
      <w:r w:rsidR="00201D16" w:rsidRPr="00201D16">
        <w:rPr>
          <w:b/>
          <w:caps/>
          <w:sz w:val="28"/>
        </w:rPr>
        <w:t xml:space="preserve">; </w:t>
      </w:r>
      <w:r w:rsidRPr="00201D16">
        <w:rPr>
          <w:b/>
          <w:sz w:val="28"/>
        </w:rPr>
        <w:t>GlaxoSmithKline Australia Pty Ltd.</w:t>
      </w:r>
      <w:bookmarkEnd w:id="0"/>
      <w:r w:rsidRPr="00201D16">
        <w:rPr>
          <w:b/>
          <w:sz w:val="28"/>
        </w:rPr>
        <w:t xml:space="preserve"> </w:t>
      </w:r>
      <w:bookmarkStart w:id="7" w:name="_Toc398033189"/>
    </w:p>
    <w:p w:rsidR="00201D16" w:rsidRDefault="00201D16" w:rsidP="00201D16">
      <w:pPr>
        <w:pStyle w:val="PBACHeading1"/>
        <w:numPr>
          <w:ilvl w:val="0"/>
          <w:numId w:val="0"/>
        </w:numPr>
        <w:ind w:left="720"/>
      </w:pPr>
    </w:p>
    <w:p w:rsidR="00201D16" w:rsidRPr="00E45630" w:rsidRDefault="00201D16" w:rsidP="00201D16">
      <w:pPr>
        <w:pStyle w:val="PBACHeading1"/>
        <w:numPr>
          <w:ilvl w:val="0"/>
          <w:numId w:val="0"/>
        </w:numPr>
        <w:ind w:left="720"/>
      </w:pPr>
    </w:p>
    <w:p w:rsidR="00382220" w:rsidRPr="00E45630" w:rsidRDefault="00382220" w:rsidP="00382220">
      <w:pPr>
        <w:pStyle w:val="PBACHeading1"/>
      </w:pPr>
      <w:r w:rsidRPr="00E45630">
        <w:t>Purpose of Application</w:t>
      </w:r>
      <w:bookmarkEnd w:id="7"/>
    </w:p>
    <w:p w:rsidR="00382220" w:rsidRPr="00E45630" w:rsidRDefault="00382220" w:rsidP="00382220">
      <w:pPr>
        <w:rPr>
          <w:szCs w:val="22"/>
        </w:rPr>
      </w:pPr>
    </w:p>
    <w:p w:rsidR="00382220" w:rsidRPr="00E45630" w:rsidRDefault="00382220" w:rsidP="00081EEC">
      <w:pPr>
        <w:pStyle w:val="ListParagraph"/>
        <w:widowControl/>
        <w:numPr>
          <w:ilvl w:val="1"/>
          <w:numId w:val="3"/>
        </w:numPr>
        <w:rPr>
          <w:szCs w:val="22"/>
        </w:rPr>
      </w:pPr>
      <w:r w:rsidRPr="00E45630">
        <w:t>The submission request</w:t>
      </w:r>
      <w:r w:rsidR="006B060D">
        <w:t>ed</w:t>
      </w:r>
      <w:r w:rsidRPr="00E45630">
        <w:t xml:space="preserve"> </w:t>
      </w:r>
      <w:r w:rsidR="00B642FF">
        <w:t>National Immunisation Program</w:t>
      </w:r>
      <w:r w:rsidR="00B642FF" w:rsidRPr="00E45630">
        <w:t xml:space="preserve"> </w:t>
      </w:r>
      <w:r w:rsidR="00B642FF">
        <w:t>(</w:t>
      </w:r>
      <w:r w:rsidRPr="00E45630">
        <w:t>NIP</w:t>
      </w:r>
      <w:r w:rsidR="00B642FF">
        <w:t>)</w:t>
      </w:r>
      <w:r w:rsidRPr="00E45630">
        <w:t xml:space="preserve"> </w:t>
      </w:r>
      <w:r w:rsidR="00A2702D">
        <w:t xml:space="preserve">schedule </w:t>
      </w:r>
      <w:r w:rsidRPr="00E45630">
        <w:t xml:space="preserve">listing for the combined diphtheria, tetanus and </w:t>
      </w:r>
      <w:r w:rsidR="0054502D" w:rsidRPr="00E45630">
        <w:t xml:space="preserve">acellular </w:t>
      </w:r>
      <w:r w:rsidRPr="00E45630">
        <w:t>pertussis (DTPa) vaccine at approximately 18</w:t>
      </w:r>
      <w:r w:rsidR="00AB429D" w:rsidRPr="00E45630">
        <w:t> </w:t>
      </w:r>
      <w:r w:rsidRPr="00E45630">
        <w:t>months for the prevention of pertussis.</w:t>
      </w:r>
    </w:p>
    <w:p w:rsidR="00E45630" w:rsidRDefault="00E45630" w:rsidP="00E45630">
      <w:pPr>
        <w:pStyle w:val="ListParagraph"/>
        <w:widowControl/>
        <w:rPr>
          <w:szCs w:val="22"/>
        </w:rPr>
      </w:pPr>
    </w:p>
    <w:p w:rsidR="00201D16" w:rsidRPr="00E45630" w:rsidRDefault="00201D16" w:rsidP="00E45630">
      <w:pPr>
        <w:pStyle w:val="ListParagraph"/>
        <w:widowControl/>
        <w:rPr>
          <w:szCs w:val="22"/>
        </w:rPr>
      </w:pPr>
    </w:p>
    <w:p w:rsidR="00382220" w:rsidRPr="00E45630" w:rsidRDefault="00382220" w:rsidP="00382220">
      <w:pPr>
        <w:pStyle w:val="PBACHeading1"/>
      </w:pPr>
      <w:bookmarkStart w:id="8" w:name="_Toc398033190"/>
      <w:r w:rsidRPr="00E45630">
        <w:t>Requested listing</w:t>
      </w:r>
      <w:bookmarkEnd w:id="8"/>
    </w:p>
    <w:p w:rsidR="00382220" w:rsidRPr="00E45630" w:rsidRDefault="00382220" w:rsidP="00382220"/>
    <w:tbl>
      <w:tblPr>
        <w:tblW w:w="4526" w:type="pct"/>
        <w:tblInd w:w="737" w:type="dxa"/>
        <w:tblCellMar>
          <w:left w:w="28" w:type="dxa"/>
          <w:right w:w="28" w:type="dxa"/>
        </w:tblCellMar>
        <w:tblLook w:val="0000" w:firstRow="0" w:lastRow="0" w:firstColumn="0" w:lastColumn="0" w:noHBand="0" w:noVBand="0"/>
      </w:tblPr>
      <w:tblGrid>
        <w:gridCol w:w="3085"/>
        <w:gridCol w:w="676"/>
        <w:gridCol w:w="817"/>
        <w:gridCol w:w="822"/>
        <w:gridCol w:w="2822"/>
      </w:tblGrid>
      <w:tr w:rsidR="00906CBB" w:rsidRPr="00E45630" w:rsidTr="00906CBB">
        <w:trPr>
          <w:cantSplit/>
          <w:trHeight w:val="463"/>
        </w:trPr>
        <w:tc>
          <w:tcPr>
            <w:tcW w:w="1876" w:type="pct"/>
            <w:tcBorders>
              <w:top w:val="single" w:sz="4" w:space="0" w:color="auto"/>
              <w:left w:val="single" w:sz="4" w:space="0" w:color="auto"/>
              <w:bottom w:val="single" w:sz="4" w:space="0" w:color="auto"/>
              <w:right w:val="single" w:sz="4" w:space="0" w:color="auto"/>
            </w:tcBorders>
            <w:vAlign w:val="center"/>
          </w:tcPr>
          <w:p w:rsidR="00906CBB" w:rsidRPr="00E45630" w:rsidRDefault="00906CBB" w:rsidP="008A68D7">
            <w:pPr>
              <w:keepNext/>
              <w:jc w:val="left"/>
              <w:rPr>
                <w:rFonts w:ascii="Arial Narrow" w:hAnsi="Arial Narrow"/>
                <w:sz w:val="20"/>
              </w:rPr>
            </w:pPr>
            <w:r w:rsidRPr="00E45630">
              <w:rPr>
                <w:rFonts w:ascii="Arial Narrow" w:hAnsi="Arial Narrow"/>
                <w:sz w:val="20"/>
              </w:rPr>
              <w:t>Name, Restriction,</w:t>
            </w:r>
          </w:p>
          <w:p w:rsidR="00906CBB" w:rsidRPr="00E45630" w:rsidRDefault="00906CBB" w:rsidP="008A68D7">
            <w:pPr>
              <w:keepNext/>
              <w:jc w:val="left"/>
              <w:rPr>
                <w:rFonts w:ascii="Arial Narrow" w:hAnsi="Arial Narrow"/>
                <w:sz w:val="20"/>
              </w:rPr>
            </w:pPr>
            <w:r w:rsidRPr="00E45630">
              <w:rPr>
                <w:rFonts w:ascii="Arial Narrow" w:hAnsi="Arial Narrow"/>
                <w:sz w:val="20"/>
              </w:rPr>
              <w:t>Manner of administration and form</w:t>
            </w:r>
          </w:p>
        </w:tc>
        <w:tc>
          <w:tcPr>
            <w:tcW w:w="411" w:type="pct"/>
            <w:tcBorders>
              <w:top w:val="single" w:sz="4" w:space="0" w:color="auto"/>
              <w:left w:val="single" w:sz="4" w:space="0" w:color="auto"/>
              <w:bottom w:val="single" w:sz="4" w:space="0" w:color="auto"/>
              <w:right w:val="single" w:sz="4" w:space="0" w:color="auto"/>
            </w:tcBorders>
            <w:vAlign w:val="center"/>
          </w:tcPr>
          <w:p w:rsidR="00906CBB" w:rsidRPr="00E45630" w:rsidRDefault="00906CBB" w:rsidP="008A68D7">
            <w:pPr>
              <w:keepNext/>
              <w:jc w:val="center"/>
              <w:rPr>
                <w:rFonts w:ascii="Arial Narrow" w:hAnsi="Arial Narrow"/>
                <w:sz w:val="20"/>
              </w:rPr>
            </w:pPr>
            <w:r w:rsidRPr="00E45630">
              <w:rPr>
                <w:rFonts w:ascii="Arial Narrow" w:hAnsi="Arial Narrow"/>
                <w:sz w:val="20"/>
              </w:rPr>
              <w:t>Max.</w:t>
            </w:r>
          </w:p>
          <w:p w:rsidR="00906CBB" w:rsidRPr="00E45630" w:rsidRDefault="00906CBB" w:rsidP="008A68D7">
            <w:pPr>
              <w:keepNext/>
              <w:jc w:val="center"/>
              <w:rPr>
                <w:rFonts w:ascii="Arial Narrow" w:hAnsi="Arial Narrow"/>
                <w:sz w:val="20"/>
              </w:rPr>
            </w:pPr>
            <w:r w:rsidRPr="00E45630">
              <w:rPr>
                <w:rFonts w:ascii="Arial Narrow" w:hAnsi="Arial Narrow"/>
                <w:sz w:val="20"/>
              </w:rPr>
              <w:t>Qty</w:t>
            </w:r>
          </w:p>
        </w:tc>
        <w:tc>
          <w:tcPr>
            <w:tcW w:w="497" w:type="pct"/>
            <w:tcBorders>
              <w:top w:val="single" w:sz="4" w:space="0" w:color="auto"/>
              <w:left w:val="single" w:sz="4" w:space="0" w:color="auto"/>
              <w:bottom w:val="single" w:sz="4" w:space="0" w:color="auto"/>
              <w:right w:val="single" w:sz="4" w:space="0" w:color="auto"/>
            </w:tcBorders>
            <w:vAlign w:val="center"/>
          </w:tcPr>
          <w:p w:rsidR="00906CBB" w:rsidRPr="00E45630" w:rsidRDefault="00906CBB" w:rsidP="008A68D7">
            <w:pPr>
              <w:keepNext/>
              <w:jc w:val="center"/>
              <w:rPr>
                <w:rFonts w:ascii="Arial Narrow" w:hAnsi="Arial Narrow"/>
                <w:sz w:val="20"/>
              </w:rPr>
            </w:pPr>
            <w:r w:rsidRPr="00E45630">
              <w:rPr>
                <w:rFonts w:ascii="Arial Narrow" w:hAnsi="Arial Narrow"/>
                <w:sz w:val="20"/>
              </w:rPr>
              <w:t>№.of</w:t>
            </w:r>
          </w:p>
          <w:p w:rsidR="00906CBB" w:rsidRPr="00E45630" w:rsidRDefault="00906CBB" w:rsidP="008A68D7">
            <w:pPr>
              <w:keepNext/>
              <w:jc w:val="center"/>
              <w:rPr>
                <w:rFonts w:ascii="Arial Narrow" w:hAnsi="Arial Narrow"/>
                <w:sz w:val="20"/>
              </w:rPr>
            </w:pPr>
            <w:r w:rsidRPr="00E45630">
              <w:rPr>
                <w:rFonts w:ascii="Arial Narrow" w:hAnsi="Arial Narrow"/>
                <w:sz w:val="20"/>
              </w:rPr>
              <w:t>Rpts</w:t>
            </w:r>
          </w:p>
        </w:tc>
        <w:tc>
          <w:tcPr>
            <w:tcW w:w="2215" w:type="pct"/>
            <w:gridSpan w:val="2"/>
            <w:tcBorders>
              <w:top w:val="single" w:sz="4" w:space="0" w:color="auto"/>
              <w:left w:val="single" w:sz="4" w:space="0" w:color="auto"/>
              <w:bottom w:val="single" w:sz="4" w:space="0" w:color="auto"/>
              <w:right w:val="single" w:sz="4" w:space="0" w:color="auto"/>
            </w:tcBorders>
            <w:vAlign w:val="center"/>
          </w:tcPr>
          <w:p w:rsidR="00906CBB" w:rsidRPr="00E45630" w:rsidRDefault="00906CBB" w:rsidP="008A68D7">
            <w:pPr>
              <w:keepNext/>
              <w:jc w:val="center"/>
              <w:rPr>
                <w:rFonts w:ascii="Arial Narrow" w:hAnsi="Arial Narrow"/>
                <w:sz w:val="20"/>
                <w:lang w:val="fr-FR"/>
              </w:rPr>
            </w:pPr>
            <w:r w:rsidRPr="00E45630">
              <w:rPr>
                <w:rFonts w:ascii="Arial Narrow" w:hAnsi="Arial Narrow"/>
                <w:sz w:val="20"/>
              </w:rPr>
              <w:t>Proprietary Name and Manufacturer</w:t>
            </w:r>
          </w:p>
        </w:tc>
      </w:tr>
      <w:tr w:rsidR="00906CBB" w:rsidRPr="00E45630" w:rsidTr="00906CBB">
        <w:trPr>
          <w:cantSplit/>
          <w:trHeight w:val="567"/>
        </w:trPr>
        <w:tc>
          <w:tcPr>
            <w:tcW w:w="1876" w:type="pct"/>
            <w:tcBorders>
              <w:top w:val="single" w:sz="4" w:space="0" w:color="auto"/>
              <w:left w:val="single" w:sz="4" w:space="0" w:color="auto"/>
              <w:bottom w:val="single" w:sz="4" w:space="0" w:color="auto"/>
              <w:right w:val="single" w:sz="4" w:space="0" w:color="auto"/>
            </w:tcBorders>
            <w:vAlign w:val="center"/>
          </w:tcPr>
          <w:p w:rsidR="00906CBB" w:rsidRPr="00E45630" w:rsidRDefault="00906CBB" w:rsidP="008A68D7">
            <w:pPr>
              <w:keepNext/>
              <w:jc w:val="left"/>
              <w:rPr>
                <w:rFonts w:ascii="Arial Narrow" w:hAnsi="Arial Narrow"/>
                <w:sz w:val="20"/>
              </w:rPr>
            </w:pPr>
            <w:r w:rsidRPr="00E45630">
              <w:rPr>
                <w:rFonts w:ascii="Arial Narrow" w:hAnsi="Arial Narrow"/>
                <w:smallCaps/>
                <w:sz w:val="20"/>
              </w:rPr>
              <w:t>DTPa vaccine</w:t>
            </w:r>
          </w:p>
          <w:p w:rsidR="00906CBB" w:rsidRPr="00E45630" w:rsidRDefault="00906CBB" w:rsidP="008A68D7">
            <w:pPr>
              <w:keepNext/>
              <w:jc w:val="left"/>
              <w:rPr>
                <w:rFonts w:ascii="Arial Narrow" w:hAnsi="Arial Narrow"/>
                <w:sz w:val="20"/>
              </w:rPr>
            </w:pPr>
            <w:r w:rsidRPr="00E45630">
              <w:rPr>
                <w:rFonts w:ascii="Arial Narrow" w:hAnsi="Arial Narrow"/>
                <w:sz w:val="20"/>
              </w:rPr>
              <w:t>Suspension for injection 0.5 mL glass injection vials or refilled glass injection syringes</w:t>
            </w:r>
          </w:p>
        </w:tc>
        <w:tc>
          <w:tcPr>
            <w:tcW w:w="411" w:type="pct"/>
            <w:tcBorders>
              <w:top w:val="single" w:sz="4" w:space="0" w:color="auto"/>
              <w:left w:val="single" w:sz="4" w:space="0" w:color="auto"/>
              <w:bottom w:val="single" w:sz="4" w:space="0" w:color="auto"/>
              <w:right w:val="single" w:sz="4" w:space="0" w:color="auto"/>
            </w:tcBorders>
            <w:vAlign w:val="center"/>
          </w:tcPr>
          <w:p w:rsidR="00906CBB" w:rsidRPr="00E45630" w:rsidRDefault="00906CBB" w:rsidP="008A68D7">
            <w:pPr>
              <w:keepNext/>
              <w:jc w:val="center"/>
              <w:rPr>
                <w:rFonts w:ascii="Arial Narrow" w:hAnsi="Arial Narrow"/>
                <w:sz w:val="20"/>
              </w:rPr>
            </w:pPr>
          </w:p>
          <w:p w:rsidR="00906CBB" w:rsidRPr="00E45630" w:rsidRDefault="00906CBB" w:rsidP="008A68D7">
            <w:pPr>
              <w:keepNext/>
              <w:jc w:val="center"/>
              <w:rPr>
                <w:rFonts w:ascii="Arial Narrow" w:hAnsi="Arial Narrow"/>
                <w:sz w:val="20"/>
              </w:rPr>
            </w:pPr>
            <w:r w:rsidRPr="00E45630">
              <w:rPr>
                <w:rFonts w:ascii="Arial Narrow" w:hAnsi="Arial Narrow"/>
                <w:sz w:val="20"/>
              </w:rPr>
              <w:t>1</w:t>
            </w:r>
          </w:p>
        </w:tc>
        <w:tc>
          <w:tcPr>
            <w:tcW w:w="497" w:type="pct"/>
            <w:tcBorders>
              <w:top w:val="single" w:sz="4" w:space="0" w:color="auto"/>
              <w:left w:val="single" w:sz="4" w:space="0" w:color="auto"/>
              <w:bottom w:val="single" w:sz="4" w:space="0" w:color="auto"/>
              <w:right w:val="single" w:sz="4" w:space="0" w:color="auto"/>
            </w:tcBorders>
            <w:vAlign w:val="center"/>
          </w:tcPr>
          <w:p w:rsidR="00906CBB" w:rsidRPr="00E45630" w:rsidRDefault="00906CBB" w:rsidP="008A68D7">
            <w:pPr>
              <w:keepNext/>
              <w:jc w:val="center"/>
              <w:rPr>
                <w:rFonts w:ascii="Arial Narrow" w:hAnsi="Arial Narrow"/>
                <w:sz w:val="20"/>
              </w:rPr>
            </w:pPr>
          </w:p>
          <w:p w:rsidR="00906CBB" w:rsidRPr="00E45630" w:rsidRDefault="00906CBB" w:rsidP="008A68D7">
            <w:pPr>
              <w:keepNext/>
              <w:jc w:val="center"/>
              <w:rPr>
                <w:rFonts w:ascii="Arial Narrow" w:hAnsi="Arial Narrow"/>
                <w:sz w:val="20"/>
              </w:rPr>
            </w:pPr>
            <w:r w:rsidRPr="00E45630">
              <w:rPr>
                <w:rFonts w:ascii="Arial Narrow" w:hAnsi="Arial Narrow"/>
                <w:sz w:val="20"/>
              </w:rPr>
              <w:t>0</w:t>
            </w:r>
          </w:p>
        </w:tc>
        <w:tc>
          <w:tcPr>
            <w:tcW w:w="500" w:type="pct"/>
            <w:tcBorders>
              <w:top w:val="single" w:sz="4" w:space="0" w:color="auto"/>
              <w:left w:val="single" w:sz="4" w:space="0" w:color="auto"/>
              <w:bottom w:val="single" w:sz="4" w:space="0" w:color="auto"/>
              <w:right w:val="single" w:sz="4" w:space="0" w:color="auto"/>
            </w:tcBorders>
            <w:vAlign w:val="center"/>
          </w:tcPr>
          <w:p w:rsidR="00906CBB" w:rsidRPr="00E45630" w:rsidRDefault="00906CBB" w:rsidP="008A68D7">
            <w:pPr>
              <w:keepNext/>
              <w:jc w:val="center"/>
              <w:rPr>
                <w:rFonts w:ascii="Arial Narrow" w:hAnsi="Arial Narrow"/>
                <w:sz w:val="20"/>
              </w:rPr>
            </w:pPr>
            <w:r w:rsidRPr="00E45630">
              <w:rPr>
                <w:rFonts w:ascii="Arial Narrow" w:hAnsi="Arial Narrow"/>
                <w:sz w:val="20"/>
              </w:rPr>
              <w:t>INFANRIX</w:t>
            </w:r>
          </w:p>
        </w:tc>
        <w:tc>
          <w:tcPr>
            <w:tcW w:w="1716" w:type="pct"/>
            <w:tcBorders>
              <w:top w:val="single" w:sz="4" w:space="0" w:color="auto"/>
              <w:left w:val="single" w:sz="4" w:space="0" w:color="auto"/>
              <w:bottom w:val="single" w:sz="4" w:space="0" w:color="auto"/>
              <w:right w:val="single" w:sz="4" w:space="0" w:color="auto"/>
            </w:tcBorders>
            <w:vAlign w:val="center"/>
          </w:tcPr>
          <w:p w:rsidR="00906CBB" w:rsidRPr="00E45630" w:rsidRDefault="00906CBB" w:rsidP="008A68D7">
            <w:pPr>
              <w:keepNext/>
              <w:jc w:val="center"/>
              <w:rPr>
                <w:rFonts w:ascii="Arial Narrow" w:hAnsi="Arial Narrow"/>
                <w:sz w:val="20"/>
              </w:rPr>
            </w:pPr>
            <w:r w:rsidRPr="00E45630">
              <w:rPr>
                <w:rFonts w:ascii="Arial Narrow" w:hAnsi="Arial Narrow"/>
                <w:sz w:val="20"/>
              </w:rPr>
              <w:t>GlaxoSmithKline</w:t>
            </w:r>
          </w:p>
        </w:tc>
      </w:tr>
      <w:tr w:rsidR="00382220" w:rsidRPr="00E45630" w:rsidTr="00906CBB">
        <w:trPr>
          <w:cantSplit/>
          <w:trHeight w:val="354"/>
        </w:trPr>
        <w:tc>
          <w:tcPr>
            <w:tcW w:w="5000" w:type="pct"/>
            <w:gridSpan w:val="5"/>
            <w:tcBorders>
              <w:top w:val="single" w:sz="4" w:space="0" w:color="auto"/>
              <w:left w:val="single" w:sz="4" w:space="0" w:color="auto"/>
              <w:bottom w:val="single" w:sz="4" w:space="0" w:color="auto"/>
              <w:right w:val="single" w:sz="4" w:space="0" w:color="auto"/>
            </w:tcBorders>
            <w:vAlign w:val="center"/>
          </w:tcPr>
          <w:p w:rsidR="00382220" w:rsidRPr="00E45630" w:rsidRDefault="00382220" w:rsidP="008A68D7">
            <w:pPr>
              <w:jc w:val="left"/>
              <w:rPr>
                <w:rFonts w:ascii="Arial Narrow" w:hAnsi="Arial Narrow"/>
                <w:b/>
                <w:sz w:val="20"/>
              </w:rPr>
            </w:pPr>
            <w:r w:rsidRPr="00E45630">
              <w:rPr>
                <w:rFonts w:ascii="Arial Narrow" w:hAnsi="Arial Narrow"/>
                <w:b/>
                <w:sz w:val="20"/>
              </w:rPr>
              <w:t xml:space="preserve">NIP listing </w:t>
            </w:r>
          </w:p>
          <w:p w:rsidR="00382220" w:rsidRPr="00E45630" w:rsidRDefault="00382220" w:rsidP="008A68D7">
            <w:pPr>
              <w:jc w:val="left"/>
              <w:rPr>
                <w:rFonts w:ascii="Arial Narrow" w:hAnsi="Arial Narrow"/>
                <w:b/>
                <w:sz w:val="20"/>
              </w:rPr>
            </w:pPr>
            <w:r w:rsidRPr="00E45630">
              <w:rPr>
                <w:rFonts w:ascii="Arial Narrow" w:hAnsi="Arial Narrow"/>
                <w:sz w:val="20"/>
              </w:rPr>
              <w:t>Booster dose for infants aged approximately 18 months.</w:t>
            </w:r>
          </w:p>
        </w:tc>
      </w:tr>
    </w:tbl>
    <w:p w:rsidR="00382220" w:rsidRPr="00E45630" w:rsidRDefault="00382220" w:rsidP="00382220"/>
    <w:p w:rsidR="00382220" w:rsidRPr="00E45630" w:rsidRDefault="00382220" w:rsidP="00081EEC">
      <w:pPr>
        <w:pStyle w:val="ListParagraph"/>
        <w:widowControl/>
        <w:numPr>
          <w:ilvl w:val="1"/>
          <w:numId w:val="3"/>
        </w:numPr>
        <w:rPr>
          <w:szCs w:val="22"/>
        </w:rPr>
      </w:pPr>
      <w:r w:rsidRPr="00E45630">
        <w:t>The listing was requested on the basis that the 18-month DTPa booster</w:t>
      </w:r>
      <w:r w:rsidR="00836478" w:rsidRPr="00E45630">
        <w:t xml:space="preserve"> was cost</w:t>
      </w:r>
      <w:r w:rsidR="00836478" w:rsidRPr="00E45630">
        <w:noBreakHyphen/>
      </w:r>
      <w:r w:rsidRPr="00E45630">
        <w:t>effective compared with the current situation where no 18-month DTPa booster is available.</w:t>
      </w:r>
      <w:r w:rsidRPr="00E45630">
        <w:rPr>
          <w:szCs w:val="22"/>
        </w:rPr>
        <w:t xml:space="preserve"> </w:t>
      </w:r>
    </w:p>
    <w:p w:rsidR="003B6059" w:rsidRDefault="003B6059" w:rsidP="003B6059">
      <w:pPr>
        <w:pStyle w:val="PBACHeading1"/>
        <w:numPr>
          <w:ilvl w:val="0"/>
          <w:numId w:val="0"/>
        </w:numPr>
        <w:ind w:left="720" w:hanging="720"/>
      </w:pPr>
    </w:p>
    <w:p w:rsidR="003B6059" w:rsidRPr="003B6059" w:rsidRDefault="003B6059" w:rsidP="003B6059">
      <w:pPr>
        <w:pStyle w:val="PBACHeading1"/>
        <w:numPr>
          <w:ilvl w:val="0"/>
          <w:numId w:val="0"/>
        </w:numPr>
        <w:ind w:left="720" w:hanging="11"/>
        <w:rPr>
          <w:b w:val="0"/>
          <w:i/>
        </w:rPr>
      </w:pPr>
      <w:r w:rsidRPr="00E4716A">
        <w:rPr>
          <w:b w:val="0"/>
          <w:i/>
        </w:rPr>
        <w:t>For more detail on PBAC’s view, see section 7 “PBAC outcome”</w:t>
      </w:r>
    </w:p>
    <w:p w:rsidR="005F6968" w:rsidRDefault="005F6968" w:rsidP="00382220"/>
    <w:p w:rsidR="00201D16" w:rsidRPr="004F4D58" w:rsidRDefault="00201D16" w:rsidP="00382220"/>
    <w:p w:rsidR="00382220" w:rsidRPr="00E45630" w:rsidRDefault="00382220" w:rsidP="00382220">
      <w:pPr>
        <w:pStyle w:val="PBACHeading1"/>
      </w:pPr>
      <w:bookmarkStart w:id="9" w:name="_Toc398033191"/>
      <w:r w:rsidRPr="00E45630">
        <w:t>Background</w:t>
      </w:r>
      <w:bookmarkEnd w:id="9"/>
    </w:p>
    <w:p w:rsidR="00382220" w:rsidRPr="00E45630" w:rsidRDefault="00382220" w:rsidP="00382220">
      <w:pPr>
        <w:rPr>
          <w:szCs w:val="22"/>
        </w:rPr>
      </w:pPr>
    </w:p>
    <w:p w:rsidR="00382220" w:rsidRPr="00E45630" w:rsidRDefault="00382220" w:rsidP="00081EEC">
      <w:pPr>
        <w:pStyle w:val="ListParagraph"/>
        <w:widowControl/>
        <w:numPr>
          <w:ilvl w:val="1"/>
          <w:numId w:val="3"/>
        </w:numPr>
      </w:pPr>
      <w:r w:rsidRPr="00E45630">
        <w:rPr>
          <w:szCs w:val="22"/>
        </w:rPr>
        <w:t xml:space="preserve">DTPa was approved by </w:t>
      </w:r>
      <w:r w:rsidR="004040B3" w:rsidRPr="00E45630">
        <w:rPr>
          <w:szCs w:val="22"/>
        </w:rPr>
        <w:t xml:space="preserve">the </w:t>
      </w:r>
      <w:r w:rsidRPr="00E45630">
        <w:rPr>
          <w:szCs w:val="22"/>
        </w:rPr>
        <w:t>TGA in 1996. Until 2003, the treatment schedule for DTPa included a booster dose at approximately 18</w:t>
      </w:r>
      <w:r w:rsidR="00F411B5" w:rsidRPr="00E45630">
        <w:rPr>
          <w:szCs w:val="22"/>
        </w:rPr>
        <w:t> </w:t>
      </w:r>
      <w:r w:rsidRPr="00E45630">
        <w:rPr>
          <w:szCs w:val="22"/>
        </w:rPr>
        <w:t>months. In 2003, with the introduction of the booster dose for adolescents (15</w:t>
      </w:r>
      <w:r w:rsidR="00F411B5" w:rsidRPr="00E45630">
        <w:rPr>
          <w:szCs w:val="22"/>
        </w:rPr>
        <w:noBreakHyphen/>
      </w:r>
      <w:r w:rsidRPr="00E45630">
        <w:rPr>
          <w:szCs w:val="22"/>
        </w:rPr>
        <w:t>17</w:t>
      </w:r>
      <w:r w:rsidR="00F411B5" w:rsidRPr="00E45630">
        <w:rPr>
          <w:szCs w:val="22"/>
        </w:rPr>
        <w:t> </w:t>
      </w:r>
      <w:r w:rsidRPr="00E45630">
        <w:rPr>
          <w:szCs w:val="22"/>
        </w:rPr>
        <w:t>year</w:t>
      </w:r>
      <w:r w:rsidR="00F411B5" w:rsidRPr="00E45630">
        <w:rPr>
          <w:szCs w:val="22"/>
        </w:rPr>
        <w:t>s</w:t>
      </w:r>
      <w:r w:rsidR="000529B6">
        <w:rPr>
          <w:szCs w:val="22"/>
        </w:rPr>
        <w:t>), the 18-month</w:t>
      </w:r>
      <w:r w:rsidRPr="00E45630">
        <w:rPr>
          <w:szCs w:val="22"/>
        </w:rPr>
        <w:t xml:space="preserve"> booster dose was removed. </w:t>
      </w:r>
      <w:r w:rsidRPr="00E45630">
        <w:t>The submission indicates that it voluntarily updated the Australian Product Information (PI) to exclude the 18</w:t>
      </w:r>
      <w:r w:rsidR="00F411B5" w:rsidRPr="00E45630">
        <w:noBreakHyphen/>
      </w:r>
      <w:r w:rsidRPr="00E45630">
        <w:t xml:space="preserve">month dose to avoid confusion by prescribers. The submission states that it intends to update the PI, and it does not anticipate any delays as a result of the update of the PI. </w:t>
      </w:r>
    </w:p>
    <w:p w:rsidR="00382220" w:rsidRPr="00E45630" w:rsidRDefault="00382220" w:rsidP="00382220">
      <w:pPr>
        <w:pStyle w:val="ListParagraph"/>
        <w:widowControl/>
      </w:pPr>
    </w:p>
    <w:p w:rsidR="00382220" w:rsidRPr="00E45630" w:rsidRDefault="00F47569" w:rsidP="00F47569">
      <w:pPr>
        <w:pStyle w:val="ListParagraph"/>
        <w:widowControl/>
        <w:numPr>
          <w:ilvl w:val="1"/>
          <w:numId w:val="3"/>
        </w:numPr>
        <w:spacing w:before="240"/>
        <w:rPr>
          <w:i/>
        </w:rPr>
      </w:pPr>
      <w:r>
        <w:t xml:space="preserve">The </w:t>
      </w:r>
      <w:r w:rsidRPr="00F47569">
        <w:t xml:space="preserve">Australian Technical Advisory Group on Immunisation </w:t>
      </w:r>
      <w:r>
        <w:softHyphen/>
        <w:t>(</w:t>
      </w:r>
      <w:r w:rsidR="00382220" w:rsidRPr="00E45630">
        <w:t>ATAGI</w:t>
      </w:r>
      <w:r>
        <w:t>)</w:t>
      </w:r>
      <w:r w:rsidR="00382220" w:rsidRPr="00E45630">
        <w:t xml:space="preserve"> provided pre-PBAC submission </w:t>
      </w:r>
      <w:r w:rsidR="00C9133A" w:rsidRPr="00E45630">
        <w:t xml:space="preserve">and </w:t>
      </w:r>
      <w:r w:rsidR="005670F8">
        <w:t>p</w:t>
      </w:r>
      <w:r w:rsidR="00C9133A" w:rsidRPr="00E45630">
        <w:t xml:space="preserve">ost-PBAC submission </w:t>
      </w:r>
      <w:r w:rsidR="00382220" w:rsidRPr="00E45630">
        <w:t>advice which indicate</w:t>
      </w:r>
      <w:r w:rsidR="006B060D">
        <w:t>d</w:t>
      </w:r>
      <w:r w:rsidR="00382220" w:rsidRPr="00E45630">
        <w:t xml:space="preserve"> that it endorses the re-instatement of a booster dose of DTPa vaccine onto the NIP schedule</w:t>
      </w:r>
      <w:r w:rsidR="00817CE8" w:rsidRPr="00E45630">
        <w:t>.</w:t>
      </w:r>
      <w:r w:rsidR="00382220" w:rsidRPr="00E45630">
        <w:t xml:space="preserve"> </w:t>
      </w:r>
      <w:r w:rsidR="00AB429D" w:rsidRPr="00E45630">
        <w:t xml:space="preserve">ATAGI expects that inclusion of the </w:t>
      </w:r>
      <w:r w:rsidR="00431D2E" w:rsidRPr="00E45630">
        <w:t>booster at the 18-</w:t>
      </w:r>
      <w:r w:rsidR="00485FCB" w:rsidRPr="00E45630">
        <w:t xml:space="preserve">month point with the </w:t>
      </w:r>
      <w:r w:rsidR="002A097C" w:rsidRPr="00E45630">
        <w:t>measles, mumps, rubella, and varicella (MMRV)</w:t>
      </w:r>
      <w:r w:rsidR="002A097C">
        <w:t xml:space="preserve"> </w:t>
      </w:r>
      <w:r w:rsidR="00485FCB" w:rsidRPr="00E45630">
        <w:t>vaccine should be readily implementable.</w:t>
      </w:r>
    </w:p>
    <w:p w:rsidR="001E5888" w:rsidRPr="00E45630" w:rsidRDefault="001E5888" w:rsidP="00365717">
      <w:pPr>
        <w:pStyle w:val="ListParagraph"/>
        <w:widowControl/>
        <w:rPr>
          <w:i/>
        </w:rPr>
      </w:pPr>
    </w:p>
    <w:p w:rsidR="00382220" w:rsidRPr="00E45630" w:rsidRDefault="00382220" w:rsidP="00081EEC">
      <w:pPr>
        <w:pStyle w:val="ListParagraph"/>
        <w:widowControl/>
        <w:numPr>
          <w:ilvl w:val="1"/>
          <w:numId w:val="3"/>
        </w:numPr>
      </w:pPr>
      <w:r w:rsidRPr="00E45630">
        <w:rPr>
          <w:color w:val="000000" w:themeColor="text1"/>
          <w:szCs w:val="22"/>
        </w:rPr>
        <w:t xml:space="preserve">The DTPa </w:t>
      </w:r>
      <w:r w:rsidR="00C45C30" w:rsidRPr="00E45630">
        <w:rPr>
          <w:color w:val="000000" w:themeColor="text1"/>
          <w:szCs w:val="22"/>
        </w:rPr>
        <w:t>18-month booster</w:t>
      </w:r>
      <w:r w:rsidRPr="00E45630">
        <w:rPr>
          <w:color w:val="000000" w:themeColor="text1"/>
          <w:szCs w:val="22"/>
        </w:rPr>
        <w:t xml:space="preserve"> dose </w:t>
      </w:r>
      <w:r w:rsidR="006B060D">
        <w:rPr>
          <w:color w:val="000000" w:themeColor="text1"/>
          <w:szCs w:val="22"/>
        </w:rPr>
        <w:t xml:space="preserve">was not previously </w:t>
      </w:r>
      <w:r w:rsidRPr="00E45630">
        <w:rPr>
          <w:color w:val="000000" w:themeColor="text1"/>
          <w:szCs w:val="22"/>
        </w:rPr>
        <w:t xml:space="preserve">considered by </w:t>
      </w:r>
      <w:r w:rsidR="006B060D">
        <w:rPr>
          <w:color w:val="000000" w:themeColor="text1"/>
          <w:szCs w:val="22"/>
        </w:rPr>
        <w:t xml:space="preserve">the </w:t>
      </w:r>
      <w:r w:rsidRPr="00E45630">
        <w:rPr>
          <w:color w:val="000000" w:themeColor="text1"/>
          <w:szCs w:val="22"/>
        </w:rPr>
        <w:t>PBAC.</w:t>
      </w:r>
    </w:p>
    <w:p w:rsidR="00382220" w:rsidRPr="00E45630" w:rsidRDefault="00382220" w:rsidP="00382220"/>
    <w:p w:rsidR="001D6EF7" w:rsidRPr="003B6059" w:rsidRDefault="001D6EF7" w:rsidP="001D6EF7">
      <w:pPr>
        <w:pStyle w:val="PBACHeading1"/>
        <w:numPr>
          <w:ilvl w:val="0"/>
          <w:numId w:val="0"/>
        </w:numPr>
        <w:ind w:left="720" w:hanging="11"/>
        <w:rPr>
          <w:b w:val="0"/>
          <w:i/>
        </w:rPr>
      </w:pPr>
      <w:r w:rsidRPr="00E4716A">
        <w:rPr>
          <w:b w:val="0"/>
          <w:i/>
        </w:rPr>
        <w:t>For more detail on PBAC’s view, see section 7 “PBAC outcome”</w:t>
      </w:r>
    </w:p>
    <w:p w:rsidR="005F6968" w:rsidRDefault="005F6968" w:rsidP="00382220"/>
    <w:p w:rsidR="00201D16" w:rsidRPr="00E45630" w:rsidRDefault="00201D16" w:rsidP="00382220"/>
    <w:p w:rsidR="00382220" w:rsidRPr="00E45630" w:rsidRDefault="00382220" w:rsidP="00382220">
      <w:pPr>
        <w:pStyle w:val="PBACHeading1"/>
      </w:pPr>
      <w:bookmarkStart w:id="10" w:name="_Toc398033192"/>
      <w:r w:rsidRPr="00E45630">
        <w:t>Clinical place for the proposed therapy</w:t>
      </w:r>
      <w:bookmarkEnd w:id="10"/>
    </w:p>
    <w:p w:rsidR="00382220" w:rsidRPr="00E45630" w:rsidRDefault="00382220" w:rsidP="00382220">
      <w:pPr>
        <w:rPr>
          <w:szCs w:val="22"/>
        </w:rPr>
      </w:pPr>
    </w:p>
    <w:p w:rsidR="00382220" w:rsidRPr="00E45630" w:rsidRDefault="00382220" w:rsidP="00081EEC">
      <w:pPr>
        <w:pStyle w:val="ListParagraph"/>
        <w:widowControl/>
        <w:numPr>
          <w:ilvl w:val="1"/>
          <w:numId w:val="3"/>
        </w:numPr>
        <w:rPr>
          <w:szCs w:val="22"/>
        </w:rPr>
      </w:pPr>
      <w:r w:rsidRPr="00E45630">
        <w:t xml:space="preserve">Pertussis is a highly infectious disease of the upper respiratory tract, caused by the bacterial organism Bordetella pertussis. Currently, there are </w:t>
      </w:r>
      <w:r w:rsidR="001D6EF7">
        <w:t>5</w:t>
      </w:r>
      <w:r w:rsidRPr="00E45630">
        <w:t xml:space="preserve"> scheduled childhood doses of pertussis vaccine. The first three occur in infancy at </w:t>
      </w:r>
      <w:r w:rsidR="00111053">
        <w:t xml:space="preserve">6 weeks to </w:t>
      </w:r>
      <w:r w:rsidRPr="00E45630">
        <w:t>2 months, 4 months, and 6 months. Two “booster” shots are given at 4 years</w:t>
      </w:r>
      <w:r w:rsidR="00465CB1" w:rsidRPr="00E45630">
        <w:t xml:space="preserve"> </w:t>
      </w:r>
      <w:r w:rsidR="00465CB1" w:rsidRPr="001D6EF7">
        <w:t>(or earlier at 3.5 years)</w:t>
      </w:r>
      <w:r w:rsidRPr="001D6EF7">
        <w:t xml:space="preserve"> </w:t>
      </w:r>
      <w:r w:rsidRPr="00E45630">
        <w:t>and 15 years.</w:t>
      </w:r>
      <w:r w:rsidR="00465CB1" w:rsidRPr="00E45630">
        <w:t xml:space="preserve"> </w:t>
      </w:r>
    </w:p>
    <w:p w:rsidR="00382220" w:rsidRPr="00E45630" w:rsidRDefault="00382220" w:rsidP="00382220">
      <w:pPr>
        <w:widowControl/>
        <w:rPr>
          <w:szCs w:val="22"/>
        </w:rPr>
      </w:pPr>
    </w:p>
    <w:p w:rsidR="00382220" w:rsidRPr="00E45630" w:rsidRDefault="00382220" w:rsidP="00081EEC">
      <w:pPr>
        <w:pStyle w:val="ListParagraph"/>
        <w:widowControl/>
        <w:numPr>
          <w:ilvl w:val="1"/>
          <w:numId w:val="3"/>
        </w:numPr>
      </w:pPr>
      <w:r w:rsidRPr="00E45630">
        <w:t>The submission propose</w:t>
      </w:r>
      <w:r w:rsidR="006B060D">
        <w:t>d</w:t>
      </w:r>
      <w:r w:rsidRPr="00E45630">
        <w:t xml:space="preserve"> an additional booster of pertussis vaccine at 18 months. The schedule would otherwise be unaltered.</w:t>
      </w:r>
    </w:p>
    <w:p w:rsidR="00C9133A" w:rsidRPr="00E45630" w:rsidRDefault="00C9133A" w:rsidP="00C9133A">
      <w:pPr>
        <w:pStyle w:val="ListParagraph"/>
      </w:pPr>
    </w:p>
    <w:p w:rsidR="00C9133A" w:rsidRPr="00E45630" w:rsidRDefault="002777BD" w:rsidP="00081EEC">
      <w:pPr>
        <w:pStyle w:val="ListParagraph"/>
        <w:widowControl/>
        <w:numPr>
          <w:ilvl w:val="1"/>
          <w:numId w:val="3"/>
        </w:numPr>
      </w:pPr>
      <w:r w:rsidRPr="00E45630">
        <w:t xml:space="preserve">The ESC noted that </w:t>
      </w:r>
      <w:r w:rsidR="00C9133A" w:rsidRPr="00E45630">
        <w:t xml:space="preserve">ATAGI is of the opinion that consideration of the introduction of a </w:t>
      </w:r>
      <w:r w:rsidR="003E0A19">
        <w:t>DTPa booster dose at 18 months o</w:t>
      </w:r>
      <w:r w:rsidR="00C9133A" w:rsidRPr="00E45630">
        <w:t>nto the NIP is necessary from a public health perspective, as an additional measure to improve control of pertussis in Australia. ATAGI noted that while pertussis does not cause severe disease in the majority of the targeted age group (18 months to 4 years of age), this cohort has an important role in overall disease transmission, in particu</w:t>
      </w:r>
      <w:r w:rsidR="00AA3A34">
        <w:t xml:space="preserve">lar to vulnerable young infants. </w:t>
      </w:r>
    </w:p>
    <w:p w:rsidR="00650D65" w:rsidRPr="00E45630" w:rsidRDefault="00650D65" w:rsidP="009115FD">
      <w:pPr>
        <w:pStyle w:val="ListParagraph"/>
      </w:pPr>
    </w:p>
    <w:p w:rsidR="00C9133A" w:rsidRPr="00E45630" w:rsidRDefault="00650D65" w:rsidP="00081EEC">
      <w:pPr>
        <w:pStyle w:val="ListParagraph"/>
        <w:widowControl/>
        <w:numPr>
          <w:ilvl w:val="1"/>
          <w:numId w:val="3"/>
        </w:numPr>
      </w:pPr>
      <w:r w:rsidRPr="00E45630">
        <w:t xml:space="preserve">The </w:t>
      </w:r>
      <w:r w:rsidR="00BE4B3C">
        <w:t>Australian I</w:t>
      </w:r>
      <w:r w:rsidRPr="00E45630">
        <w:t xml:space="preserve">mmunisation </w:t>
      </w:r>
      <w:r w:rsidR="00BE4B3C">
        <w:t>H</w:t>
      </w:r>
      <w:r w:rsidRPr="00E45630">
        <w:t xml:space="preserve">andbook </w:t>
      </w:r>
      <w:r w:rsidR="00BE4B3C">
        <w:t xml:space="preserve">(10th Edition 2013) (the Handbook) </w:t>
      </w:r>
      <w:r w:rsidRPr="00E45630">
        <w:t>makes the following recommendations about the 18</w:t>
      </w:r>
      <w:r w:rsidR="003E0A19">
        <w:noBreakHyphen/>
      </w:r>
      <w:r w:rsidRPr="00E45630">
        <w:t>month booster: “</w:t>
      </w:r>
      <w:r w:rsidR="00287784" w:rsidRPr="00E45630">
        <w:t xml:space="preserve">Parents who wish to minimise the likelihood of their child developing pertussis in the 2nd and 3rd years of life (prior to when the booster dose is due at 4 years of age) should be advised that </w:t>
      </w:r>
      <w:r w:rsidR="003E0A19" w:rsidRPr="003E0A19">
        <w:t>an additional dose of pertussis</w:t>
      </w:r>
      <w:r w:rsidR="003E0A19" w:rsidRPr="003E0A19">
        <w:noBreakHyphen/>
      </w:r>
      <w:r w:rsidR="00287784" w:rsidRPr="003E0A19">
        <w:t>containing vaccine can be given in the 2nd year of life (e.g. at 18 months of age). This should also be considered when</w:t>
      </w:r>
      <w:r w:rsidR="001C5766" w:rsidRPr="003E0A19">
        <w:t xml:space="preserve"> the child’s mother received a D</w:t>
      </w:r>
      <w:r w:rsidR="00B72E37" w:rsidRPr="003E0A19">
        <w:t>TP</w:t>
      </w:r>
      <w:r w:rsidR="00287784" w:rsidRPr="003E0A19">
        <w:t>a vaccine during pregnancy, because of the potential for lesser antibody responses following the 3rd infant pertussis dose at 6 months of age</w:t>
      </w:r>
      <w:r w:rsidR="003E0A19">
        <w:t>.</w:t>
      </w:r>
      <w:r w:rsidR="00287784" w:rsidRPr="003E0A19">
        <w:t xml:space="preserve"> It should be noted that a dose at this age is associated with an increased likelihood of a local adverse event</w:t>
      </w:r>
      <w:r w:rsidR="00287784" w:rsidRPr="00BE4B3C">
        <w:t>,</w:t>
      </w:r>
      <w:r w:rsidR="00BE4B3C" w:rsidRPr="00BE4B3C">
        <w:t xml:space="preserve"> </w:t>
      </w:r>
      <w:r w:rsidR="00287784" w:rsidRPr="00E45630">
        <w:t>including extensive limb swelling, in a small percentage of children</w:t>
      </w:r>
      <w:r w:rsidR="003E0A19">
        <w:t>.</w:t>
      </w:r>
      <w:r w:rsidR="00287784" w:rsidRPr="00E45630">
        <w:t xml:space="preserve"> DTPa (without other antigens) is currently unavailable in Australia; if an additional dose of a pertussis-containing vaccine is given in the 2nd year of life, any brand of DTPa-IPV may be used. Under these circumstances, the next dose of a DTPa-containing vaccine should not be given until 4 years of age. The additional dose in the 2nd year of life is not included on the NIP schedule.</w:t>
      </w:r>
      <w:r w:rsidRPr="00E45630">
        <w:t>”</w:t>
      </w:r>
    </w:p>
    <w:p w:rsidR="005F6968" w:rsidRDefault="005F6968" w:rsidP="00382220">
      <w:pPr>
        <w:pStyle w:val="Header"/>
        <w:rPr>
          <w:szCs w:val="22"/>
        </w:rPr>
      </w:pPr>
    </w:p>
    <w:p w:rsidR="00B72E37" w:rsidRPr="00E45630" w:rsidRDefault="00B72E37" w:rsidP="00B72E37">
      <w:pPr>
        <w:pStyle w:val="PBACHeading1"/>
        <w:numPr>
          <w:ilvl w:val="0"/>
          <w:numId w:val="0"/>
        </w:numPr>
        <w:ind w:left="720" w:hanging="11"/>
        <w:rPr>
          <w:b w:val="0"/>
          <w:i/>
        </w:rPr>
      </w:pPr>
      <w:r w:rsidRPr="00E4716A">
        <w:rPr>
          <w:b w:val="0"/>
          <w:i/>
        </w:rPr>
        <w:t>For more detail on PBAC’s view, see section 7 “PBAC outcome”</w:t>
      </w:r>
    </w:p>
    <w:p w:rsidR="00B72E37" w:rsidRDefault="00B72E37" w:rsidP="00382220">
      <w:pPr>
        <w:pStyle w:val="Header"/>
        <w:rPr>
          <w:szCs w:val="22"/>
        </w:rPr>
      </w:pPr>
    </w:p>
    <w:p w:rsidR="00201D16" w:rsidRPr="00E45630" w:rsidRDefault="00201D16" w:rsidP="00382220">
      <w:pPr>
        <w:pStyle w:val="Header"/>
        <w:rPr>
          <w:szCs w:val="22"/>
        </w:rPr>
      </w:pPr>
    </w:p>
    <w:p w:rsidR="00382220" w:rsidRPr="00E45630" w:rsidRDefault="00382220" w:rsidP="004F4D58">
      <w:pPr>
        <w:pStyle w:val="PBACHeading1"/>
      </w:pPr>
      <w:r w:rsidRPr="00E45630">
        <w:t>Comparator</w:t>
      </w:r>
    </w:p>
    <w:p w:rsidR="00382220" w:rsidRPr="00E45630" w:rsidRDefault="00382220" w:rsidP="004F4D58">
      <w:pPr>
        <w:pStyle w:val="BodyText"/>
      </w:pPr>
    </w:p>
    <w:p w:rsidR="00817CE8" w:rsidRPr="00E45630" w:rsidRDefault="00382220" w:rsidP="00081EEC">
      <w:pPr>
        <w:pStyle w:val="ListParagraph"/>
        <w:widowControl/>
        <w:numPr>
          <w:ilvl w:val="1"/>
          <w:numId w:val="3"/>
        </w:numPr>
        <w:rPr>
          <w:szCs w:val="22"/>
        </w:rPr>
      </w:pPr>
      <w:r w:rsidRPr="00E45630">
        <w:t>No booster at 18 months</w:t>
      </w:r>
      <w:r w:rsidR="00FB6AC1" w:rsidRPr="00E45630">
        <w:t>,</w:t>
      </w:r>
      <w:r w:rsidR="002D6382" w:rsidRPr="00E45630">
        <w:t xml:space="preserve"> i.e. current vaccination schedule</w:t>
      </w:r>
      <w:r w:rsidR="00203397" w:rsidRPr="00E45630">
        <w:t xml:space="preserve">. This consists of a primary series of vaccine shots at </w:t>
      </w:r>
      <w:r w:rsidR="002B19B3" w:rsidRPr="00E45630">
        <w:t>2, 4 and 6</w:t>
      </w:r>
      <w:r w:rsidR="00203397" w:rsidRPr="00E45630">
        <w:t xml:space="preserve"> months, followed by booster doses at </w:t>
      </w:r>
      <w:r w:rsidR="002B19B3" w:rsidRPr="00E45630">
        <w:t>4 and 15</w:t>
      </w:r>
      <w:r w:rsidR="008C51B1" w:rsidRPr="00E45630">
        <w:t> </w:t>
      </w:r>
      <w:r w:rsidR="00203397" w:rsidRPr="00E45630">
        <w:t>years.</w:t>
      </w:r>
      <w:r w:rsidR="002B19B3" w:rsidRPr="00E45630">
        <w:t xml:space="preserve"> </w:t>
      </w:r>
      <w:r w:rsidR="00A734D5" w:rsidRPr="00E45630">
        <w:t xml:space="preserve">The ESC considered this </w:t>
      </w:r>
      <w:r w:rsidR="00680DFE" w:rsidRPr="00E45630">
        <w:t>to be</w:t>
      </w:r>
      <w:r w:rsidR="00A734D5" w:rsidRPr="00E45630">
        <w:t xml:space="preserve"> the </w:t>
      </w:r>
      <w:r w:rsidR="002B19B3" w:rsidRPr="00E45630">
        <w:t>appropriate</w:t>
      </w:r>
      <w:r w:rsidR="00A734D5" w:rsidRPr="00E45630">
        <w:t xml:space="preserve"> comparator</w:t>
      </w:r>
      <w:r w:rsidR="002B19B3" w:rsidRPr="00E45630">
        <w:t>.</w:t>
      </w:r>
    </w:p>
    <w:p w:rsidR="00817CE8" w:rsidRPr="00E45630" w:rsidRDefault="00817CE8" w:rsidP="00817CE8">
      <w:pPr>
        <w:pStyle w:val="ListParagraph"/>
        <w:widowControl/>
        <w:rPr>
          <w:szCs w:val="22"/>
        </w:rPr>
      </w:pPr>
    </w:p>
    <w:p w:rsidR="003B6059" w:rsidRPr="00E45630" w:rsidRDefault="003B6059" w:rsidP="003B6059">
      <w:pPr>
        <w:pStyle w:val="PBACHeading1"/>
        <w:numPr>
          <w:ilvl w:val="0"/>
          <w:numId w:val="0"/>
        </w:numPr>
        <w:ind w:left="720" w:hanging="11"/>
        <w:rPr>
          <w:b w:val="0"/>
          <w:i/>
        </w:rPr>
      </w:pPr>
      <w:r w:rsidRPr="00E4716A">
        <w:rPr>
          <w:b w:val="0"/>
          <w:i/>
        </w:rPr>
        <w:t>For more detail on PBAC’s view, see section 7 “PBAC outcome”</w:t>
      </w:r>
    </w:p>
    <w:p w:rsidR="005F6968" w:rsidRDefault="005F6968" w:rsidP="00B72E37">
      <w:pPr>
        <w:widowControl/>
        <w:rPr>
          <w:szCs w:val="22"/>
        </w:rPr>
      </w:pPr>
    </w:p>
    <w:p w:rsidR="00201D16" w:rsidRPr="00B72E37" w:rsidRDefault="00201D16" w:rsidP="00B72E37">
      <w:pPr>
        <w:widowControl/>
        <w:rPr>
          <w:szCs w:val="22"/>
        </w:rPr>
      </w:pPr>
    </w:p>
    <w:p w:rsidR="00382220" w:rsidRPr="00E172A9" w:rsidRDefault="00201D16" w:rsidP="00201D16">
      <w:pPr>
        <w:pStyle w:val="PBACHeading1"/>
      </w:pPr>
      <w:bookmarkStart w:id="11" w:name="_Toc398033193"/>
      <w:r>
        <w:t>C</w:t>
      </w:r>
      <w:r w:rsidR="00382220" w:rsidRPr="00E172A9">
        <w:t>onsideration of the evidence</w:t>
      </w:r>
      <w:bookmarkEnd w:id="11"/>
    </w:p>
    <w:p w:rsidR="00382220" w:rsidRPr="00E172A9" w:rsidRDefault="00382220" w:rsidP="00201D16"/>
    <w:p w:rsidR="003B6059" w:rsidRPr="00201D16" w:rsidRDefault="003B6059" w:rsidP="00201D16">
      <w:pPr>
        <w:rPr>
          <w:b/>
        </w:rPr>
      </w:pPr>
      <w:bookmarkStart w:id="12" w:name="_Toc398033194"/>
      <w:r w:rsidRPr="00201D16">
        <w:rPr>
          <w:b/>
        </w:rPr>
        <w:t>Sponsor hearing</w:t>
      </w:r>
    </w:p>
    <w:p w:rsidR="003B6059" w:rsidRPr="00E172A9" w:rsidRDefault="003B6059" w:rsidP="003B6059"/>
    <w:p w:rsidR="003B6059" w:rsidRPr="00E172A9" w:rsidRDefault="003B6059" w:rsidP="00081EEC">
      <w:pPr>
        <w:pStyle w:val="ListParagraph"/>
        <w:widowControl/>
        <w:numPr>
          <w:ilvl w:val="1"/>
          <w:numId w:val="3"/>
        </w:numPr>
      </w:pPr>
      <w:r w:rsidRPr="00E172A9">
        <w:lastRenderedPageBreak/>
        <w:t>The</w:t>
      </w:r>
      <w:r w:rsidR="00574B9E" w:rsidRPr="00E172A9">
        <w:t>re was no hearing for this item</w:t>
      </w:r>
      <w:r w:rsidRPr="00E172A9">
        <w:t>.</w:t>
      </w:r>
    </w:p>
    <w:p w:rsidR="003B6059" w:rsidRPr="00E172A9" w:rsidRDefault="003B6059" w:rsidP="003B6059"/>
    <w:p w:rsidR="003B6059" w:rsidRPr="00201D16" w:rsidRDefault="003B6059" w:rsidP="00201D16">
      <w:pPr>
        <w:rPr>
          <w:b/>
        </w:rPr>
      </w:pPr>
      <w:r w:rsidRPr="00201D16">
        <w:rPr>
          <w:b/>
        </w:rPr>
        <w:t>Consumer comments</w:t>
      </w:r>
    </w:p>
    <w:p w:rsidR="003B6059" w:rsidRPr="00E172A9" w:rsidRDefault="003B6059" w:rsidP="00201D16"/>
    <w:p w:rsidR="003B6059" w:rsidRPr="00E172A9" w:rsidRDefault="003B6059" w:rsidP="00081EEC">
      <w:pPr>
        <w:pStyle w:val="ListParagraph"/>
        <w:widowControl/>
        <w:numPr>
          <w:ilvl w:val="1"/>
          <w:numId w:val="3"/>
        </w:numPr>
      </w:pPr>
      <w:r w:rsidRPr="00E172A9">
        <w:t>The PBAC noted that no consumer comments were received for this item.</w:t>
      </w:r>
    </w:p>
    <w:p w:rsidR="003B6059" w:rsidRPr="00E45630" w:rsidRDefault="003B6059" w:rsidP="003B6059"/>
    <w:p w:rsidR="00382220" w:rsidRPr="00201D16" w:rsidRDefault="00382220" w:rsidP="00201D16">
      <w:pPr>
        <w:rPr>
          <w:b/>
        </w:rPr>
      </w:pPr>
      <w:r w:rsidRPr="00201D16">
        <w:rPr>
          <w:b/>
        </w:rPr>
        <w:t>Clinical trials</w:t>
      </w:r>
      <w:bookmarkEnd w:id="12"/>
    </w:p>
    <w:p w:rsidR="00382220" w:rsidRPr="00E45630" w:rsidRDefault="00382220" w:rsidP="00201D16"/>
    <w:p w:rsidR="00382220" w:rsidRPr="00E45630" w:rsidRDefault="00382220" w:rsidP="00081EEC">
      <w:pPr>
        <w:pStyle w:val="ListParagraph"/>
        <w:widowControl/>
        <w:numPr>
          <w:ilvl w:val="1"/>
          <w:numId w:val="3"/>
        </w:numPr>
        <w:rPr>
          <w:szCs w:val="22"/>
        </w:rPr>
      </w:pPr>
      <w:r w:rsidRPr="00E45630">
        <w:t xml:space="preserve">The submission </w:t>
      </w:r>
      <w:r w:rsidR="006B060D">
        <w:t>wa</w:t>
      </w:r>
      <w:r w:rsidRPr="00E45630">
        <w:t>s based on seven vaccine effectiveness studies and six trials investigating seroresponse</w:t>
      </w:r>
      <w:r w:rsidRPr="00E45630">
        <w:rPr>
          <w:color w:val="3366FF"/>
        </w:rPr>
        <w:t>.</w:t>
      </w:r>
    </w:p>
    <w:p w:rsidR="00382220" w:rsidRPr="00E45630" w:rsidRDefault="00382220" w:rsidP="00382220">
      <w:pPr>
        <w:widowControl/>
        <w:rPr>
          <w:szCs w:val="22"/>
        </w:rPr>
      </w:pPr>
    </w:p>
    <w:p w:rsidR="00382220" w:rsidRDefault="00382220" w:rsidP="00081EEC">
      <w:pPr>
        <w:pStyle w:val="ListParagraph"/>
        <w:widowControl/>
        <w:numPr>
          <w:ilvl w:val="1"/>
          <w:numId w:val="3"/>
        </w:numPr>
        <w:rPr>
          <w:szCs w:val="22"/>
        </w:rPr>
      </w:pPr>
      <w:r w:rsidRPr="00E45630">
        <w:rPr>
          <w:szCs w:val="22"/>
        </w:rPr>
        <w:t xml:space="preserve">Details of the trials presented in the submission are provided </w:t>
      </w:r>
      <w:r w:rsidR="00C25591">
        <w:rPr>
          <w:szCs w:val="22"/>
        </w:rPr>
        <w:t>in the following table</w:t>
      </w:r>
      <w:r w:rsidRPr="00E45630">
        <w:rPr>
          <w:szCs w:val="22"/>
        </w:rPr>
        <w:t>.</w:t>
      </w:r>
    </w:p>
    <w:p w:rsidR="00201D16" w:rsidRPr="00201D16" w:rsidRDefault="00201D16" w:rsidP="00201D16">
      <w:pPr>
        <w:pStyle w:val="ListParagraph"/>
        <w:rPr>
          <w:szCs w:val="22"/>
        </w:rPr>
      </w:pPr>
    </w:p>
    <w:p w:rsidR="00382220" w:rsidRPr="00E45630" w:rsidRDefault="00382220" w:rsidP="00382220">
      <w:pPr>
        <w:widowControl/>
        <w:ind w:left="720"/>
        <w:rPr>
          <w:szCs w:val="22"/>
        </w:rPr>
      </w:pPr>
      <w:r w:rsidRPr="00E45630">
        <w:rPr>
          <w:rStyle w:val="CommentReference"/>
        </w:rPr>
        <w:t>Trials and associated reports presented in the submission</w:t>
      </w:r>
    </w:p>
    <w:tbl>
      <w:tblPr>
        <w:tblW w:w="461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7"/>
        <w:gridCol w:w="1973"/>
        <w:gridCol w:w="863"/>
        <w:gridCol w:w="1979"/>
        <w:gridCol w:w="856"/>
        <w:gridCol w:w="1842"/>
      </w:tblGrid>
      <w:tr w:rsidR="00382220" w:rsidRPr="00E45630" w:rsidTr="00201D16">
        <w:trPr>
          <w:cantSplit/>
          <w:tblHeader/>
        </w:trPr>
        <w:tc>
          <w:tcPr>
            <w:tcW w:w="517" w:type="pct"/>
            <w:tcBorders>
              <w:bottom w:val="single" w:sz="4" w:space="0" w:color="auto"/>
            </w:tcBorders>
          </w:tcPr>
          <w:p w:rsidR="00382220" w:rsidRPr="00E45630" w:rsidRDefault="00382220" w:rsidP="008A68D7">
            <w:pPr>
              <w:pStyle w:val="TableText1"/>
              <w:rPr>
                <w:b/>
                <w:szCs w:val="20"/>
              </w:rPr>
            </w:pPr>
            <w:r w:rsidRPr="00E45630">
              <w:rPr>
                <w:b/>
                <w:szCs w:val="20"/>
              </w:rPr>
              <w:t>Trial ID</w:t>
            </w:r>
          </w:p>
        </w:tc>
        <w:tc>
          <w:tcPr>
            <w:tcW w:w="3384" w:type="pct"/>
            <w:gridSpan w:val="4"/>
            <w:tcBorders>
              <w:bottom w:val="single" w:sz="4" w:space="0" w:color="auto"/>
            </w:tcBorders>
          </w:tcPr>
          <w:p w:rsidR="00382220" w:rsidRPr="00E45630" w:rsidRDefault="00382220" w:rsidP="000A790B">
            <w:pPr>
              <w:pStyle w:val="TableText1"/>
              <w:jc w:val="center"/>
              <w:rPr>
                <w:b/>
                <w:szCs w:val="20"/>
              </w:rPr>
            </w:pPr>
            <w:r w:rsidRPr="00E45630">
              <w:rPr>
                <w:b/>
                <w:szCs w:val="20"/>
              </w:rPr>
              <w:t>Protocol title/Publication title</w:t>
            </w:r>
          </w:p>
        </w:tc>
        <w:tc>
          <w:tcPr>
            <w:tcW w:w="1099" w:type="pct"/>
            <w:tcBorders>
              <w:bottom w:val="single" w:sz="4" w:space="0" w:color="auto"/>
            </w:tcBorders>
          </w:tcPr>
          <w:p w:rsidR="00382220" w:rsidRPr="00E45630" w:rsidRDefault="00382220" w:rsidP="000A790B">
            <w:pPr>
              <w:pStyle w:val="TableText1"/>
              <w:jc w:val="center"/>
              <w:rPr>
                <w:b/>
                <w:szCs w:val="20"/>
              </w:rPr>
            </w:pPr>
            <w:r w:rsidRPr="00E45630">
              <w:rPr>
                <w:b/>
                <w:szCs w:val="20"/>
              </w:rPr>
              <w:t>Publication citation</w:t>
            </w:r>
          </w:p>
        </w:tc>
      </w:tr>
      <w:tr w:rsidR="00E36257" w:rsidRPr="00E45630" w:rsidTr="00201D16">
        <w:trPr>
          <w:cantSplit/>
          <w:trHeight w:val="167"/>
        </w:trPr>
        <w:tc>
          <w:tcPr>
            <w:tcW w:w="1694" w:type="pct"/>
            <w:gridSpan w:val="2"/>
            <w:tcBorders>
              <w:right w:val="nil"/>
            </w:tcBorders>
          </w:tcPr>
          <w:p w:rsidR="00E36257" w:rsidRPr="00E45630" w:rsidRDefault="00E36257" w:rsidP="008A68D7">
            <w:pPr>
              <w:pStyle w:val="TableText1"/>
              <w:rPr>
                <w:b/>
                <w:szCs w:val="20"/>
              </w:rPr>
            </w:pPr>
            <w:r w:rsidRPr="00E45630">
              <w:rPr>
                <w:b/>
                <w:szCs w:val="20"/>
              </w:rPr>
              <w:t>Vaccine effectiveness</w:t>
            </w:r>
          </w:p>
        </w:tc>
        <w:tc>
          <w:tcPr>
            <w:tcW w:w="1696" w:type="pct"/>
            <w:gridSpan w:val="2"/>
            <w:tcBorders>
              <w:left w:val="nil"/>
              <w:right w:val="nil"/>
            </w:tcBorders>
          </w:tcPr>
          <w:p w:rsidR="00E36257" w:rsidRPr="00E45630" w:rsidRDefault="00E36257" w:rsidP="00E36257">
            <w:pPr>
              <w:pStyle w:val="TableText1"/>
              <w:rPr>
                <w:b/>
                <w:szCs w:val="20"/>
              </w:rPr>
            </w:pPr>
          </w:p>
        </w:tc>
        <w:tc>
          <w:tcPr>
            <w:tcW w:w="1610" w:type="pct"/>
            <w:gridSpan w:val="2"/>
            <w:tcBorders>
              <w:left w:val="nil"/>
            </w:tcBorders>
          </w:tcPr>
          <w:p w:rsidR="00E36257" w:rsidRPr="00E45630" w:rsidRDefault="00E36257" w:rsidP="008A68D7">
            <w:pPr>
              <w:pStyle w:val="TableText1"/>
              <w:rPr>
                <w:b/>
                <w:szCs w:val="20"/>
              </w:rPr>
            </w:pPr>
          </w:p>
        </w:tc>
      </w:tr>
      <w:tr w:rsidR="00E36257" w:rsidRPr="00E45630" w:rsidTr="00201D16">
        <w:trPr>
          <w:cantSplit/>
          <w:trHeight w:val="166"/>
        </w:trPr>
        <w:tc>
          <w:tcPr>
            <w:tcW w:w="1694" w:type="pct"/>
            <w:gridSpan w:val="2"/>
            <w:tcBorders>
              <w:right w:val="nil"/>
            </w:tcBorders>
          </w:tcPr>
          <w:p w:rsidR="00E36257" w:rsidRPr="00E45630" w:rsidRDefault="00E36257" w:rsidP="008A68D7">
            <w:pPr>
              <w:pStyle w:val="TableText1"/>
              <w:rPr>
                <w:b/>
                <w:szCs w:val="20"/>
              </w:rPr>
            </w:pPr>
            <w:r w:rsidRPr="00E45630">
              <w:rPr>
                <w:szCs w:val="20"/>
              </w:rPr>
              <w:t>Key evidence</w:t>
            </w:r>
          </w:p>
        </w:tc>
        <w:tc>
          <w:tcPr>
            <w:tcW w:w="1696" w:type="pct"/>
            <w:gridSpan w:val="2"/>
            <w:tcBorders>
              <w:left w:val="nil"/>
              <w:right w:val="nil"/>
            </w:tcBorders>
          </w:tcPr>
          <w:p w:rsidR="00E36257" w:rsidRPr="00E45630" w:rsidRDefault="00E36257" w:rsidP="008A68D7">
            <w:pPr>
              <w:pStyle w:val="TableText1"/>
              <w:rPr>
                <w:b/>
                <w:szCs w:val="20"/>
              </w:rPr>
            </w:pPr>
          </w:p>
        </w:tc>
        <w:tc>
          <w:tcPr>
            <w:tcW w:w="1610" w:type="pct"/>
            <w:gridSpan w:val="2"/>
            <w:tcBorders>
              <w:left w:val="nil"/>
            </w:tcBorders>
          </w:tcPr>
          <w:p w:rsidR="00E36257" w:rsidRPr="00E45630" w:rsidRDefault="00E36257" w:rsidP="008A68D7">
            <w:pPr>
              <w:pStyle w:val="TableText1"/>
              <w:rPr>
                <w:b/>
                <w:szCs w:val="20"/>
              </w:rPr>
            </w:pPr>
          </w:p>
        </w:tc>
      </w:tr>
      <w:tr w:rsidR="00382220" w:rsidRPr="00E45630" w:rsidTr="00201D16">
        <w:trPr>
          <w:cantSplit/>
        </w:trPr>
        <w:tc>
          <w:tcPr>
            <w:tcW w:w="517" w:type="pct"/>
          </w:tcPr>
          <w:p w:rsidR="00382220" w:rsidRPr="00E45630" w:rsidRDefault="00382220" w:rsidP="00365717">
            <w:pPr>
              <w:pStyle w:val="TableText1"/>
              <w:rPr>
                <w:szCs w:val="20"/>
              </w:rPr>
            </w:pPr>
            <w:r w:rsidRPr="00E45630">
              <w:rPr>
                <w:szCs w:val="20"/>
              </w:rPr>
              <w:t>Quinn 2014</w:t>
            </w:r>
          </w:p>
        </w:tc>
        <w:tc>
          <w:tcPr>
            <w:tcW w:w="3384" w:type="pct"/>
            <w:gridSpan w:val="4"/>
          </w:tcPr>
          <w:p w:rsidR="00382220" w:rsidRPr="00E45630" w:rsidRDefault="00382220" w:rsidP="008A68D7">
            <w:pPr>
              <w:pStyle w:val="TableText1"/>
              <w:rPr>
                <w:szCs w:val="20"/>
              </w:rPr>
            </w:pPr>
            <w:r w:rsidRPr="00E45630">
              <w:rPr>
                <w:rFonts w:cs="Arial"/>
                <w:szCs w:val="20"/>
                <w:lang w:val="en-US" w:eastAsia="en-US"/>
              </w:rPr>
              <w:t>Quinn HE, Snelling TL, Macartney KK, et al. Duration of protection after first dose of acellular pertussis vaccine in infants.</w:t>
            </w:r>
          </w:p>
        </w:tc>
        <w:tc>
          <w:tcPr>
            <w:tcW w:w="1099" w:type="pct"/>
          </w:tcPr>
          <w:p w:rsidR="00382220" w:rsidRPr="00E45630" w:rsidRDefault="00382220" w:rsidP="008A68D7">
            <w:pPr>
              <w:pStyle w:val="TableText1"/>
              <w:rPr>
                <w:szCs w:val="20"/>
              </w:rPr>
            </w:pPr>
            <w:r w:rsidRPr="00E45630">
              <w:rPr>
                <w:rFonts w:cs="Arial"/>
                <w:szCs w:val="20"/>
                <w:lang w:val="en-US" w:eastAsia="en-US"/>
              </w:rPr>
              <w:t>Pediatrics 2014; 133: e513-e519</w:t>
            </w:r>
          </w:p>
        </w:tc>
      </w:tr>
      <w:tr w:rsidR="00382220" w:rsidRPr="00E45630" w:rsidTr="00201D16">
        <w:trPr>
          <w:cantSplit/>
        </w:trPr>
        <w:tc>
          <w:tcPr>
            <w:tcW w:w="517" w:type="pct"/>
          </w:tcPr>
          <w:p w:rsidR="00382220" w:rsidRPr="00E45630" w:rsidRDefault="00382220" w:rsidP="00365717">
            <w:pPr>
              <w:pStyle w:val="TableText1"/>
              <w:rPr>
                <w:szCs w:val="20"/>
              </w:rPr>
            </w:pPr>
            <w:r w:rsidRPr="00E45630">
              <w:rPr>
                <w:rFonts w:cs="Arial"/>
                <w:szCs w:val="20"/>
                <w:lang w:val="en-US" w:eastAsia="en-US"/>
              </w:rPr>
              <w:t>Quinn (2011)</w:t>
            </w:r>
          </w:p>
        </w:tc>
        <w:tc>
          <w:tcPr>
            <w:tcW w:w="3384" w:type="pct"/>
            <w:gridSpan w:val="4"/>
          </w:tcPr>
          <w:p w:rsidR="00382220" w:rsidRPr="00E45630" w:rsidRDefault="00382220" w:rsidP="008A68D7">
            <w:pPr>
              <w:pStyle w:val="TableText1"/>
              <w:rPr>
                <w:szCs w:val="20"/>
              </w:rPr>
            </w:pPr>
            <w:r w:rsidRPr="00E45630">
              <w:rPr>
                <w:rFonts w:cs="Arial"/>
                <w:szCs w:val="20"/>
                <w:lang w:val="en-US" w:eastAsia="en-US"/>
              </w:rPr>
              <w:t>Quinn HE, and McIntyre P</w:t>
            </w:r>
            <w:r w:rsidRPr="00E45630">
              <w:rPr>
                <w:szCs w:val="20"/>
                <w:lang w:val="en-US"/>
              </w:rPr>
              <w:t xml:space="preserve">. </w:t>
            </w:r>
            <w:r w:rsidRPr="00E45630">
              <w:rPr>
                <w:rFonts w:cs="Arial"/>
                <w:szCs w:val="20"/>
                <w:lang w:val="en-US" w:eastAsia="en-US"/>
              </w:rPr>
              <w:t xml:space="preserve">Pertussis vaccine effectiveness in Australia. </w:t>
            </w:r>
          </w:p>
        </w:tc>
        <w:tc>
          <w:tcPr>
            <w:tcW w:w="1099" w:type="pct"/>
          </w:tcPr>
          <w:p w:rsidR="00382220" w:rsidRPr="00E45630" w:rsidRDefault="00382220" w:rsidP="008A68D7">
            <w:pPr>
              <w:pStyle w:val="TableText1"/>
              <w:rPr>
                <w:szCs w:val="20"/>
              </w:rPr>
            </w:pPr>
            <w:r w:rsidRPr="00E45630">
              <w:rPr>
                <w:rFonts w:cs="Arial"/>
                <w:szCs w:val="20"/>
                <w:lang w:val="en-US" w:eastAsia="en-US"/>
              </w:rPr>
              <w:t xml:space="preserve">NCIRS </w:t>
            </w:r>
            <w:r w:rsidRPr="00E45630">
              <w:rPr>
                <w:szCs w:val="20"/>
                <w:lang w:val="en-US"/>
              </w:rPr>
              <w:t xml:space="preserve">PowerPoint </w:t>
            </w:r>
            <w:r w:rsidRPr="00E45630">
              <w:rPr>
                <w:rFonts w:cs="Arial"/>
                <w:szCs w:val="20"/>
                <w:lang w:val="en-US" w:eastAsia="en-US"/>
              </w:rPr>
              <w:t>presentation. August 26, 2011.</w:t>
            </w:r>
          </w:p>
        </w:tc>
      </w:tr>
      <w:tr w:rsidR="00382220" w:rsidRPr="00E45630" w:rsidTr="00201D16">
        <w:trPr>
          <w:cantSplit/>
        </w:trPr>
        <w:tc>
          <w:tcPr>
            <w:tcW w:w="5000" w:type="pct"/>
            <w:gridSpan w:val="6"/>
          </w:tcPr>
          <w:p w:rsidR="00382220" w:rsidRPr="00E45630" w:rsidRDefault="00382220" w:rsidP="009C2B6E">
            <w:pPr>
              <w:pStyle w:val="TableText1"/>
              <w:keepNext/>
              <w:rPr>
                <w:rFonts w:cs="Arial"/>
                <w:iCs/>
                <w:szCs w:val="20"/>
                <w:lang w:val="en-US" w:eastAsia="en-US"/>
              </w:rPr>
            </w:pPr>
            <w:r w:rsidRPr="00E45630">
              <w:rPr>
                <w:rFonts w:cs="Arial"/>
                <w:iCs/>
                <w:szCs w:val="20"/>
                <w:lang w:val="en-US" w:eastAsia="en-US"/>
              </w:rPr>
              <w:t>Supportive evidence</w:t>
            </w:r>
          </w:p>
        </w:tc>
      </w:tr>
      <w:tr w:rsidR="00382220" w:rsidRPr="00E45630" w:rsidTr="00201D16">
        <w:trPr>
          <w:cantSplit/>
        </w:trPr>
        <w:tc>
          <w:tcPr>
            <w:tcW w:w="517" w:type="pct"/>
          </w:tcPr>
          <w:p w:rsidR="00382220" w:rsidRPr="00E45630" w:rsidRDefault="00382220" w:rsidP="00365717">
            <w:pPr>
              <w:pStyle w:val="TableText1"/>
              <w:rPr>
                <w:szCs w:val="20"/>
              </w:rPr>
            </w:pPr>
            <w:r w:rsidRPr="00E45630">
              <w:rPr>
                <w:rFonts w:cs="Arial"/>
                <w:szCs w:val="20"/>
                <w:lang w:val="en-US" w:eastAsia="en-US"/>
              </w:rPr>
              <w:t>Sheridan (2014)</w:t>
            </w:r>
            <w:r w:rsidRPr="00E45630">
              <w:rPr>
                <w:szCs w:val="20"/>
              </w:rPr>
              <w:t xml:space="preserve"> </w:t>
            </w:r>
          </w:p>
        </w:tc>
        <w:tc>
          <w:tcPr>
            <w:tcW w:w="3384" w:type="pct"/>
            <w:gridSpan w:val="4"/>
          </w:tcPr>
          <w:p w:rsidR="00382220" w:rsidRPr="00E45630" w:rsidRDefault="00382220" w:rsidP="008A68D7">
            <w:pPr>
              <w:pStyle w:val="TableText1"/>
              <w:rPr>
                <w:szCs w:val="20"/>
              </w:rPr>
            </w:pPr>
            <w:r w:rsidRPr="00E45630">
              <w:rPr>
                <w:rFonts w:cs="Arial"/>
                <w:szCs w:val="20"/>
                <w:lang w:val="en-US" w:eastAsia="en-US"/>
              </w:rPr>
              <w:t>Sheridan SL, McCall B, Davis CA, et al.</w:t>
            </w:r>
            <w:r w:rsidRPr="00E45630">
              <w:rPr>
                <w:iCs/>
                <w:szCs w:val="20"/>
                <w:lang w:val="en-US"/>
              </w:rPr>
              <w:t xml:space="preserve"> </w:t>
            </w:r>
            <w:r w:rsidRPr="00E45630">
              <w:rPr>
                <w:rFonts w:cs="Arial"/>
                <w:szCs w:val="20"/>
                <w:lang w:val="en-US" w:eastAsia="en-US"/>
              </w:rPr>
              <w:t xml:space="preserve">Acellular pertussis vaccine effectiveness for children during the 2009-2010 pertussis epidemic in Queensland. </w:t>
            </w:r>
          </w:p>
        </w:tc>
        <w:tc>
          <w:tcPr>
            <w:tcW w:w="1099" w:type="pct"/>
          </w:tcPr>
          <w:p w:rsidR="00382220" w:rsidRPr="00E45630" w:rsidRDefault="00382220" w:rsidP="008A68D7">
            <w:pPr>
              <w:pStyle w:val="TableText1"/>
              <w:rPr>
                <w:szCs w:val="20"/>
              </w:rPr>
            </w:pPr>
            <w:r w:rsidRPr="00E45630">
              <w:rPr>
                <w:rFonts w:cs="Arial"/>
                <w:iCs/>
                <w:szCs w:val="20"/>
                <w:lang w:val="en-US" w:eastAsia="en-US"/>
              </w:rPr>
              <w:t>MJA</w:t>
            </w:r>
            <w:r w:rsidRPr="00E45630">
              <w:rPr>
                <w:rFonts w:cs="Arial"/>
                <w:szCs w:val="20"/>
                <w:lang w:val="en-US" w:eastAsia="en-US"/>
              </w:rPr>
              <w:t>; 2014; 6: 334</w:t>
            </w:r>
            <w:r w:rsidR="008C51B1" w:rsidRPr="00E45630">
              <w:rPr>
                <w:rFonts w:cs="Arial"/>
                <w:szCs w:val="20"/>
                <w:lang w:val="en-US" w:eastAsia="en-US"/>
              </w:rPr>
              <w:noBreakHyphen/>
            </w:r>
            <w:r w:rsidRPr="00E45630">
              <w:rPr>
                <w:rFonts w:cs="Arial"/>
                <w:szCs w:val="20"/>
                <w:lang w:val="en-US" w:eastAsia="en-US"/>
              </w:rPr>
              <w:t>338.</w:t>
            </w:r>
          </w:p>
        </w:tc>
      </w:tr>
      <w:tr w:rsidR="00382220" w:rsidRPr="00E45630" w:rsidTr="00201D16">
        <w:trPr>
          <w:cantSplit/>
        </w:trPr>
        <w:tc>
          <w:tcPr>
            <w:tcW w:w="517" w:type="pct"/>
          </w:tcPr>
          <w:p w:rsidR="00382220" w:rsidRPr="00E45630" w:rsidRDefault="00382220" w:rsidP="00365717">
            <w:pPr>
              <w:pStyle w:val="TableText1"/>
              <w:rPr>
                <w:rFonts w:cs="Arial"/>
                <w:szCs w:val="20"/>
                <w:lang w:val="en-US" w:eastAsia="en-US"/>
              </w:rPr>
            </w:pPr>
            <w:r w:rsidRPr="00E45630">
              <w:rPr>
                <w:rFonts w:cs="Arial"/>
                <w:szCs w:val="20"/>
                <w:lang w:val="en-US" w:eastAsia="en-US"/>
              </w:rPr>
              <w:t>Rendi-Wagner (2006)</w:t>
            </w:r>
            <w:r w:rsidRPr="00E45630" w:rsidDel="00596B54">
              <w:rPr>
                <w:szCs w:val="20"/>
              </w:rPr>
              <w:t xml:space="preserve"> </w:t>
            </w:r>
          </w:p>
        </w:tc>
        <w:tc>
          <w:tcPr>
            <w:tcW w:w="3384" w:type="pct"/>
            <w:gridSpan w:val="4"/>
            <w:vAlign w:val="center"/>
          </w:tcPr>
          <w:p w:rsidR="00382220" w:rsidRPr="00E45630" w:rsidRDefault="00382220" w:rsidP="008A68D7">
            <w:pPr>
              <w:pStyle w:val="TableText1"/>
              <w:rPr>
                <w:rFonts w:cs="Arial"/>
                <w:szCs w:val="20"/>
                <w:lang w:val="en-US" w:eastAsia="en-US"/>
              </w:rPr>
            </w:pPr>
            <w:r w:rsidRPr="00E45630">
              <w:rPr>
                <w:rFonts w:cs="Arial"/>
                <w:szCs w:val="20"/>
                <w:lang w:eastAsia="en-US"/>
              </w:rPr>
              <w:t>Rendi</w:t>
            </w:r>
            <w:r w:rsidRPr="00E45630">
              <w:rPr>
                <w:rFonts w:cs="Arial"/>
                <w:szCs w:val="20"/>
                <w:lang w:val="en-US" w:eastAsia="en-US"/>
              </w:rPr>
              <w:t xml:space="preserve">-Wagner P, Kundi M, Mikolasek A, et al.  Hospital-based active surveillance of childhood pertussis in Austria from 1996 to 2003: Estimates of incidence and vaccine effectiveness of whole-cell and acellular vaccine. </w:t>
            </w:r>
          </w:p>
        </w:tc>
        <w:tc>
          <w:tcPr>
            <w:tcW w:w="1099" w:type="pct"/>
          </w:tcPr>
          <w:p w:rsidR="00382220" w:rsidRPr="00E45630" w:rsidRDefault="00382220" w:rsidP="008A68D7">
            <w:pPr>
              <w:pStyle w:val="TableText1"/>
              <w:rPr>
                <w:rFonts w:cs="Arial"/>
                <w:szCs w:val="20"/>
                <w:lang w:val="en-US" w:eastAsia="en-US"/>
              </w:rPr>
            </w:pPr>
            <w:r w:rsidRPr="00E45630">
              <w:rPr>
                <w:rFonts w:cs="Arial"/>
                <w:iCs/>
                <w:szCs w:val="20"/>
                <w:lang w:val="en-US" w:eastAsia="en-US"/>
              </w:rPr>
              <w:t>Vaccine</w:t>
            </w:r>
            <w:r w:rsidRPr="00E45630">
              <w:rPr>
                <w:rFonts w:cs="Arial"/>
                <w:szCs w:val="20"/>
                <w:lang w:val="en-US" w:eastAsia="en-US"/>
              </w:rPr>
              <w:t xml:space="preserve"> 2006; 24: 5960-5965.</w:t>
            </w:r>
          </w:p>
        </w:tc>
      </w:tr>
      <w:tr w:rsidR="00382220" w:rsidRPr="00E45630" w:rsidTr="00201D16">
        <w:trPr>
          <w:cantSplit/>
        </w:trPr>
        <w:tc>
          <w:tcPr>
            <w:tcW w:w="517" w:type="pct"/>
          </w:tcPr>
          <w:p w:rsidR="00382220" w:rsidRPr="00E45630" w:rsidRDefault="00382220" w:rsidP="00365717">
            <w:pPr>
              <w:pStyle w:val="TableText1"/>
              <w:rPr>
                <w:rFonts w:cs="Arial"/>
                <w:szCs w:val="20"/>
                <w:lang w:val="en-US" w:eastAsia="en-US"/>
              </w:rPr>
            </w:pPr>
            <w:r w:rsidRPr="00E45630">
              <w:rPr>
                <w:rFonts w:cs="Arial"/>
                <w:szCs w:val="20"/>
                <w:lang w:val="en-US" w:eastAsia="en-US"/>
              </w:rPr>
              <w:t>Bisgard (2005)</w:t>
            </w:r>
            <w:r w:rsidRPr="00E45630">
              <w:rPr>
                <w:szCs w:val="20"/>
                <w:lang w:val="en-US"/>
              </w:rPr>
              <w:t xml:space="preserve"> </w:t>
            </w:r>
          </w:p>
        </w:tc>
        <w:tc>
          <w:tcPr>
            <w:tcW w:w="3384" w:type="pct"/>
            <w:gridSpan w:val="4"/>
            <w:vAlign w:val="center"/>
          </w:tcPr>
          <w:p w:rsidR="00382220" w:rsidRPr="00E45630" w:rsidRDefault="00382220" w:rsidP="008A68D7">
            <w:pPr>
              <w:pStyle w:val="TableText1"/>
              <w:rPr>
                <w:rFonts w:cs="Arial"/>
                <w:szCs w:val="20"/>
                <w:lang w:val="en-US" w:eastAsia="en-US"/>
              </w:rPr>
            </w:pPr>
            <w:r w:rsidRPr="00E45630">
              <w:rPr>
                <w:rFonts w:cs="Arial"/>
                <w:szCs w:val="20"/>
                <w:lang w:val="en-US" w:eastAsia="en-US"/>
              </w:rPr>
              <w:t xml:space="preserve">Bisgard KM, Rhodes P, Connelly BL, et al. Pertussis vaccine effectiveness among children 6 to 59 months of age in the United States, 1998-2001. </w:t>
            </w:r>
          </w:p>
        </w:tc>
        <w:tc>
          <w:tcPr>
            <w:tcW w:w="1099" w:type="pct"/>
          </w:tcPr>
          <w:p w:rsidR="00382220" w:rsidRPr="00E45630" w:rsidRDefault="00382220" w:rsidP="008A68D7">
            <w:pPr>
              <w:pStyle w:val="TableText1"/>
              <w:rPr>
                <w:rFonts w:cs="Arial"/>
                <w:szCs w:val="20"/>
                <w:lang w:val="en-US" w:eastAsia="en-US"/>
              </w:rPr>
            </w:pPr>
            <w:r w:rsidRPr="00E45630">
              <w:rPr>
                <w:rFonts w:cs="Arial"/>
                <w:iCs/>
                <w:szCs w:val="20"/>
                <w:lang w:val="en-US" w:eastAsia="en-US"/>
              </w:rPr>
              <w:t>Pediatrics</w:t>
            </w:r>
            <w:r w:rsidRPr="00E45630">
              <w:rPr>
                <w:rFonts w:cs="Arial"/>
                <w:szCs w:val="20"/>
                <w:lang w:val="en-US" w:eastAsia="en-US"/>
              </w:rPr>
              <w:t xml:space="preserve"> 2005; 116(2): e285-e294.</w:t>
            </w:r>
          </w:p>
        </w:tc>
      </w:tr>
      <w:tr w:rsidR="00382220" w:rsidRPr="00E45630" w:rsidTr="00201D16">
        <w:trPr>
          <w:cantSplit/>
        </w:trPr>
        <w:tc>
          <w:tcPr>
            <w:tcW w:w="517" w:type="pct"/>
          </w:tcPr>
          <w:p w:rsidR="00382220" w:rsidRPr="00E45630" w:rsidRDefault="00382220" w:rsidP="00365717">
            <w:pPr>
              <w:pStyle w:val="TableText1"/>
              <w:rPr>
                <w:rFonts w:cs="Arial"/>
                <w:szCs w:val="20"/>
                <w:lang w:val="en-US" w:eastAsia="en-US"/>
              </w:rPr>
            </w:pPr>
            <w:r w:rsidRPr="00E45630">
              <w:rPr>
                <w:rFonts w:cs="Arial"/>
                <w:szCs w:val="20"/>
                <w:lang w:val="en-US" w:eastAsia="en-US"/>
              </w:rPr>
              <w:t>Lugauer (2002)</w:t>
            </w:r>
            <w:r w:rsidRPr="00E45630">
              <w:rPr>
                <w:szCs w:val="20"/>
                <w:lang w:val="en-US"/>
              </w:rPr>
              <w:t xml:space="preserve"> </w:t>
            </w:r>
          </w:p>
        </w:tc>
        <w:tc>
          <w:tcPr>
            <w:tcW w:w="3384" w:type="pct"/>
            <w:gridSpan w:val="4"/>
            <w:vAlign w:val="center"/>
          </w:tcPr>
          <w:p w:rsidR="00382220" w:rsidRPr="00E45630" w:rsidRDefault="00382220" w:rsidP="008A68D7">
            <w:pPr>
              <w:pStyle w:val="TableText1"/>
              <w:rPr>
                <w:rFonts w:cs="Arial"/>
                <w:szCs w:val="20"/>
                <w:lang w:val="en-US" w:eastAsia="en-US"/>
              </w:rPr>
            </w:pPr>
            <w:r w:rsidRPr="00E45630">
              <w:rPr>
                <w:rFonts w:cs="Arial"/>
                <w:szCs w:val="20"/>
                <w:lang w:val="en-US" w:eastAsia="en-US"/>
              </w:rPr>
              <w:t xml:space="preserve">Lugauer S, Heininger U, Cherry JD, et al. Long-term clinical effectiveness of an acellular pertussis component vaccine and a whole cell pertussis component vaccine. </w:t>
            </w:r>
          </w:p>
        </w:tc>
        <w:tc>
          <w:tcPr>
            <w:tcW w:w="1099" w:type="pct"/>
          </w:tcPr>
          <w:p w:rsidR="00382220" w:rsidRPr="00E45630" w:rsidRDefault="00382220" w:rsidP="008A68D7">
            <w:pPr>
              <w:pStyle w:val="TableText1"/>
              <w:rPr>
                <w:rFonts w:cs="Arial"/>
                <w:szCs w:val="20"/>
                <w:lang w:val="en-US" w:eastAsia="en-US"/>
              </w:rPr>
            </w:pPr>
            <w:r w:rsidRPr="00E45630">
              <w:rPr>
                <w:rFonts w:cs="Arial"/>
                <w:iCs/>
                <w:szCs w:val="20"/>
                <w:lang w:val="en-US" w:eastAsia="en-US"/>
              </w:rPr>
              <w:t xml:space="preserve">Eur J Pediatr </w:t>
            </w:r>
            <w:r w:rsidRPr="00E45630">
              <w:rPr>
                <w:rFonts w:cs="Arial"/>
                <w:szCs w:val="20"/>
                <w:lang w:val="en-US" w:eastAsia="en-US"/>
              </w:rPr>
              <w:t>2012; 161: 142-146.</w:t>
            </w:r>
          </w:p>
        </w:tc>
      </w:tr>
      <w:tr w:rsidR="00382220" w:rsidRPr="00E45630" w:rsidTr="00201D16">
        <w:trPr>
          <w:cantSplit/>
        </w:trPr>
        <w:tc>
          <w:tcPr>
            <w:tcW w:w="517" w:type="pct"/>
            <w:tcBorders>
              <w:bottom w:val="single" w:sz="4" w:space="0" w:color="auto"/>
            </w:tcBorders>
          </w:tcPr>
          <w:p w:rsidR="00382220" w:rsidRPr="00E45630" w:rsidRDefault="00382220" w:rsidP="00365717">
            <w:pPr>
              <w:pStyle w:val="TableText1"/>
              <w:rPr>
                <w:rFonts w:cs="Arial"/>
                <w:szCs w:val="20"/>
                <w:lang w:val="en-US" w:eastAsia="en-US"/>
              </w:rPr>
            </w:pPr>
            <w:r w:rsidRPr="00E45630">
              <w:rPr>
                <w:rFonts w:cs="Arial"/>
                <w:szCs w:val="20"/>
                <w:lang w:val="en-US" w:eastAsia="en-US"/>
              </w:rPr>
              <w:t>De Serres  (2001)</w:t>
            </w:r>
            <w:r w:rsidRPr="00E45630">
              <w:rPr>
                <w:szCs w:val="20"/>
                <w:lang w:val="en-US"/>
              </w:rPr>
              <w:t xml:space="preserve"> </w:t>
            </w:r>
          </w:p>
        </w:tc>
        <w:tc>
          <w:tcPr>
            <w:tcW w:w="3384" w:type="pct"/>
            <w:gridSpan w:val="4"/>
            <w:tcBorders>
              <w:bottom w:val="single" w:sz="4" w:space="0" w:color="auto"/>
            </w:tcBorders>
            <w:vAlign w:val="center"/>
          </w:tcPr>
          <w:p w:rsidR="00382220" w:rsidRPr="00E45630" w:rsidRDefault="00382220" w:rsidP="008A68D7">
            <w:pPr>
              <w:pStyle w:val="TableText1"/>
              <w:rPr>
                <w:rFonts w:cs="Arial"/>
                <w:szCs w:val="20"/>
                <w:lang w:val="en-US" w:eastAsia="en-US"/>
              </w:rPr>
            </w:pPr>
            <w:r w:rsidRPr="00E45630">
              <w:rPr>
                <w:rFonts w:cs="Arial"/>
                <w:szCs w:val="20"/>
                <w:lang w:val="en-US" w:eastAsia="en-US"/>
              </w:rPr>
              <w:t xml:space="preserve">De Serres G, Shadmani R, Boulianne N, et al. Effectiveness of a single dose of acellular pertussis vaccine to prevent pertussis in </w:t>
            </w:r>
            <w:r w:rsidR="005F6968" w:rsidRPr="00E45630">
              <w:rPr>
                <w:rFonts w:cs="Arial"/>
                <w:szCs w:val="20"/>
                <w:lang w:val="en-US" w:eastAsia="en-US"/>
              </w:rPr>
              <w:t>children</w:t>
            </w:r>
            <w:r w:rsidRPr="00E45630">
              <w:rPr>
                <w:rFonts w:cs="Arial"/>
                <w:szCs w:val="20"/>
                <w:lang w:val="en-US" w:eastAsia="en-US"/>
              </w:rPr>
              <w:t xml:space="preserve"> primed with pertussis whole cell vaccine. </w:t>
            </w:r>
          </w:p>
        </w:tc>
        <w:tc>
          <w:tcPr>
            <w:tcW w:w="1099" w:type="pct"/>
            <w:tcBorders>
              <w:bottom w:val="single" w:sz="4" w:space="0" w:color="auto"/>
            </w:tcBorders>
          </w:tcPr>
          <w:p w:rsidR="00382220" w:rsidRPr="00E45630" w:rsidRDefault="00382220" w:rsidP="008A68D7">
            <w:pPr>
              <w:pStyle w:val="TableText1"/>
              <w:rPr>
                <w:rFonts w:cs="Arial"/>
                <w:szCs w:val="20"/>
                <w:lang w:val="en-US" w:eastAsia="en-US"/>
              </w:rPr>
            </w:pPr>
            <w:r w:rsidRPr="00E45630">
              <w:rPr>
                <w:rFonts w:cs="Arial"/>
                <w:szCs w:val="20"/>
                <w:lang w:val="en-US" w:eastAsia="en-US"/>
              </w:rPr>
              <w:t>Vaccine 2011; 19: 3004-3008.</w:t>
            </w:r>
          </w:p>
        </w:tc>
      </w:tr>
      <w:tr w:rsidR="00E36257" w:rsidRPr="00E45630" w:rsidTr="00201D16">
        <w:trPr>
          <w:cantSplit/>
        </w:trPr>
        <w:tc>
          <w:tcPr>
            <w:tcW w:w="2209" w:type="pct"/>
            <w:gridSpan w:val="3"/>
            <w:tcBorders>
              <w:right w:val="nil"/>
            </w:tcBorders>
          </w:tcPr>
          <w:p w:rsidR="00E36257" w:rsidRPr="00E45630" w:rsidRDefault="00E36257" w:rsidP="00D16AE7">
            <w:pPr>
              <w:pStyle w:val="TableText1"/>
              <w:keepNext/>
              <w:rPr>
                <w:szCs w:val="20"/>
              </w:rPr>
            </w:pPr>
            <w:r w:rsidRPr="00E45630">
              <w:rPr>
                <w:b/>
                <w:szCs w:val="20"/>
              </w:rPr>
              <w:t>Randomised trials on seroresponse</w:t>
            </w:r>
          </w:p>
        </w:tc>
        <w:tc>
          <w:tcPr>
            <w:tcW w:w="1181" w:type="pct"/>
            <w:tcBorders>
              <w:left w:val="nil"/>
              <w:right w:val="nil"/>
            </w:tcBorders>
          </w:tcPr>
          <w:p w:rsidR="00E36257" w:rsidRPr="00E45630" w:rsidRDefault="00E36257" w:rsidP="00D16AE7">
            <w:pPr>
              <w:pStyle w:val="TableText1"/>
              <w:keepNext/>
              <w:rPr>
                <w:szCs w:val="20"/>
              </w:rPr>
            </w:pPr>
          </w:p>
        </w:tc>
        <w:tc>
          <w:tcPr>
            <w:tcW w:w="1610" w:type="pct"/>
            <w:gridSpan w:val="2"/>
            <w:tcBorders>
              <w:left w:val="nil"/>
            </w:tcBorders>
          </w:tcPr>
          <w:p w:rsidR="00E36257" w:rsidRPr="00E45630" w:rsidRDefault="00E36257" w:rsidP="00D16AE7">
            <w:pPr>
              <w:pStyle w:val="TableText1"/>
              <w:keepNext/>
              <w:rPr>
                <w:szCs w:val="20"/>
              </w:rPr>
            </w:pPr>
          </w:p>
        </w:tc>
      </w:tr>
      <w:tr w:rsidR="00382220" w:rsidRPr="00E45630" w:rsidTr="00201D16">
        <w:trPr>
          <w:cantSplit/>
        </w:trPr>
        <w:tc>
          <w:tcPr>
            <w:tcW w:w="517" w:type="pct"/>
          </w:tcPr>
          <w:p w:rsidR="00382220" w:rsidRPr="00E45630" w:rsidRDefault="00382220" w:rsidP="00365717">
            <w:pPr>
              <w:pStyle w:val="TableText1"/>
              <w:rPr>
                <w:szCs w:val="20"/>
              </w:rPr>
            </w:pPr>
            <w:r w:rsidRPr="00E45630">
              <w:rPr>
                <w:rFonts w:cs="Arial"/>
                <w:szCs w:val="20"/>
                <w:lang w:val="en-US" w:eastAsia="en-US"/>
              </w:rPr>
              <w:t>Wood (2012)</w:t>
            </w:r>
          </w:p>
        </w:tc>
        <w:tc>
          <w:tcPr>
            <w:tcW w:w="3384" w:type="pct"/>
            <w:gridSpan w:val="4"/>
          </w:tcPr>
          <w:p w:rsidR="00382220" w:rsidRPr="00E45630" w:rsidRDefault="00382220" w:rsidP="008A68D7">
            <w:pPr>
              <w:pStyle w:val="TableText1"/>
              <w:rPr>
                <w:szCs w:val="20"/>
              </w:rPr>
            </w:pPr>
            <w:r w:rsidRPr="00E45630">
              <w:rPr>
                <w:rFonts w:cs="Arial"/>
                <w:szCs w:val="20"/>
                <w:lang w:val="en-US" w:eastAsia="en-US"/>
              </w:rPr>
              <w:t>Wood N, Marshall H, McIntyre P</w:t>
            </w:r>
            <w:r w:rsidRPr="00E45630">
              <w:rPr>
                <w:szCs w:val="20"/>
                <w:lang w:val="en-US"/>
              </w:rPr>
              <w:t>.</w:t>
            </w:r>
            <w:r w:rsidRPr="00E45630">
              <w:rPr>
                <w:rFonts w:cs="Arial"/>
                <w:szCs w:val="20"/>
                <w:lang w:val="en-US" w:eastAsia="en-US"/>
              </w:rPr>
              <w:t xml:space="preserve"> Waning of pertussis antibodies to 4 years among infants who did and did not receive monovalent acellular pertussis vaccine at birth. </w:t>
            </w:r>
          </w:p>
        </w:tc>
        <w:tc>
          <w:tcPr>
            <w:tcW w:w="1099" w:type="pct"/>
          </w:tcPr>
          <w:p w:rsidR="00382220" w:rsidRPr="00E45630" w:rsidRDefault="00382220" w:rsidP="008A68D7">
            <w:pPr>
              <w:pStyle w:val="TableText1"/>
              <w:rPr>
                <w:szCs w:val="20"/>
              </w:rPr>
            </w:pPr>
            <w:r w:rsidRPr="00E45630">
              <w:rPr>
                <w:rFonts w:cs="Arial"/>
                <w:szCs w:val="20"/>
                <w:lang w:val="en-US" w:eastAsia="en-US"/>
              </w:rPr>
              <w:t>NCIRS. 2012</w:t>
            </w:r>
          </w:p>
        </w:tc>
      </w:tr>
      <w:tr w:rsidR="00382220" w:rsidRPr="00E45630" w:rsidTr="00201D16">
        <w:trPr>
          <w:cantSplit/>
        </w:trPr>
        <w:tc>
          <w:tcPr>
            <w:tcW w:w="517" w:type="pct"/>
          </w:tcPr>
          <w:p w:rsidR="00382220" w:rsidRPr="00E45630" w:rsidRDefault="00382220" w:rsidP="00365717">
            <w:pPr>
              <w:pStyle w:val="TableText1"/>
              <w:rPr>
                <w:szCs w:val="20"/>
              </w:rPr>
            </w:pPr>
            <w:r w:rsidRPr="00E45630">
              <w:rPr>
                <w:rFonts w:cs="Arial"/>
                <w:szCs w:val="20"/>
                <w:lang w:val="en-US" w:eastAsia="en-US"/>
              </w:rPr>
              <w:t>Nolan (2009)</w:t>
            </w:r>
            <w:r w:rsidRPr="00E45630">
              <w:rPr>
                <w:szCs w:val="20"/>
              </w:rPr>
              <w:t xml:space="preserve"> </w:t>
            </w:r>
          </w:p>
        </w:tc>
        <w:tc>
          <w:tcPr>
            <w:tcW w:w="3384" w:type="pct"/>
            <w:gridSpan w:val="4"/>
          </w:tcPr>
          <w:p w:rsidR="00382220" w:rsidRPr="00E45630" w:rsidRDefault="00382220" w:rsidP="008A68D7">
            <w:pPr>
              <w:pStyle w:val="TableText1"/>
              <w:rPr>
                <w:szCs w:val="20"/>
              </w:rPr>
            </w:pPr>
            <w:r w:rsidRPr="00E45630">
              <w:rPr>
                <w:rFonts w:cs="Arial"/>
                <w:szCs w:val="20"/>
                <w:lang w:val="en-US" w:eastAsia="en-US"/>
              </w:rPr>
              <w:t>Nolan T, Ruff TA, Lambert SB, et al.</w:t>
            </w:r>
            <w:r w:rsidRPr="00E45630">
              <w:rPr>
                <w:iCs/>
                <w:szCs w:val="20"/>
                <w:lang w:val="en-US"/>
              </w:rPr>
              <w:t xml:space="preserve"> </w:t>
            </w:r>
            <w:r w:rsidRPr="00E45630">
              <w:rPr>
                <w:rFonts w:cs="Arial"/>
                <w:szCs w:val="20"/>
                <w:lang w:val="en-US" w:eastAsia="en-US"/>
              </w:rPr>
              <w:t xml:space="preserve">Booster vaccination of toddlers with reduced antigen content diphtheria-tetanus-acellular pertussis vaccine. </w:t>
            </w:r>
          </w:p>
        </w:tc>
        <w:tc>
          <w:tcPr>
            <w:tcW w:w="1099" w:type="pct"/>
          </w:tcPr>
          <w:p w:rsidR="00382220" w:rsidRPr="00E45630" w:rsidRDefault="00382220" w:rsidP="008A68D7">
            <w:pPr>
              <w:pStyle w:val="TableText1"/>
              <w:rPr>
                <w:szCs w:val="20"/>
              </w:rPr>
            </w:pPr>
            <w:r w:rsidRPr="00E45630">
              <w:rPr>
                <w:rFonts w:cs="Arial"/>
                <w:iCs/>
                <w:szCs w:val="20"/>
                <w:lang w:val="en-US" w:eastAsia="en-US"/>
              </w:rPr>
              <w:t>Vaccine</w:t>
            </w:r>
            <w:r w:rsidRPr="00E45630">
              <w:rPr>
                <w:rFonts w:cs="Arial"/>
                <w:szCs w:val="20"/>
                <w:lang w:val="en-US" w:eastAsia="en-US"/>
              </w:rPr>
              <w:t>; 2009; 27: 2410-2413.</w:t>
            </w:r>
          </w:p>
        </w:tc>
      </w:tr>
      <w:tr w:rsidR="00382220" w:rsidRPr="00E45630" w:rsidTr="00201D16">
        <w:trPr>
          <w:cantSplit/>
        </w:trPr>
        <w:tc>
          <w:tcPr>
            <w:tcW w:w="517" w:type="pct"/>
          </w:tcPr>
          <w:p w:rsidR="00382220" w:rsidRPr="00E45630" w:rsidRDefault="00382220" w:rsidP="00365717">
            <w:pPr>
              <w:pStyle w:val="TableText1"/>
              <w:rPr>
                <w:rFonts w:cs="Arial"/>
                <w:szCs w:val="20"/>
                <w:lang w:val="en-US" w:eastAsia="en-US"/>
              </w:rPr>
            </w:pPr>
            <w:r w:rsidRPr="00E45630">
              <w:rPr>
                <w:rFonts w:cs="Arial"/>
                <w:szCs w:val="20"/>
                <w:lang w:val="en-US" w:eastAsia="en-US"/>
              </w:rPr>
              <w:t>213503/046,</w:t>
            </w:r>
            <w:r w:rsidRPr="00E45630">
              <w:rPr>
                <w:rFonts w:cs="Arial"/>
                <w:szCs w:val="20"/>
                <w:lang w:val="en-US" w:eastAsia="en-US"/>
              </w:rPr>
              <w:br/>
            </w:r>
          </w:p>
          <w:p w:rsidR="00382220" w:rsidRPr="00E45630" w:rsidRDefault="00382220" w:rsidP="00365717">
            <w:pPr>
              <w:pStyle w:val="TableText1"/>
              <w:rPr>
                <w:rFonts w:cs="Arial"/>
                <w:szCs w:val="20"/>
                <w:lang w:val="en-US" w:eastAsia="en-US"/>
              </w:rPr>
            </w:pPr>
          </w:p>
          <w:p w:rsidR="00382220" w:rsidRPr="00E45630" w:rsidRDefault="00382220" w:rsidP="002707BA">
            <w:pPr>
              <w:pStyle w:val="TableText1"/>
              <w:rPr>
                <w:szCs w:val="20"/>
              </w:rPr>
            </w:pPr>
          </w:p>
        </w:tc>
        <w:tc>
          <w:tcPr>
            <w:tcW w:w="3384" w:type="pct"/>
            <w:gridSpan w:val="4"/>
          </w:tcPr>
          <w:p w:rsidR="00382220" w:rsidRPr="002707BA" w:rsidRDefault="00382220" w:rsidP="008A68D7">
            <w:pPr>
              <w:pStyle w:val="TableText1"/>
              <w:rPr>
                <w:rFonts w:cs="Arial"/>
                <w:szCs w:val="20"/>
                <w:lang w:val="en-US" w:eastAsia="en-US"/>
              </w:rPr>
            </w:pPr>
            <w:r w:rsidRPr="00E45630">
              <w:t>Open, randomised phase IIIb, clinical trial to compare the immunogenicity and reactogenicity of GSK Biologicals’ DTaP-IP V vaccine (</w:t>
            </w:r>
            <w:r w:rsidRPr="00E45630">
              <w:rPr>
                <w:iCs/>
              </w:rPr>
              <w:t>INFANRIX®-IPV</w:t>
            </w:r>
            <w:r w:rsidRPr="00E45630">
              <w:t xml:space="preserve">), with GSK Biologicals’ DTaP (INFANRIX®) and Aventis Pasteur MSD’s I PV vaccine (IPOL®) administered separately to healthy children 4 to 6 years of age, previously vaccinated with 4 doses of DTaP and polio vaccine, and coadministered </w:t>
            </w:r>
            <w:r w:rsidRPr="00E45630">
              <w:rPr>
                <w:rFonts w:cs="Arial"/>
                <w:szCs w:val="20"/>
                <w:lang w:val="en-AU" w:eastAsia="en-US"/>
              </w:rPr>
              <w:t>with GSK Biologicals’ MMR vaccine (PRIORIX™).</w:t>
            </w:r>
            <w:r w:rsidRPr="00E45630">
              <w:rPr>
                <w:rFonts w:cs="Arial"/>
                <w:szCs w:val="20"/>
                <w:lang w:val="en-US" w:eastAsia="en-US"/>
              </w:rPr>
              <w:t xml:space="preserve"> </w:t>
            </w:r>
          </w:p>
        </w:tc>
        <w:tc>
          <w:tcPr>
            <w:tcW w:w="1099" w:type="pct"/>
          </w:tcPr>
          <w:p w:rsidR="00382220" w:rsidRPr="00E45630" w:rsidRDefault="00382220" w:rsidP="008A68D7">
            <w:pPr>
              <w:pStyle w:val="TableText1"/>
              <w:rPr>
                <w:szCs w:val="20"/>
                <w:lang w:val="en-US"/>
              </w:rPr>
            </w:pPr>
            <w:r w:rsidRPr="00E45630">
              <w:rPr>
                <w:rFonts w:cs="Arial"/>
                <w:szCs w:val="20"/>
                <w:lang w:val="en-US" w:eastAsia="en-US"/>
              </w:rPr>
              <w:t>GSK. Study 213503/046 (DTaP-IPV-046). 2009.</w:t>
            </w:r>
            <w:r w:rsidRPr="00E45630">
              <w:rPr>
                <w:szCs w:val="20"/>
                <w:lang w:val="en-US"/>
              </w:rPr>
              <w:t xml:space="preserve"> </w:t>
            </w:r>
          </w:p>
          <w:p w:rsidR="00382220" w:rsidRPr="00E45630" w:rsidRDefault="00382220" w:rsidP="008A68D7">
            <w:pPr>
              <w:pStyle w:val="TableText1"/>
              <w:rPr>
                <w:szCs w:val="20"/>
              </w:rPr>
            </w:pPr>
          </w:p>
        </w:tc>
      </w:tr>
      <w:tr w:rsidR="002707BA" w:rsidRPr="00E45630" w:rsidTr="00201D16">
        <w:trPr>
          <w:cantSplit/>
        </w:trPr>
        <w:tc>
          <w:tcPr>
            <w:tcW w:w="517" w:type="pct"/>
          </w:tcPr>
          <w:p w:rsidR="002707BA" w:rsidRPr="00E45630" w:rsidRDefault="002707BA" w:rsidP="00365717">
            <w:pPr>
              <w:pStyle w:val="TableText1"/>
              <w:rPr>
                <w:rFonts w:cs="Arial"/>
                <w:szCs w:val="20"/>
                <w:lang w:val="en-US" w:eastAsia="en-US"/>
              </w:rPr>
            </w:pPr>
            <w:r w:rsidRPr="00E45630">
              <w:rPr>
                <w:rFonts w:cs="Arial"/>
                <w:szCs w:val="20"/>
                <w:lang w:val="en-US" w:eastAsia="en-US"/>
              </w:rPr>
              <w:t>Marshall (2006)</w:t>
            </w:r>
            <w:r w:rsidRPr="00E45630">
              <w:rPr>
                <w:szCs w:val="20"/>
                <w:lang w:val="en-US"/>
              </w:rPr>
              <w:t xml:space="preserve"> </w:t>
            </w:r>
          </w:p>
        </w:tc>
        <w:tc>
          <w:tcPr>
            <w:tcW w:w="3384" w:type="pct"/>
            <w:gridSpan w:val="4"/>
          </w:tcPr>
          <w:p w:rsidR="002707BA" w:rsidRPr="00E45630" w:rsidRDefault="002707BA" w:rsidP="008A68D7">
            <w:pPr>
              <w:pStyle w:val="TableText1"/>
            </w:pPr>
            <w:r w:rsidRPr="00E45630">
              <w:rPr>
                <w:rFonts w:cs="Arial"/>
                <w:szCs w:val="20"/>
                <w:lang w:val="en-US" w:eastAsia="en-US"/>
              </w:rPr>
              <w:t>Marshall H, Nolan T, Roberton D, et al.</w:t>
            </w:r>
            <w:r w:rsidRPr="00E45630">
              <w:rPr>
                <w:iCs/>
                <w:szCs w:val="20"/>
                <w:lang w:val="en-US"/>
              </w:rPr>
              <w:t xml:space="preserve"> </w:t>
            </w:r>
            <w:r w:rsidRPr="00E45630">
              <w:rPr>
                <w:rFonts w:cs="Arial"/>
                <w:szCs w:val="20"/>
                <w:lang w:val="en-US" w:eastAsia="en-US"/>
              </w:rPr>
              <w:t>A comparison of booster immunisation with a combination DTPa-IPV vaccine or DTPa plus IPV in separate injections when co-administered with MMR, at age 4-6 years.</w:t>
            </w:r>
          </w:p>
        </w:tc>
        <w:tc>
          <w:tcPr>
            <w:tcW w:w="1099" w:type="pct"/>
          </w:tcPr>
          <w:p w:rsidR="002707BA" w:rsidRPr="00E45630" w:rsidRDefault="002707BA" w:rsidP="008A68D7">
            <w:pPr>
              <w:pStyle w:val="TableText1"/>
              <w:rPr>
                <w:rFonts w:cs="Arial"/>
                <w:szCs w:val="20"/>
                <w:lang w:val="en-US" w:eastAsia="en-US"/>
              </w:rPr>
            </w:pPr>
            <w:r w:rsidRPr="00E45630">
              <w:rPr>
                <w:rFonts w:cs="Arial"/>
                <w:iCs/>
                <w:szCs w:val="20"/>
                <w:lang w:val="en-US" w:eastAsia="en-US"/>
              </w:rPr>
              <w:t>Vaccine</w:t>
            </w:r>
            <w:r w:rsidRPr="00E45630">
              <w:rPr>
                <w:rFonts w:cs="Arial"/>
                <w:szCs w:val="20"/>
                <w:lang w:val="en-US" w:eastAsia="en-US"/>
              </w:rPr>
              <w:t>; 2006; 24: 6120-6128.</w:t>
            </w:r>
          </w:p>
        </w:tc>
      </w:tr>
      <w:tr w:rsidR="00382220" w:rsidRPr="00E45630" w:rsidTr="00201D16">
        <w:trPr>
          <w:cantSplit/>
        </w:trPr>
        <w:tc>
          <w:tcPr>
            <w:tcW w:w="517" w:type="pct"/>
          </w:tcPr>
          <w:p w:rsidR="00382220" w:rsidRPr="00E45630" w:rsidRDefault="00382220" w:rsidP="00365717">
            <w:pPr>
              <w:pStyle w:val="TableText1"/>
              <w:rPr>
                <w:szCs w:val="20"/>
              </w:rPr>
            </w:pPr>
            <w:r w:rsidRPr="00E45630">
              <w:rPr>
                <w:rFonts w:cs="Arial"/>
                <w:szCs w:val="20"/>
                <w:lang w:val="en-US" w:eastAsia="en-US"/>
              </w:rPr>
              <w:lastRenderedPageBreak/>
              <w:t>APV-015B</w:t>
            </w:r>
          </w:p>
        </w:tc>
        <w:tc>
          <w:tcPr>
            <w:tcW w:w="3384" w:type="pct"/>
            <w:gridSpan w:val="4"/>
          </w:tcPr>
          <w:p w:rsidR="00382220" w:rsidRPr="00E45630" w:rsidRDefault="00382220" w:rsidP="008A68D7">
            <w:pPr>
              <w:widowControl/>
              <w:autoSpaceDE w:val="0"/>
              <w:autoSpaceDN w:val="0"/>
              <w:adjustRightInd w:val="0"/>
              <w:jc w:val="left"/>
              <w:rPr>
                <w:rFonts w:ascii="Arial Narrow" w:hAnsi="Arial Narrow"/>
                <w:snapToGrid/>
                <w:sz w:val="20"/>
                <w:lang w:val="en-GB" w:eastAsia="en-AU"/>
              </w:rPr>
            </w:pPr>
            <w:r w:rsidRPr="00E45630">
              <w:rPr>
                <w:rFonts w:ascii="Arial Narrow" w:hAnsi="Arial Narrow"/>
                <w:snapToGrid/>
                <w:sz w:val="20"/>
                <w:lang w:val="en-GB" w:eastAsia="en-AU"/>
              </w:rPr>
              <w:t>An open randomized study to evaluate the immunogenicity and reactogenicity of two SmithKline Beecham Biologicals' combined diphtheria, tetanus, acellular pertussis vaccines : a bicomponent (PT 25 μg + FHA 25 μg) and a tricomponent (PT 25 μg + FHA 25 μg + 69 kDa 8 μg), following administration as a booster dose in healthy 15 to 19 months old children previously primed with the same type of vaccine at 3, 4 and 5</w:t>
            </w:r>
          </w:p>
          <w:p w:rsidR="00382220" w:rsidRPr="00E45630" w:rsidRDefault="00382220" w:rsidP="008A68D7">
            <w:pPr>
              <w:pStyle w:val="TableText1"/>
              <w:rPr>
                <w:szCs w:val="20"/>
              </w:rPr>
            </w:pPr>
            <w:r w:rsidRPr="00E45630">
              <w:rPr>
                <w:szCs w:val="20"/>
              </w:rPr>
              <w:t>months of age.</w:t>
            </w:r>
          </w:p>
        </w:tc>
        <w:tc>
          <w:tcPr>
            <w:tcW w:w="1099" w:type="pct"/>
          </w:tcPr>
          <w:p w:rsidR="00382220" w:rsidRPr="00E45630" w:rsidRDefault="00382220" w:rsidP="008A68D7">
            <w:pPr>
              <w:pStyle w:val="TableText1"/>
              <w:rPr>
                <w:szCs w:val="20"/>
              </w:rPr>
            </w:pPr>
            <w:r w:rsidRPr="00E45630">
              <w:rPr>
                <w:rFonts w:cs="Arial"/>
                <w:szCs w:val="20"/>
                <w:lang w:val="en-US" w:eastAsia="en-US"/>
              </w:rPr>
              <w:t>SmithKline Beecham Biologicals. Synopsis of Study Report APV</w:t>
            </w:r>
            <w:r w:rsidR="008C51B1" w:rsidRPr="00E45630">
              <w:rPr>
                <w:rFonts w:cs="Arial"/>
                <w:szCs w:val="20"/>
                <w:lang w:val="en-US" w:eastAsia="en-US"/>
              </w:rPr>
              <w:noBreakHyphen/>
            </w:r>
            <w:r w:rsidRPr="00E45630">
              <w:rPr>
                <w:rFonts w:cs="Arial"/>
                <w:szCs w:val="20"/>
                <w:lang w:val="en-US" w:eastAsia="en-US"/>
              </w:rPr>
              <w:t>015B. 1995.</w:t>
            </w:r>
          </w:p>
        </w:tc>
      </w:tr>
      <w:tr w:rsidR="00382220" w:rsidRPr="00E45630" w:rsidTr="00201D16">
        <w:trPr>
          <w:cantSplit/>
        </w:trPr>
        <w:tc>
          <w:tcPr>
            <w:tcW w:w="517" w:type="pct"/>
          </w:tcPr>
          <w:p w:rsidR="00382220" w:rsidRPr="00E45630" w:rsidRDefault="00382220" w:rsidP="00365717">
            <w:pPr>
              <w:pStyle w:val="TableText1"/>
              <w:rPr>
                <w:szCs w:val="20"/>
              </w:rPr>
            </w:pPr>
            <w:r w:rsidRPr="00E45630">
              <w:rPr>
                <w:rFonts w:cs="Arial"/>
                <w:szCs w:val="20"/>
                <w:lang w:val="en-US" w:eastAsia="en-US"/>
              </w:rPr>
              <w:t>APV-020B</w:t>
            </w:r>
          </w:p>
        </w:tc>
        <w:tc>
          <w:tcPr>
            <w:tcW w:w="3384" w:type="pct"/>
            <w:gridSpan w:val="4"/>
          </w:tcPr>
          <w:p w:rsidR="00382220" w:rsidRPr="00E45630" w:rsidRDefault="00382220" w:rsidP="008A68D7">
            <w:pPr>
              <w:pStyle w:val="TableText1"/>
              <w:rPr>
                <w:szCs w:val="20"/>
              </w:rPr>
            </w:pPr>
            <w:r w:rsidRPr="00E45630">
              <w:rPr>
                <w:rFonts w:cs="Arial"/>
                <w:szCs w:val="20"/>
                <w:lang w:val="en-US" w:eastAsia="en-US"/>
              </w:rPr>
              <w:t>N/A</w:t>
            </w:r>
          </w:p>
        </w:tc>
        <w:tc>
          <w:tcPr>
            <w:tcW w:w="1099" w:type="pct"/>
          </w:tcPr>
          <w:p w:rsidR="00382220" w:rsidRPr="00E45630" w:rsidRDefault="00382220" w:rsidP="008A68D7">
            <w:pPr>
              <w:pStyle w:val="TableText1"/>
              <w:rPr>
                <w:szCs w:val="20"/>
              </w:rPr>
            </w:pPr>
            <w:r w:rsidRPr="00E45630">
              <w:rPr>
                <w:rFonts w:cs="Arial"/>
                <w:szCs w:val="20"/>
                <w:lang w:val="en-US" w:eastAsia="en-US"/>
              </w:rPr>
              <w:t>SmithKline Beecham Biologicals. Final Study Report APV</w:t>
            </w:r>
            <w:r w:rsidR="008C51B1" w:rsidRPr="00E45630">
              <w:rPr>
                <w:rFonts w:cs="Arial"/>
                <w:szCs w:val="20"/>
                <w:lang w:val="en-US" w:eastAsia="en-US"/>
              </w:rPr>
              <w:noBreakHyphen/>
            </w:r>
            <w:r w:rsidRPr="00E45630">
              <w:rPr>
                <w:rFonts w:cs="Arial"/>
                <w:szCs w:val="20"/>
                <w:lang w:val="en-US" w:eastAsia="en-US"/>
              </w:rPr>
              <w:t>020B. 1995.</w:t>
            </w:r>
          </w:p>
        </w:tc>
      </w:tr>
      <w:tr w:rsidR="00382220" w:rsidRPr="00E45630" w:rsidTr="00201D16">
        <w:trPr>
          <w:cantSplit/>
        </w:trPr>
        <w:tc>
          <w:tcPr>
            <w:tcW w:w="517" w:type="pct"/>
          </w:tcPr>
          <w:p w:rsidR="00382220" w:rsidRPr="00E45630" w:rsidRDefault="00382220" w:rsidP="00365717">
            <w:pPr>
              <w:pStyle w:val="TableText1"/>
              <w:rPr>
                <w:szCs w:val="20"/>
              </w:rPr>
            </w:pPr>
            <w:r w:rsidRPr="00E45630">
              <w:rPr>
                <w:rFonts w:cs="Arial"/>
                <w:szCs w:val="20"/>
                <w:lang w:val="en-US" w:eastAsia="en-US"/>
              </w:rPr>
              <w:t>APV-027B</w:t>
            </w:r>
          </w:p>
        </w:tc>
        <w:tc>
          <w:tcPr>
            <w:tcW w:w="3384" w:type="pct"/>
            <w:gridSpan w:val="4"/>
          </w:tcPr>
          <w:p w:rsidR="00382220" w:rsidRPr="00E45630" w:rsidRDefault="00382220" w:rsidP="008A68D7">
            <w:pPr>
              <w:pStyle w:val="TableText1"/>
              <w:rPr>
                <w:szCs w:val="20"/>
              </w:rPr>
            </w:pPr>
            <w:r w:rsidRPr="00E45630">
              <w:rPr>
                <w:rFonts w:cs="Arial"/>
                <w:szCs w:val="20"/>
                <w:lang w:val="en-US" w:eastAsia="en-US"/>
              </w:rPr>
              <w:t>N/A</w:t>
            </w:r>
          </w:p>
        </w:tc>
        <w:tc>
          <w:tcPr>
            <w:tcW w:w="1099" w:type="pct"/>
          </w:tcPr>
          <w:p w:rsidR="00382220" w:rsidRPr="00E45630" w:rsidRDefault="00382220" w:rsidP="008A68D7">
            <w:pPr>
              <w:pStyle w:val="TableText1"/>
              <w:rPr>
                <w:szCs w:val="20"/>
              </w:rPr>
            </w:pPr>
            <w:r w:rsidRPr="00E45630">
              <w:rPr>
                <w:rFonts w:cs="Arial"/>
                <w:szCs w:val="20"/>
                <w:lang w:val="en-US" w:eastAsia="en-US"/>
              </w:rPr>
              <w:t>SmithKline Beecham Biologicals. Final Study Report APV</w:t>
            </w:r>
            <w:r w:rsidR="008C51B1" w:rsidRPr="00E45630">
              <w:rPr>
                <w:rFonts w:cs="Arial"/>
                <w:szCs w:val="20"/>
                <w:lang w:val="en-US" w:eastAsia="en-US"/>
              </w:rPr>
              <w:noBreakHyphen/>
            </w:r>
            <w:r w:rsidRPr="00E45630">
              <w:rPr>
                <w:rFonts w:cs="Arial"/>
                <w:szCs w:val="20"/>
                <w:lang w:val="en-US" w:eastAsia="en-US"/>
              </w:rPr>
              <w:t>027B. 1995.</w:t>
            </w:r>
          </w:p>
        </w:tc>
      </w:tr>
    </w:tbl>
    <w:p w:rsidR="00382220" w:rsidRPr="00E45630" w:rsidRDefault="00382220" w:rsidP="00382220">
      <w:pPr>
        <w:pStyle w:val="TableFooter"/>
        <w:ind w:left="720"/>
      </w:pPr>
      <w:r w:rsidRPr="00E45630">
        <w:t>Source: Table B.4, ppB-26 to B-28 of the submission</w:t>
      </w:r>
      <w:r w:rsidR="005F6968" w:rsidRPr="00E45630">
        <w:t xml:space="preserve">, </w:t>
      </w:r>
      <w:r w:rsidRPr="00E45630">
        <w:t>N/A = not available</w:t>
      </w:r>
    </w:p>
    <w:p w:rsidR="00382220" w:rsidRPr="00E45630" w:rsidRDefault="00382220" w:rsidP="00382220">
      <w:pPr>
        <w:widowControl/>
        <w:rPr>
          <w:szCs w:val="22"/>
        </w:rPr>
      </w:pPr>
    </w:p>
    <w:p w:rsidR="00382220" w:rsidRPr="00E45630" w:rsidRDefault="00382220" w:rsidP="00081EEC">
      <w:pPr>
        <w:pStyle w:val="ListParagraph"/>
        <w:widowControl/>
        <w:numPr>
          <w:ilvl w:val="1"/>
          <w:numId w:val="3"/>
        </w:numPr>
        <w:rPr>
          <w:szCs w:val="22"/>
        </w:rPr>
      </w:pPr>
      <w:r w:rsidRPr="00E45630">
        <w:rPr>
          <w:szCs w:val="22"/>
        </w:rPr>
        <w:t xml:space="preserve">The key features of the vaccine effectiveness studies are summarised in </w:t>
      </w:r>
      <w:r w:rsidR="00C25591">
        <w:rPr>
          <w:szCs w:val="22"/>
        </w:rPr>
        <w:t>the following table</w:t>
      </w:r>
      <w:r w:rsidRPr="00E45630">
        <w:rPr>
          <w:szCs w:val="22"/>
        </w:rPr>
        <w:t>.</w:t>
      </w:r>
    </w:p>
    <w:p w:rsidR="00382220" w:rsidRPr="00E45630" w:rsidRDefault="00382220" w:rsidP="00382220">
      <w:pPr>
        <w:widowControl/>
        <w:rPr>
          <w:szCs w:val="22"/>
        </w:rPr>
      </w:pPr>
    </w:p>
    <w:p w:rsidR="00382220" w:rsidRPr="00E45630" w:rsidRDefault="00382220" w:rsidP="005E22C2">
      <w:pPr>
        <w:keepNext/>
        <w:ind w:firstLine="720"/>
        <w:rPr>
          <w:rStyle w:val="CommentReference"/>
        </w:rPr>
      </w:pPr>
      <w:r w:rsidRPr="00E45630">
        <w:rPr>
          <w:rStyle w:val="CommentReference"/>
        </w:rPr>
        <w:t>Key features of the included evidence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6"/>
        <w:gridCol w:w="330"/>
        <w:gridCol w:w="1702"/>
        <w:gridCol w:w="773"/>
        <w:gridCol w:w="1901"/>
        <w:gridCol w:w="1276"/>
        <w:gridCol w:w="1258"/>
      </w:tblGrid>
      <w:tr w:rsidR="00382220" w:rsidRPr="00E45630" w:rsidTr="00AB6009">
        <w:trPr>
          <w:cantSplit/>
          <w:tblHeader/>
        </w:trPr>
        <w:tc>
          <w:tcPr>
            <w:tcW w:w="0" w:type="auto"/>
            <w:shd w:val="clear" w:color="auto" w:fill="auto"/>
            <w:vAlign w:val="center"/>
          </w:tcPr>
          <w:p w:rsidR="00382220" w:rsidRPr="00E45630" w:rsidRDefault="00382220" w:rsidP="005E22C2">
            <w:pPr>
              <w:keepNext/>
              <w:jc w:val="left"/>
              <w:rPr>
                <w:rFonts w:ascii="Arial Narrow" w:hAnsi="Arial Narrow"/>
                <w:b/>
                <w:sz w:val="20"/>
                <w:lang w:val="en-US"/>
              </w:rPr>
            </w:pPr>
            <w:r w:rsidRPr="00E45630">
              <w:rPr>
                <w:rFonts w:ascii="Arial Narrow" w:hAnsi="Arial Narrow"/>
                <w:b/>
                <w:sz w:val="20"/>
                <w:lang w:val="en-US"/>
              </w:rPr>
              <w:t>Trial</w:t>
            </w:r>
          </w:p>
        </w:tc>
        <w:tc>
          <w:tcPr>
            <w:tcW w:w="0" w:type="auto"/>
            <w:shd w:val="clear" w:color="auto" w:fill="auto"/>
            <w:vAlign w:val="center"/>
          </w:tcPr>
          <w:p w:rsidR="00382220" w:rsidRPr="00E45630" w:rsidRDefault="00382220" w:rsidP="005E22C2">
            <w:pPr>
              <w:keepNext/>
              <w:jc w:val="center"/>
              <w:rPr>
                <w:rFonts w:ascii="Arial Narrow" w:hAnsi="Arial Narrow"/>
                <w:b/>
                <w:sz w:val="20"/>
                <w:lang w:val="en-US"/>
              </w:rPr>
            </w:pPr>
            <w:r w:rsidRPr="00E45630">
              <w:rPr>
                <w:rFonts w:ascii="Arial Narrow" w:hAnsi="Arial Narrow"/>
                <w:b/>
                <w:sz w:val="20"/>
                <w:lang w:val="en-US"/>
              </w:rPr>
              <w:t>N</w:t>
            </w:r>
          </w:p>
        </w:tc>
        <w:tc>
          <w:tcPr>
            <w:tcW w:w="0" w:type="auto"/>
            <w:shd w:val="clear" w:color="auto" w:fill="auto"/>
            <w:vAlign w:val="center"/>
          </w:tcPr>
          <w:p w:rsidR="00382220" w:rsidRPr="00E45630" w:rsidRDefault="00382220" w:rsidP="005E22C2">
            <w:pPr>
              <w:keepNext/>
              <w:jc w:val="center"/>
              <w:rPr>
                <w:rFonts w:ascii="Arial Narrow" w:hAnsi="Arial Narrow"/>
                <w:b/>
                <w:sz w:val="20"/>
                <w:lang w:val="en-US"/>
              </w:rPr>
            </w:pPr>
            <w:r w:rsidRPr="00E45630">
              <w:rPr>
                <w:rFonts w:ascii="Arial Narrow" w:hAnsi="Arial Narrow"/>
                <w:b/>
                <w:sz w:val="20"/>
                <w:lang w:val="en-US"/>
              </w:rPr>
              <w:t>Design/ duration</w:t>
            </w:r>
          </w:p>
        </w:tc>
        <w:tc>
          <w:tcPr>
            <w:tcW w:w="0" w:type="auto"/>
            <w:shd w:val="clear" w:color="auto" w:fill="auto"/>
            <w:vAlign w:val="center"/>
          </w:tcPr>
          <w:p w:rsidR="00382220" w:rsidRPr="00E45630" w:rsidRDefault="00382220" w:rsidP="005E22C2">
            <w:pPr>
              <w:keepNext/>
              <w:jc w:val="center"/>
              <w:rPr>
                <w:rFonts w:ascii="Arial Narrow" w:hAnsi="Arial Narrow"/>
                <w:b/>
                <w:sz w:val="20"/>
                <w:lang w:val="en-US"/>
              </w:rPr>
            </w:pPr>
            <w:r w:rsidRPr="00E45630">
              <w:rPr>
                <w:rFonts w:ascii="Arial Narrow" w:hAnsi="Arial Narrow"/>
                <w:b/>
                <w:sz w:val="20"/>
                <w:lang w:val="en-US"/>
              </w:rPr>
              <w:t>Risk of bias</w:t>
            </w:r>
          </w:p>
        </w:tc>
        <w:tc>
          <w:tcPr>
            <w:tcW w:w="1901" w:type="dxa"/>
            <w:shd w:val="clear" w:color="auto" w:fill="auto"/>
            <w:vAlign w:val="center"/>
          </w:tcPr>
          <w:p w:rsidR="00382220" w:rsidRPr="00E45630" w:rsidRDefault="00382220" w:rsidP="005E22C2">
            <w:pPr>
              <w:keepNext/>
              <w:jc w:val="center"/>
              <w:rPr>
                <w:rFonts w:ascii="Arial Narrow" w:hAnsi="Arial Narrow"/>
                <w:b/>
                <w:sz w:val="20"/>
                <w:lang w:val="en-US"/>
              </w:rPr>
            </w:pPr>
            <w:r w:rsidRPr="00E45630">
              <w:rPr>
                <w:rFonts w:ascii="Arial Narrow" w:hAnsi="Arial Narrow"/>
                <w:b/>
                <w:sz w:val="20"/>
                <w:lang w:val="en-US"/>
              </w:rPr>
              <w:t>Patient population</w:t>
            </w:r>
          </w:p>
        </w:tc>
        <w:tc>
          <w:tcPr>
            <w:tcW w:w="1276" w:type="dxa"/>
            <w:shd w:val="clear" w:color="auto" w:fill="auto"/>
            <w:vAlign w:val="center"/>
          </w:tcPr>
          <w:p w:rsidR="00382220" w:rsidRPr="00E45630" w:rsidRDefault="00382220" w:rsidP="005E22C2">
            <w:pPr>
              <w:keepNext/>
              <w:jc w:val="center"/>
              <w:rPr>
                <w:rFonts w:ascii="Arial Narrow" w:hAnsi="Arial Narrow"/>
                <w:b/>
                <w:sz w:val="20"/>
                <w:lang w:val="en-US"/>
              </w:rPr>
            </w:pPr>
            <w:r w:rsidRPr="00E45630">
              <w:rPr>
                <w:rFonts w:ascii="Arial Narrow" w:hAnsi="Arial Narrow"/>
                <w:b/>
                <w:sz w:val="20"/>
                <w:lang w:val="en-US"/>
              </w:rPr>
              <w:t>Outcome(s)</w:t>
            </w:r>
          </w:p>
        </w:tc>
        <w:tc>
          <w:tcPr>
            <w:tcW w:w="1258" w:type="dxa"/>
            <w:shd w:val="clear" w:color="auto" w:fill="auto"/>
            <w:vAlign w:val="center"/>
          </w:tcPr>
          <w:p w:rsidR="00382220" w:rsidRPr="00E45630" w:rsidRDefault="00382220" w:rsidP="005E22C2">
            <w:pPr>
              <w:keepNext/>
              <w:jc w:val="center"/>
              <w:rPr>
                <w:rFonts w:ascii="Arial Narrow" w:hAnsi="Arial Narrow"/>
                <w:b/>
                <w:sz w:val="20"/>
                <w:lang w:val="en-US"/>
              </w:rPr>
            </w:pPr>
            <w:r w:rsidRPr="00E45630">
              <w:rPr>
                <w:rFonts w:ascii="Arial Narrow" w:hAnsi="Arial Narrow"/>
                <w:b/>
                <w:sz w:val="20"/>
                <w:lang w:val="en-US"/>
              </w:rPr>
              <w:t>Use in modelled evaluation</w:t>
            </w:r>
          </w:p>
        </w:tc>
      </w:tr>
      <w:tr w:rsidR="00382220" w:rsidRPr="00E45630" w:rsidTr="008A68D7">
        <w:trPr>
          <w:cantSplit/>
        </w:trPr>
        <w:tc>
          <w:tcPr>
            <w:tcW w:w="0" w:type="auto"/>
            <w:gridSpan w:val="7"/>
            <w:shd w:val="clear" w:color="auto" w:fill="auto"/>
            <w:vAlign w:val="center"/>
          </w:tcPr>
          <w:p w:rsidR="00382220" w:rsidRPr="00E45630" w:rsidRDefault="00382220" w:rsidP="005E22C2">
            <w:pPr>
              <w:keepNext/>
              <w:jc w:val="left"/>
              <w:rPr>
                <w:rFonts w:ascii="Arial Narrow" w:hAnsi="Arial Narrow"/>
                <w:b/>
                <w:sz w:val="20"/>
                <w:lang w:val="en-US"/>
              </w:rPr>
            </w:pPr>
            <w:r w:rsidRPr="00E45630">
              <w:rPr>
                <w:rFonts w:ascii="Arial Narrow" w:hAnsi="Arial Narrow"/>
                <w:b/>
                <w:sz w:val="20"/>
                <w:lang w:val="en-US"/>
              </w:rPr>
              <w:t>Key evidence</w:t>
            </w:r>
          </w:p>
        </w:tc>
      </w:tr>
      <w:tr w:rsidR="00382220" w:rsidRPr="00E45630" w:rsidTr="008A68D7">
        <w:trPr>
          <w:cantSplit/>
        </w:trPr>
        <w:tc>
          <w:tcPr>
            <w:tcW w:w="0" w:type="auto"/>
            <w:shd w:val="clear" w:color="auto" w:fill="auto"/>
            <w:vAlign w:val="center"/>
          </w:tcPr>
          <w:p w:rsidR="00382220" w:rsidRPr="00E45630" w:rsidRDefault="00382220" w:rsidP="005E22C2">
            <w:pPr>
              <w:keepNext/>
              <w:jc w:val="left"/>
              <w:rPr>
                <w:rFonts w:ascii="Arial Narrow" w:hAnsi="Arial Narrow"/>
                <w:sz w:val="20"/>
                <w:lang w:val="en-US"/>
              </w:rPr>
            </w:pPr>
            <w:r w:rsidRPr="00E45630">
              <w:rPr>
                <w:rFonts w:ascii="Arial Narrow" w:hAnsi="Arial Narrow"/>
                <w:sz w:val="20"/>
                <w:lang w:val="en-US"/>
              </w:rPr>
              <w:t>Quinn (2014)</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N/A</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Case control, Retro Australia 2005-2009</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Unclear</w:t>
            </w:r>
          </w:p>
        </w:tc>
        <w:tc>
          <w:tcPr>
            <w:tcW w:w="1901"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No booster DTPa</w:t>
            </w:r>
          </w:p>
        </w:tc>
        <w:tc>
          <w:tcPr>
            <w:tcW w:w="1276"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VE</w:t>
            </w:r>
          </w:p>
        </w:tc>
        <w:tc>
          <w:tcPr>
            <w:tcW w:w="1258"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Used for ‘No Booster’ arm</w:t>
            </w:r>
          </w:p>
        </w:tc>
      </w:tr>
      <w:tr w:rsidR="00382220" w:rsidRPr="00E45630" w:rsidTr="008A68D7">
        <w:trPr>
          <w:cantSplit/>
        </w:trPr>
        <w:tc>
          <w:tcPr>
            <w:tcW w:w="0" w:type="auto"/>
            <w:shd w:val="clear" w:color="auto" w:fill="auto"/>
            <w:vAlign w:val="center"/>
          </w:tcPr>
          <w:p w:rsidR="00382220" w:rsidRPr="00E45630" w:rsidRDefault="00382220" w:rsidP="005E22C2">
            <w:pPr>
              <w:keepNext/>
              <w:jc w:val="left"/>
              <w:rPr>
                <w:rFonts w:ascii="Arial Narrow" w:hAnsi="Arial Narrow"/>
                <w:sz w:val="20"/>
                <w:lang w:val="en-US"/>
              </w:rPr>
            </w:pPr>
            <w:r w:rsidRPr="00E45630">
              <w:rPr>
                <w:rFonts w:ascii="Arial Narrow" w:hAnsi="Arial Narrow"/>
                <w:sz w:val="20"/>
                <w:lang w:val="en-US"/>
              </w:rPr>
              <w:t>Quinn (2011)</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N/A</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Cross-sectional, Retro</w:t>
            </w:r>
          </w:p>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Australia 2001-2009</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High</w:t>
            </w:r>
          </w:p>
        </w:tc>
        <w:tc>
          <w:tcPr>
            <w:tcW w:w="1901"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 xml:space="preserve">18 m Booster, DTPa/w </w:t>
            </w:r>
            <w:r w:rsidRPr="00E45630">
              <w:rPr>
                <w:rFonts w:ascii="Arial Narrow" w:hAnsi="Arial Narrow"/>
                <w:sz w:val="20"/>
                <w:vertAlign w:val="superscript"/>
                <w:lang w:val="en-US"/>
              </w:rPr>
              <w:t>a</w:t>
            </w:r>
          </w:p>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No Booster DTPa</w:t>
            </w:r>
          </w:p>
        </w:tc>
        <w:tc>
          <w:tcPr>
            <w:tcW w:w="1276"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VE</w:t>
            </w:r>
          </w:p>
        </w:tc>
        <w:tc>
          <w:tcPr>
            <w:tcW w:w="1258"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 xml:space="preserve">Used for </w:t>
            </w:r>
            <w:r w:rsidR="00EF6557" w:rsidRPr="00E45630">
              <w:rPr>
                <w:rFonts w:ascii="Arial Narrow" w:hAnsi="Arial Narrow"/>
                <w:sz w:val="20"/>
                <w:lang w:val="en-US"/>
              </w:rPr>
              <w:t>‘</w:t>
            </w:r>
            <w:r w:rsidRPr="00E45630">
              <w:rPr>
                <w:rFonts w:ascii="Arial Narrow" w:hAnsi="Arial Narrow"/>
                <w:sz w:val="20"/>
                <w:lang w:val="en-US"/>
              </w:rPr>
              <w:t>18 m booster’ arm</w:t>
            </w:r>
          </w:p>
        </w:tc>
      </w:tr>
      <w:tr w:rsidR="00382220" w:rsidRPr="00E45630" w:rsidTr="008A68D7">
        <w:trPr>
          <w:cantSplit/>
        </w:trPr>
        <w:tc>
          <w:tcPr>
            <w:tcW w:w="0" w:type="auto"/>
            <w:gridSpan w:val="7"/>
            <w:shd w:val="clear" w:color="auto" w:fill="auto"/>
            <w:vAlign w:val="center"/>
          </w:tcPr>
          <w:p w:rsidR="00382220" w:rsidRPr="00E45630" w:rsidRDefault="00382220" w:rsidP="005E22C2">
            <w:pPr>
              <w:keepNext/>
              <w:jc w:val="left"/>
              <w:rPr>
                <w:rFonts w:ascii="Arial Narrow" w:hAnsi="Arial Narrow"/>
                <w:b/>
                <w:sz w:val="20"/>
                <w:lang w:val="en-US"/>
              </w:rPr>
            </w:pPr>
            <w:r w:rsidRPr="00E45630">
              <w:rPr>
                <w:rFonts w:ascii="Arial Narrow" w:hAnsi="Arial Narrow"/>
                <w:b/>
                <w:sz w:val="20"/>
                <w:lang w:val="en-US"/>
              </w:rPr>
              <w:t>Supportive evidence</w:t>
            </w:r>
          </w:p>
        </w:tc>
      </w:tr>
      <w:tr w:rsidR="00382220" w:rsidRPr="00E45630" w:rsidTr="008A68D7">
        <w:trPr>
          <w:cantSplit/>
        </w:trPr>
        <w:tc>
          <w:tcPr>
            <w:tcW w:w="0" w:type="auto"/>
            <w:shd w:val="clear" w:color="auto" w:fill="auto"/>
            <w:vAlign w:val="center"/>
          </w:tcPr>
          <w:p w:rsidR="00382220" w:rsidRPr="00E45630" w:rsidRDefault="00382220" w:rsidP="005E22C2">
            <w:pPr>
              <w:keepNext/>
              <w:jc w:val="left"/>
              <w:rPr>
                <w:rFonts w:ascii="Arial Narrow" w:hAnsi="Arial Narrow"/>
                <w:sz w:val="20"/>
                <w:lang w:val="en-US"/>
              </w:rPr>
            </w:pPr>
            <w:r w:rsidRPr="00E45630">
              <w:rPr>
                <w:rFonts w:ascii="Arial Narrow" w:hAnsi="Arial Narrow"/>
                <w:sz w:val="20"/>
                <w:lang w:val="en-US"/>
              </w:rPr>
              <w:t>Lugauer 2012</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N/A</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Cohort study, Pros Germany 1991-2000</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Unclear</w:t>
            </w:r>
          </w:p>
        </w:tc>
        <w:tc>
          <w:tcPr>
            <w:tcW w:w="1901"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15 m booster DTPw</w:t>
            </w:r>
          </w:p>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15 m booster DTPa</w:t>
            </w:r>
          </w:p>
        </w:tc>
        <w:tc>
          <w:tcPr>
            <w:tcW w:w="1276"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VE post injection (up to 9</w:t>
            </w:r>
            <w:r w:rsidR="007438F8" w:rsidRPr="00E45630">
              <w:rPr>
                <w:rFonts w:ascii="Arial Narrow" w:hAnsi="Arial Narrow"/>
                <w:sz w:val="20"/>
                <w:lang w:val="en-US"/>
              </w:rPr>
              <w:t> </w:t>
            </w:r>
            <w:r w:rsidRPr="00E45630">
              <w:rPr>
                <w:rFonts w:ascii="Arial Narrow" w:hAnsi="Arial Narrow"/>
                <w:sz w:val="20"/>
                <w:lang w:val="en-US"/>
              </w:rPr>
              <w:t>year)</w:t>
            </w:r>
          </w:p>
        </w:tc>
        <w:tc>
          <w:tcPr>
            <w:tcW w:w="1258"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Not used</w:t>
            </w:r>
          </w:p>
        </w:tc>
      </w:tr>
      <w:tr w:rsidR="00382220" w:rsidRPr="00E45630" w:rsidTr="008A68D7">
        <w:trPr>
          <w:cantSplit/>
        </w:trPr>
        <w:tc>
          <w:tcPr>
            <w:tcW w:w="0" w:type="auto"/>
            <w:shd w:val="clear" w:color="auto" w:fill="auto"/>
            <w:vAlign w:val="center"/>
          </w:tcPr>
          <w:p w:rsidR="00382220" w:rsidRPr="00E45630" w:rsidRDefault="00382220" w:rsidP="005E22C2">
            <w:pPr>
              <w:keepNext/>
              <w:jc w:val="left"/>
              <w:rPr>
                <w:rFonts w:ascii="Arial Narrow" w:hAnsi="Arial Narrow"/>
                <w:sz w:val="20"/>
                <w:lang w:val="en-US"/>
              </w:rPr>
            </w:pPr>
            <w:r w:rsidRPr="00E45630">
              <w:rPr>
                <w:rFonts w:ascii="Arial Narrow" w:hAnsi="Arial Narrow"/>
                <w:sz w:val="20"/>
                <w:lang w:val="en-US"/>
              </w:rPr>
              <w:t>Rendi-Wagner (2006)</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N/A</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Cohort study, Pros Austria 1996-2003</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Unclear</w:t>
            </w:r>
          </w:p>
        </w:tc>
        <w:tc>
          <w:tcPr>
            <w:tcW w:w="1901"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Yr 2 booster DTPw</w:t>
            </w:r>
          </w:p>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Yr 2 booster DTPa</w:t>
            </w:r>
          </w:p>
        </w:tc>
        <w:tc>
          <w:tcPr>
            <w:tcW w:w="1276"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VE</w:t>
            </w:r>
          </w:p>
        </w:tc>
        <w:tc>
          <w:tcPr>
            <w:tcW w:w="1258"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Not used</w:t>
            </w:r>
          </w:p>
        </w:tc>
      </w:tr>
      <w:tr w:rsidR="00382220" w:rsidRPr="00E45630" w:rsidTr="008A68D7">
        <w:trPr>
          <w:cantSplit/>
        </w:trPr>
        <w:tc>
          <w:tcPr>
            <w:tcW w:w="0" w:type="auto"/>
            <w:shd w:val="clear" w:color="auto" w:fill="auto"/>
            <w:vAlign w:val="center"/>
          </w:tcPr>
          <w:p w:rsidR="00382220" w:rsidRPr="00E45630" w:rsidRDefault="00382220" w:rsidP="005E22C2">
            <w:pPr>
              <w:keepNext/>
              <w:jc w:val="left"/>
              <w:rPr>
                <w:rFonts w:ascii="Arial Narrow" w:hAnsi="Arial Narrow"/>
                <w:sz w:val="20"/>
                <w:lang w:val="en-US"/>
              </w:rPr>
            </w:pPr>
            <w:r w:rsidRPr="00E45630">
              <w:rPr>
                <w:rFonts w:ascii="Arial Narrow" w:hAnsi="Arial Narrow"/>
                <w:sz w:val="20"/>
                <w:lang w:val="en-US"/>
              </w:rPr>
              <w:t>Sheridan (2014)</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N/A</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Cohort study, Retro</w:t>
            </w:r>
          </w:p>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Australia, 1999-2010</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Unclear</w:t>
            </w:r>
          </w:p>
        </w:tc>
        <w:tc>
          <w:tcPr>
            <w:tcW w:w="1901"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No booster DTPa</w:t>
            </w:r>
          </w:p>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18 m Booster DTPa</w:t>
            </w:r>
          </w:p>
        </w:tc>
        <w:tc>
          <w:tcPr>
            <w:tcW w:w="1276"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 xml:space="preserve">VE in 2009 </w:t>
            </w:r>
            <w:r w:rsidRPr="00E45630">
              <w:rPr>
                <w:rFonts w:ascii="Arial Narrow" w:hAnsi="Arial Narrow"/>
                <w:sz w:val="20"/>
                <w:vertAlign w:val="superscript"/>
                <w:lang w:val="en-US"/>
              </w:rPr>
              <w:t>b</w:t>
            </w:r>
          </w:p>
        </w:tc>
        <w:tc>
          <w:tcPr>
            <w:tcW w:w="1258"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Not used</w:t>
            </w:r>
          </w:p>
        </w:tc>
      </w:tr>
      <w:tr w:rsidR="00382220" w:rsidRPr="00E45630" w:rsidTr="008A68D7">
        <w:trPr>
          <w:cantSplit/>
        </w:trPr>
        <w:tc>
          <w:tcPr>
            <w:tcW w:w="0" w:type="auto"/>
            <w:shd w:val="clear" w:color="auto" w:fill="auto"/>
            <w:vAlign w:val="center"/>
          </w:tcPr>
          <w:p w:rsidR="00382220" w:rsidRPr="00E45630" w:rsidRDefault="00382220" w:rsidP="005E22C2">
            <w:pPr>
              <w:keepNext/>
              <w:jc w:val="left"/>
              <w:rPr>
                <w:rFonts w:ascii="Arial Narrow" w:hAnsi="Arial Narrow"/>
                <w:sz w:val="20"/>
                <w:lang w:val="en-US"/>
              </w:rPr>
            </w:pPr>
            <w:r w:rsidRPr="00E45630">
              <w:rPr>
                <w:rFonts w:ascii="Arial Narrow" w:hAnsi="Arial Narrow"/>
                <w:sz w:val="20"/>
                <w:lang w:val="en-US"/>
              </w:rPr>
              <w:t>Bisgard (2005)</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N/A</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Case control, Retro,</w:t>
            </w:r>
          </w:p>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USA, 1998-2001</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Unclear</w:t>
            </w:r>
          </w:p>
        </w:tc>
        <w:tc>
          <w:tcPr>
            <w:tcW w:w="1901"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18-m Booster DTPa</w:t>
            </w:r>
          </w:p>
        </w:tc>
        <w:tc>
          <w:tcPr>
            <w:tcW w:w="1276"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VE for different age categories</w:t>
            </w:r>
          </w:p>
        </w:tc>
        <w:tc>
          <w:tcPr>
            <w:tcW w:w="1258"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Not used</w:t>
            </w:r>
          </w:p>
        </w:tc>
      </w:tr>
      <w:tr w:rsidR="00382220" w:rsidRPr="00E45630" w:rsidTr="008A68D7">
        <w:trPr>
          <w:cantSplit/>
        </w:trPr>
        <w:tc>
          <w:tcPr>
            <w:tcW w:w="0" w:type="auto"/>
            <w:shd w:val="clear" w:color="auto" w:fill="auto"/>
            <w:vAlign w:val="center"/>
          </w:tcPr>
          <w:p w:rsidR="00382220" w:rsidRPr="00E45630" w:rsidRDefault="00382220" w:rsidP="005E22C2">
            <w:pPr>
              <w:keepNext/>
              <w:jc w:val="left"/>
              <w:rPr>
                <w:rFonts w:ascii="Arial Narrow" w:hAnsi="Arial Narrow"/>
                <w:sz w:val="20"/>
                <w:lang w:val="en-US"/>
              </w:rPr>
            </w:pPr>
            <w:r w:rsidRPr="00E45630">
              <w:rPr>
                <w:rFonts w:ascii="Arial Narrow" w:hAnsi="Arial Narrow"/>
                <w:sz w:val="20"/>
                <w:lang w:val="en-US"/>
              </w:rPr>
              <w:t>De Serres (2001)</w:t>
            </w:r>
          </w:p>
        </w:tc>
        <w:tc>
          <w:tcPr>
            <w:tcW w:w="0" w:type="auto"/>
            <w:shd w:val="clear" w:color="auto" w:fill="auto"/>
            <w:vAlign w:val="center"/>
          </w:tcPr>
          <w:p w:rsidR="00382220" w:rsidRPr="00E45630" w:rsidRDefault="009F3FB7" w:rsidP="005E22C2">
            <w:pPr>
              <w:keepNext/>
              <w:jc w:val="center"/>
              <w:rPr>
                <w:rFonts w:ascii="Arial Narrow" w:hAnsi="Arial Narrow"/>
                <w:sz w:val="20"/>
                <w:lang w:val="en-US"/>
              </w:rPr>
            </w:pPr>
            <w:r w:rsidRPr="00E45630">
              <w:rPr>
                <w:rFonts w:ascii="Arial Narrow" w:hAnsi="Arial Narrow"/>
                <w:sz w:val="20"/>
                <w:lang w:val="en-US"/>
              </w:rPr>
              <w:t>N/A</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Case control, Retro,</w:t>
            </w:r>
          </w:p>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Canada, 1995-1997</w:t>
            </w:r>
          </w:p>
        </w:tc>
        <w:tc>
          <w:tcPr>
            <w:tcW w:w="0" w:type="auto"/>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Unclear</w:t>
            </w:r>
          </w:p>
        </w:tc>
        <w:tc>
          <w:tcPr>
            <w:tcW w:w="1901"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 xml:space="preserve">18 m booster DTPa </w:t>
            </w:r>
            <w:r w:rsidRPr="00E45630">
              <w:rPr>
                <w:rFonts w:ascii="Arial Narrow" w:hAnsi="Arial Narrow"/>
                <w:sz w:val="20"/>
                <w:vertAlign w:val="superscript"/>
                <w:lang w:val="en-US"/>
              </w:rPr>
              <w:t>c</w:t>
            </w:r>
          </w:p>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18 m booster DTPw</w:t>
            </w:r>
          </w:p>
        </w:tc>
        <w:tc>
          <w:tcPr>
            <w:tcW w:w="1276" w:type="dxa"/>
            <w:shd w:val="clear" w:color="auto" w:fill="auto"/>
            <w:vAlign w:val="center"/>
          </w:tcPr>
          <w:p w:rsidR="00382220" w:rsidRPr="00E45630" w:rsidRDefault="00382220" w:rsidP="005E22C2">
            <w:pPr>
              <w:keepNext/>
              <w:jc w:val="center"/>
              <w:rPr>
                <w:rFonts w:ascii="Arial Narrow" w:hAnsi="Arial Narrow"/>
                <w:sz w:val="20"/>
                <w:lang w:val="en-US"/>
              </w:rPr>
            </w:pPr>
            <w:r w:rsidRPr="00E45630">
              <w:rPr>
                <w:rFonts w:ascii="Arial Narrow" w:hAnsi="Arial Narrow"/>
                <w:sz w:val="20"/>
                <w:lang w:val="en-US"/>
              </w:rPr>
              <w:t>VE after each vaccination</w:t>
            </w:r>
          </w:p>
        </w:tc>
        <w:tc>
          <w:tcPr>
            <w:tcW w:w="1258" w:type="dxa"/>
            <w:shd w:val="clear" w:color="auto" w:fill="auto"/>
            <w:vAlign w:val="center"/>
          </w:tcPr>
          <w:p w:rsidR="00382220" w:rsidRPr="00E45630" w:rsidRDefault="009F3FB7" w:rsidP="005E22C2">
            <w:pPr>
              <w:keepNext/>
              <w:jc w:val="center"/>
              <w:rPr>
                <w:rFonts w:ascii="Arial Narrow" w:hAnsi="Arial Narrow"/>
                <w:sz w:val="20"/>
                <w:lang w:val="en-US"/>
              </w:rPr>
            </w:pPr>
            <w:r w:rsidRPr="00E45630">
              <w:rPr>
                <w:rFonts w:ascii="Arial Narrow" w:hAnsi="Arial Narrow"/>
                <w:sz w:val="20"/>
                <w:lang w:val="en-US"/>
              </w:rPr>
              <w:t>Not used</w:t>
            </w:r>
          </w:p>
        </w:tc>
      </w:tr>
    </w:tbl>
    <w:p w:rsidR="00382220" w:rsidRPr="00E45630" w:rsidRDefault="00382220" w:rsidP="00382220">
      <w:pPr>
        <w:pStyle w:val="TableFooter"/>
        <w:ind w:left="720"/>
      </w:pPr>
      <w:r w:rsidRPr="00E45630">
        <w:t>Source: Table B.4, pp B-26 of the submission</w:t>
      </w:r>
    </w:p>
    <w:p w:rsidR="00382220" w:rsidRPr="00E45630" w:rsidRDefault="00382220" w:rsidP="00382220">
      <w:pPr>
        <w:pStyle w:val="TableFooter"/>
        <w:ind w:left="720"/>
        <w:rPr>
          <w:rStyle w:val="CommentReference"/>
          <w:b w:val="0"/>
          <w:sz w:val="18"/>
          <w:szCs w:val="20"/>
        </w:rPr>
      </w:pPr>
      <w:r w:rsidRPr="00E45630">
        <w:rPr>
          <w:rStyle w:val="CommentReference"/>
          <w:b w:val="0"/>
          <w:sz w:val="18"/>
          <w:szCs w:val="20"/>
          <w:vertAlign w:val="superscript"/>
        </w:rPr>
        <w:t>a</w:t>
      </w:r>
      <w:r w:rsidRPr="00E45630">
        <w:rPr>
          <w:rStyle w:val="CommentReference"/>
          <w:b w:val="0"/>
          <w:sz w:val="18"/>
          <w:szCs w:val="20"/>
        </w:rPr>
        <w:t xml:space="preserve"> Include some patients who received whole cell pertussis vaccine</w:t>
      </w:r>
    </w:p>
    <w:p w:rsidR="00382220" w:rsidRPr="00E45630" w:rsidRDefault="00382220" w:rsidP="00382220">
      <w:pPr>
        <w:pStyle w:val="TableFooter"/>
        <w:ind w:left="720"/>
        <w:rPr>
          <w:rStyle w:val="CommentReference"/>
          <w:b w:val="0"/>
          <w:sz w:val="18"/>
          <w:szCs w:val="20"/>
        </w:rPr>
      </w:pPr>
      <w:r w:rsidRPr="00E45630">
        <w:rPr>
          <w:rStyle w:val="CommentReference"/>
          <w:b w:val="0"/>
          <w:sz w:val="18"/>
          <w:szCs w:val="20"/>
          <w:vertAlign w:val="superscript"/>
        </w:rPr>
        <w:t>b</w:t>
      </w:r>
      <w:r w:rsidRPr="00E45630">
        <w:rPr>
          <w:rStyle w:val="CommentReference"/>
          <w:b w:val="0"/>
          <w:sz w:val="18"/>
          <w:szCs w:val="20"/>
        </w:rPr>
        <w:t xml:space="preserve"> Follow up for children in 18-month booster cohort was 7-12 years, while for the no booster was 1-8 years</w:t>
      </w:r>
    </w:p>
    <w:p w:rsidR="00382220" w:rsidRPr="00E45630" w:rsidRDefault="00382220" w:rsidP="00382220">
      <w:pPr>
        <w:pStyle w:val="TableFooter"/>
        <w:ind w:left="720"/>
        <w:rPr>
          <w:rStyle w:val="CommentReference"/>
          <w:b w:val="0"/>
          <w:sz w:val="18"/>
          <w:szCs w:val="20"/>
        </w:rPr>
      </w:pPr>
      <w:r w:rsidRPr="00E45630">
        <w:rPr>
          <w:rStyle w:val="CommentReference"/>
          <w:b w:val="0"/>
          <w:sz w:val="18"/>
          <w:szCs w:val="20"/>
          <w:vertAlign w:val="superscript"/>
        </w:rPr>
        <w:t>c</w:t>
      </w:r>
      <w:r w:rsidRPr="00E45630">
        <w:rPr>
          <w:rStyle w:val="CommentReference"/>
          <w:b w:val="0"/>
          <w:sz w:val="18"/>
          <w:szCs w:val="20"/>
        </w:rPr>
        <w:t xml:space="preserve"> The primary schedule contained whole cell pertussis vaccine</w:t>
      </w:r>
    </w:p>
    <w:p w:rsidR="00382220" w:rsidRPr="00E45630" w:rsidRDefault="00382220" w:rsidP="00382220">
      <w:pPr>
        <w:pStyle w:val="TableFooter"/>
        <w:ind w:left="720"/>
        <w:rPr>
          <w:rStyle w:val="CommentReference"/>
          <w:b w:val="0"/>
          <w:sz w:val="18"/>
          <w:szCs w:val="20"/>
        </w:rPr>
      </w:pPr>
      <w:r w:rsidRPr="00E45630">
        <w:rPr>
          <w:rStyle w:val="CommentReference"/>
          <w:b w:val="0"/>
          <w:sz w:val="18"/>
          <w:szCs w:val="20"/>
        </w:rPr>
        <w:t>VE = vaccine effectiveness; Retro = retrospective; Pros = prospective; DTPa = diphtheria, tetanus and acellular pertussis, DTPw = diphtheria, tetanus and whole cell pertussis; m = month</w:t>
      </w:r>
    </w:p>
    <w:p w:rsidR="00382220" w:rsidRPr="00E45630" w:rsidRDefault="00382220" w:rsidP="00382220">
      <w:pPr>
        <w:rPr>
          <w:rStyle w:val="CommentReference"/>
        </w:rPr>
      </w:pPr>
    </w:p>
    <w:p w:rsidR="00C21AB2" w:rsidRPr="00E45630" w:rsidRDefault="00382220" w:rsidP="00081EEC">
      <w:pPr>
        <w:pStyle w:val="ListParagraph"/>
        <w:widowControl/>
        <w:numPr>
          <w:ilvl w:val="1"/>
          <w:numId w:val="3"/>
        </w:numPr>
        <w:rPr>
          <w:i/>
          <w:color w:val="00B050"/>
          <w:lang w:eastAsia="en-AU"/>
        </w:rPr>
      </w:pPr>
      <w:r w:rsidRPr="00E45630">
        <w:t>The submission relie</w:t>
      </w:r>
      <w:r w:rsidR="006B060D">
        <w:t>d</w:t>
      </w:r>
      <w:r w:rsidRPr="00E45630">
        <w:t xml:space="preserve"> on the key evidence from Quinn (2014) and Quinn (2011) for the vaccine effectiveness of the 18-month booster vaccination. Quinn (2014) does not present the vaccine effectiveness of the 18-month </w:t>
      </w:r>
      <w:r w:rsidR="00F76A26" w:rsidRPr="00E45630">
        <w:t>booster;</w:t>
      </w:r>
      <w:r w:rsidRPr="00E45630">
        <w:t xml:space="preserve"> rather it presents a case control study on the vaccine effectiveness in Australia when no 18-month booster is available. The submission relie</w:t>
      </w:r>
      <w:r w:rsidR="006B060D">
        <w:t>d</w:t>
      </w:r>
      <w:r w:rsidRPr="00E45630">
        <w:t xml:space="preserve"> on Quinn (2011) for the effectiveness of </w:t>
      </w:r>
      <w:r w:rsidRPr="00E45630">
        <w:lastRenderedPageBreak/>
        <w:t>the 18-month booster. Quinn (2011) is a PowerPoint presentation with limited data available, but it appears to be a cross-sectional study. A proportion of the patients received whole cell pertussis vaccine for either the primary vaccination (2, 4, and 6</w:t>
      </w:r>
      <w:r w:rsidR="007438F8" w:rsidRPr="00E45630">
        <w:t> </w:t>
      </w:r>
      <w:r w:rsidRPr="00E45630">
        <w:t xml:space="preserve">months) or 18-month booster vaccination. </w:t>
      </w:r>
    </w:p>
    <w:p w:rsidR="003E0E9F" w:rsidRPr="00E45630" w:rsidRDefault="003E0E9F" w:rsidP="003E0E9F">
      <w:pPr>
        <w:pStyle w:val="PBACHeading1"/>
        <w:numPr>
          <w:ilvl w:val="0"/>
          <w:numId w:val="0"/>
        </w:numPr>
        <w:ind w:left="720" w:hanging="720"/>
        <w:rPr>
          <w:lang w:eastAsia="en-AU"/>
        </w:rPr>
      </w:pPr>
    </w:p>
    <w:p w:rsidR="003E0E9F" w:rsidRPr="00E45630" w:rsidRDefault="003E0E9F" w:rsidP="003E0E9F">
      <w:pPr>
        <w:pStyle w:val="PBACHeading1"/>
        <w:numPr>
          <w:ilvl w:val="0"/>
          <w:numId w:val="0"/>
        </w:numPr>
        <w:ind w:left="720" w:hanging="11"/>
        <w:rPr>
          <w:b w:val="0"/>
          <w:i/>
        </w:rPr>
      </w:pPr>
      <w:r w:rsidRPr="00E4716A">
        <w:rPr>
          <w:b w:val="0"/>
          <w:i/>
        </w:rPr>
        <w:t>For more detail on PBAC’s view, see section 7 “PBAC outcome”</w:t>
      </w:r>
    </w:p>
    <w:p w:rsidR="005F4D8E" w:rsidRPr="00E45630" w:rsidRDefault="005F4D8E" w:rsidP="00382220">
      <w:pPr>
        <w:rPr>
          <w:szCs w:val="22"/>
        </w:rPr>
      </w:pPr>
    </w:p>
    <w:p w:rsidR="00382220" w:rsidRPr="00201D16" w:rsidRDefault="00382220" w:rsidP="00201D16">
      <w:pPr>
        <w:rPr>
          <w:b/>
        </w:rPr>
      </w:pPr>
      <w:bookmarkStart w:id="13" w:name="_Toc398033195"/>
      <w:r w:rsidRPr="00201D16">
        <w:rPr>
          <w:b/>
        </w:rPr>
        <w:t>Comparative effectiveness</w:t>
      </w:r>
      <w:bookmarkEnd w:id="13"/>
    </w:p>
    <w:p w:rsidR="00382220" w:rsidRPr="00E45630" w:rsidRDefault="00382220" w:rsidP="00382220">
      <w:pPr>
        <w:rPr>
          <w:szCs w:val="22"/>
        </w:rPr>
      </w:pPr>
    </w:p>
    <w:p w:rsidR="00382220" w:rsidRPr="00E45630" w:rsidRDefault="00C25591" w:rsidP="00081EEC">
      <w:pPr>
        <w:pStyle w:val="ListParagraph"/>
        <w:widowControl/>
        <w:numPr>
          <w:ilvl w:val="1"/>
          <w:numId w:val="3"/>
        </w:numPr>
        <w:rPr>
          <w:szCs w:val="22"/>
        </w:rPr>
      </w:pPr>
      <w:r>
        <w:rPr>
          <w:szCs w:val="22"/>
        </w:rPr>
        <w:t xml:space="preserve">The following table </w:t>
      </w:r>
      <w:r w:rsidR="00382220" w:rsidRPr="00E45630">
        <w:rPr>
          <w:szCs w:val="22"/>
        </w:rPr>
        <w:t>presents the vaccine effectiveness results from Quinn (2011) and Quinn (2014).</w:t>
      </w:r>
    </w:p>
    <w:p w:rsidR="00382220" w:rsidRPr="00E45630" w:rsidRDefault="00382220" w:rsidP="00382220">
      <w:pPr>
        <w:widowControl/>
        <w:rPr>
          <w:szCs w:val="22"/>
        </w:rPr>
      </w:pPr>
    </w:p>
    <w:p w:rsidR="00382220" w:rsidRPr="00E45630" w:rsidRDefault="00382220" w:rsidP="005E22C2">
      <w:pPr>
        <w:keepNext/>
        <w:widowControl/>
        <w:ind w:left="720"/>
        <w:rPr>
          <w:rStyle w:val="CommentReference"/>
        </w:rPr>
      </w:pPr>
      <w:r w:rsidRPr="00E45630">
        <w:rPr>
          <w:rStyle w:val="CommentReference"/>
        </w:rPr>
        <w:t>Vaccines effectiveness by age from the key clinical evidence</w:t>
      </w:r>
    </w:p>
    <w:tbl>
      <w:tblPr>
        <w:tblW w:w="452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631"/>
        <w:gridCol w:w="2052"/>
        <w:gridCol w:w="286"/>
        <w:gridCol w:w="2264"/>
      </w:tblGrid>
      <w:tr w:rsidR="001B5CC1" w:rsidRPr="00E45630" w:rsidTr="00201D16">
        <w:trPr>
          <w:trHeight w:val="113"/>
        </w:trPr>
        <w:tc>
          <w:tcPr>
            <w:tcW w:w="673" w:type="pct"/>
            <w:tcBorders>
              <w:bottom w:val="nil"/>
            </w:tcBorders>
            <w:shd w:val="clear" w:color="auto" w:fill="auto"/>
            <w:noWrap/>
            <w:vAlign w:val="center"/>
            <w:hideMark/>
          </w:tcPr>
          <w:p w:rsidR="001B5CC1" w:rsidRPr="00E45630" w:rsidRDefault="001B5CC1" w:rsidP="005E22C2">
            <w:pPr>
              <w:pStyle w:val="tabletext2"/>
              <w:rPr>
                <w:b/>
                <w:lang w:val="en-GB"/>
              </w:rPr>
            </w:pPr>
          </w:p>
        </w:tc>
        <w:tc>
          <w:tcPr>
            <w:tcW w:w="2802" w:type="pct"/>
            <w:gridSpan w:val="2"/>
            <w:tcBorders>
              <w:right w:val="nil"/>
            </w:tcBorders>
            <w:vAlign w:val="bottom"/>
          </w:tcPr>
          <w:p w:rsidR="001B5CC1" w:rsidRPr="00E45630" w:rsidRDefault="001B5CC1" w:rsidP="005E22C2">
            <w:pPr>
              <w:pStyle w:val="tabletext2"/>
              <w:jc w:val="center"/>
              <w:rPr>
                <w:b/>
                <w:lang w:val="en-GB"/>
              </w:rPr>
            </w:pPr>
            <w:r w:rsidRPr="00E45630">
              <w:rPr>
                <w:b/>
                <w:lang w:val="en-GB"/>
              </w:rPr>
              <w:t>Quinn 2011</w:t>
            </w:r>
          </w:p>
        </w:tc>
        <w:tc>
          <w:tcPr>
            <w:tcW w:w="171" w:type="pct"/>
            <w:tcBorders>
              <w:left w:val="nil"/>
            </w:tcBorders>
            <w:vAlign w:val="bottom"/>
          </w:tcPr>
          <w:p w:rsidR="001B5CC1" w:rsidRPr="00E45630" w:rsidRDefault="001B5CC1" w:rsidP="005E22C2">
            <w:pPr>
              <w:pStyle w:val="tabletext2"/>
              <w:jc w:val="center"/>
              <w:rPr>
                <w:b/>
                <w:lang w:val="en-GB"/>
              </w:rPr>
            </w:pPr>
          </w:p>
        </w:tc>
        <w:tc>
          <w:tcPr>
            <w:tcW w:w="1354" w:type="pct"/>
            <w:vAlign w:val="bottom"/>
          </w:tcPr>
          <w:p w:rsidR="001B5CC1" w:rsidRPr="00E45630" w:rsidRDefault="001B5CC1" w:rsidP="005E22C2">
            <w:pPr>
              <w:pStyle w:val="tabletext2"/>
              <w:jc w:val="center"/>
              <w:rPr>
                <w:b/>
                <w:lang w:val="en-GB"/>
              </w:rPr>
            </w:pPr>
            <w:r w:rsidRPr="00E45630">
              <w:rPr>
                <w:b/>
                <w:lang w:val="en-GB"/>
              </w:rPr>
              <w:t>Quinn 2014</w:t>
            </w:r>
          </w:p>
        </w:tc>
      </w:tr>
      <w:tr w:rsidR="001B5CC1" w:rsidRPr="00E45630" w:rsidTr="00201D16">
        <w:trPr>
          <w:trHeight w:val="113"/>
        </w:trPr>
        <w:tc>
          <w:tcPr>
            <w:tcW w:w="673" w:type="pct"/>
            <w:tcBorders>
              <w:top w:val="nil"/>
              <w:bottom w:val="nil"/>
            </w:tcBorders>
            <w:shd w:val="clear" w:color="auto" w:fill="auto"/>
            <w:noWrap/>
            <w:vAlign w:val="bottom"/>
            <w:hideMark/>
          </w:tcPr>
          <w:p w:rsidR="001B5CC1" w:rsidRPr="00E45630" w:rsidRDefault="001B5CC1" w:rsidP="005E22C2">
            <w:pPr>
              <w:pStyle w:val="tabletext2"/>
              <w:rPr>
                <w:lang w:val="en-GB"/>
              </w:rPr>
            </w:pPr>
            <w:r w:rsidRPr="00E45630">
              <w:rPr>
                <w:b/>
                <w:lang w:val="en-GB"/>
              </w:rPr>
              <w:t>VE (95% CI)</w:t>
            </w:r>
          </w:p>
        </w:tc>
        <w:tc>
          <w:tcPr>
            <w:tcW w:w="2802" w:type="pct"/>
            <w:gridSpan w:val="2"/>
            <w:tcBorders>
              <w:right w:val="nil"/>
            </w:tcBorders>
            <w:vAlign w:val="bottom"/>
          </w:tcPr>
          <w:p w:rsidR="001B5CC1" w:rsidRPr="00E45630" w:rsidRDefault="001B5CC1" w:rsidP="005E22C2">
            <w:pPr>
              <w:pStyle w:val="tabletext2"/>
              <w:jc w:val="center"/>
              <w:rPr>
                <w:b/>
                <w:lang w:val="en-GB"/>
              </w:rPr>
            </w:pPr>
            <w:r w:rsidRPr="00E45630">
              <w:rPr>
                <w:b/>
                <w:lang w:val="en-GB"/>
              </w:rPr>
              <w:t>Cross-sectional</w:t>
            </w:r>
          </w:p>
        </w:tc>
        <w:tc>
          <w:tcPr>
            <w:tcW w:w="171" w:type="pct"/>
            <w:tcBorders>
              <w:left w:val="nil"/>
            </w:tcBorders>
            <w:vAlign w:val="bottom"/>
          </w:tcPr>
          <w:p w:rsidR="001B5CC1" w:rsidRPr="00E45630" w:rsidRDefault="001B5CC1" w:rsidP="005E22C2">
            <w:pPr>
              <w:pStyle w:val="tabletext2"/>
              <w:jc w:val="center"/>
              <w:rPr>
                <w:b/>
                <w:lang w:val="en-GB"/>
              </w:rPr>
            </w:pPr>
          </w:p>
        </w:tc>
        <w:tc>
          <w:tcPr>
            <w:tcW w:w="1354" w:type="pct"/>
            <w:shd w:val="clear" w:color="auto" w:fill="auto"/>
            <w:noWrap/>
            <w:vAlign w:val="bottom"/>
            <w:hideMark/>
          </w:tcPr>
          <w:p w:rsidR="001B5CC1" w:rsidRPr="00E45630" w:rsidRDefault="001B5CC1" w:rsidP="005E22C2">
            <w:pPr>
              <w:pStyle w:val="tabletext2"/>
              <w:jc w:val="center"/>
              <w:rPr>
                <w:b/>
                <w:lang w:val="en-GB"/>
              </w:rPr>
            </w:pPr>
            <w:r w:rsidRPr="00E45630">
              <w:rPr>
                <w:b/>
                <w:lang w:val="en-GB"/>
              </w:rPr>
              <w:t>Case control</w:t>
            </w:r>
          </w:p>
        </w:tc>
      </w:tr>
      <w:tr w:rsidR="00382220" w:rsidRPr="00E45630" w:rsidTr="00201D16">
        <w:trPr>
          <w:trHeight w:val="113"/>
        </w:trPr>
        <w:tc>
          <w:tcPr>
            <w:tcW w:w="673" w:type="pct"/>
            <w:tcBorders>
              <w:top w:val="nil"/>
            </w:tcBorders>
            <w:shd w:val="clear" w:color="auto" w:fill="auto"/>
            <w:noWrap/>
            <w:vAlign w:val="bottom"/>
            <w:hideMark/>
          </w:tcPr>
          <w:p w:rsidR="00382220" w:rsidRPr="00E45630" w:rsidRDefault="00382220" w:rsidP="005E22C2">
            <w:pPr>
              <w:pStyle w:val="tabletext2"/>
              <w:rPr>
                <w:lang w:val="en-GB"/>
              </w:rPr>
            </w:pPr>
          </w:p>
        </w:tc>
        <w:tc>
          <w:tcPr>
            <w:tcW w:w="1574" w:type="pct"/>
            <w:vAlign w:val="bottom"/>
          </w:tcPr>
          <w:p w:rsidR="00382220" w:rsidRPr="00E45630" w:rsidRDefault="00C45C30" w:rsidP="005E22C2">
            <w:pPr>
              <w:pStyle w:val="tabletext2"/>
              <w:jc w:val="center"/>
              <w:rPr>
                <w:b/>
                <w:lang w:val="en-GB"/>
              </w:rPr>
            </w:pPr>
            <w:r w:rsidRPr="00E45630">
              <w:rPr>
                <w:b/>
                <w:lang w:val="en-GB"/>
              </w:rPr>
              <w:t>18-month booster</w:t>
            </w:r>
          </w:p>
        </w:tc>
        <w:tc>
          <w:tcPr>
            <w:tcW w:w="1399" w:type="pct"/>
            <w:gridSpan w:val="2"/>
            <w:vAlign w:val="bottom"/>
          </w:tcPr>
          <w:p w:rsidR="00382220" w:rsidRPr="00E45630" w:rsidRDefault="00382220" w:rsidP="005E22C2">
            <w:pPr>
              <w:pStyle w:val="tabletext2"/>
              <w:jc w:val="center"/>
              <w:rPr>
                <w:b/>
                <w:lang w:val="en-GB"/>
              </w:rPr>
            </w:pPr>
            <w:r w:rsidRPr="00E45630">
              <w:rPr>
                <w:b/>
                <w:lang w:val="en-GB"/>
              </w:rPr>
              <w:t>No booster</w:t>
            </w:r>
          </w:p>
        </w:tc>
        <w:tc>
          <w:tcPr>
            <w:tcW w:w="1354" w:type="pct"/>
            <w:shd w:val="clear" w:color="auto" w:fill="auto"/>
            <w:noWrap/>
            <w:vAlign w:val="bottom"/>
            <w:hideMark/>
          </w:tcPr>
          <w:p w:rsidR="00382220" w:rsidRPr="00E45630" w:rsidRDefault="00382220" w:rsidP="005E22C2">
            <w:pPr>
              <w:pStyle w:val="tabletext2"/>
              <w:jc w:val="center"/>
              <w:rPr>
                <w:b/>
                <w:lang w:val="en-GB"/>
              </w:rPr>
            </w:pPr>
            <w:r w:rsidRPr="00E45630">
              <w:rPr>
                <w:b/>
                <w:lang w:val="en-GB"/>
              </w:rPr>
              <w:t>No booster</w:t>
            </w:r>
          </w:p>
        </w:tc>
      </w:tr>
      <w:tr w:rsidR="00382220" w:rsidRPr="00E45630" w:rsidTr="00201D16">
        <w:trPr>
          <w:trHeight w:val="113"/>
        </w:trPr>
        <w:tc>
          <w:tcPr>
            <w:tcW w:w="673" w:type="pct"/>
            <w:shd w:val="clear" w:color="auto" w:fill="auto"/>
            <w:noWrap/>
            <w:vAlign w:val="bottom"/>
          </w:tcPr>
          <w:p w:rsidR="00382220" w:rsidRPr="00E45630" w:rsidRDefault="00382220" w:rsidP="005E22C2">
            <w:pPr>
              <w:pStyle w:val="tabletext2"/>
              <w:rPr>
                <w:lang w:val="en-GB"/>
              </w:rPr>
            </w:pPr>
            <w:r w:rsidRPr="00E45630">
              <w:rPr>
                <w:lang w:val="en-GB"/>
              </w:rPr>
              <w:t>1 year</w:t>
            </w:r>
          </w:p>
        </w:tc>
        <w:tc>
          <w:tcPr>
            <w:tcW w:w="1574" w:type="pct"/>
            <w:vAlign w:val="center"/>
          </w:tcPr>
          <w:p w:rsidR="00382220" w:rsidRPr="00E45630" w:rsidRDefault="00382220" w:rsidP="005E22C2">
            <w:pPr>
              <w:pStyle w:val="tabletext2"/>
              <w:jc w:val="center"/>
              <w:rPr>
                <w:lang w:val="en-GB"/>
              </w:rPr>
            </w:pPr>
            <w:r w:rsidRPr="00E45630">
              <w:rPr>
                <w:lang w:val="en-GB"/>
              </w:rPr>
              <w:t>NR</w:t>
            </w:r>
          </w:p>
        </w:tc>
        <w:tc>
          <w:tcPr>
            <w:tcW w:w="1399" w:type="pct"/>
            <w:gridSpan w:val="2"/>
            <w:vAlign w:val="center"/>
          </w:tcPr>
          <w:p w:rsidR="00382220" w:rsidRPr="00E45630" w:rsidRDefault="00382220" w:rsidP="005E22C2">
            <w:pPr>
              <w:pStyle w:val="tabletext2"/>
              <w:jc w:val="center"/>
              <w:rPr>
                <w:lang w:val="en-GB"/>
              </w:rPr>
            </w:pPr>
            <w:r w:rsidRPr="00E45630">
              <w:rPr>
                <w:lang w:val="en-GB"/>
              </w:rPr>
              <w:t>NR</w:t>
            </w:r>
          </w:p>
        </w:tc>
        <w:tc>
          <w:tcPr>
            <w:tcW w:w="1354" w:type="pct"/>
            <w:shd w:val="clear" w:color="auto" w:fill="auto"/>
            <w:noWrap/>
            <w:vAlign w:val="center"/>
          </w:tcPr>
          <w:p w:rsidR="00382220" w:rsidRPr="00E45630" w:rsidRDefault="00382220" w:rsidP="005E22C2">
            <w:pPr>
              <w:pStyle w:val="tabletext2"/>
              <w:jc w:val="center"/>
              <w:rPr>
                <w:lang w:val="en-GB"/>
              </w:rPr>
            </w:pPr>
            <w:r w:rsidRPr="00E45630">
              <w:rPr>
                <w:lang w:val="en-GB"/>
              </w:rPr>
              <w:t>79.2% (75.0, 82.8)</w:t>
            </w:r>
          </w:p>
        </w:tc>
      </w:tr>
      <w:tr w:rsidR="00382220" w:rsidRPr="00E45630" w:rsidTr="00201D16">
        <w:trPr>
          <w:trHeight w:val="113"/>
        </w:trPr>
        <w:tc>
          <w:tcPr>
            <w:tcW w:w="673" w:type="pct"/>
            <w:shd w:val="clear" w:color="auto" w:fill="auto"/>
            <w:noWrap/>
            <w:vAlign w:val="bottom"/>
            <w:hideMark/>
          </w:tcPr>
          <w:p w:rsidR="00382220" w:rsidRPr="00E45630" w:rsidRDefault="00382220" w:rsidP="005E22C2">
            <w:pPr>
              <w:pStyle w:val="tabletext2"/>
              <w:rPr>
                <w:lang w:val="en-GB"/>
              </w:rPr>
            </w:pPr>
            <w:r w:rsidRPr="00E45630">
              <w:rPr>
                <w:lang w:val="en-GB"/>
              </w:rPr>
              <w:t>2 year</w:t>
            </w:r>
          </w:p>
        </w:tc>
        <w:tc>
          <w:tcPr>
            <w:tcW w:w="1574" w:type="pct"/>
            <w:vAlign w:val="center"/>
          </w:tcPr>
          <w:p w:rsidR="00382220" w:rsidRPr="00E45630" w:rsidRDefault="00382220" w:rsidP="005E22C2">
            <w:pPr>
              <w:pStyle w:val="tabletext2"/>
              <w:jc w:val="center"/>
              <w:rPr>
                <w:b/>
                <w:lang w:val="en-GB"/>
              </w:rPr>
            </w:pPr>
            <w:r w:rsidRPr="00E45630">
              <w:rPr>
                <w:b/>
                <w:lang w:val="en-GB"/>
              </w:rPr>
              <w:t>88% (81.6, 92.1)</w:t>
            </w:r>
          </w:p>
        </w:tc>
        <w:tc>
          <w:tcPr>
            <w:tcW w:w="1399" w:type="pct"/>
            <w:gridSpan w:val="2"/>
            <w:vAlign w:val="center"/>
          </w:tcPr>
          <w:p w:rsidR="00382220" w:rsidRPr="00E45630" w:rsidRDefault="00382220" w:rsidP="005E22C2">
            <w:pPr>
              <w:pStyle w:val="tabletext2"/>
              <w:jc w:val="center"/>
              <w:rPr>
                <w:b/>
                <w:lang w:val="en-GB"/>
              </w:rPr>
            </w:pPr>
            <w:r w:rsidRPr="00E45630">
              <w:rPr>
                <w:lang w:val="en-GB"/>
              </w:rPr>
              <w:t>78% (73.0, 81.6)</w:t>
            </w:r>
          </w:p>
        </w:tc>
        <w:tc>
          <w:tcPr>
            <w:tcW w:w="1354" w:type="pct"/>
            <w:shd w:val="clear" w:color="auto" w:fill="auto"/>
            <w:noWrap/>
            <w:vAlign w:val="center"/>
            <w:hideMark/>
          </w:tcPr>
          <w:p w:rsidR="00382220" w:rsidRPr="00E45630" w:rsidRDefault="00382220" w:rsidP="005E22C2">
            <w:pPr>
              <w:pStyle w:val="tabletext2"/>
              <w:jc w:val="center"/>
              <w:rPr>
                <w:b/>
                <w:lang w:val="en-GB"/>
              </w:rPr>
            </w:pPr>
            <w:r w:rsidRPr="00E45630">
              <w:rPr>
                <w:b/>
                <w:lang w:val="en-GB"/>
              </w:rPr>
              <w:t>70.7% (64.5, 75.8)</w:t>
            </w:r>
          </w:p>
        </w:tc>
      </w:tr>
      <w:tr w:rsidR="00382220" w:rsidRPr="00E45630" w:rsidTr="00201D16">
        <w:trPr>
          <w:trHeight w:val="113"/>
        </w:trPr>
        <w:tc>
          <w:tcPr>
            <w:tcW w:w="673" w:type="pct"/>
            <w:shd w:val="clear" w:color="auto" w:fill="auto"/>
            <w:noWrap/>
            <w:vAlign w:val="bottom"/>
            <w:hideMark/>
          </w:tcPr>
          <w:p w:rsidR="00382220" w:rsidRPr="00E45630" w:rsidRDefault="00382220" w:rsidP="005E22C2">
            <w:pPr>
              <w:pStyle w:val="tabletext2"/>
              <w:rPr>
                <w:lang w:val="en-GB"/>
              </w:rPr>
            </w:pPr>
            <w:r w:rsidRPr="00E45630">
              <w:rPr>
                <w:lang w:val="en-GB"/>
              </w:rPr>
              <w:t>3 year</w:t>
            </w:r>
          </w:p>
        </w:tc>
        <w:tc>
          <w:tcPr>
            <w:tcW w:w="1574" w:type="pct"/>
            <w:vAlign w:val="center"/>
          </w:tcPr>
          <w:p w:rsidR="00382220" w:rsidRPr="00E45630" w:rsidRDefault="00382220" w:rsidP="005E22C2">
            <w:pPr>
              <w:pStyle w:val="tabletext2"/>
              <w:jc w:val="center"/>
              <w:rPr>
                <w:b/>
                <w:lang w:val="en-GB"/>
              </w:rPr>
            </w:pPr>
            <w:r w:rsidRPr="00E45630">
              <w:rPr>
                <w:lang w:val="en-GB"/>
              </w:rPr>
              <w:t>89% (85.0, 92.1)</w:t>
            </w:r>
          </w:p>
        </w:tc>
        <w:tc>
          <w:tcPr>
            <w:tcW w:w="1399" w:type="pct"/>
            <w:gridSpan w:val="2"/>
            <w:vAlign w:val="center"/>
          </w:tcPr>
          <w:p w:rsidR="00382220" w:rsidRPr="00E45630" w:rsidRDefault="00382220" w:rsidP="005E22C2">
            <w:pPr>
              <w:pStyle w:val="tabletext2"/>
              <w:jc w:val="center"/>
              <w:rPr>
                <w:b/>
                <w:lang w:val="en-GB"/>
              </w:rPr>
            </w:pPr>
            <w:r w:rsidRPr="00E45630">
              <w:rPr>
                <w:lang w:val="en-GB"/>
              </w:rPr>
              <w:t>72% (66.4, 76.7)</w:t>
            </w:r>
          </w:p>
        </w:tc>
        <w:tc>
          <w:tcPr>
            <w:tcW w:w="1354" w:type="pct"/>
            <w:shd w:val="clear" w:color="auto" w:fill="auto"/>
            <w:noWrap/>
            <w:vAlign w:val="center"/>
            <w:hideMark/>
          </w:tcPr>
          <w:p w:rsidR="00382220" w:rsidRPr="00E45630" w:rsidRDefault="00382220" w:rsidP="005E22C2">
            <w:pPr>
              <w:pStyle w:val="tabletext2"/>
              <w:jc w:val="center"/>
              <w:rPr>
                <w:b/>
                <w:lang w:val="en-GB"/>
              </w:rPr>
            </w:pPr>
            <w:r w:rsidRPr="00E45630">
              <w:rPr>
                <w:b/>
                <w:lang w:val="en-GB"/>
              </w:rPr>
              <w:t>59.2% (51.0, 66.0)</w:t>
            </w:r>
          </w:p>
        </w:tc>
      </w:tr>
      <w:tr w:rsidR="00382220" w:rsidRPr="00E45630" w:rsidTr="00201D16">
        <w:trPr>
          <w:trHeight w:val="113"/>
        </w:trPr>
        <w:tc>
          <w:tcPr>
            <w:tcW w:w="673" w:type="pct"/>
            <w:shd w:val="clear" w:color="auto" w:fill="auto"/>
            <w:noWrap/>
            <w:vAlign w:val="bottom"/>
          </w:tcPr>
          <w:p w:rsidR="00382220" w:rsidRPr="00E45630" w:rsidRDefault="00382220" w:rsidP="005E22C2">
            <w:pPr>
              <w:pStyle w:val="tabletext2"/>
              <w:rPr>
                <w:lang w:val="en-GB"/>
              </w:rPr>
            </w:pPr>
            <w:r w:rsidRPr="00E45630">
              <w:rPr>
                <w:lang w:val="en-GB"/>
              </w:rPr>
              <w:t>4 year</w:t>
            </w:r>
          </w:p>
        </w:tc>
        <w:tc>
          <w:tcPr>
            <w:tcW w:w="1574" w:type="pct"/>
            <w:vAlign w:val="center"/>
          </w:tcPr>
          <w:p w:rsidR="00382220" w:rsidRPr="00E45630" w:rsidRDefault="00382220" w:rsidP="005E22C2">
            <w:pPr>
              <w:pStyle w:val="tabletext2"/>
              <w:jc w:val="center"/>
              <w:rPr>
                <w:lang w:val="en-GB"/>
              </w:rPr>
            </w:pPr>
            <w:r w:rsidRPr="00E45630">
              <w:rPr>
                <w:lang w:val="en-GB"/>
              </w:rPr>
              <w:t>87% (82.0, 91.2)</w:t>
            </w:r>
          </w:p>
        </w:tc>
        <w:tc>
          <w:tcPr>
            <w:tcW w:w="1399" w:type="pct"/>
            <w:gridSpan w:val="2"/>
            <w:vAlign w:val="center"/>
          </w:tcPr>
          <w:p w:rsidR="00382220" w:rsidRPr="00E45630" w:rsidRDefault="00382220" w:rsidP="005E22C2">
            <w:pPr>
              <w:pStyle w:val="tabletext2"/>
              <w:jc w:val="center"/>
              <w:rPr>
                <w:lang w:val="en-GB"/>
              </w:rPr>
            </w:pPr>
            <w:r w:rsidRPr="00E45630">
              <w:rPr>
                <w:lang w:val="en-GB"/>
              </w:rPr>
              <w:t>86% (82.9, 88.2)</w:t>
            </w:r>
          </w:p>
        </w:tc>
        <w:tc>
          <w:tcPr>
            <w:tcW w:w="1354" w:type="pct"/>
            <w:shd w:val="clear" w:color="auto" w:fill="auto"/>
            <w:noWrap/>
            <w:vAlign w:val="center"/>
          </w:tcPr>
          <w:p w:rsidR="00382220" w:rsidRPr="00E45630" w:rsidRDefault="00382220" w:rsidP="005E22C2">
            <w:pPr>
              <w:pStyle w:val="tabletext2"/>
              <w:jc w:val="center"/>
              <w:rPr>
                <w:lang w:val="en-GB"/>
              </w:rPr>
            </w:pPr>
            <w:r w:rsidRPr="00E45630">
              <w:rPr>
                <w:lang w:val="en-GB"/>
              </w:rPr>
              <w:t>NR</w:t>
            </w:r>
          </w:p>
        </w:tc>
      </w:tr>
    </w:tbl>
    <w:p w:rsidR="00382220" w:rsidRPr="00E45630" w:rsidRDefault="00382220" w:rsidP="00382220">
      <w:pPr>
        <w:pStyle w:val="TableFooter"/>
        <w:ind w:left="720"/>
      </w:pPr>
      <w:r w:rsidRPr="00E45630">
        <w:t>Source: Table B.17 and B.18, ppB-48 to B-49 of the submission</w:t>
      </w:r>
    </w:p>
    <w:p w:rsidR="00382220" w:rsidRPr="00E45630" w:rsidRDefault="00382220" w:rsidP="00382220">
      <w:pPr>
        <w:pStyle w:val="TableFooter"/>
        <w:ind w:left="720"/>
      </w:pPr>
      <w:r w:rsidRPr="00E45630">
        <w:t xml:space="preserve">VE = vaccine effectiveness; CI = confidence interval; NR = not reported; </w:t>
      </w:r>
      <w:r w:rsidRPr="00E45630">
        <w:rPr>
          <w:b/>
        </w:rPr>
        <w:t xml:space="preserve">bold </w:t>
      </w:r>
      <w:r w:rsidRPr="00E45630">
        <w:t>= values used in the economic model</w:t>
      </w:r>
    </w:p>
    <w:p w:rsidR="00382220" w:rsidRPr="00E45630" w:rsidRDefault="00382220" w:rsidP="00382220">
      <w:pPr>
        <w:widowControl/>
        <w:rPr>
          <w:szCs w:val="22"/>
        </w:rPr>
      </w:pPr>
    </w:p>
    <w:p w:rsidR="00382220" w:rsidRPr="00E45630" w:rsidRDefault="00382220" w:rsidP="00081EEC">
      <w:pPr>
        <w:pStyle w:val="ListParagraph"/>
        <w:widowControl/>
        <w:numPr>
          <w:ilvl w:val="1"/>
          <w:numId w:val="3"/>
        </w:numPr>
      </w:pPr>
      <w:r w:rsidRPr="00E45630">
        <w:t xml:space="preserve">Quinn (2014) reported vaccine effectiveness without the </w:t>
      </w:r>
      <w:r w:rsidR="00C45C30" w:rsidRPr="00E45630">
        <w:t>18-month booster</w:t>
      </w:r>
      <w:r w:rsidRPr="00E45630">
        <w:t xml:space="preserve"> dose. Quinn (2014) notes a reduction in vaccine effectiveness from 1 to 3 </w:t>
      </w:r>
      <w:r w:rsidR="00F76A26" w:rsidRPr="00E45630">
        <w:t>years;</w:t>
      </w:r>
      <w:r w:rsidRPr="00E45630">
        <w:t xml:space="preserve"> however</w:t>
      </w:r>
      <w:r w:rsidR="00BE43F1">
        <w:t>,</w:t>
      </w:r>
      <w:r w:rsidRPr="00E45630">
        <w:t xml:space="preserve"> hospitalisation cases for the target population (2-3 year) were not reported. Quinn </w:t>
      </w:r>
      <w:r w:rsidR="0076563A" w:rsidRPr="00E45630">
        <w:t>(</w:t>
      </w:r>
      <w:r w:rsidRPr="00E45630">
        <w:t>2014</w:t>
      </w:r>
      <w:r w:rsidR="0076563A" w:rsidRPr="00E45630">
        <w:t>)</w:t>
      </w:r>
      <w:r w:rsidRPr="00E45630">
        <w:t xml:space="preserve"> does not provide effectiveness of </w:t>
      </w:r>
      <w:r w:rsidR="00E7443E">
        <w:t xml:space="preserve">the </w:t>
      </w:r>
      <w:r w:rsidR="00C45C30" w:rsidRPr="00E45630">
        <w:t>18-month</w:t>
      </w:r>
      <w:r w:rsidR="00E7443E">
        <w:t xml:space="preserve"> booster</w:t>
      </w:r>
      <w:r w:rsidRPr="00E45630">
        <w:t>, and therefore could be seen as providing evidence for the comparator arm only.</w:t>
      </w:r>
    </w:p>
    <w:p w:rsidR="00382220" w:rsidRPr="00E45630" w:rsidRDefault="00382220" w:rsidP="00116D68">
      <w:pPr>
        <w:pStyle w:val="ListParagraph"/>
        <w:widowControl/>
      </w:pPr>
    </w:p>
    <w:p w:rsidR="00591DF9" w:rsidRPr="00E45630" w:rsidRDefault="00E032F9" w:rsidP="00081EEC">
      <w:pPr>
        <w:pStyle w:val="ListParagraph"/>
        <w:widowControl/>
        <w:numPr>
          <w:ilvl w:val="1"/>
          <w:numId w:val="3"/>
        </w:numPr>
      </w:pPr>
      <w:r w:rsidRPr="00E45630">
        <w:t xml:space="preserve">Given the limited information available from </w:t>
      </w:r>
      <w:r w:rsidR="00382220" w:rsidRPr="00E45630">
        <w:t>Quinn (2011)</w:t>
      </w:r>
      <w:r w:rsidR="004B032B" w:rsidRPr="00E45630">
        <w:t xml:space="preserve">, </w:t>
      </w:r>
      <w:r w:rsidRPr="00E45630">
        <w:t>t</w:t>
      </w:r>
      <w:r w:rsidR="00382220" w:rsidRPr="00E45630">
        <w:t>he methodology by which vaccine effectiveness was calculated has not been made clear, and the reporting of the results is minimal to verify whether the vaccine effectiveness values</w:t>
      </w:r>
      <w:r w:rsidR="0076563A" w:rsidRPr="00E45630">
        <w:t xml:space="preserve"> are</w:t>
      </w:r>
      <w:r w:rsidR="00382220" w:rsidRPr="00E45630">
        <w:t xml:space="preserve"> reasonable. While Quinn (2011) did not provide statistical analyses to compare the vaccine effectiveness with and without booster, the point estimates at 2 and 3 years differ, with no overlapping 95% confidence intervals. This suggests that the </w:t>
      </w:r>
      <w:r w:rsidR="00C45C30" w:rsidRPr="00E45630">
        <w:t>18-month booster</w:t>
      </w:r>
      <w:r w:rsidR="00382220" w:rsidRPr="00E45630">
        <w:t xml:space="preserve"> may improve vaccine effectiveness. Quinn (2011) reported that DTPw </w:t>
      </w:r>
      <w:r w:rsidR="0054502D" w:rsidRPr="00E45630">
        <w:t>(</w:t>
      </w:r>
      <w:r w:rsidR="003B6C79" w:rsidRPr="00E45630">
        <w:t xml:space="preserve">including </w:t>
      </w:r>
      <w:r w:rsidR="0054502D" w:rsidRPr="00E45630">
        <w:t xml:space="preserve">whole cell pertussis) </w:t>
      </w:r>
      <w:r w:rsidR="00382220" w:rsidRPr="00E45630">
        <w:t xml:space="preserve">may be more effective against pertussis than DTPa. DTPw was substituted for DTPa </w:t>
      </w:r>
      <w:r w:rsidR="009115FD" w:rsidRPr="00232D69">
        <w:t xml:space="preserve">for all five schedule doses in 1999, </w:t>
      </w:r>
      <w:r w:rsidR="00382220" w:rsidRPr="00232D69">
        <w:t xml:space="preserve">near the time the </w:t>
      </w:r>
      <w:r w:rsidR="00C45C30" w:rsidRPr="00232D69">
        <w:t>18-month booster</w:t>
      </w:r>
      <w:r w:rsidR="00382220" w:rsidRPr="00232D69">
        <w:t xml:space="preserve"> was removed</w:t>
      </w:r>
      <w:r w:rsidR="009115FD" w:rsidRPr="00232D69">
        <w:t xml:space="preserve"> (2003)</w:t>
      </w:r>
      <w:r w:rsidR="00382220" w:rsidRPr="00232D69">
        <w:t xml:space="preserve">. </w:t>
      </w:r>
      <w:r w:rsidR="00382220" w:rsidRPr="00E45630">
        <w:t xml:space="preserve">This represents a possible confounding variable for the key comparison from Quinn (2011). Vaccine effectiveness for children who received </w:t>
      </w:r>
      <w:r w:rsidR="00F76A26" w:rsidRPr="00E45630">
        <w:t>an</w:t>
      </w:r>
      <w:r w:rsidR="00382220" w:rsidRPr="00E45630">
        <w:t xml:space="preserve"> </w:t>
      </w:r>
      <w:r w:rsidR="00C45C30" w:rsidRPr="00E45630">
        <w:t>18-month booster</w:t>
      </w:r>
      <w:r w:rsidR="00382220" w:rsidRPr="00E45630">
        <w:t xml:space="preserve"> </w:t>
      </w:r>
      <w:r w:rsidR="00743E78">
        <w:t>that</w:t>
      </w:r>
      <w:r w:rsidR="00382220" w:rsidRPr="00E45630">
        <w:t xml:space="preserve"> included DTPw was higher than when children only received DTPa (acellular pertussis), with vaccine effectiveness of 91% (95% CI</w:t>
      </w:r>
      <w:r w:rsidR="003A298D" w:rsidRPr="00E45630">
        <w:t>:</w:t>
      </w:r>
      <w:r w:rsidR="00382220" w:rsidRPr="00E45630">
        <w:t xml:space="preserve"> 85.23 to 94.1) compared to 87% (95% CI: 83.8 to 89.6), respectively. However, it is unclear at what time point the vaccine effectiveness was measured.</w:t>
      </w:r>
    </w:p>
    <w:p w:rsidR="004B032B" w:rsidRPr="00E45630" w:rsidRDefault="004B032B" w:rsidP="004B032B">
      <w:pPr>
        <w:pStyle w:val="PBACHeading1"/>
        <w:numPr>
          <w:ilvl w:val="0"/>
          <w:numId w:val="0"/>
        </w:numPr>
        <w:ind w:left="720" w:hanging="720"/>
      </w:pPr>
    </w:p>
    <w:p w:rsidR="003740E3" w:rsidRPr="00E45630" w:rsidRDefault="003740E3" w:rsidP="00081EEC">
      <w:pPr>
        <w:pStyle w:val="ListParagraph"/>
        <w:widowControl/>
        <w:numPr>
          <w:ilvl w:val="1"/>
          <w:numId w:val="3"/>
        </w:numPr>
        <w:ind w:right="135"/>
      </w:pPr>
      <w:r w:rsidRPr="00E45630">
        <w:t xml:space="preserve">The ESC </w:t>
      </w:r>
      <w:r w:rsidR="00650D65" w:rsidRPr="00E45630">
        <w:t xml:space="preserve">accepted that rates of pertussis infection had increased and </w:t>
      </w:r>
      <w:r w:rsidRPr="00E45630">
        <w:t xml:space="preserve">noted the clinical need </w:t>
      </w:r>
      <w:r w:rsidR="00743E78">
        <w:t>for</w:t>
      </w:r>
      <w:r w:rsidRPr="00E45630">
        <w:t xml:space="preserve"> the ‘18-month booster’ but considered that the  vaccine effectiveness of the ‘18-month booster’ compared </w:t>
      </w:r>
      <w:r w:rsidR="007279B5">
        <w:t xml:space="preserve">with </w:t>
      </w:r>
      <w:r w:rsidR="001762CA">
        <w:t>‘</w:t>
      </w:r>
      <w:r w:rsidR="007279B5">
        <w:t>no booster</w:t>
      </w:r>
      <w:r w:rsidR="001762CA">
        <w:t>’</w:t>
      </w:r>
      <w:r w:rsidR="007279B5">
        <w:t xml:space="preserve"> </w:t>
      </w:r>
      <w:r w:rsidRPr="00E45630">
        <w:t>was difficult to quantify</w:t>
      </w:r>
      <w:r w:rsidR="00A1012D">
        <w:t xml:space="preserve"> due, in part, to the following reasons</w:t>
      </w:r>
      <w:r w:rsidRPr="00E45630">
        <w:t>:</w:t>
      </w:r>
    </w:p>
    <w:p w:rsidR="003740E3" w:rsidRPr="00E45630" w:rsidRDefault="003740E3" w:rsidP="00A1012D">
      <w:pPr>
        <w:numPr>
          <w:ilvl w:val="1"/>
          <w:numId w:val="15"/>
        </w:numPr>
        <w:ind w:left="1134" w:right="135" w:hanging="425"/>
        <w:contextualSpacing/>
      </w:pPr>
      <w:r w:rsidRPr="00E45630">
        <w:t>Increasing notifications of pertussis coincided with the introduction of the more sensitive Polymerase Chain Reaction (PCR) diagnostic test</w:t>
      </w:r>
      <w:r w:rsidR="00A1012D">
        <w:t>.</w:t>
      </w:r>
    </w:p>
    <w:p w:rsidR="003740E3" w:rsidRPr="00E45630" w:rsidRDefault="003740E3" w:rsidP="00A1012D">
      <w:pPr>
        <w:numPr>
          <w:ilvl w:val="1"/>
          <w:numId w:val="15"/>
        </w:numPr>
        <w:ind w:left="1134" w:right="135" w:hanging="425"/>
        <w:contextualSpacing/>
      </w:pPr>
      <w:r w:rsidRPr="00E45630">
        <w:lastRenderedPageBreak/>
        <w:t xml:space="preserve">Increasing hospitalisation rates due to pertussis infection mirrors notification </w:t>
      </w:r>
      <w:r w:rsidR="009544BC" w:rsidRPr="00E45630">
        <w:t>rates.</w:t>
      </w:r>
    </w:p>
    <w:p w:rsidR="003740E3" w:rsidRPr="00E45630" w:rsidRDefault="003740E3" w:rsidP="00A1012D">
      <w:pPr>
        <w:numPr>
          <w:ilvl w:val="1"/>
          <w:numId w:val="15"/>
        </w:numPr>
        <w:ind w:left="1134" w:right="135" w:hanging="425"/>
        <w:contextualSpacing/>
      </w:pPr>
      <w:r w:rsidRPr="00E45630">
        <w:t>Under reporting of cases</w:t>
      </w:r>
      <w:r w:rsidR="009115FD" w:rsidRPr="00E45630">
        <w:t xml:space="preserve"> is likely to be significant</w:t>
      </w:r>
      <w:r w:rsidR="00A1012D">
        <w:t>.</w:t>
      </w:r>
    </w:p>
    <w:p w:rsidR="003740E3" w:rsidRPr="00E4716A" w:rsidRDefault="003740E3" w:rsidP="00A1012D">
      <w:pPr>
        <w:numPr>
          <w:ilvl w:val="1"/>
          <w:numId w:val="15"/>
        </w:numPr>
        <w:ind w:left="1134" w:right="135" w:hanging="425"/>
        <w:contextualSpacing/>
      </w:pPr>
      <w:r w:rsidRPr="00E4716A">
        <w:t>Delay in infectious patients seeking medical</w:t>
      </w:r>
      <w:r w:rsidR="00BE4B3C">
        <w:t xml:space="preserve"> attention</w:t>
      </w:r>
      <w:r w:rsidR="002C46F2" w:rsidRPr="00E4716A">
        <w:t>.</w:t>
      </w:r>
    </w:p>
    <w:p w:rsidR="003740E3" w:rsidRPr="00E45630" w:rsidRDefault="003740E3" w:rsidP="00A1012D">
      <w:pPr>
        <w:numPr>
          <w:ilvl w:val="1"/>
          <w:numId w:val="15"/>
        </w:numPr>
        <w:ind w:left="1134" w:right="135" w:hanging="425"/>
        <w:contextualSpacing/>
      </w:pPr>
      <w:r w:rsidRPr="00E45630">
        <w:t xml:space="preserve">The vaccine effectiveness for ‘no booster’ is derived from a case-control study (Quinn 2014). The vaccine effectiveness </w:t>
      </w:r>
      <w:r w:rsidR="00A1012D">
        <w:t>for ‘no booster’ from the cross</w:t>
      </w:r>
      <w:r w:rsidR="00A1012D">
        <w:noBreakHyphen/>
      </w:r>
      <w:r w:rsidRPr="00E45630">
        <w:t xml:space="preserve">sectional data from Quinn (2011) demonstrated higher effectiveness than that presented in Quinn (2014). </w:t>
      </w:r>
      <w:r w:rsidR="00FE565D" w:rsidRPr="00E45630">
        <w:t>Using the vaccine effectiveness for ‘no booster’ from Quinn (2014) may overestimate the vaccine effectiveness of ‘18-month booster’ compared to ‘no booster’.</w:t>
      </w:r>
    </w:p>
    <w:p w:rsidR="003740E3" w:rsidRPr="00E45630" w:rsidRDefault="003740E3" w:rsidP="00A1012D">
      <w:pPr>
        <w:numPr>
          <w:ilvl w:val="1"/>
          <w:numId w:val="15"/>
        </w:numPr>
        <w:ind w:left="1134" w:right="135" w:hanging="425"/>
        <w:contextualSpacing/>
      </w:pPr>
      <w:r w:rsidRPr="00E45630">
        <w:t>The ATAGI post-submission advice noted that while pertussis does not cause severe disease in the majority of the targeted age group (18 months to 4 years of age), this cohort has an important role in overall disease transmission, in particular to vulnerable young infants</w:t>
      </w:r>
      <w:r w:rsidR="00A1012D">
        <w:t>.</w:t>
      </w:r>
    </w:p>
    <w:p w:rsidR="005F6968" w:rsidRPr="00E45630" w:rsidRDefault="005F6968" w:rsidP="005F6968">
      <w:pPr>
        <w:ind w:left="1440" w:right="135"/>
        <w:contextualSpacing/>
      </w:pPr>
    </w:p>
    <w:p w:rsidR="007D091A" w:rsidRPr="00E45630" w:rsidRDefault="00BE28A1" w:rsidP="00081EEC">
      <w:pPr>
        <w:pStyle w:val="ListParagraph"/>
        <w:widowControl/>
        <w:numPr>
          <w:ilvl w:val="1"/>
          <w:numId w:val="3"/>
        </w:numPr>
      </w:pPr>
      <w:r w:rsidRPr="00E45630">
        <w:t xml:space="preserve">The </w:t>
      </w:r>
      <w:r w:rsidR="007504FC">
        <w:t>Pre-Sub-Committee Response (</w:t>
      </w:r>
      <w:r w:rsidRPr="00E45630">
        <w:t>PSCR) argues that the vaccine effectiveness for the ‘no booster’ scenario sourced from Quinn (2014) is the best available evidence. The response notes that Quinn (2014) is referenced in the ATAGI pre</w:t>
      </w:r>
      <w:r w:rsidRPr="00E45630">
        <w:noBreakHyphen/>
        <w:t>submission advice as the primary reference for the vaccine effectiveness and associated waning of the current Australian DTPa schedule and that the model is relatively insensitive to this assumption in any case. The ESC considered that while Quinn (2014) may be the primary reference for vaccine effectiveness and associated waning, it would have been preferable</w:t>
      </w:r>
      <w:r w:rsidR="002777BD" w:rsidRPr="00E45630">
        <w:t xml:space="preserve"> to use comparable data from the same study. </w:t>
      </w:r>
    </w:p>
    <w:p w:rsidR="003E0E9F" w:rsidRPr="00E45630" w:rsidRDefault="003E0E9F" w:rsidP="003E0E9F">
      <w:pPr>
        <w:pStyle w:val="ListParagraph"/>
        <w:widowControl/>
      </w:pPr>
    </w:p>
    <w:p w:rsidR="003E0E9F" w:rsidRPr="00E45630" w:rsidRDefault="003E0E9F" w:rsidP="003E0E9F">
      <w:pPr>
        <w:pStyle w:val="PBACHeading1"/>
        <w:numPr>
          <w:ilvl w:val="0"/>
          <w:numId w:val="0"/>
        </w:numPr>
        <w:ind w:left="720" w:hanging="11"/>
        <w:rPr>
          <w:b w:val="0"/>
          <w:i/>
        </w:rPr>
      </w:pPr>
      <w:r w:rsidRPr="00E45630">
        <w:rPr>
          <w:b w:val="0"/>
          <w:i/>
        </w:rPr>
        <w:t>For more detail on PBAC’s view, see section 7 “PBAC outcome”</w:t>
      </w:r>
    </w:p>
    <w:p w:rsidR="00382220" w:rsidRPr="00E45630" w:rsidRDefault="00382220" w:rsidP="00680DFE">
      <w:pPr>
        <w:pStyle w:val="ListParagraph"/>
        <w:rPr>
          <w:szCs w:val="22"/>
        </w:rPr>
      </w:pPr>
    </w:p>
    <w:p w:rsidR="00382220" w:rsidRPr="00201D16" w:rsidRDefault="00382220" w:rsidP="00201D16">
      <w:pPr>
        <w:rPr>
          <w:b/>
        </w:rPr>
      </w:pPr>
      <w:bookmarkStart w:id="14" w:name="_Toc398033196"/>
      <w:r w:rsidRPr="00201D16">
        <w:rPr>
          <w:b/>
        </w:rPr>
        <w:t>Comparative harms</w:t>
      </w:r>
      <w:bookmarkEnd w:id="14"/>
    </w:p>
    <w:p w:rsidR="00382220" w:rsidRPr="00E45630" w:rsidRDefault="00382220" w:rsidP="00382220">
      <w:pPr>
        <w:ind w:left="720" w:hanging="720"/>
        <w:rPr>
          <w:szCs w:val="22"/>
        </w:rPr>
      </w:pPr>
    </w:p>
    <w:p w:rsidR="00382220" w:rsidRPr="002439D7" w:rsidRDefault="00382220" w:rsidP="00081EEC">
      <w:pPr>
        <w:pStyle w:val="ListParagraph"/>
        <w:widowControl/>
        <w:numPr>
          <w:ilvl w:val="1"/>
          <w:numId w:val="3"/>
        </w:numPr>
        <w:rPr>
          <w:szCs w:val="22"/>
        </w:rPr>
      </w:pPr>
      <w:r w:rsidRPr="00E45630">
        <w:rPr>
          <w:szCs w:val="22"/>
        </w:rPr>
        <w:t xml:space="preserve">The vaccine effectiveness studies did not report adverse events. Localised adverse events associated with the DTPa booster included pain, redness, and swelling. Systemic reactions included fever, drowsiness, fussiness or </w:t>
      </w:r>
      <w:r w:rsidR="0026215E" w:rsidRPr="00E45630">
        <w:rPr>
          <w:szCs w:val="22"/>
        </w:rPr>
        <w:t>irritability</w:t>
      </w:r>
      <w:r w:rsidRPr="00E45630">
        <w:rPr>
          <w:szCs w:val="22"/>
        </w:rPr>
        <w:t xml:space="preserve">, loss of appetite, related rash, and respiratory tract infection. </w:t>
      </w:r>
      <w:r w:rsidR="002C46F2" w:rsidRPr="002439D7">
        <w:rPr>
          <w:szCs w:val="22"/>
        </w:rPr>
        <w:t xml:space="preserve">The </w:t>
      </w:r>
      <w:r w:rsidR="00BE4B3C">
        <w:rPr>
          <w:szCs w:val="22"/>
        </w:rPr>
        <w:t>H</w:t>
      </w:r>
      <w:r w:rsidR="002C46F2" w:rsidRPr="002439D7">
        <w:rPr>
          <w:szCs w:val="22"/>
        </w:rPr>
        <w:t xml:space="preserve">andbook notes that these </w:t>
      </w:r>
      <w:r w:rsidR="002439D7">
        <w:rPr>
          <w:szCs w:val="22"/>
        </w:rPr>
        <w:t xml:space="preserve">reactions </w:t>
      </w:r>
      <w:r w:rsidR="002C46F2" w:rsidRPr="002439D7">
        <w:rPr>
          <w:szCs w:val="22"/>
        </w:rPr>
        <w:t>may be more likely with an 18</w:t>
      </w:r>
      <w:r w:rsidR="002439D7">
        <w:rPr>
          <w:szCs w:val="22"/>
        </w:rPr>
        <w:t>-</w:t>
      </w:r>
      <w:r w:rsidR="002C46F2" w:rsidRPr="002439D7">
        <w:rPr>
          <w:szCs w:val="22"/>
        </w:rPr>
        <w:t>month booster compared to the primary course.</w:t>
      </w:r>
    </w:p>
    <w:p w:rsidR="009246B0" w:rsidRPr="002439D7" w:rsidRDefault="009246B0" w:rsidP="009246B0">
      <w:pPr>
        <w:pStyle w:val="ListParagraph"/>
        <w:widowControl/>
        <w:rPr>
          <w:szCs w:val="22"/>
        </w:rPr>
      </w:pPr>
    </w:p>
    <w:p w:rsidR="009246B0" w:rsidRPr="002439D7" w:rsidRDefault="009246B0" w:rsidP="009246B0">
      <w:pPr>
        <w:pStyle w:val="PBACHeading1"/>
        <w:numPr>
          <w:ilvl w:val="0"/>
          <w:numId w:val="0"/>
        </w:numPr>
        <w:ind w:left="720" w:hanging="11"/>
        <w:rPr>
          <w:b w:val="0"/>
          <w:i/>
        </w:rPr>
      </w:pPr>
      <w:r w:rsidRPr="002439D7">
        <w:rPr>
          <w:b w:val="0"/>
          <w:i/>
        </w:rPr>
        <w:t>For more detail on PBAC’s view, see section 7 “PBAC outcome”</w:t>
      </w:r>
    </w:p>
    <w:p w:rsidR="00382220" w:rsidRPr="00E45630" w:rsidRDefault="00382220" w:rsidP="00382220">
      <w:pPr>
        <w:pStyle w:val="ListParagraph"/>
        <w:ind w:left="0"/>
        <w:rPr>
          <w:szCs w:val="22"/>
        </w:rPr>
      </w:pPr>
    </w:p>
    <w:p w:rsidR="00382220" w:rsidRPr="00201D16" w:rsidRDefault="00382220" w:rsidP="00201D16">
      <w:pPr>
        <w:rPr>
          <w:b/>
        </w:rPr>
      </w:pPr>
      <w:bookmarkStart w:id="15" w:name="_Toc398033197"/>
      <w:r w:rsidRPr="00201D16">
        <w:rPr>
          <w:b/>
        </w:rPr>
        <w:t>Benefits/harms</w:t>
      </w:r>
      <w:bookmarkEnd w:id="15"/>
    </w:p>
    <w:p w:rsidR="00382220" w:rsidRPr="00E45630" w:rsidRDefault="00382220" w:rsidP="00201D16"/>
    <w:p w:rsidR="00B72E37" w:rsidRPr="00DA0AFE" w:rsidRDefault="00382220" w:rsidP="00111053">
      <w:pPr>
        <w:pStyle w:val="ListParagraph"/>
        <w:widowControl/>
        <w:numPr>
          <w:ilvl w:val="1"/>
          <w:numId w:val="3"/>
        </w:numPr>
        <w:rPr>
          <w:szCs w:val="22"/>
        </w:rPr>
      </w:pPr>
      <w:r w:rsidRPr="00E45630">
        <w:rPr>
          <w:szCs w:val="22"/>
        </w:rPr>
        <w:t xml:space="preserve">A summary of the comparative benefits and harms for 18-month DTPa booster vaccination and </w:t>
      </w:r>
      <w:r w:rsidR="0026215E" w:rsidRPr="00E45630">
        <w:rPr>
          <w:szCs w:val="22"/>
        </w:rPr>
        <w:t xml:space="preserve">the </w:t>
      </w:r>
      <w:r w:rsidRPr="00E45630">
        <w:rPr>
          <w:szCs w:val="22"/>
        </w:rPr>
        <w:t xml:space="preserve">no booster </w:t>
      </w:r>
      <w:r w:rsidR="0026215E" w:rsidRPr="00E45630">
        <w:rPr>
          <w:szCs w:val="22"/>
        </w:rPr>
        <w:t>scenario</w:t>
      </w:r>
      <w:r w:rsidRPr="00E45630">
        <w:rPr>
          <w:szCs w:val="22"/>
        </w:rPr>
        <w:t xml:space="preserve">s </w:t>
      </w:r>
      <w:r w:rsidR="002439D7">
        <w:rPr>
          <w:szCs w:val="22"/>
        </w:rPr>
        <w:t xml:space="preserve">is </w:t>
      </w:r>
      <w:r w:rsidRPr="00E45630">
        <w:rPr>
          <w:szCs w:val="22"/>
        </w:rPr>
        <w:t xml:space="preserve">presented in </w:t>
      </w:r>
      <w:r w:rsidR="00237F8A">
        <w:rPr>
          <w:szCs w:val="22"/>
        </w:rPr>
        <w:t>the following table</w:t>
      </w:r>
      <w:r w:rsidR="001B5CC1">
        <w:rPr>
          <w:szCs w:val="22"/>
        </w:rPr>
        <w:t>s</w:t>
      </w:r>
      <w:r w:rsidRPr="00E45630">
        <w:rPr>
          <w:szCs w:val="22"/>
        </w:rPr>
        <w:t xml:space="preserve">. The data were extracted during evaluation from the </w:t>
      </w:r>
      <w:r w:rsidR="00795C1D" w:rsidRPr="00E45630">
        <w:rPr>
          <w:szCs w:val="22"/>
        </w:rPr>
        <w:t xml:space="preserve">revised </w:t>
      </w:r>
      <w:r w:rsidRPr="00E45630">
        <w:rPr>
          <w:szCs w:val="22"/>
        </w:rPr>
        <w:t>economic model.</w:t>
      </w:r>
      <w:r w:rsidR="00111053">
        <w:rPr>
          <w:szCs w:val="22"/>
        </w:rPr>
        <w:t xml:space="preserve"> </w:t>
      </w:r>
      <w:r w:rsidR="00111053" w:rsidRPr="00111053">
        <w:rPr>
          <w:szCs w:val="22"/>
        </w:rPr>
        <w:t xml:space="preserve">The submission did not include any discussion of changes in local adverse events </w:t>
      </w:r>
      <w:r w:rsidR="00111053">
        <w:rPr>
          <w:szCs w:val="22"/>
        </w:rPr>
        <w:t>following the 4 year preschool DTP</w:t>
      </w:r>
      <w:r w:rsidR="00111053" w:rsidRPr="00111053">
        <w:rPr>
          <w:szCs w:val="22"/>
        </w:rPr>
        <w:t>a booster if an 18 month booster is reintroduced.</w:t>
      </w:r>
    </w:p>
    <w:p w:rsidR="00382220" w:rsidRDefault="00382220" w:rsidP="00382220"/>
    <w:p w:rsidR="00DA0AFE" w:rsidRPr="00E45630" w:rsidRDefault="00DA0AFE" w:rsidP="00DA0AFE">
      <w:pPr>
        <w:keepNext/>
        <w:ind w:left="720" w:hanging="11"/>
        <w:rPr>
          <w:rStyle w:val="CommentReference"/>
        </w:rPr>
      </w:pPr>
      <w:r w:rsidRPr="00E45630">
        <w:rPr>
          <w:rStyle w:val="CommentReference"/>
        </w:rPr>
        <w:lastRenderedPageBreak/>
        <w:t xml:space="preserve">Summary of comparative benefits </w:t>
      </w:r>
      <w:r>
        <w:rPr>
          <w:rStyle w:val="CommentReference"/>
        </w:rPr>
        <w:t xml:space="preserve">(pertussis cases) </w:t>
      </w:r>
      <w:r w:rsidRPr="00E45630">
        <w:rPr>
          <w:rStyle w:val="CommentReference"/>
        </w:rPr>
        <w:t xml:space="preserve">for 18 months DTPa booster vs. no booster </w:t>
      </w:r>
      <w:r>
        <w:rPr>
          <w:rStyle w:val="CommentReference"/>
        </w:rPr>
        <w:t xml:space="preserve">for the whole Australian population (23,129,218) </w:t>
      </w:r>
      <w:r w:rsidRPr="00E45630">
        <w:rPr>
          <w:rStyle w:val="CommentReference"/>
        </w:rPr>
        <w:t xml:space="preserve">– derived from the </w:t>
      </w:r>
      <w:r w:rsidRPr="00F111AE">
        <w:rPr>
          <w:rStyle w:val="CommentReference"/>
        </w:rPr>
        <w:t>revised base-case (ESC)</w:t>
      </w:r>
      <w:r w:rsidRPr="00E45630">
        <w:rPr>
          <w:rStyle w:val="CommentReference"/>
        </w:rPr>
        <w:t xml:space="preserve"> economic model </w:t>
      </w:r>
    </w:p>
    <w:tbl>
      <w:tblPr>
        <w:tblStyle w:val="TableGrid"/>
        <w:tblW w:w="4594" w:type="pct"/>
        <w:tblInd w:w="737" w:type="dxa"/>
        <w:tblLayout w:type="fixed"/>
        <w:tblCellMar>
          <w:left w:w="28" w:type="dxa"/>
          <w:right w:w="28" w:type="dxa"/>
        </w:tblCellMar>
        <w:tblLook w:val="04A0" w:firstRow="1" w:lastRow="0" w:firstColumn="1" w:lastColumn="0" w:noHBand="0" w:noVBand="1"/>
      </w:tblPr>
      <w:tblGrid>
        <w:gridCol w:w="990"/>
        <w:gridCol w:w="845"/>
        <w:gridCol w:w="846"/>
        <w:gridCol w:w="1138"/>
        <w:gridCol w:w="995"/>
        <w:gridCol w:w="998"/>
        <w:gridCol w:w="1280"/>
        <w:gridCol w:w="1253"/>
      </w:tblGrid>
      <w:tr w:rsidR="00DA0AFE" w:rsidRPr="00E45630" w:rsidTr="00E36257">
        <w:trPr>
          <w:cantSplit/>
          <w:trHeight w:val="150"/>
          <w:tblHeader/>
        </w:trPr>
        <w:tc>
          <w:tcPr>
            <w:tcW w:w="593" w:type="pct"/>
            <w:vMerge w:val="restart"/>
            <w:shd w:val="clear" w:color="auto" w:fill="auto"/>
            <w:vAlign w:val="center"/>
          </w:tcPr>
          <w:p w:rsidR="00DA0AFE" w:rsidRPr="00E45630" w:rsidRDefault="001B5CC1" w:rsidP="00E36257">
            <w:pPr>
              <w:keepNext/>
              <w:jc w:val="center"/>
              <w:rPr>
                <w:rFonts w:ascii="Arial Narrow" w:hAnsi="Arial Narrow"/>
                <w:b/>
                <w:color w:val="000000"/>
                <w:sz w:val="20"/>
                <w:szCs w:val="18"/>
              </w:rPr>
            </w:pPr>
            <w:r>
              <w:rPr>
                <w:rFonts w:ascii="Arial Narrow" w:hAnsi="Arial Narrow"/>
                <w:b/>
                <w:color w:val="000000"/>
                <w:sz w:val="20"/>
                <w:szCs w:val="18"/>
              </w:rPr>
              <w:t>Pertussis cases</w:t>
            </w:r>
          </w:p>
        </w:tc>
        <w:tc>
          <w:tcPr>
            <w:tcW w:w="506"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18 m</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booster</w:t>
            </w:r>
          </w:p>
        </w:tc>
        <w:tc>
          <w:tcPr>
            <w:tcW w:w="507"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No</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booster</w:t>
            </w:r>
          </w:p>
        </w:tc>
        <w:tc>
          <w:tcPr>
            <w:tcW w:w="682"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RR</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(95% CI)</w:t>
            </w:r>
          </w:p>
        </w:tc>
        <w:tc>
          <w:tcPr>
            <w:tcW w:w="1194" w:type="pct"/>
            <w:gridSpan w:val="2"/>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Event rate/100,000 patients/year</w:t>
            </w:r>
          </w:p>
        </w:tc>
        <w:tc>
          <w:tcPr>
            <w:tcW w:w="767"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RD</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(95% CI)</w:t>
            </w:r>
          </w:p>
        </w:tc>
        <w:tc>
          <w:tcPr>
            <w:tcW w:w="751"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NNT</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(95% CI)</w:t>
            </w:r>
          </w:p>
        </w:tc>
      </w:tr>
      <w:tr w:rsidR="00DA0AFE" w:rsidRPr="00E45630" w:rsidTr="00E36257">
        <w:trPr>
          <w:cantSplit/>
          <w:trHeight w:val="315"/>
          <w:tblHeader/>
        </w:trPr>
        <w:tc>
          <w:tcPr>
            <w:tcW w:w="593" w:type="pct"/>
            <w:vMerge/>
            <w:tcBorders>
              <w:bottom w:val="single" w:sz="4" w:space="0" w:color="auto"/>
            </w:tcBorders>
            <w:shd w:val="clear" w:color="auto" w:fill="auto"/>
            <w:vAlign w:val="center"/>
          </w:tcPr>
          <w:p w:rsidR="00DA0AFE" w:rsidRPr="00E45630" w:rsidRDefault="00DA0AFE" w:rsidP="00E36257">
            <w:pPr>
              <w:keepNext/>
              <w:jc w:val="center"/>
              <w:rPr>
                <w:rFonts w:ascii="Arial Narrow" w:hAnsi="Arial Narrow"/>
                <w:b/>
                <w:color w:val="000000"/>
                <w:sz w:val="20"/>
                <w:szCs w:val="18"/>
              </w:rPr>
            </w:pPr>
          </w:p>
        </w:tc>
        <w:tc>
          <w:tcPr>
            <w:tcW w:w="506"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c>
          <w:tcPr>
            <w:tcW w:w="507"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c>
          <w:tcPr>
            <w:tcW w:w="682"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c>
          <w:tcPr>
            <w:tcW w:w="596" w:type="pct"/>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18-m booster</w:t>
            </w:r>
          </w:p>
        </w:tc>
        <w:tc>
          <w:tcPr>
            <w:tcW w:w="598" w:type="pct"/>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No booster</w:t>
            </w:r>
          </w:p>
        </w:tc>
        <w:tc>
          <w:tcPr>
            <w:tcW w:w="767"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c>
          <w:tcPr>
            <w:tcW w:w="751"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r>
      <w:tr w:rsidR="00DA0AFE" w:rsidRPr="00E45630" w:rsidTr="00E36257">
        <w:trPr>
          <w:cantSplit/>
        </w:trPr>
        <w:tc>
          <w:tcPr>
            <w:tcW w:w="593" w:type="pct"/>
            <w:shd w:val="clear" w:color="auto" w:fill="auto"/>
            <w:vAlign w:val="center"/>
          </w:tcPr>
          <w:p w:rsidR="00DA0AFE" w:rsidRPr="00E45630" w:rsidRDefault="00DA0AFE" w:rsidP="001B5CC1">
            <w:pPr>
              <w:keepNext/>
              <w:jc w:val="center"/>
              <w:rPr>
                <w:rFonts w:ascii="Arial Narrow" w:hAnsi="Arial Narrow"/>
                <w:color w:val="000000"/>
                <w:sz w:val="20"/>
                <w:szCs w:val="18"/>
              </w:rPr>
            </w:pPr>
            <w:r w:rsidRPr="00E45630">
              <w:rPr>
                <w:rFonts w:ascii="Arial Narrow" w:hAnsi="Arial Narrow"/>
                <w:color w:val="000000"/>
                <w:sz w:val="20"/>
                <w:szCs w:val="18"/>
              </w:rPr>
              <w:t>Non-notified</w:t>
            </w:r>
            <w:r w:rsidR="001B5CC1">
              <w:rPr>
                <w:rFonts w:ascii="Arial Narrow" w:hAnsi="Arial Narrow"/>
                <w:color w:val="000000"/>
                <w:sz w:val="20"/>
                <w:szCs w:val="18"/>
              </w:rPr>
              <w:t xml:space="preserve"> </w:t>
            </w:r>
          </w:p>
        </w:tc>
        <w:tc>
          <w:tcPr>
            <w:tcW w:w="506" w:type="pct"/>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606,423</w:t>
            </w:r>
          </w:p>
        </w:tc>
        <w:tc>
          <w:tcPr>
            <w:tcW w:w="507" w:type="pct"/>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667,082</w:t>
            </w:r>
          </w:p>
        </w:tc>
        <w:tc>
          <w:tcPr>
            <w:tcW w:w="682" w:type="pct"/>
            <w:vAlign w:val="center"/>
          </w:tcPr>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0.91</w:t>
            </w:r>
          </w:p>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(0.91, 0.91)</w:t>
            </w:r>
          </w:p>
        </w:tc>
        <w:tc>
          <w:tcPr>
            <w:tcW w:w="596" w:type="pct"/>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2,622</w:t>
            </w:r>
          </w:p>
        </w:tc>
        <w:tc>
          <w:tcPr>
            <w:tcW w:w="598" w:type="pct"/>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2,884</w:t>
            </w:r>
          </w:p>
        </w:tc>
        <w:tc>
          <w:tcPr>
            <w:tcW w:w="767" w:type="pct"/>
            <w:vAlign w:val="center"/>
          </w:tcPr>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-0.26%</w:t>
            </w:r>
          </w:p>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(-0.27, -0.25)</w:t>
            </w:r>
          </w:p>
        </w:tc>
        <w:tc>
          <w:tcPr>
            <w:tcW w:w="751" w:type="pct"/>
            <w:vAlign w:val="center"/>
          </w:tcPr>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381</w:t>
            </w:r>
          </w:p>
          <w:p w:rsidR="00DA0AFE" w:rsidRPr="00E45630" w:rsidDel="003F4FA0" w:rsidRDefault="00DA0AFE" w:rsidP="00E36257">
            <w:pPr>
              <w:keepNext/>
              <w:jc w:val="center"/>
              <w:rPr>
                <w:rFonts w:ascii="Arial Narrow" w:hAnsi="Arial Narrow"/>
                <w:b/>
                <w:color w:val="000000"/>
                <w:sz w:val="20"/>
              </w:rPr>
            </w:pPr>
            <w:r w:rsidRPr="00E45630">
              <w:rPr>
                <w:rFonts w:ascii="Arial Narrow" w:hAnsi="Arial Narrow"/>
                <w:b/>
                <w:color w:val="000000"/>
                <w:sz w:val="20"/>
              </w:rPr>
              <w:t>(368, 396)</w:t>
            </w:r>
          </w:p>
        </w:tc>
      </w:tr>
      <w:tr w:rsidR="00DA0AFE" w:rsidRPr="00E45630" w:rsidTr="00E36257">
        <w:trPr>
          <w:cantSplit/>
        </w:trPr>
        <w:tc>
          <w:tcPr>
            <w:tcW w:w="593" w:type="pct"/>
            <w:shd w:val="clear" w:color="auto" w:fill="auto"/>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Notified</w:t>
            </w:r>
          </w:p>
        </w:tc>
        <w:tc>
          <w:tcPr>
            <w:tcW w:w="506" w:type="pct"/>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3,586</w:t>
            </w:r>
          </w:p>
        </w:tc>
        <w:tc>
          <w:tcPr>
            <w:tcW w:w="507" w:type="pct"/>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5,243</w:t>
            </w:r>
          </w:p>
        </w:tc>
        <w:tc>
          <w:tcPr>
            <w:tcW w:w="682" w:type="pct"/>
            <w:vAlign w:val="center"/>
          </w:tcPr>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0.68</w:t>
            </w:r>
          </w:p>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(0.66, 0.71)</w:t>
            </w:r>
          </w:p>
        </w:tc>
        <w:tc>
          <w:tcPr>
            <w:tcW w:w="596" w:type="pct"/>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15.5</w:t>
            </w:r>
          </w:p>
        </w:tc>
        <w:tc>
          <w:tcPr>
            <w:tcW w:w="598" w:type="pct"/>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22.7</w:t>
            </w:r>
          </w:p>
        </w:tc>
        <w:tc>
          <w:tcPr>
            <w:tcW w:w="767" w:type="pct"/>
            <w:vAlign w:val="center"/>
          </w:tcPr>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-0.007%</w:t>
            </w:r>
          </w:p>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(-0.008, -0.006)</w:t>
            </w:r>
          </w:p>
        </w:tc>
        <w:tc>
          <w:tcPr>
            <w:tcW w:w="751" w:type="pct"/>
            <w:vAlign w:val="center"/>
          </w:tcPr>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13,958</w:t>
            </w:r>
          </w:p>
          <w:p w:rsidR="00DA0AFE" w:rsidRPr="00E45630" w:rsidDel="003F4FA0" w:rsidRDefault="00DA0AFE" w:rsidP="00E36257">
            <w:pPr>
              <w:keepNext/>
              <w:jc w:val="center"/>
              <w:rPr>
                <w:rFonts w:ascii="Arial Narrow" w:hAnsi="Arial Narrow"/>
                <w:b/>
                <w:color w:val="000000"/>
                <w:sz w:val="20"/>
              </w:rPr>
            </w:pPr>
            <w:r w:rsidRPr="00E45630">
              <w:rPr>
                <w:rFonts w:ascii="Arial Narrow" w:hAnsi="Arial Narrow"/>
                <w:b/>
                <w:color w:val="000000"/>
                <w:sz w:val="20"/>
              </w:rPr>
              <w:t>(12,563, 15,704)</w:t>
            </w:r>
          </w:p>
        </w:tc>
      </w:tr>
      <w:tr w:rsidR="00DA0AFE" w:rsidRPr="00E45630" w:rsidTr="00E36257">
        <w:trPr>
          <w:cantSplit/>
        </w:trPr>
        <w:tc>
          <w:tcPr>
            <w:tcW w:w="593" w:type="pct"/>
            <w:tcBorders>
              <w:bottom w:val="single" w:sz="4" w:space="0" w:color="auto"/>
            </w:tcBorders>
            <w:shd w:val="clear" w:color="auto" w:fill="auto"/>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Hospitalised</w:t>
            </w:r>
          </w:p>
        </w:tc>
        <w:tc>
          <w:tcPr>
            <w:tcW w:w="506" w:type="pct"/>
            <w:tcBorders>
              <w:bottom w:val="single" w:sz="4" w:space="0" w:color="auto"/>
            </w:tcBorders>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273</w:t>
            </w:r>
          </w:p>
        </w:tc>
        <w:tc>
          <w:tcPr>
            <w:tcW w:w="507" w:type="pct"/>
            <w:tcBorders>
              <w:bottom w:val="single" w:sz="4" w:space="0" w:color="auto"/>
            </w:tcBorders>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355</w:t>
            </w:r>
          </w:p>
        </w:tc>
        <w:tc>
          <w:tcPr>
            <w:tcW w:w="682" w:type="pct"/>
            <w:tcBorders>
              <w:bottom w:val="single" w:sz="4" w:space="0" w:color="auto"/>
            </w:tcBorders>
            <w:vAlign w:val="center"/>
          </w:tcPr>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0.77</w:t>
            </w:r>
          </w:p>
          <w:p w:rsidR="00DA0AFE" w:rsidRPr="00E45630" w:rsidRDefault="00DA0AFE" w:rsidP="00E36257">
            <w:pPr>
              <w:keepNext/>
              <w:jc w:val="center"/>
              <w:rPr>
                <w:rFonts w:ascii="Arial Narrow" w:hAnsi="Arial Narrow"/>
                <w:color w:val="000000"/>
                <w:sz w:val="20"/>
              </w:rPr>
            </w:pPr>
            <w:r w:rsidRPr="00E45630">
              <w:rPr>
                <w:rFonts w:ascii="Arial Narrow" w:hAnsi="Arial Narrow"/>
                <w:b/>
                <w:color w:val="000000"/>
                <w:sz w:val="20"/>
              </w:rPr>
              <w:t>(0.66, 0.90)</w:t>
            </w:r>
          </w:p>
        </w:tc>
        <w:tc>
          <w:tcPr>
            <w:tcW w:w="596" w:type="pct"/>
            <w:tcBorders>
              <w:bottom w:val="single" w:sz="4" w:space="0" w:color="auto"/>
            </w:tcBorders>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1.2</w:t>
            </w:r>
          </w:p>
        </w:tc>
        <w:tc>
          <w:tcPr>
            <w:tcW w:w="598" w:type="pct"/>
            <w:tcBorders>
              <w:bottom w:val="single" w:sz="4" w:space="0" w:color="auto"/>
            </w:tcBorders>
            <w:vAlign w:val="center"/>
          </w:tcPr>
          <w:p w:rsidR="00DA0AFE" w:rsidRPr="00E45630" w:rsidRDefault="00DA0AFE" w:rsidP="00E36257">
            <w:pPr>
              <w:keepNext/>
              <w:jc w:val="center"/>
              <w:rPr>
                <w:rFonts w:ascii="Arial Narrow" w:hAnsi="Arial Narrow"/>
                <w:color w:val="000000"/>
                <w:sz w:val="20"/>
              </w:rPr>
            </w:pPr>
            <w:r w:rsidRPr="00E45630">
              <w:rPr>
                <w:rFonts w:ascii="Arial Narrow" w:hAnsi="Arial Narrow"/>
                <w:color w:val="000000"/>
                <w:sz w:val="20"/>
              </w:rPr>
              <w:t>1.5</w:t>
            </w:r>
          </w:p>
        </w:tc>
        <w:tc>
          <w:tcPr>
            <w:tcW w:w="767" w:type="pct"/>
            <w:tcBorders>
              <w:bottom w:val="single" w:sz="4" w:space="0" w:color="auto"/>
            </w:tcBorders>
            <w:vAlign w:val="center"/>
          </w:tcPr>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-0.000</w:t>
            </w:r>
          </w:p>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(-0.001, -0.000)</w:t>
            </w:r>
          </w:p>
        </w:tc>
        <w:tc>
          <w:tcPr>
            <w:tcW w:w="751" w:type="pct"/>
            <w:tcBorders>
              <w:bottom w:val="single" w:sz="4" w:space="0" w:color="auto"/>
            </w:tcBorders>
            <w:vAlign w:val="center"/>
          </w:tcPr>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282,064</w:t>
            </w:r>
          </w:p>
          <w:p w:rsidR="00DA0AFE" w:rsidRPr="00E45630" w:rsidRDefault="00DA0AFE" w:rsidP="00E36257">
            <w:pPr>
              <w:keepNext/>
              <w:jc w:val="center"/>
              <w:rPr>
                <w:rFonts w:ascii="Arial Narrow" w:hAnsi="Arial Narrow"/>
                <w:b/>
                <w:color w:val="000000"/>
                <w:sz w:val="20"/>
              </w:rPr>
            </w:pPr>
            <w:r w:rsidRPr="00E45630">
              <w:rPr>
                <w:rFonts w:ascii="Arial Narrow" w:hAnsi="Arial Narrow"/>
                <w:b/>
                <w:color w:val="000000"/>
                <w:sz w:val="20"/>
              </w:rPr>
              <w:t>(176,367, 704,225)</w:t>
            </w:r>
          </w:p>
        </w:tc>
      </w:tr>
    </w:tbl>
    <w:p w:rsidR="00DA0AFE" w:rsidRPr="00E45630" w:rsidRDefault="00DA0AFE" w:rsidP="00DA0AFE">
      <w:pPr>
        <w:pStyle w:val="TableFooter"/>
        <w:keepNext/>
        <w:ind w:left="720" w:hanging="11"/>
      </w:pPr>
      <w:r w:rsidRPr="00E45630">
        <w:t>Source: Compiled during the evaluation using the outputs from the economic model, using the consistent inclusion of pertussis cases.</w:t>
      </w:r>
    </w:p>
    <w:p w:rsidR="00DA0AFE" w:rsidRDefault="00DA0AFE" w:rsidP="00DA0AFE">
      <w:pPr>
        <w:pStyle w:val="TableFooter"/>
        <w:ind w:left="709" w:firstLine="11"/>
      </w:pPr>
      <w:r w:rsidRPr="00E45630">
        <w:t>RD = risk difference; RR = relative risk; CI = confidence interval; NNT = number needed to treat.</w:t>
      </w:r>
    </w:p>
    <w:p w:rsidR="00DA0AFE" w:rsidRDefault="00DA0AFE" w:rsidP="00DA0AFE">
      <w:pPr>
        <w:pStyle w:val="TableFooter"/>
        <w:ind w:left="709" w:firstLine="11"/>
      </w:pPr>
    </w:p>
    <w:p w:rsidR="00E172A9" w:rsidRDefault="00E172A9" w:rsidP="00DA0AFE">
      <w:pPr>
        <w:keepNext/>
        <w:ind w:left="720" w:hanging="11"/>
        <w:rPr>
          <w:rStyle w:val="CommentReference"/>
        </w:rPr>
      </w:pPr>
    </w:p>
    <w:p w:rsidR="00DA0AFE" w:rsidRPr="00E45630" w:rsidRDefault="00DA0AFE" w:rsidP="00DA0AFE">
      <w:pPr>
        <w:keepNext/>
        <w:ind w:left="720" w:hanging="11"/>
        <w:rPr>
          <w:rStyle w:val="CommentReference"/>
        </w:rPr>
      </w:pPr>
      <w:r w:rsidRPr="00E45630">
        <w:rPr>
          <w:rStyle w:val="CommentReference"/>
        </w:rPr>
        <w:t>Summary of comparative harms for 18 months DTPa booster vs. no booster</w:t>
      </w:r>
      <w:r>
        <w:rPr>
          <w:rStyle w:val="CommentReference"/>
        </w:rPr>
        <w:t xml:space="preserve"> for the 18-month infant population (307,934) </w:t>
      </w:r>
      <w:r w:rsidRPr="00E45630">
        <w:rPr>
          <w:rStyle w:val="CommentReference"/>
        </w:rPr>
        <w:t xml:space="preserve">– derived from the </w:t>
      </w:r>
      <w:r w:rsidRPr="00F111AE">
        <w:rPr>
          <w:rStyle w:val="CommentReference"/>
        </w:rPr>
        <w:t>revised base-case (ESC)</w:t>
      </w:r>
      <w:r w:rsidRPr="00E45630">
        <w:rPr>
          <w:rStyle w:val="CommentReference"/>
        </w:rPr>
        <w:t xml:space="preserve"> economic model </w:t>
      </w:r>
    </w:p>
    <w:tbl>
      <w:tblPr>
        <w:tblStyle w:val="TableGrid"/>
        <w:tblW w:w="4594" w:type="pct"/>
        <w:tblInd w:w="737" w:type="dxa"/>
        <w:tblLayout w:type="fixed"/>
        <w:tblCellMar>
          <w:left w:w="28" w:type="dxa"/>
          <w:right w:w="28" w:type="dxa"/>
        </w:tblCellMar>
        <w:tblLook w:val="04A0" w:firstRow="1" w:lastRow="0" w:firstColumn="1" w:lastColumn="0" w:noHBand="0" w:noVBand="1"/>
      </w:tblPr>
      <w:tblGrid>
        <w:gridCol w:w="990"/>
        <w:gridCol w:w="845"/>
        <w:gridCol w:w="846"/>
        <w:gridCol w:w="1138"/>
        <w:gridCol w:w="995"/>
        <w:gridCol w:w="7"/>
        <w:gridCol w:w="991"/>
        <w:gridCol w:w="1280"/>
        <w:gridCol w:w="1253"/>
      </w:tblGrid>
      <w:tr w:rsidR="00DA0AFE" w:rsidRPr="00E45630" w:rsidTr="00E36257">
        <w:trPr>
          <w:cantSplit/>
          <w:trHeight w:val="150"/>
          <w:tblHeader/>
        </w:trPr>
        <w:tc>
          <w:tcPr>
            <w:tcW w:w="593" w:type="pct"/>
            <w:vMerge w:val="restart"/>
            <w:shd w:val="clear" w:color="auto" w:fill="auto"/>
            <w:vAlign w:val="center"/>
          </w:tcPr>
          <w:p w:rsidR="00DA0AFE" w:rsidRPr="00E45630" w:rsidRDefault="001B5CC1" w:rsidP="00E36257">
            <w:pPr>
              <w:keepNext/>
              <w:jc w:val="center"/>
              <w:rPr>
                <w:rFonts w:ascii="Arial Narrow" w:hAnsi="Arial Narrow"/>
                <w:b/>
                <w:color w:val="000000"/>
                <w:sz w:val="20"/>
                <w:szCs w:val="18"/>
              </w:rPr>
            </w:pPr>
            <w:r>
              <w:rPr>
                <w:rFonts w:ascii="Arial Narrow" w:hAnsi="Arial Narrow"/>
                <w:b/>
                <w:color w:val="000000"/>
                <w:sz w:val="20"/>
                <w:szCs w:val="18"/>
              </w:rPr>
              <w:t>Adverse events</w:t>
            </w:r>
          </w:p>
        </w:tc>
        <w:tc>
          <w:tcPr>
            <w:tcW w:w="506"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18 m</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booster</w:t>
            </w:r>
          </w:p>
        </w:tc>
        <w:tc>
          <w:tcPr>
            <w:tcW w:w="507"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No</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booster</w:t>
            </w:r>
          </w:p>
        </w:tc>
        <w:tc>
          <w:tcPr>
            <w:tcW w:w="682"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RR</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(95% CI)</w:t>
            </w:r>
          </w:p>
        </w:tc>
        <w:tc>
          <w:tcPr>
            <w:tcW w:w="1194" w:type="pct"/>
            <w:gridSpan w:val="3"/>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Event rate/100,000 patients/year</w:t>
            </w:r>
          </w:p>
        </w:tc>
        <w:tc>
          <w:tcPr>
            <w:tcW w:w="767"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RD</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(95% CI)</w:t>
            </w:r>
          </w:p>
        </w:tc>
        <w:tc>
          <w:tcPr>
            <w:tcW w:w="751" w:type="pct"/>
            <w:vMerge w:val="restar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NNT</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(95% CI)</w:t>
            </w:r>
          </w:p>
        </w:tc>
      </w:tr>
      <w:tr w:rsidR="00DA0AFE" w:rsidRPr="00E45630" w:rsidTr="00E36257">
        <w:trPr>
          <w:cantSplit/>
          <w:trHeight w:val="315"/>
          <w:tblHeader/>
        </w:trPr>
        <w:tc>
          <w:tcPr>
            <w:tcW w:w="593" w:type="pct"/>
            <w:vMerge/>
            <w:tcBorders>
              <w:bottom w:val="single" w:sz="4" w:space="0" w:color="auto"/>
            </w:tcBorders>
            <w:shd w:val="clear" w:color="auto" w:fill="auto"/>
            <w:vAlign w:val="center"/>
          </w:tcPr>
          <w:p w:rsidR="00DA0AFE" w:rsidRPr="00E45630" w:rsidRDefault="00DA0AFE" w:rsidP="00E36257">
            <w:pPr>
              <w:keepNext/>
              <w:jc w:val="center"/>
              <w:rPr>
                <w:rFonts w:ascii="Arial Narrow" w:hAnsi="Arial Narrow"/>
                <w:b/>
                <w:color w:val="000000"/>
                <w:sz w:val="20"/>
                <w:szCs w:val="18"/>
              </w:rPr>
            </w:pPr>
          </w:p>
        </w:tc>
        <w:tc>
          <w:tcPr>
            <w:tcW w:w="506"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c>
          <w:tcPr>
            <w:tcW w:w="507"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c>
          <w:tcPr>
            <w:tcW w:w="682"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c>
          <w:tcPr>
            <w:tcW w:w="596" w:type="pct"/>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18-m booster</w:t>
            </w:r>
          </w:p>
        </w:tc>
        <w:tc>
          <w:tcPr>
            <w:tcW w:w="598" w:type="pct"/>
            <w:gridSpan w:val="2"/>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No booster</w:t>
            </w:r>
          </w:p>
        </w:tc>
        <w:tc>
          <w:tcPr>
            <w:tcW w:w="767"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c>
          <w:tcPr>
            <w:tcW w:w="751" w:type="pct"/>
            <w:vMerge/>
            <w:tcBorders>
              <w:bottom w:val="single" w:sz="4" w:space="0" w:color="auto"/>
            </w:tcBorders>
            <w:vAlign w:val="center"/>
          </w:tcPr>
          <w:p w:rsidR="00DA0AFE" w:rsidRPr="00E45630" w:rsidRDefault="00DA0AFE" w:rsidP="00E36257">
            <w:pPr>
              <w:keepNext/>
              <w:jc w:val="center"/>
              <w:rPr>
                <w:rFonts w:ascii="Arial Narrow" w:hAnsi="Arial Narrow"/>
                <w:b/>
                <w:color w:val="000000"/>
                <w:sz w:val="20"/>
                <w:szCs w:val="18"/>
              </w:rPr>
            </w:pPr>
          </w:p>
        </w:tc>
      </w:tr>
      <w:tr w:rsidR="00DA0AFE" w:rsidRPr="00E45630" w:rsidTr="00E36257">
        <w:trPr>
          <w:cantSplit/>
        </w:trPr>
        <w:tc>
          <w:tcPr>
            <w:tcW w:w="593" w:type="pct"/>
            <w:shd w:val="clear" w:color="auto" w:fill="auto"/>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Local reaction</w:t>
            </w:r>
          </w:p>
        </w:tc>
        <w:tc>
          <w:tcPr>
            <w:tcW w:w="506" w:type="pct"/>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15,335</w:t>
            </w:r>
          </w:p>
        </w:tc>
        <w:tc>
          <w:tcPr>
            <w:tcW w:w="507" w:type="pct"/>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0</w:t>
            </w:r>
          </w:p>
        </w:tc>
        <w:tc>
          <w:tcPr>
            <w:tcW w:w="682" w:type="pct"/>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NC</w:t>
            </w:r>
          </w:p>
        </w:tc>
        <w:tc>
          <w:tcPr>
            <w:tcW w:w="600" w:type="pct"/>
            <w:gridSpan w:val="2"/>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4,980</w:t>
            </w:r>
          </w:p>
        </w:tc>
        <w:tc>
          <w:tcPr>
            <w:tcW w:w="594" w:type="pct"/>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0</w:t>
            </w:r>
          </w:p>
        </w:tc>
        <w:tc>
          <w:tcPr>
            <w:tcW w:w="767" w:type="pc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4.98%</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(4.9, 5.06)</w:t>
            </w:r>
          </w:p>
        </w:tc>
        <w:tc>
          <w:tcPr>
            <w:tcW w:w="751" w:type="pc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20.1</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(19.8, 20.4)</w:t>
            </w:r>
          </w:p>
        </w:tc>
      </w:tr>
      <w:tr w:rsidR="00DA0AFE" w:rsidRPr="00E45630" w:rsidTr="00E36257">
        <w:trPr>
          <w:cantSplit/>
        </w:trPr>
        <w:tc>
          <w:tcPr>
            <w:tcW w:w="593" w:type="pct"/>
            <w:shd w:val="clear" w:color="auto" w:fill="auto"/>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Systemic reaction</w:t>
            </w:r>
          </w:p>
        </w:tc>
        <w:tc>
          <w:tcPr>
            <w:tcW w:w="506" w:type="pct"/>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15,335</w:t>
            </w:r>
          </w:p>
        </w:tc>
        <w:tc>
          <w:tcPr>
            <w:tcW w:w="507" w:type="pct"/>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0</w:t>
            </w:r>
          </w:p>
        </w:tc>
        <w:tc>
          <w:tcPr>
            <w:tcW w:w="682" w:type="pct"/>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NC</w:t>
            </w:r>
          </w:p>
        </w:tc>
        <w:tc>
          <w:tcPr>
            <w:tcW w:w="600" w:type="pct"/>
            <w:gridSpan w:val="2"/>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4,980</w:t>
            </w:r>
          </w:p>
        </w:tc>
        <w:tc>
          <w:tcPr>
            <w:tcW w:w="594" w:type="pct"/>
            <w:vAlign w:val="center"/>
          </w:tcPr>
          <w:p w:rsidR="00DA0AFE" w:rsidRPr="00E45630" w:rsidRDefault="00DA0AFE" w:rsidP="00E36257">
            <w:pPr>
              <w:keepNext/>
              <w:jc w:val="center"/>
              <w:rPr>
                <w:rFonts w:ascii="Arial Narrow" w:hAnsi="Arial Narrow"/>
                <w:color w:val="000000"/>
                <w:sz w:val="20"/>
                <w:szCs w:val="18"/>
              </w:rPr>
            </w:pPr>
            <w:r w:rsidRPr="00E45630">
              <w:rPr>
                <w:rFonts w:ascii="Arial Narrow" w:hAnsi="Arial Narrow"/>
                <w:color w:val="000000"/>
                <w:sz w:val="20"/>
                <w:szCs w:val="18"/>
              </w:rPr>
              <w:t>0</w:t>
            </w:r>
          </w:p>
        </w:tc>
        <w:tc>
          <w:tcPr>
            <w:tcW w:w="767" w:type="pc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4.98%</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(4.9, 5.06)</w:t>
            </w:r>
          </w:p>
        </w:tc>
        <w:tc>
          <w:tcPr>
            <w:tcW w:w="751" w:type="pct"/>
            <w:vAlign w:val="center"/>
          </w:tcPr>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20.1</w:t>
            </w:r>
          </w:p>
          <w:p w:rsidR="00DA0AFE" w:rsidRPr="00E45630" w:rsidRDefault="00DA0AFE" w:rsidP="00E36257">
            <w:pPr>
              <w:keepNext/>
              <w:jc w:val="center"/>
              <w:rPr>
                <w:rFonts w:ascii="Arial Narrow" w:hAnsi="Arial Narrow"/>
                <w:b/>
                <w:color w:val="000000"/>
                <w:sz w:val="20"/>
                <w:szCs w:val="18"/>
              </w:rPr>
            </w:pPr>
            <w:r w:rsidRPr="00E45630">
              <w:rPr>
                <w:rFonts w:ascii="Arial Narrow" w:hAnsi="Arial Narrow"/>
                <w:b/>
                <w:color w:val="000000"/>
                <w:sz w:val="20"/>
                <w:szCs w:val="18"/>
              </w:rPr>
              <w:t>(19.8, 20.4)</w:t>
            </w:r>
          </w:p>
        </w:tc>
      </w:tr>
    </w:tbl>
    <w:p w:rsidR="00DA0AFE" w:rsidRPr="00E45630" w:rsidRDefault="00DA0AFE" w:rsidP="00DA0AFE">
      <w:pPr>
        <w:pStyle w:val="TableFooter"/>
        <w:keepNext/>
        <w:ind w:left="720" w:hanging="11"/>
      </w:pPr>
      <w:r w:rsidRPr="00E45630">
        <w:t>Source: Compiled during the evaluation using the outputs from the economic model, using the consistent inclusion of pertussis cases.</w:t>
      </w:r>
    </w:p>
    <w:p w:rsidR="00DA0AFE" w:rsidRPr="00E45630" w:rsidRDefault="00DA0AFE" w:rsidP="00DA0AFE">
      <w:pPr>
        <w:pStyle w:val="TableFooter"/>
        <w:ind w:left="709" w:firstLine="11"/>
      </w:pPr>
      <w:r w:rsidRPr="00E45630">
        <w:t>RD = risk difference; RR = relative risk; CI = confidence interval; NNT = number needed to treat; NC = not calculable.</w:t>
      </w:r>
    </w:p>
    <w:p w:rsidR="00DA0AFE" w:rsidRPr="00E45630" w:rsidRDefault="00DA0AFE" w:rsidP="00382220"/>
    <w:p w:rsidR="00382220" w:rsidRPr="00E45630" w:rsidRDefault="00382220" w:rsidP="00081EEC">
      <w:pPr>
        <w:pStyle w:val="ListParagraph"/>
        <w:widowControl/>
        <w:numPr>
          <w:ilvl w:val="1"/>
          <w:numId w:val="3"/>
        </w:numPr>
        <w:rPr>
          <w:szCs w:val="22"/>
        </w:rPr>
      </w:pPr>
      <w:r w:rsidRPr="00E45630">
        <w:t xml:space="preserve">On the basis of a dynamic transmission model, which uses the whole Australian population, for every 100,000 </w:t>
      </w:r>
      <w:r w:rsidR="00A3228A" w:rsidRPr="00E45630">
        <w:t>persons</w:t>
      </w:r>
      <w:r w:rsidR="00826271">
        <w:t xml:space="preserve"> vaccinated</w:t>
      </w:r>
      <w:r w:rsidR="00A3228A" w:rsidRPr="00E45630">
        <w:t xml:space="preserve">, </w:t>
      </w:r>
      <w:r w:rsidR="00743E78">
        <w:t xml:space="preserve">if the </w:t>
      </w:r>
      <w:r w:rsidR="004E72C3">
        <w:t>18-</w:t>
      </w:r>
      <w:r w:rsidRPr="00E45630">
        <w:t xml:space="preserve">month DTPa booster vaccination </w:t>
      </w:r>
      <w:r w:rsidR="00743E78">
        <w:t>is</w:t>
      </w:r>
      <w:r w:rsidR="00A3228A" w:rsidRPr="00E45630">
        <w:t xml:space="preserve"> included in the immunisation schedule </w:t>
      </w:r>
      <w:r w:rsidRPr="00E45630">
        <w:t xml:space="preserve">in comparison to </w:t>
      </w:r>
      <w:r w:rsidR="00203397" w:rsidRPr="00E45630">
        <w:t>‘</w:t>
      </w:r>
      <w:r w:rsidRPr="00E45630">
        <w:t>no booster</w:t>
      </w:r>
      <w:r w:rsidR="00203397" w:rsidRPr="00E45630">
        <w:t>’</w:t>
      </w:r>
      <w:r w:rsidRPr="00E45630">
        <w:t xml:space="preserve"> </w:t>
      </w:r>
      <w:r w:rsidR="00203397" w:rsidRPr="00E45630">
        <w:t>(the current schedule)</w:t>
      </w:r>
      <w:r w:rsidRPr="00E45630">
        <w:t xml:space="preserve"> per year: </w:t>
      </w:r>
    </w:p>
    <w:p w:rsidR="00382220" w:rsidRPr="00E45630" w:rsidRDefault="00382220" w:rsidP="00081EEC">
      <w:pPr>
        <w:pStyle w:val="ListParagraph"/>
        <w:widowControl/>
        <w:numPr>
          <w:ilvl w:val="0"/>
          <w:numId w:val="2"/>
        </w:numPr>
        <w:ind w:left="993" w:hanging="284"/>
      </w:pPr>
      <w:r w:rsidRPr="00E45630">
        <w:t xml:space="preserve">Approximately </w:t>
      </w:r>
      <w:r w:rsidR="00831031" w:rsidRPr="00E45630">
        <w:t xml:space="preserve">262 </w:t>
      </w:r>
      <w:r w:rsidRPr="00E45630">
        <w:t xml:space="preserve">fewer </w:t>
      </w:r>
      <w:r w:rsidR="009629B0" w:rsidRPr="00E45630">
        <w:t xml:space="preserve">persons </w:t>
      </w:r>
      <w:r w:rsidRPr="00E45630">
        <w:t xml:space="preserve">would have a </w:t>
      </w:r>
      <w:r w:rsidR="00A35824" w:rsidRPr="00E45630">
        <w:t>non-</w:t>
      </w:r>
      <w:r w:rsidRPr="00E45630">
        <w:t>notified case of pertussis.</w:t>
      </w:r>
    </w:p>
    <w:p w:rsidR="00382220" w:rsidRPr="00E45630" w:rsidRDefault="00382220" w:rsidP="00081EEC">
      <w:pPr>
        <w:pStyle w:val="ListParagraph"/>
        <w:widowControl/>
        <w:numPr>
          <w:ilvl w:val="0"/>
          <w:numId w:val="2"/>
        </w:numPr>
        <w:ind w:left="993" w:hanging="284"/>
      </w:pPr>
      <w:r w:rsidRPr="00E45630">
        <w:t xml:space="preserve">Approximately </w:t>
      </w:r>
      <w:r w:rsidR="001812B3" w:rsidRPr="00E45630">
        <w:t xml:space="preserve">7 </w:t>
      </w:r>
      <w:r w:rsidRPr="00E45630">
        <w:t xml:space="preserve">fewer </w:t>
      </w:r>
      <w:r w:rsidR="009629B0" w:rsidRPr="00E45630">
        <w:t xml:space="preserve">persons </w:t>
      </w:r>
      <w:r w:rsidRPr="00E45630">
        <w:t xml:space="preserve">would have a notified case of pertussis. </w:t>
      </w:r>
    </w:p>
    <w:p w:rsidR="00382220" w:rsidRPr="00E45630" w:rsidRDefault="00382220" w:rsidP="00081EEC">
      <w:pPr>
        <w:pStyle w:val="ListParagraph"/>
        <w:widowControl/>
        <w:numPr>
          <w:ilvl w:val="0"/>
          <w:numId w:val="2"/>
        </w:numPr>
        <w:ind w:left="993" w:hanging="284"/>
      </w:pPr>
      <w:r w:rsidRPr="00E45630">
        <w:t>Approximately 0.</w:t>
      </w:r>
      <w:r w:rsidR="00992D73" w:rsidRPr="00E45630">
        <w:t>4</w:t>
      </w:r>
      <w:r w:rsidRPr="00E45630">
        <w:t xml:space="preserve"> fewer </w:t>
      </w:r>
      <w:r w:rsidR="009629B0" w:rsidRPr="00E45630">
        <w:t xml:space="preserve">persons </w:t>
      </w:r>
      <w:r w:rsidRPr="00E45630">
        <w:t xml:space="preserve">would be hospitalised due to pertussis. </w:t>
      </w:r>
    </w:p>
    <w:p w:rsidR="00382220" w:rsidRPr="00E45630" w:rsidRDefault="00382220" w:rsidP="00081EEC">
      <w:pPr>
        <w:pStyle w:val="ListParagraph"/>
        <w:widowControl/>
        <w:numPr>
          <w:ilvl w:val="0"/>
          <w:numId w:val="2"/>
        </w:numPr>
        <w:ind w:left="993" w:hanging="284"/>
      </w:pPr>
      <w:r w:rsidRPr="00E45630">
        <w:t xml:space="preserve">Approximately 4,980 additional </w:t>
      </w:r>
      <w:r w:rsidR="00283B4F" w:rsidRPr="00E45630">
        <w:t xml:space="preserve">18-month old </w:t>
      </w:r>
      <w:r w:rsidRPr="00E45630">
        <w:t>infants would have a local reaction due to vaccination.</w:t>
      </w:r>
    </w:p>
    <w:p w:rsidR="00382220" w:rsidRPr="00E45630" w:rsidRDefault="00382220" w:rsidP="00382220"/>
    <w:p w:rsidR="00382220" w:rsidRPr="00201D16" w:rsidRDefault="00382220" w:rsidP="00201D16">
      <w:pPr>
        <w:rPr>
          <w:b/>
        </w:rPr>
      </w:pPr>
      <w:bookmarkStart w:id="16" w:name="_Toc398033198"/>
      <w:r w:rsidRPr="00201D16">
        <w:rPr>
          <w:b/>
        </w:rPr>
        <w:t>Clinical claim</w:t>
      </w:r>
      <w:bookmarkEnd w:id="16"/>
    </w:p>
    <w:p w:rsidR="00382220" w:rsidRPr="00E45630" w:rsidRDefault="00382220" w:rsidP="00201D16"/>
    <w:p w:rsidR="009246B0" w:rsidRDefault="00A1012D" w:rsidP="004B489D">
      <w:pPr>
        <w:pStyle w:val="ListParagraph"/>
        <w:widowControl/>
        <w:numPr>
          <w:ilvl w:val="1"/>
          <w:numId w:val="3"/>
        </w:numPr>
      </w:pPr>
      <w:r>
        <w:t>The submission describe</w:t>
      </w:r>
      <w:r w:rsidR="006B060D">
        <w:t>d</w:t>
      </w:r>
      <w:r>
        <w:t xml:space="preserve"> the 18-</w:t>
      </w:r>
      <w:r w:rsidR="00382220" w:rsidRPr="00E45630">
        <w:t>month DTPa booster as superior in terms of comparative effectiveness and inferior in terms of comparative safe</w:t>
      </w:r>
      <w:r w:rsidR="005E22C2" w:rsidRPr="00E45630">
        <w:t>ty over the status quo of care.</w:t>
      </w:r>
      <w:r w:rsidR="00382220" w:rsidRPr="00E45630">
        <w:t xml:space="preserve"> </w:t>
      </w:r>
    </w:p>
    <w:p w:rsidR="00B0024A" w:rsidRDefault="00B0024A" w:rsidP="00B0024A">
      <w:pPr>
        <w:pStyle w:val="ListParagraph"/>
        <w:widowControl/>
      </w:pPr>
    </w:p>
    <w:p w:rsidR="009246B0" w:rsidRPr="00E45630" w:rsidRDefault="009246B0" w:rsidP="00081EEC">
      <w:pPr>
        <w:pStyle w:val="ListParagraph"/>
        <w:widowControl/>
        <w:numPr>
          <w:ilvl w:val="1"/>
          <w:numId w:val="3"/>
        </w:numPr>
      </w:pPr>
      <w:r w:rsidRPr="00E45630">
        <w:t>The PBAC considered that the claim of superior comparative effectiveness was reasonable</w:t>
      </w:r>
      <w:r w:rsidR="00D64000">
        <w:t>, though agreed with the ESC that the extent of the comparative effectiveness was unclear</w:t>
      </w:r>
      <w:r w:rsidRPr="00E45630">
        <w:t>.</w:t>
      </w:r>
    </w:p>
    <w:p w:rsidR="009246B0" w:rsidRPr="00E45630" w:rsidRDefault="009246B0" w:rsidP="009246B0">
      <w:pPr>
        <w:pStyle w:val="ListParagraph"/>
        <w:widowControl/>
      </w:pPr>
    </w:p>
    <w:p w:rsidR="009246B0" w:rsidRPr="00E45630" w:rsidRDefault="009246B0" w:rsidP="00081EEC">
      <w:pPr>
        <w:pStyle w:val="ListParagraph"/>
        <w:widowControl/>
        <w:numPr>
          <w:ilvl w:val="1"/>
          <w:numId w:val="3"/>
        </w:numPr>
      </w:pPr>
      <w:r w:rsidRPr="00E45630">
        <w:t xml:space="preserve">The PBAC considered that the claim of inferior comparative safety was </w:t>
      </w:r>
      <w:r w:rsidR="00E45630" w:rsidRPr="00E45630">
        <w:t>reasonable</w:t>
      </w:r>
      <w:r w:rsidRPr="00E45630">
        <w:t>.</w:t>
      </w:r>
    </w:p>
    <w:p w:rsidR="00382220" w:rsidRPr="004F4D58" w:rsidRDefault="00382220" w:rsidP="005E22C2">
      <w:pPr>
        <w:rPr>
          <w:szCs w:val="22"/>
        </w:rPr>
      </w:pPr>
    </w:p>
    <w:p w:rsidR="00382220" w:rsidRPr="00201D16" w:rsidRDefault="00382220" w:rsidP="00201D16">
      <w:pPr>
        <w:rPr>
          <w:b/>
        </w:rPr>
      </w:pPr>
      <w:bookmarkStart w:id="17" w:name="_Toc398033199"/>
      <w:r w:rsidRPr="00201D16">
        <w:rPr>
          <w:b/>
        </w:rPr>
        <w:t>Economic analysis</w:t>
      </w:r>
      <w:bookmarkEnd w:id="17"/>
      <w:r w:rsidRPr="00201D16">
        <w:rPr>
          <w:b/>
        </w:rPr>
        <w:t xml:space="preserve"> </w:t>
      </w:r>
    </w:p>
    <w:p w:rsidR="00382220" w:rsidRPr="00E45630" w:rsidRDefault="00382220" w:rsidP="00382220">
      <w:pPr>
        <w:ind w:left="720" w:hanging="720"/>
        <w:rPr>
          <w:szCs w:val="22"/>
        </w:rPr>
      </w:pPr>
    </w:p>
    <w:p w:rsidR="00382220" w:rsidRPr="00E45630" w:rsidRDefault="00382220" w:rsidP="00081EEC">
      <w:pPr>
        <w:pStyle w:val="ListParagraph"/>
        <w:widowControl/>
        <w:numPr>
          <w:ilvl w:val="1"/>
          <w:numId w:val="3"/>
        </w:numPr>
        <w:rPr>
          <w:lang w:val="en-US"/>
        </w:rPr>
      </w:pPr>
      <w:r w:rsidRPr="00E45630">
        <w:rPr>
          <w:lang w:val="en-US"/>
        </w:rPr>
        <w:t xml:space="preserve">The economic </w:t>
      </w:r>
      <w:r w:rsidR="00EB15E5" w:rsidRPr="00E45630">
        <w:rPr>
          <w:lang w:val="en-US"/>
        </w:rPr>
        <w:t>evaluation is</w:t>
      </w:r>
      <w:r w:rsidRPr="00E45630">
        <w:rPr>
          <w:lang w:val="en-US"/>
        </w:rPr>
        <w:t xml:space="preserve"> a cost-utility analysis. </w:t>
      </w:r>
      <w:r w:rsidR="00D334B6" w:rsidRPr="00E45630">
        <w:t>The submission present</w:t>
      </w:r>
      <w:r w:rsidR="006B060D">
        <w:t>ed</w:t>
      </w:r>
      <w:r w:rsidR="00D334B6" w:rsidRPr="00E45630">
        <w:t xml:space="preserve"> </w:t>
      </w:r>
      <w:r w:rsidR="00AB6009" w:rsidRPr="00E45630">
        <w:t xml:space="preserve">the </w:t>
      </w:r>
      <w:r w:rsidR="00D334B6" w:rsidRPr="00E45630">
        <w:t xml:space="preserve">model in two parts. The first </w:t>
      </w:r>
      <w:r w:rsidR="004B489D">
        <w:t>was</w:t>
      </w:r>
      <w:r w:rsidR="00D334B6" w:rsidRPr="00E45630">
        <w:t xml:space="preserve"> a compartmental transmission model using Matlab, and the second </w:t>
      </w:r>
      <w:r w:rsidR="004B489D">
        <w:t>was</w:t>
      </w:r>
      <w:r w:rsidR="00D334B6" w:rsidRPr="00E45630">
        <w:t xml:space="preserve"> a static decision tree model using Excel. The former describes the evolution of the disease, while the latter calculates the effects of the infection on individuals and the health care system. </w:t>
      </w:r>
      <w:r w:rsidRPr="00E45630">
        <w:rPr>
          <w:lang w:val="en-US"/>
        </w:rPr>
        <w:t xml:space="preserve">A dynamic transmission model </w:t>
      </w:r>
      <w:r w:rsidR="004B489D">
        <w:rPr>
          <w:lang w:val="en-US"/>
        </w:rPr>
        <w:t>was</w:t>
      </w:r>
      <w:r w:rsidRPr="00E45630">
        <w:rPr>
          <w:lang w:val="en-US"/>
        </w:rPr>
        <w:t xml:space="preserve"> used to estimate the evolution of the disease in both the </w:t>
      </w:r>
      <w:r w:rsidR="00C45C30" w:rsidRPr="00E45630">
        <w:rPr>
          <w:lang w:val="en-US"/>
        </w:rPr>
        <w:t>‘n</w:t>
      </w:r>
      <w:r w:rsidRPr="00E45630">
        <w:rPr>
          <w:lang w:val="en-US"/>
        </w:rPr>
        <w:t xml:space="preserve">o </w:t>
      </w:r>
      <w:r w:rsidR="00C45C30" w:rsidRPr="00E45630">
        <w:rPr>
          <w:lang w:val="en-US"/>
        </w:rPr>
        <w:t>booster’</w:t>
      </w:r>
      <w:r w:rsidRPr="00E45630">
        <w:rPr>
          <w:lang w:val="en-US"/>
        </w:rPr>
        <w:t xml:space="preserve"> and </w:t>
      </w:r>
      <w:r w:rsidR="00C45C30" w:rsidRPr="00E45630">
        <w:rPr>
          <w:lang w:val="en-US"/>
        </w:rPr>
        <w:t>‘18-month booster’</w:t>
      </w:r>
      <w:r w:rsidRPr="00E45630">
        <w:rPr>
          <w:lang w:val="en-US"/>
        </w:rPr>
        <w:t xml:space="preserve"> scenarios. The model then assign</w:t>
      </w:r>
      <w:r w:rsidR="004B489D">
        <w:rPr>
          <w:lang w:val="en-US"/>
        </w:rPr>
        <w:t>ed</w:t>
      </w:r>
      <w:r w:rsidRPr="00E45630">
        <w:rPr>
          <w:lang w:val="en-US"/>
        </w:rPr>
        <w:t xml:space="preserve"> reporting and </w:t>
      </w:r>
      <w:r w:rsidRPr="00E45630">
        <w:t>hospitali</w:t>
      </w:r>
      <w:r w:rsidR="00AB6009" w:rsidRPr="00E45630">
        <w:t>s</w:t>
      </w:r>
      <w:r w:rsidRPr="00E45630">
        <w:t>ation</w:t>
      </w:r>
      <w:r w:rsidRPr="00E45630">
        <w:rPr>
          <w:lang w:val="en-US"/>
        </w:rPr>
        <w:t xml:space="preserve"> rates to each age category, after which costs and QALY</w:t>
      </w:r>
      <w:r w:rsidR="00527087" w:rsidRPr="00E45630">
        <w:rPr>
          <w:lang w:val="en-US"/>
        </w:rPr>
        <w:t>s</w:t>
      </w:r>
      <w:r w:rsidRPr="00E45630">
        <w:rPr>
          <w:lang w:val="en-US"/>
        </w:rPr>
        <w:t xml:space="preserve"> are calculated.</w:t>
      </w:r>
      <w:r w:rsidR="00203397" w:rsidRPr="00E45630">
        <w:rPr>
          <w:lang w:val="en-US"/>
        </w:rPr>
        <w:t xml:space="preserve"> It should be noted the submission did not calculate absolute QALYs, but rather </w:t>
      </w:r>
      <w:r w:rsidR="008200C2" w:rsidRPr="00E45630">
        <w:rPr>
          <w:lang w:val="en-US"/>
        </w:rPr>
        <w:t xml:space="preserve">the </w:t>
      </w:r>
      <w:r w:rsidR="00203397" w:rsidRPr="00E45630">
        <w:rPr>
          <w:lang w:val="en-US"/>
        </w:rPr>
        <w:t xml:space="preserve">QALY loss for </w:t>
      </w:r>
      <w:r w:rsidR="001864E4">
        <w:rPr>
          <w:lang w:val="en-US"/>
        </w:rPr>
        <w:t>non</w:t>
      </w:r>
      <w:r w:rsidR="001864E4">
        <w:rPr>
          <w:lang w:val="en-US"/>
        </w:rPr>
        <w:noBreakHyphen/>
      </w:r>
      <w:r w:rsidR="00203397" w:rsidRPr="00E45630">
        <w:rPr>
          <w:lang w:val="en-US"/>
        </w:rPr>
        <w:t xml:space="preserve">notified and notified pertussis cases, </w:t>
      </w:r>
      <w:r w:rsidR="00203397" w:rsidRPr="00E45630">
        <w:t>hospitali</w:t>
      </w:r>
      <w:r w:rsidR="00DA6FA1" w:rsidRPr="00E45630">
        <w:t>s</w:t>
      </w:r>
      <w:r w:rsidR="00203397" w:rsidRPr="00E45630">
        <w:t>ation</w:t>
      </w:r>
      <w:r w:rsidR="00203397" w:rsidRPr="00E45630">
        <w:rPr>
          <w:lang w:val="en-US"/>
        </w:rPr>
        <w:t xml:space="preserve"> due to pertussis, and adverse events due to vaccination.</w:t>
      </w:r>
    </w:p>
    <w:p w:rsidR="00382220" w:rsidRPr="00E45630" w:rsidRDefault="00382220" w:rsidP="00382220">
      <w:pPr>
        <w:widowControl/>
        <w:rPr>
          <w:szCs w:val="22"/>
        </w:rPr>
      </w:pPr>
    </w:p>
    <w:p w:rsidR="00382220" w:rsidRPr="00E45630" w:rsidRDefault="00382220" w:rsidP="005E22C2">
      <w:pPr>
        <w:keepNext/>
        <w:widowControl/>
        <w:ind w:firstLine="720"/>
        <w:rPr>
          <w:rStyle w:val="CommentReference"/>
        </w:rPr>
      </w:pPr>
      <w:r w:rsidRPr="00E45630">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9"/>
        <w:gridCol w:w="6926"/>
      </w:tblGrid>
      <w:tr w:rsidR="00382220" w:rsidRPr="00E45630" w:rsidTr="008A68D7">
        <w:trPr>
          <w:tblHeader/>
        </w:trPr>
        <w:tc>
          <w:tcPr>
            <w:tcW w:w="850" w:type="pct"/>
            <w:shd w:val="clear" w:color="auto" w:fill="auto"/>
            <w:vAlign w:val="center"/>
          </w:tcPr>
          <w:p w:rsidR="00382220" w:rsidRPr="00E45630" w:rsidRDefault="00382220" w:rsidP="005E22C2">
            <w:pPr>
              <w:keepNext/>
              <w:widowControl/>
              <w:jc w:val="left"/>
              <w:rPr>
                <w:rFonts w:ascii="Arial Narrow" w:hAnsi="Arial Narrow"/>
                <w:b/>
                <w:sz w:val="20"/>
              </w:rPr>
            </w:pPr>
            <w:r w:rsidRPr="00E45630">
              <w:rPr>
                <w:rFonts w:ascii="Arial Narrow" w:hAnsi="Arial Narrow"/>
                <w:b/>
                <w:sz w:val="20"/>
              </w:rPr>
              <w:t>Component</w:t>
            </w:r>
          </w:p>
        </w:tc>
        <w:tc>
          <w:tcPr>
            <w:tcW w:w="4150" w:type="pct"/>
            <w:shd w:val="clear" w:color="auto" w:fill="auto"/>
            <w:vAlign w:val="center"/>
          </w:tcPr>
          <w:p w:rsidR="00382220" w:rsidRPr="00E45630" w:rsidRDefault="00382220" w:rsidP="001864E4">
            <w:pPr>
              <w:keepNext/>
              <w:widowControl/>
              <w:jc w:val="left"/>
              <w:rPr>
                <w:rFonts w:ascii="Arial Narrow" w:hAnsi="Arial Narrow"/>
                <w:b/>
                <w:sz w:val="20"/>
              </w:rPr>
            </w:pPr>
            <w:r w:rsidRPr="00E45630">
              <w:rPr>
                <w:rFonts w:ascii="Arial Narrow" w:hAnsi="Arial Narrow"/>
                <w:b/>
                <w:sz w:val="20"/>
              </w:rPr>
              <w:t>Summary</w:t>
            </w:r>
          </w:p>
        </w:tc>
      </w:tr>
      <w:tr w:rsidR="00382220" w:rsidRPr="00E45630" w:rsidTr="008A68D7">
        <w:tc>
          <w:tcPr>
            <w:tcW w:w="850" w:type="pct"/>
            <w:shd w:val="clear" w:color="auto" w:fill="auto"/>
            <w:vAlign w:val="center"/>
          </w:tcPr>
          <w:p w:rsidR="00382220" w:rsidRPr="00E45630" w:rsidRDefault="00382220" w:rsidP="005E22C2">
            <w:pPr>
              <w:keepNext/>
              <w:widowControl/>
              <w:jc w:val="left"/>
              <w:rPr>
                <w:rFonts w:ascii="Arial Narrow" w:hAnsi="Arial Narrow"/>
                <w:sz w:val="20"/>
              </w:rPr>
            </w:pPr>
            <w:r w:rsidRPr="00E45630">
              <w:rPr>
                <w:rFonts w:ascii="Arial Narrow" w:hAnsi="Arial Narrow"/>
                <w:sz w:val="20"/>
              </w:rPr>
              <w:t>Time horizon</w:t>
            </w:r>
          </w:p>
        </w:tc>
        <w:tc>
          <w:tcPr>
            <w:tcW w:w="4150" w:type="pct"/>
            <w:shd w:val="clear" w:color="auto" w:fill="auto"/>
            <w:vAlign w:val="center"/>
          </w:tcPr>
          <w:p w:rsidR="00382220" w:rsidRPr="00E45630" w:rsidRDefault="00382220" w:rsidP="005E22C2">
            <w:pPr>
              <w:keepNext/>
              <w:widowControl/>
              <w:jc w:val="left"/>
              <w:rPr>
                <w:rFonts w:ascii="Arial Narrow" w:hAnsi="Arial Narrow"/>
                <w:sz w:val="20"/>
              </w:rPr>
            </w:pPr>
            <w:r w:rsidRPr="00E45630">
              <w:rPr>
                <w:rFonts w:ascii="Arial Narrow" w:hAnsi="Arial Narrow"/>
                <w:sz w:val="20"/>
              </w:rPr>
              <w:t xml:space="preserve">100 years in the model </w:t>
            </w:r>
          </w:p>
        </w:tc>
      </w:tr>
      <w:tr w:rsidR="00382220" w:rsidRPr="00E45630" w:rsidTr="008A68D7">
        <w:tc>
          <w:tcPr>
            <w:tcW w:w="850" w:type="pct"/>
            <w:shd w:val="clear" w:color="auto" w:fill="auto"/>
            <w:vAlign w:val="center"/>
          </w:tcPr>
          <w:p w:rsidR="00382220" w:rsidRPr="00E45630" w:rsidRDefault="00382220" w:rsidP="005E22C2">
            <w:pPr>
              <w:keepNext/>
              <w:widowControl/>
              <w:jc w:val="left"/>
              <w:rPr>
                <w:rFonts w:ascii="Arial Narrow" w:hAnsi="Arial Narrow"/>
                <w:sz w:val="20"/>
              </w:rPr>
            </w:pPr>
            <w:r w:rsidRPr="00E45630">
              <w:rPr>
                <w:rFonts w:ascii="Arial Narrow" w:hAnsi="Arial Narrow"/>
                <w:sz w:val="20"/>
              </w:rPr>
              <w:t>Outcomes</w:t>
            </w:r>
          </w:p>
        </w:tc>
        <w:tc>
          <w:tcPr>
            <w:tcW w:w="4150" w:type="pct"/>
            <w:shd w:val="clear" w:color="auto" w:fill="auto"/>
            <w:vAlign w:val="center"/>
          </w:tcPr>
          <w:p w:rsidR="00382220" w:rsidRPr="00E45630" w:rsidRDefault="00382220" w:rsidP="005E22C2">
            <w:pPr>
              <w:keepNext/>
              <w:widowControl/>
              <w:jc w:val="left"/>
              <w:rPr>
                <w:rFonts w:ascii="Arial Narrow" w:hAnsi="Arial Narrow"/>
                <w:sz w:val="20"/>
              </w:rPr>
            </w:pPr>
            <w:r w:rsidRPr="00E45630">
              <w:rPr>
                <w:rFonts w:ascii="Arial Narrow" w:hAnsi="Arial Narrow"/>
                <w:sz w:val="20"/>
              </w:rPr>
              <w:t>QALY</w:t>
            </w:r>
            <w:r w:rsidR="00527087" w:rsidRPr="00E45630">
              <w:rPr>
                <w:rFonts w:ascii="Arial Narrow" w:hAnsi="Arial Narrow"/>
                <w:sz w:val="20"/>
              </w:rPr>
              <w:t>s</w:t>
            </w:r>
            <w:r w:rsidRPr="00E45630">
              <w:rPr>
                <w:rFonts w:ascii="Arial Narrow" w:hAnsi="Arial Narrow"/>
                <w:sz w:val="20"/>
              </w:rPr>
              <w:t xml:space="preserve"> </w:t>
            </w:r>
          </w:p>
        </w:tc>
      </w:tr>
      <w:tr w:rsidR="00382220" w:rsidRPr="00E45630" w:rsidTr="008A68D7">
        <w:tc>
          <w:tcPr>
            <w:tcW w:w="850" w:type="pct"/>
            <w:shd w:val="clear" w:color="auto" w:fill="auto"/>
            <w:vAlign w:val="center"/>
          </w:tcPr>
          <w:p w:rsidR="00382220" w:rsidRPr="00E45630" w:rsidRDefault="00382220" w:rsidP="005E22C2">
            <w:pPr>
              <w:keepNext/>
              <w:jc w:val="left"/>
              <w:rPr>
                <w:rFonts w:ascii="Arial Narrow" w:hAnsi="Arial Narrow"/>
                <w:sz w:val="20"/>
              </w:rPr>
            </w:pPr>
            <w:r w:rsidRPr="00E45630">
              <w:rPr>
                <w:rFonts w:ascii="Arial Narrow" w:hAnsi="Arial Narrow"/>
                <w:sz w:val="20"/>
              </w:rPr>
              <w:t>Methods used to generate results</w:t>
            </w:r>
          </w:p>
        </w:tc>
        <w:tc>
          <w:tcPr>
            <w:tcW w:w="4150" w:type="pct"/>
            <w:shd w:val="clear" w:color="auto" w:fill="auto"/>
            <w:vAlign w:val="center"/>
          </w:tcPr>
          <w:p w:rsidR="00382220" w:rsidRPr="00E45630" w:rsidRDefault="00382220" w:rsidP="005E22C2">
            <w:pPr>
              <w:keepNext/>
              <w:jc w:val="left"/>
              <w:rPr>
                <w:rFonts w:ascii="Arial Narrow" w:hAnsi="Arial Narrow"/>
                <w:sz w:val="20"/>
              </w:rPr>
            </w:pPr>
            <w:r w:rsidRPr="00E45630">
              <w:rPr>
                <w:rFonts w:ascii="Arial Narrow" w:hAnsi="Arial Narrow"/>
                <w:sz w:val="20"/>
              </w:rPr>
              <w:t>A dynamic transmission model to estimate the discounted number of symptomatic cases over 100 year of pertussis and the percentage of these cases who would be notified. These values are then incorporated in an economic model.</w:t>
            </w:r>
          </w:p>
        </w:tc>
      </w:tr>
      <w:tr w:rsidR="00382220" w:rsidRPr="00E45630" w:rsidTr="008A68D7">
        <w:tc>
          <w:tcPr>
            <w:tcW w:w="850" w:type="pct"/>
            <w:shd w:val="clear" w:color="auto" w:fill="auto"/>
            <w:vAlign w:val="center"/>
          </w:tcPr>
          <w:p w:rsidR="00382220" w:rsidRPr="00E45630" w:rsidRDefault="00382220" w:rsidP="005E22C2">
            <w:pPr>
              <w:keepNext/>
              <w:jc w:val="left"/>
              <w:rPr>
                <w:rFonts w:ascii="Arial Narrow" w:hAnsi="Arial Narrow"/>
                <w:sz w:val="20"/>
              </w:rPr>
            </w:pPr>
            <w:r w:rsidRPr="00E45630">
              <w:rPr>
                <w:rFonts w:ascii="Arial Narrow" w:hAnsi="Arial Narrow"/>
                <w:sz w:val="20"/>
              </w:rPr>
              <w:t>Health states</w:t>
            </w:r>
          </w:p>
        </w:tc>
        <w:tc>
          <w:tcPr>
            <w:tcW w:w="4150" w:type="pct"/>
            <w:shd w:val="clear" w:color="auto" w:fill="auto"/>
            <w:vAlign w:val="center"/>
          </w:tcPr>
          <w:p w:rsidR="00382220" w:rsidRPr="00E45630" w:rsidRDefault="00382220" w:rsidP="005E22C2">
            <w:pPr>
              <w:keepNext/>
              <w:jc w:val="left"/>
              <w:rPr>
                <w:rFonts w:ascii="Arial Narrow" w:hAnsi="Arial Narrow"/>
                <w:sz w:val="20"/>
              </w:rPr>
            </w:pPr>
            <w:r w:rsidRPr="00E45630">
              <w:rPr>
                <w:rFonts w:ascii="Arial Narrow" w:hAnsi="Arial Narrow"/>
                <w:sz w:val="20"/>
              </w:rPr>
              <w:t>11 health states:</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Protected by maternal antibodies (available to a fraction of newborns)</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Primary susceptible (never exposed to pertussis infection, never vaccinated, never born with maternal antibodies, or have had maternal protection wane)</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Primary infection (infected with pertussis while primary susceptible)</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Full protection (immune after being infected naturally, not by vaccine)</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 xml:space="preserve">Partial protection (immunity has waned from Full protection, vulnerable only to asymptomatic infection) </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Recidive susceptible (susceptible again after being exposed to pertussis either by previous infection, or vaccination, and having immunity wane)</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Recidive infection (infected with pertussis while recidive susceptible)</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Full protection after vaccination (immune after being vaccinated by primary vaccine)</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 xml:space="preserve">Partial protection after vaccination (immunity has waned from Full protection after vaccination, vulnerable only to asymptomatic infection) </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Asymptomatic infection (No utility loss, no cost, but symptomatic disease is transmissible to others)</w:t>
            </w:r>
          </w:p>
          <w:p w:rsidR="00382220" w:rsidRPr="00E45630" w:rsidRDefault="00382220" w:rsidP="00081EEC">
            <w:pPr>
              <w:pStyle w:val="ListParagraph"/>
              <w:keepNext/>
              <w:numPr>
                <w:ilvl w:val="0"/>
                <w:numId w:val="1"/>
              </w:numPr>
              <w:ind w:left="255" w:hanging="255"/>
              <w:jc w:val="left"/>
              <w:rPr>
                <w:rFonts w:ascii="Arial Narrow" w:hAnsi="Arial Narrow"/>
                <w:sz w:val="20"/>
              </w:rPr>
            </w:pPr>
            <w:r w:rsidRPr="00E45630">
              <w:rPr>
                <w:rFonts w:ascii="Arial Narrow" w:hAnsi="Arial Narrow"/>
                <w:sz w:val="20"/>
              </w:rPr>
              <w:t>Partial protection after booster vaccination (vulnerable only to asymptomatic infection)</w:t>
            </w:r>
          </w:p>
        </w:tc>
      </w:tr>
      <w:tr w:rsidR="00382220" w:rsidRPr="00E45630" w:rsidTr="008A68D7">
        <w:tc>
          <w:tcPr>
            <w:tcW w:w="850" w:type="pct"/>
            <w:shd w:val="clear" w:color="auto" w:fill="auto"/>
            <w:vAlign w:val="center"/>
          </w:tcPr>
          <w:p w:rsidR="00382220" w:rsidRPr="00E45630" w:rsidRDefault="00382220" w:rsidP="005E22C2">
            <w:pPr>
              <w:keepNext/>
              <w:jc w:val="left"/>
              <w:rPr>
                <w:rFonts w:ascii="Arial Narrow" w:hAnsi="Arial Narrow"/>
                <w:sz w:val="20"/>
              </w:rPr>
            </w:pPr>
            <w:r w:rsidRPr="00E45630">
              <w:rPr>
                <w:rFonts w:ascii="Arial Narrow" w:hAnsi="Arial Narrow"/>
                <w:sz w:val="20"/>
              </w:rPr>
              <w:t>Cycle length</w:t>
            </w:r>
          </w:p>
        </w:tc>
        <w:tc>
          <w:tcPr>
            <w:tcW w:w="4150" w:type="pct"/>
            <w:shd w:val="clear" w:color="auto" w:fill="auto"/>
            <w:vAlign w:val="center"/>
          </w:tcPr>
          <w:p w:rsidR="00382220" w:rsidRPr="00E45630" w:rsidRDefault="00382220" w:rsidP="005E22C2">
            <w:pPr>
              <w:keepNext/>
              <w:jc w:val="left"/>
              <w:rPr>
                <w:rFonts w:ascii="Arial Narrow" w:hAnsi="Arial Narrow"/>
                <w:sz w:val="20"/>
              </w:rPr>
            </w:pPr>
            <w:r w:rsidRPr="00E45630">
              <w:rPr>
                <w:rFonts w:ascii="Arial Narrow" w:hAnsi="Arial Narrow"/>
                <w:sz w:val="20"/>
              </w:rPr>
              <w:t>1 year</w:t>
            </w:r>
          </w:p>
        </w:tc>
      </w:tr>
      <w:tr w:rsidR="00382220" w:rsidRPr="00E45630" w:rsidTr="008A68D7">
        <w:tc>
          <w:tcPr>
            <w:tcW w:w="850" w:type="pct"/>
            <w:shd w:val="clear" w:color="auto" w:fill="auto"/>
            <w:vAlign w:val="center"/>
          </w:tcPr>
          <w:p w:rsidR="00382220" w:rsidRPr="00E45630" w:rsidRDefault="00382220" w:rsidP="005E22C2">
            <w:pPr>
              <w:keepNext/>
              <w:jc w:val="left"/>
              <w:rPr>
                <w:rFonts w:ascii="Arial Narrow" w:hAnsi="Arial Narrow"/>
                <w:sz w:val="20"/>
              </w:rPr>
            </w:pPr>
            <w:r w:rsidRPr="00E45630">
              <w:rPr>
                <w:rFonts w:ascii="Arial Narrow" w:hAnsi="Arial Narrow"/>
                <w:sz w:val="20"/>
              </w:rPr>
              <w:t>Rates of change</w:t>
            </w:r>
          </w:p>
        </w:tc>
        <w:tc>
          <w:tcPr>
            <w:tcW w:w="4150" w:type="pct"/>
            <w:shd w:val="clear" w:color="auto" w:fill="auto"/>
            <w:vAlign w:val="center"/>
          </w:tcPr>
          <w:p w:rsidR="00382220" w:rsidRPr="00E45630" w:rsidRDefault="00382220" w:rsidP="00081EEC">
            <w:pPr>
              <w:pStyle w:val="ListParagraph"/>
              <w:keepNext/>
              <w:numPr>
                <w:ilvl w:val="0"/>
                <w:numId w:val="8"/>
              </w:numPr>
              <w:ind w:left="255" w:hanging="255"/>
              <w:jc w:val="left"/>
              <w:rPr>
                <w:rFonts w:ascii="Arial Narrow" w:hAnsi="Arial Narrow"/>
                <w:sz w:val="20"/>
              </w:rPr>
            </w:pPr>
            <w:r w:rsidRPr="00E45630">
              <w:rPr>
                <w:rFonts w:ascii="Arial Narrow" w:hAnsi="Arial Narrow"/>
                <w:sz w:val="20"/>
              </w:rPr>
              <w:t>Recovery rates from infected health states were taken from De Vries (2010)</w:t>
            </w:r>
          </w:p>
          <w:p w:rsidR="00382220" w:rsidRPr="00E45630" w:rsidRDefault="00382220" w:rsidP="00081EEC">
            <w:pPr>
              <w:pStyle w:val="ListParagraph"/>
              <w:keepNext/>
              <w:numPr>
                <w:ilvl w:val="0"/>
                <w:numId w:val="8"/>
              </w:numPr>
              <w:ind w:left="255" w:hanging="255"/>
              <w:jc w:val="left"/>
              <w:rPr>
                <w:rFonts w:ascii="Arial Narrow" w:hAnsi="Arial Narrow"/>
                <w:sz w:val="20"/>
              </w:rPr>
            </w:pPr>
            <w:r w:rsidRPr="00E45630">
              <w:rPr>
                <w:rFonts w:ascii="Arial Narrow" w:hAnsi="Arial Narrow"/>
                <w:sz w:val="20"/>
              </w:rPr>
              <w:t>Waning of immunity after natural infection, maternal protection, or primary vaccination was taken from De Vries (2010)</w:t>
            </w:r>
          </w:p>
          <w:p w:rsidR="00382220" w:rsidRPr="00E45630" w:rsidRDefault="00382220" w:rsidP="00081EEC">
            <w:pPr>
              <w:pStyle w:val="ListParagraph"/>
              <w:keepNext/>
              <w:numPr>
                <w:ilvl w:val="0"/>
                <w:numId w:val="8"/>
              </w:numPr>
              <w:ind w:left="255" w:hanging="255"/>
              <w:jc w:val="left"/>
              <w:rPr>
                <w:rFonts w:ascii="Arial Narrow" w:hAnsi="Arial Narrow"/>
                <w:sz w:val="20"/>
              </w:rPr>
            </w:pPr>
            <w:r w:rsidRPr="00E45630">
              <w:rPr>
                <w:rFonts w:ascii="Arial Narrow" w:hAnsi="Arial Narrow"/>
                <w:sz w:val="20"/>
              </w:rPr>
              <w:t>Waning of partial immunity after primary vaccination was taken from Quinn (2014)</w:t>
            </w:r>
          </w:p>
          <w:p w:rsidR="00382220" w:rsidRPr="00E45630" w:rsidRDefault="00382220" w:rsidP="00081EEC">
            <w:pPr>
              <w:pStyle w:val="ListParagraph"/>
              <w:keepNext/>
              <w:numPr>
                <w:ilvl w:val="0"/>
                <w:numId w:val="8"/>
              </w:numPr>
              <w:ind w:left="255" w:hanging="255"/>
              <w:jc w:val="left"/>
              <w:rPr>
                <w:rFonts w:ascii="Arial Narrow" w:hAnsi="Arial Narrow"/>
                <w:sz w:val="20"/>
              </w:rPr>
            </w:pPr>
            <w:r w:rsidRPr="00E45630">
              <w:rPr>
                <w:rFonts w:ascii="Arial Narrow" w:hAnsi="Arial Narrow"/>
                <w:sz w:val="20"/>
              </w:rPr>
              <w:t>Waning of partial immunity after booster vaccination was taken from Klein (2012)</w:t>
            </w:r>
          </w:p>
          <w:p w:rsidR="00382220" w:rsidRPr="00E45630" w:rsidRDefault="00382220" w:rsidP="00081EEC">
            <w:pPr>
              <w:pStyle w:val="ListParagraph"/>
              <w:keepNext/>
              <w:numPr>
                <w:ilvl w:val="0"/>
                <w:numId w:val="8"/>
              </w:numPr>
              <w:ind w:left="255" w:hanging="255"/>
              <w:jc w:val="left"/>
              <w:rPr>
                <w:rFonts w:ascii="Arial Narrow" w:hAnsi="Arial Narrow"/>
                <w:sz w:val="20"/>
              </w:rPr>
            </w:pPr>
            <w:r w:rsidRPr="00E45630">
              <w:rPr>
                <w:rFonts w:ascii="Arial Narrow" w:hAnsi="Arial Narrow"/>
                <w:sz w:val="20"/>
              </w:rPr>
              <w:t>Force of infection (tendency for susceptible people to become infected) was determined from model calibration of infectiousness parameters informed by de Vries (2010), Mossong (2008), and Campbell (2012).</w:t>
            </w:r>
          </w:p>
        </w:tc>
      </w:tr>
    </w:tbl>
    <w:p w:rsidR="00382220" w:rsidRPr="00E45630" w:rsidRDefault="00382220" w:rsidP="00382220">
      <w:pPr>
        <w:pStyle w:val="TableFooter"/>
        <w:ind w:firstLine="720"/>
      </w:pPr>
      <w:r w:rsidRPr="00E45630">
        <w:t>Source: compiled during the evaluation</w:t>
      </w:r>
    </w:p>
    <w:p w:rsidR="00382220" w:rsidRPr="00E45630" w:rsidRDefault="00382220" w:rsidP="00382220">
      <w:pPr>
        <w:widowControl/>
        <w:rPr>
          <w:szCs w:val="22"/>
        </w:rPr>
      </w:pPr>
    </w:p>
    <w:p w:rsidR="00382220" w:rsidRPr="00E45630" w:rsidRDefault="00382220" w:rsidP="00081EEC">
      <w:pPr>
        <w:pStyle w:val="ListParagraph"/>
        <w:widowControl/>
        <w:numPr>
          <w:ilvl w:val="1"/>
          <w:numId w:val="3"/>
        </w:numPr>
        <w:rPr>
          <w:szCs w:val="22"/>
        </w:rPr>
      </w:pPr>
      <w:r w:rsidRPr="00E45630">
        <w:t xml:space="preserve">The following </w:t>
      </w:r>
      <w:r w:rsidR="00237F8A">
        <w:t>table</w:t>
      </w:r>
      <w:r w:rsidRPr="00E45630">
        <w:t xml:space="preserve"> provides the key drivers of the dynamic transmission model</w:t>
      </w:r>
      <w:r w:rsidRPr="00E45630">
        <w:rPr>
          <w:color w:val="3366FF"/>
        </w:rPr>
        <w:t xml:space="preserve">. </w:t>
      </w:r>
    </w:p>
    <w:p w:rsidR="00382220" w:rsidRPr="00E45630" w:rsidRDefault="00382220" w:rsidP="00382220">
      <w:pPr>
        <w:widowControl/>
        <w:rPr>
          <w:szCs w:val="22"/>
        </w:rPr>
      </w:pPr>
    </w:p>
    <w:p w:rsidR="00382220" w:rsidRPr="00E45630" w:rsidRDefault="00382220" w:rsidP="005E22C2">
      <w:pPr>
        <w:keepNext/>
        <w:ind w:firstLine="720"/>
        <w:rPr>
          <w:rStyle w:val="CommentReference"/>
        </w:rPr>
      </w:pPr>
      <w:r w:rsidRPr="00E45630">
        <w:rPr>
          <w:rStyle w:val="CommentReference"/>
        </w:rPr>
        <w:lastRenderedPageBreak/>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382220" w:rsidRPr="00E45630" w:rsidTr="001864E4">
        <w:trPr>
          <w:tblHeader/>
        </w:trPr>
        <w:tc>
          <w:tcPr>
            <w:tcW w:w="1529" w:type="pct"/>
            <w:shd w:val="clear" w:color="auto" w:fill="auto"/>
            <w:vAlign w:val="center"/>
          </w:tcPr>
          <w:p w:rsidR="00382220" w:rsidRPr="00E45630" w:rsidRDefault="00382220" w:rsidP="001864E4">
            <w:pPr>
              <w:keepNext/>
              <w:jc w:val="left"/>
              <w:rPr>
                <w:rFonts w:ascii="Arial Narrow" w:hAnsi="Arial Narrow"/>
                <w:b/>
                <w:sz w:val="20"/>
                <w:lang w:val="en-US"/>
              </w:rPr>
            </w:pPr>
            <w:r w:rsidRPr="00E45630">
              <w:rPr>
                <w:rFonts w:ascii="Arial Narrow" w:hAnsi="Arial Narrow"/>
                <w:b/>
                <w:sz w:val="20"/>
                <w:lang w:val="en-US"/>
              </w:rPr>
              <w:t>Description</w:t>
            </w:r>
          </w:p>
        </w:tc>
        <w:tc>
          <w:tcPr>
            <w:tcW w:w="2123" w:type="pct"/>
            <w:shd w:val="clear" w:color="auto" w:fill="auto"/>
            <w:vAlign w:val="center"/>
          </w:tcPr>
          <w:p w:rsidR="00382220" w:rsidRPr="00E45630" w:rsidRDefault="00382220" w:rsidP="001864E4">
            <w:pPr>
              <w:keepNext/>
              <w:jc w:val="left"/>
              <w:rPr>
                <w:rFonts w:ascii="Arial Narrow" w:hAnsi="Arial Narrow"/>
                <w:b/>
                <w:sz w:val="20"/>
                <w:lang w:val="en-US"/>
              </w:rPr>
            </w:pPr>
            <w:r w:rsidRPr="00E45630">
              <w:rPr>
                <w:rFonts w:ascii="Arial Narrow" w:hAnsi="Arial Narrow"/>
                <w:b/>
                <w:sz w:val="20"/>
                <w:lang w:val="en-US"/>
              </w:rPr>
              <w:t>Method/Value</w:t>
            </w:r>
          </w:p>
        </w:tc>
        <w:tc>
          <w:tcPr>
            <w:tcW w:w="1348" w:type="pct"/>
            <w:shd w:val="clear" w:color="auto" w:fill="auto"/>
            <w:vAlign w:val="center"/>
          </w:tcPr>
          <w:p w:rsidR="00382220" w:rsidRPr="00E45630" w:rsidRDefault="00382220" w:rsidP="001864E4">
            <w:pPr>
              <w:keepNext/>
              <w:jc w:val="left"/>
              <w:rPr>
                <w:rFonts w:ascii="Arial Narrow" w:hAnsi="Arial Narrow"/>
                <w:b/>
                <w:sz w:val="20"/>
                <w:lang w:val="en-US"/>
              </w:rPr>
            </w:pPr>
            <w:r w:rsidRPr="00E45630">
              <w:rPr>
                <w:rFonts w:ascii="Arial Narrow" w:hAnsi="Arial Narrow"/>
                <w:b/>
                <w:sz w:val="20"/>
                <w:lang w:val="en-US"/>
              </w:rPr>
              <w:t>Impact</w:t>
            </w:r>
          </w:p>
        </w:tc>
      </w:tr>
      <w:tr w:rsidR="00E77B40" w:rsidRPr="00E45630" w:rsidTr="001864E4">
        <w:tc>
          <w:tcPr>
            <w:tcW w:w="1529" w:type="pct"/>
            <w:shd w:val="clear" w:color="auto" w:fill="auto"/>
          </w:tcPr>
          <w:p w:rsidR="00E77B40" w:rsidRPr="00E45630" w:rsidRDefault="00E77B40" w:rsidP="001864E4">
            <w:pPr>
              <w:keepNext/>
              <w:jc w:val="left"/>
              <w:rPr>
                <w:rFonts w:ascii="Arial Narrow" w:hAnsi="Arial Narrow"/>
                <w:sz w:val="20"/>
                <w:lang w:val="en-US"/>
              </w:rPr>
            </w:pPr>
            <w:r w:rsidRPr="00E45630">
              <w:rPr>
                <w:rFonts w:ascii="Arial Narrow" w:hAnsi="Arial Narrow"/>
                <w:sz w:val="20"/>
                <w:lang w:val="en-US"/>
              </w:rPr>
              <w:t>Utility loss for cases</w:t>
            </w:r>
          </w:p>
        </w:tc>
        <w:tc>
          <w:tcPr>
            <w:tcW w:w="2123" w:type="pct"/>
            <w:shd w:val="clear" w:color="auto" w:fill="auto"/>
          </w:tcPr>
          <w:p w:rsidR="00BE0558" w:rsidRDefault="00BE0558" w:rsidP="001864E4">
            <w:pPr>
              <w:pStyle w:val="ListParagraph"/>
              <w:keepNext/>
              <w:numPr>
                <w:ilvl w:val="0"/>
                <w:numId w:val="11"/>
              </w:numPr>
              <w:ind w:left="397"/>
              <w:jc w:val="left"/>
              <w:rPr>
                <w:rFonts w:ascii="Arial Narrow" w:hAnsi="Arial Narrow"/>
                <w:sz w:val="20"/>
                <w:lang w:val="en-US"/>
              </w:rPr>
            </w:pPr>
            <w:r w:rsidRPr="00E45630">
              <w:rPr>
                <w:rFonts w:ascii="Arial Narrow" w:hAnsi="Arial Narrow"/>
                <w:sz w:val="20"/>
                <w:lang w:val="en-US"/>
              </w:rPr>
              <w:t>Least conservative, most uncertain utility values used to represent pertussis effects</w:t>
            </w:r>
          </w:p>
          <w:p w:rsidR="005016A8" w:rsidRPr="00E45630" w:rsidRDefault="005016A8" w:rsidP="001864E4">
            <w:pPr>
              <w:pStyle w:val="ListParagraph"/>
              <w:keepNext/>
              <w:numPr>
                <w:ilvl w:val="0"/>
                <w:numId w:val="11"/>
              </w:numPr>
              <w:ind w:left="397"/>
              <w:jc w:val="left"/>
              <w:rPr>
                <w:rFonts w:ascii="Arial Narrow" w:hAnsi="Arial Narrow"/>
                <w:sz w:val="20"/>
                <w:lang w:val="en-US"/>
              </w:rPr>
            </w:pPr>
            <w:r>
              <w:rPr>
                <w:rFonts w:ascii="Arial Narrow" w:hAnsi="Arial Narrow"/>
                <w:sz w:val="20"/>
                <w:lang w:val="en-US"/>
              </w:rPr>
              <w:t>Asymptomatic non-notified cases incurred no disutility</w:t>
            </w:r>
          </w:p>
          <w:p w:rsidR="00BE0558" w:rsidRPr="001864E4" w:rsidRDefault="00E77B40" w:rsidP="001864E4">
            <w:pPr>
              <w:pStyle w:val="ListParagraph"/>
              <w:keepNext/>
              <w:numPr>
                <w:ilvl w:val="0"/>
                <w:numId w:val="11"/>
              </w:numPr>
              <w:ind w:left="397"/>
              <w:jc w:val="left"/>
              <w:rPr>
                <w:rFonts w:ascii="Arial Narrow" w:hAnsi="Arial Narrow"/>
                <w:sz w:val="20"/>
                <w:lang w:val="en-US"/>
              </w:rPr>
            </w:pPr>
            <w:r w:rsidRPr="00E45630">
              <w:rPr>
                <w:rFonts w:ascii="Arial Narrow" w:hAnsi="Arial Narrow"/>
                <w:sz w:val="20"/>
                <w:lang w:val="en-US"/>
              </w:rPr>
              <w:t>50% disutility loss</w:t>
            </w:r>
            <w:r w:rsidR="001B5CC1">
              <w:rPr>
                <w:rFonts w:ascii="Arial Narrow" w:hAnsi="Arial Narrow"/>
                <w:sz w:val="20"/>
                <w:lang w:val="en-US"/>
              </w:rPr>
              <w:t xml:space="preserve"> for </w:t>
            </w:r>
            <w:r w:rsidR="005016A8">
              <w:rPr>
                <w:rFonts w:ascii="Arial Narrow" w:hAnsi="Arial Narrow"/>
                <w:sz w:val="20"/>
                <w:lang w:val="en-US"/>
              </w:rPr>
              <w:t xml:space="preserve">symptomatic </w:t>
            </w:r>
            <w:r w:rsidR="001B5CC1">
              <w:rPr>
                <w:rFonts w:ascii="Arial Narrow" w:hAnsi="Arial Narrow"/>
                <w:sz w:val="20"/>
                <w:lang w:val="en-US"/>
              </w:rPr>
              <w:t>non-notified cases</w:t>
            </w:r>
            <w:r w:rsidRPr="00E45630">
              <w:rPr>
                <w:rFonts w:ascii="Arial Narrow" w:hAnsi="Arial Narrow"/>
                <w:sz w:val="20"/>
                <w:lang w:val="en-US"/>
              </w:rPr>
              <w:t xml:space="preserve"> compared to notified cases</w:t>
            </w:r>
          </w:p>
        </w:tc>
        <w:tc>
          <w:tcPr>
            <w:tcW w:w="1348" w:type="pct"/>
            <w:shd w:val="clear" w:color="auto" w:fill="auto"/>
          </w:tcPr>
          <w:p w:rsidR="00E77B40" w:rsidRPr="00E45630" w:rsidRDefault="00E77B40" w:rsidP="001864E4">
            <w:pPr>
              <w:keepNext/>
              <w:jc w:val="left"/>
              <w:rPr>
                <w:rFonts w:ascii="Arial Narrow" w:hAnsi="Arial Narrow"/>
                <w:sz w:val="20"/>
                <w:lang w:val="en-US"/>
              </w:rPr>
            </w:pPr>
            <w:r w:rsidRPr="00E45630">
              <w:rPr>
                <w:rFonts w:ascii="Arial Narrow" w:hAnsi="Arial Narrow"/>
                <w:sz w:val="20"/>
                <w:lang w:val="en-US"/>
              </w:rPr>
              <w:t>High</w:t>
            </w:r>
          </w:p>
        </w:tc>
      </w:tr>
      <w:tr w:rsidR="00382220" w:rsidRPr="00E45630" w:rsidTr="001864E4">
        <w:tc>
          <w:tcPr>
            <w:tcW w:w="1529"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Contact matrix</w:t>
            </w:r>
          </w:p>
        </w:tc>
        <w:tc>
          <w:tcPr>
            <w:tcW w:w="2123"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Set of numbers indicating rate of social contact between different age groups</w:t>
            </w:r>
          </w:p>
        </w:tc>
        <w:tc>
          <w:tcPr>
            <w:tcW w:w="1348" w:type="pct"/>
            <w:shd w:val="clear" w:color="auto" w:fill="auto"/>
          </w:tcPr>
          <w:p w:rsidR="00382220" w:rsidRPr="00E45630" w:rsidRDefault="008A68D7" w:rsidP="001864E4">
            <w:pPr>
              <w:keepNext/>
              <w:jc w:val="left"/>
              <w:rPr>
                <w:rFonts w:ascii="Arial Narrow" w:hAnsi="Arial Narrow"/>
                <w:sz w:val="20"/>
                <w:lang w:val="en-US"/>
              </w:rPr>
            </w:pPr>
            <w:r w:rsidRPr="00E45630">
              <w:rPr>
                <w:rFonts w:ascii="Arial Narrow" w:hAnsi="Arial Narrow"/>
                <w:sz w:val="20"/>
                <w:lang w:val="en-US"/>
              </w:rPr>
              <w:t>Cannot be tested, but likely to be high</w:t>
            </w:r>
          </w:p>
        </w:tc>
      </w:tr>
      <w:tr w:rsidR="00382220" w:rsidRPr="00E45630" w:rsidTr="001864E4">
        <w:tc>
          <w:tcPr>
            <w:tcW w:w="1529"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Model structure (consistent vs. inconsistent inclusion of cases)</w:t>
            </w:r>
          </w:p>
        </w:tc>
        <w:tc>
          <w:tcPr>
            <w:tcW w:w="2123"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 xml:space="preserve">The submission uses a different approach to include the cases </w:t>
            </w:r>
          </w:p>
        </w:tc>
        <w:tc>
          <w:tcPr>
            <w:tcW w:w="1348" w:type="pct"/>
            <w:shd w:val="clear" w:color="auto" w:fill="auto"/>
          </w:tcPr>
          <w:p w:rsidR="00382220" w:rsidRPr="00E45630" w:rsidRDefault="00E63EA6" w:rsidP="001864E4">
            <w:pPr>
              <w:keepNext/>
              <w:jc w:val="left"/>
              <w:rPr>
                <w:rFonts w:ascii="Arial Narrow" w:hAnsi="Arial Narrow"/>
                <w:sz w:val="20"/>
                <w:lang w:val="en-US"/>
              </w:rPr>
            </w:pPr>
            <w:r w:rsidRPr="00E45630">
              <w:rPr>
                <w:rFonts w:ascii="Arial Narrow" w:hAnsi="Arial Narrow"/>
                <w:sz w:val="20"/>
                <w:lang w:val="en-US"/>
              </w:rPr>
              <w:t>Low</w:t>
            </w:r>
          </w:p>
        </w:tc>
      </w:tr>
      <w:tr w:rsidR="00382220" w:rsidRPr="00E45630" w:rsidTr="001864E4">
        <w:tc>
          <w:tcPr>
            <w:tcW w:w="1529"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Cohort size</w:t>
            </w:r>
          </w:p>
        </w:tc>
        <w:tc>
          <w:tcPr>
            <w:tcW w:w="2123"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Base case is whole population</w:t>
            </w:r>
          </w:p>
        </w:tc>
        <w:tc>
          <w:tcPr>
            <w:tcW w:w="1348"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High</w:t>
            </w:r>
          </w:p>
        </w:tc>
      </w:tr>
      <w:tr w:rsidR="00382220" w:rsidRPr="00E45630" w:rsidTr="001864E4">
        <w:tc>
          <w:tcPr>
            <w:tcW w:w="1529"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Efficacy in no booster arm</w:t>
            </w:r>
          </w:p>
        </w:tc>
        <w:tc>
          <w:tcPr>
            <w:tcW w:w="2123"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Based on Quinn (2014)</w:t>
            </w:r>
          </w:p>
        </w:tc>
        <w:tc>
          <w:tcPr>
            <w:tcW w:w="1348" w:type="pct"/>
            <w:shd w:val="clear" w:color="auto" w:fill="auto"/>
          </w:tcPr>
          <w:p w:rsidR="00382220" w:rsidRPr="00E45630" w:rsidRDefault="00382220" w:rsidP="001864E4">
            <w:pPr>
              <w:keepNext/>
              <w:jc w:val="left"/>
              <w:rPr>
                <w:rFonts w:ascii="Arial Narrow" w:hAnsi="Arial Narrow"/>
                <w:sz w:val="20"/>
                <w:lang w:val="en-US"/>
              </w:rPr>
            </w:pPr>
            <w:r w:rsidRPr="00E45630">
              <w:rPr>
                <w:rFonts w:ascii="Arial Narrow" w:hAnsi="Arial Narrow"/>
                <w:sz w:val="20"/>
                <w:lang w:val="en-US"/>
              </w:rPr>
              <w:t>Cannot be tested</w:t>
            </w:r>
            <w:r w:rsidR="008A68D7" w:rsidRPr="00E45630">
              <w:rPr>
                <w:rFonts w:ascii="Arial Narrow" w:hAnsi="Arial Narrow"/>
                <w:sz w:val="20"/>
                <w:lang w:val="en-US"/>
              </w:rPr>
              <w:t>, but likely to be medium to high</w:t>
            </w:r>
          </w:p>
        </w:tc>
      </w:tr>
      <w:tr w:rsidR="00482A8B" w:rsidRPr="00E45630" w:rsidTr="001864E4">
        <w:tc>
          <w:tcPr>
            <w:tcW w:w="1529" w:type="pct"/>
            <w:shd w:val="clear" w:color="auto" w:fill="auto"/>
          </w:tcPr>
          <w:p w:rsidR="00482A8B" w:rsidRPr="00E45630" w:rsidRDefault="00482A8B" w:rsidP="001864E4">
            <w:pPr>
              <w:keepNext/>
              <w:jc w:val="left"/>
              <w:rPr>
                <w:rFonts w:ascii="Arial Narrow" w:hAnsi="Arial Narrow"/>
                <w:sz w:val="20"/>
                <w:lang w:val="en-US"/>
              </w:rPr>
            </w:pPr>
            <w:r w:rsidRPr="00E45630">
              <w:rPr>
                <w:rFonts w:ascii="Arial Narrow" w:hAnsi="Arial Narrow"/>
                <w:sz w:val="20"/>
                <w:lang w:val="en-US"/>
              </w:rPr>
              <w:t>Calibration method to determine infectiousness</w:t>
            </w:r>
          </w:p>
        </w:tc>
        <w:tc>
          <w:tcPr>
            <w:tcW w:w="2123" w:type="pct"/>
            <w:shd w:val="clear" w:color="auto" w:fill="auto"/>
          </w:tcPr>
          <w:p w:rsidR="00482A8B" w:rsidRPr="00E45630" w:rsidRDefault="00482A8B" w:rsidP="001864E4">
            <w:pPr>
              <w:keepNext/>
              <w:jc w:val="left"/>
              <w:rPr>
                <w:rFonts w:ascii="Arial Narrow" w:hAnsi="Arial Narrow"/>
                <w:sz w:val="20"/>
                <w:lang w:val="en-US"/>
              </w:rPr>
            </w:pPr>
            <w:r w:rsidRPr="00E45630">
              <w:rPr>
                <w:rFonts w:ascii="Arial Narrow" w:hAnsi="Arial Narrow"/>
                <w:sz w:val="20"/>
                <w:lang w:val="en-US"/>
              </w:rPr>
              <w:t>Based on Campbell (2012), and contact matrix</w:t>
            </w:r>
          </w:p>
        </w:tc>
        <w:tc>
          <w:tcPr>
            <w:tcW w:w="1348" w:type="pct"/>
            <w:shd w:val="clear" w:color="auto" w:fill="auto"/>
          </w:tcPr>
          <w:p w:rsidR="00482A8B" w:rsidRPr="00E45630" w:rsidRDefault="00482A8B" w:rsidP="001864E4">
            <w:pPr>
              <w:keepNext/>
              <w:jc w:val="left"/>
              <w:rPr>
                <w:rFonts w:ascii="Arial Narrow" w:hAnsi="Arial Narrow"/>
                <w:sz w:val="20"/>
                <w:lang w:val="en-US"/>
              </w:rPr>
            </w:pPr>
            <w:r w:rsidRPr="00E45630">
              <w:rPr>
                <w:rFonts w:ascii="Arial Narrow" w:hAnsi="Arial Narrow"/>
                <w:sz w:val="20"/>
                <w:lang w:val="en-US"/>
              </w:rPr>
              <w:t>Cannot be tested, but likely to be medium to high</w:t>
            </w:r>
          </w:p>
        </w:tc>
      </w:tr>
    </w:tbl>
    <w:p w:rsidR="003011CF" w:rsidRPr="00E45630" w:rsidRDefault="00382220" w:rsidP="00382220">
      <w:pPr>
        <w:pStyle w:val="TableFooter"/>
        <w:ind w:firstLine="720"/>
      </w:pPr>
      <w:r w:rsidRPr="00E45630">
        <w:t>Source: compiled during the evaluation</w:t>
      </w:r>
    </w:p>
    <w:p w:rsidR="003011CF" w:rsidRPr="00E45630" w:rsidRDefault="003011CF" w:rsidP="003011CF"/>
    <w:p w:rsidR="009115FD" w:rsidRPr="00E45630" w:rsidRDefault="009115FD" w:rsidP="00081EEC">
      <w:pPr>
        <w:pStyle w:val="ListParagraph"/>
        <w:widowControl/>
        <w:numPr>
          <w:ilvl w:val="1"/>
          <w:numId w:val="3"/>
        </w:numPr>
      </w:pPr>
      <w:r w:rsidRPr="00E45630">
        <w:t>The ICER is sensitive to the utility decrements applied to unreported cases. The number of unreported cases is calibrated to seroprevalence data, for which source documents imply that only 20 to 25% are symptomatic</w:t>
      </w:r>
      <w:r w:rsidR="004B032B" w:rsidRPr="00E45630">
        <w:t>.</w:t>
      </w:r>
    </w:p>
    <w:p w:rsidR="004B032B" w:rsidRPr="00E45630" w:rsidRDefault="004B032B" w:rsidP="009115FD">
      <w:pPr>
        <w:pStyle w:val="ListParagraph"/>
        <w:ind w:right="135" w:hanging="720"/>
      </w:pPr>
    </w:p>
    <w:p w:rsidR="00C0313B" w:rsidRPr="00E172A9" w:rsidRDefault="003011CF" w:rsidP="00081EEC">
      <w:pPr>
        <w:pStyle w:val="ListParagraph"/>
        <w:widowControl/>
        <w:numPr>
          <w:ilvl w:val="1"/>
          <w:numId w:val="3"/>
        </w:numPr>
      </w:pPr>
      <w:r w:rsidRPr="00E172A9">
        <w:t>For symptomatic non-notified cases, the submission applies a disutility which is 50% of the notified cases (e.g. for 1-3 year old children with notified pertussis a disutility of 0.28 is applied for 62 days vs. 0.14 for non-notified pertussis cases). This assumption is not supported by the literature and</w:t>
      </w:r>
      <w:r w:rsidR="001864E4" w:rsidRPr="00E172A9">
        <w:t xml:space="preserve"> has a large impact on the cost</w:t>
      </w:r>
      <w:r w:rsidR="001864E4" w:rsidRPr="00E172A9">
        <w:noBreakHyphen/>
      </w:r>
      <w:r w:rsidRPr="00E172A9">
        <w:t>effectiveness.</w:t>
      </w:r>
      <w:r w:rsidR="00EB7586" w:rsidRPr="00E172A9">
        <w:t xml:space="preserve"> The PSCR argue</w:t>
      </w:r>
      <w:r w:rsidR="00743E78">
        <w:t>d</w:t>
      </w:r>
      <w:r w:rsidR="00EB7586" w:rsidRPr="00E172A9">
        <w:t xml:space="preserve"> that it would be inappropriate to apply a utility decrement of 0% compared with notified cases and that the submission conservatively assumes that non-notified symptomatic cases incur no costs</w:t>
      </w:r>
      <w:r w:rsidR="00D046CB" w:rsidRPr="00E172A9">
        <w:t>.</w:t>
      </w:r>
      <w:r w:rsidR="009115FD" w:rsidRPr="00E172A9">
        <w:t xml:space="preserve"> </w:t>
      </w:r>
      <w:r w:rsidR="00EB7586" w:rsidRPr="00E172A9">
        <w:t xml:space="preserve">The ESC agreed that applying a utility decrement of zero to symptomatic non-notified would be inappropriate </w:t>
      </w:r>
      <w:r w:rsidR="00D1651C" w:rsidRPr="00E172A9">
        <w:t>(</w:t>
      </w:r>
      <w:r w:rsidR="00D1651C" w:rsidRPr="00E172A9">
        <w:rPr>
          <w:lang w:val="en-US"/>
        </w:rPr>
        <w:t>as non-notified symptomatic pertussis cases may have some disutility</w:t>
      </w:r>
      <w:r w:rsidR="00D1651C" w:rsidRPr="00E172A9">
        <w:t xml:space="preserve">) </w:t>
      </w:r>
      <w:r w:rsidR="00EB7586" w:rsidRPr="00E172A9">
        <w:t xml:space="preserve">and that </w:t>
      </w:r>
      <w:r w:rsidR="0040604B" w:rsidRPr="00E172A9">
        <w:t>the costs associated with non-notified symptomatic cases were underestimated in the model</w:t>
      </w:r>
      <w:r w:rsidR="00EB7586" w:rsidRPr="00E172A9">
        <w:t>.</w:t>
      </w:r>
      <w:r w:rsidR="00F475CF" w:rsidRPr="00E172A9">
        <w:t xml:space="preserve"> That said, the specific assumption of a 50% utility reduction (compared to reported cases) is not supported by evidence from the literature. </w:t>
      </w:r>
      <w:r w:rsidR="007E50C2" w:rsidRPr="00E172A9">
        <w:t>The pre-PBAC response reiterated that the submission assumes that non-notified symptomatic cases incur no cost and 50% less disutility than notified cases and noted that the published analyses of pertussis vaccination have adopted a higher utility decrement for non-notified symptomatic cases than that utilised in the submission.</w:t>
      </w:r>
    </w:p>
    <w:p w:rsidR="00507DBA" w:rsidRPr="00E172A9" w:rsidRDefault="00507DBA" w:rsidP="00507DBA">
      <w:pPr>
        <w:pStyle w:val="ListParagraph"/>
        <w:widowControl/>
      </w:pPr>
    </w:p>
    <w:p w:rsidR="00507DBA" w:rsidRPr="00E45630" w:rsidRDefault="00724197" w:rsidP="00081EEC">
      <w:pPr>
        <w:pStyle w:val="ListParagraph"/>
        <w:widowControl/>
        <w:numPr>
          <w:ilvl w:val="1"/>
          <w:numId w:val="3"/>
        </w:numPr>
      </w:pPr>
      <w:r w:rsidRPr="00E172A9">
        <w:t xml:space="preserve">The </w:t>
      </w:r>
      <w:r w:rsidR="00507DBA" w:rsidRPr="00E172A9">
        <w:t>model assumes that 100% of primary and recidive cases during the first year are</w:t>
      </w:r>
      <w:r w:rsidR="00507DBA" w:rsidRPr="00E45630">
        <w:t xml:space="preserve"> reported, falling to 2% for primary and 0% for recidive cases after the first birthday (and rising to 100% again at greater than 65 years of age). </w:t>
      </w:r>
      <w:r w:rsidR="00860F63" w:rsidRPr="00E45630">
        <w:t xml:space="preserve">The ESC noted the biological implausibility of this assumption and the implication that the </w:t>
      </w:r>
      <w:r w:rsidR="00507DBA" w:rsidRPr="00E45630">
        <w:t xml:space="preserve">model </w:t>
      </w:r>
      <w:r w:rsidR="00860F63" w:rsidRPr="00E45630">
        <w:t xml:space="preserve">is unable </w:t>
      </w:r>
      <w:r w:rsidR="00507DBA" w:rsidRPr="00E45630">
        <w:t>to replicate the observed epidemiology of disease by age</w:t>
      </w:r>
      <w:r w:rsidR="00860F63" w:rsidRPr="00E45630">
        <w:t>.</w:t>
      </w:r>
      <w:r w:rsidR="00507DBA" w:rsidRPr="00E45630">
        <w:t xml:space="preserve"> </w:t>
      </w:r>
      <w:r w:rsidR="00840104" w:rsidRPr="00E45630">
        <w:t xml:space="preserve">ATAGI noted in </w:t>
      </w:r>
      <w:r w:rsidR="004625A1" w:rsidRPr="00E45630">
        <w:t>its</w:t>
      </w:r>
      <w:r w:rsidR="00840104" w:rsidRPr="00E45630">
        <w:t xml:space="preserve"> post-submission advice (p6) that this “inability of the model to replicate the observed epidemiology of disease by age means that herd effects during the first year of life cannot be estimated with confidence and will underestimate the impact of toddler vaccination on infants”. </w:t>
      </w:r>
    </w:p>
    <w:p w:rsidR="003011CF" w:rsidRPr="00E45630" w:rsidRDefault="003011CF" w:rsidP="00201D16">
      <w:pPr>
        <w:rPr>
          <w:lang w:val="en-US"/>
        </w:rPr>
      </w:pPr>
    </w:p>
    <w:p w:rsidR="00394917" w:rsidRPr="00E45630" w:rsidRDefault="00394917" w:rsidP="00081EEC">
      <w:pPr>
        <w:pStyle w:val="ListParagraph"/>
        <w:widowControl/>
        <w:numPr>
          <w:ilvl w:val="1"/>
          <w:numId w:val="3"/>
        </w:numPr>
      </w:pPr>
      <w:r w:rsidRPr="00E45630">
        <w:t xml:space="preserve">The contact matrix describing the degree of social interaction between people of different ages is an important part of the model. The data used was based on </w:t>
      </w:r>
      <w:r w:rsidRPr="00E45630">
        <w:lastRenderedPageBreak/>
        <w:t xml:space="preserve">average daily interactions between random volunteers, which may not provide an accurate picture for people ill with pertussis. This is especially true for school aged children, who are likely to stay home from school, thereby limiting their interactions with peers. The PSCR </w:t>
      </w:r>
      <w:r w:rsidR="00B3755B" w:rsidRPr="00E45630">
        <w:t xml:space="preserve">(p3) </w:t>
      </w:r>
      <w:r w:rsidRPr="00E45630">
        <w:t>argued</w:t>
      </w:r>
      <w:r w:rsidR="00B3755B" w:rsidRPr="00E45630">
        <w:t xml:space="preserve"> that the “use of the Mossong (2008) United Kingdom general population contact matri</w:t>
      </w:r>
      <w:r w:rsidR="00A40FFE" w:rsidRPr="00E45630">
        <w:t>x</w:t>
      </w:r>
      <w:r w:rsidR="00B3755B" w:rsidRPr="00E45630">
        <w:t xml:space="preserve"> is considered appropriate. </w:t>
      </w:r>
      <w:r w:rsidRPr="00E45630">
        <w:t>The pathogenesis and World Health Organisation (WHO) recommended diagnosis of pertussis (requires a minimum of 21 days of paroxysmal cough) is such that a patient is unlikely to be diagnosed until post the most infect</w:t>
      </w:r>
      <w:r w:rsidR="00B3755B" w:rsidRPr="00E45630">
        <w:t xml:space="preserve">ious period (Catarrhal phase). </w:t>
      </w:r>
      <w:r w:rsidRPr="00E45630">
        <w:t>Therefore patients are likely to behave as per the general population during the infectious period (Kerr, 2000).</w:t>
      </w:r>
      <w:r w:rsidR="00B3755B" w:rsidRPr="00E45630">
        <w:t>”</w:t>
      </w:r>
      <w:r w:rsidRPr="00E45630">
        <w:t xml:space="preserve"> </w:t>
      </w:r>
      <w:r w:rsidR="00CF06A4" w:rsidRPr="00E45630">
        <w:t>The ESC agreed that diagnosis of pertussis usually follows the end of the most infectious period while noting that contacts would likely be reduced from the onset of symptoms</w:t>
      </w:r>
      <w:r w:rsidR="003B2930" w:rsidRPr="00E45630">
        <w:t>, as oppose</w:t>
      </w:r>
      <w:r w:rsidR="001B6B02" w:rsidRPr="00E45630">
        <w:t>d</w:t>
      </w:r>
      <w:r w:rsidR="003B2930" w:rsidRPr="00E45630">
        <w:t xml:space="preserve"> to diagnosis</w:t>
      </w:r>
      <w:r w:rsidR="00CF06A4" w:rsidRPr="00E45630">
        <w:t>. The ESC considered that the contact matrix for 0 to 4 years olds</w:t>
      </w:r>
      <w:r w:rsidR="00C7219A" w:rsidRPr="00E45630">
        <w:t xml:space="preserve"> used in the model could have been more precise</w:t>
      </w:r>
      <w:r w:rsidR="00CF06A4" w:rsidRPr="00E45630">
        <w:t>.</w:t>
      </w:r>
    </w:p>
    <w:p w:rsidR="005C0F14" w:rsidRPr="00E45630" w:rsidRDefault="005C0F14" w:rsidP="00680DFE">
      <w:pPr>
        <w:pStyle w:val="ListParagraph"/>
        <w:widowControl/>
      </w:pPr>
    </w:p>
    <w:p w:rsidR="000C6E42" w:rsidRPr="00E45630" w:rsidRDefault="000C6E42" w:rsidP="00081EEC">
      <w:pPr>
        <w:pStyle w:val="ListParagraph"/>
        <w:widowControl/>
        <w:numPr>
          <w:ilvl w:val="1"/>
          <w:numId w:val="3"/>
        </w:numPr>
      </w:pPr>
      <w:r w:rsidRPr="00E45630">
        <w:t>During evaluation, notified cases of pertussis from the ‘no booster’ arm of the model were compared to actual</w:t>
      </w:r>
      <w:r w:rsidR="006245E6" w:rsidRPr="00E45630">
        <w:t xml:space="preserve"> notified cases from the </w:t>
      </w:r>
      <w:r w:rsidR="00DA6FA1" w:rsidRPr="00E45630">
        <w:t>National Notifiable Diseases Surveillance System (</w:t>
      </w:r>
      <w:r w:rsidR="006245E6" w:rsidRPr="00E45630">
        <w:t>NNDSS</w:t>
      </w:r>
      <w:r w:rsidR="00817CE8" w:rsidRPr="00E45630">
        <w:t>).</w:t>
      </w:r>
      <w:r w:rsidR="006245E6" w:rsidRPr="00E45630">
        <w:t xml:space="preserve"> There was a significant discrepancy, particularly in the broad age group 20-59.</w:t>
      </w:r>
      <w:r w:rsidR="00811B2C" w:rsidRPr="00E45630">
        <w:t xml:space="preserve"> </w:t>
      </w:r>
      <w:r w:rsidR="006245E6" w:rsidRPr="00E45630">
        <w:t>This was due to the model applying the mean reporting rate within each broad age group, rather than us</w:t>
      </w:r>
      <w:r w:rsidR="00B10B27" w:rsidRPr="00E45630">
        <w:t>ing</w:t>
      </w:r>
      <w:r w:rsidR="006245E6" w:rsidRPr="00E45630">
        <w:t xml:space="preserve"> age</w:t>
      </w:r>
      <w:r w:rsidR="00B10B27" w:rsidRPr="00E45630">
        <w:t xml:space="preserve">-year </w:t>
      </w:r>
      <w:r w:rsidR="006245E6" w:rsidRPr="00E45630">
        <w:t>specific reporting rates.</w:t>
      </w:r>
      <w:r w:rsidRPr="00E45630">
        <w:t xml:space="preserve"> </w:t>
      </w:r>
    </w:p>
    <w:p w:rsidR="000C6E42" w:rsidRPr="00E45630" w:rsidRDefault="000C6E42" w:rsidP="00F61C0E">
      <w:pPr>
        <w:keepNext/>
        <w:widowControl/>
        <w:ind w:left="720"/>
        <w:rPr>
          <w:rStyle w:val="CommentReference"/>
        </w:rPr>
      </w:pPr>
    </w:p>
    <w:p w:rsidR="00503CF7" w:rsidRPr="00E45630" w:rsidRDefault="00503CF7" w:rsidP="00811B2C">
      <w:pPr>
        <w:keepNext/>
        <w:widowControl/>
        <w:ind w:left="720"/>
        <w:rPr>
          <w:rStyle w:val="CommentReference"/>
        </w:rPr>
      </w:pPr>
      <w:r w:rsidRPr="00E45630">
        <w:rPr>
          <w:rStyle w:val="CommentReference"/>
        </w:rPr>
        <w:t xml:space="preserve">Calibration of dynamic transmission model by age-group, </w:t>
      </w:r>
      <w:r w:rsidR="00F61C0E" w:rsidRPr="00E45630">
        <w:rPr>
          <w:rStyle w:val="CommentReference"/>
        </w:rPr>
        <w:t xml:space="preserve">notified pertussis </w:t>
      </w:r>
      <w:r w:rsidRPr="00E45630">
        <w:rPr>
          <w:rStyle w:val="CommentReference"/>
        </w:rPr>
        <w:t>cases per year</w:t>
      </w:r>
    </w:p>
    <w:p w:rsidR="00503CF7" w:rsidRPr="00E45630" w:rsidRDefault="00503CF7" w:rsidP="00811B2C">
      <w:pPr>
        <w:pStyle w:val="ListParagraph"/>
        <w:keepNext/>
        <w:widowControl/>
        <w:rPr>
          <w:lang w:val="en-US"/>
        </w:rPr>
      </w:pPr>
      <w:r w:rsidRPr="00E45630">
        <w:rPr>
          <w:noProof/>
          <w:snapToGrid/>
          <w:lang w:eastAsia="en-AU"/>
        </w:rPr>
        <w:drawing>
          <wp:inline distT="0" distB="0" distL="0" distR="0" wp14:anchorId="32106318" wp14:editId="39B6540E">
            <wp:extent cx="4572000" cy="2639833"/>
            <wp:effectExtent l="0" t="0" r="19050" b="273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3CF7" w:rsidRPr="00E45630" w:rsidRDefault="00503CF7" w:rsidP="00811B2C">
      <w:pPr>
        <w:pStyle w:val="TableFooter"/>
        <w:keepNext/>
        <w:ind w:left="720"/>
      </w:pPr>
      <w:r w:rsidRPr="00E45630">
        <w:t>Source: Constructed during evaluation</w:t>
      </w:r>
    </w:p>
    <w:p w:rsidR="00503CF7" w:rsidRPr="00E45630" w:rsidRDefault="00503CF7" w:rsidP="00F61C0E">
      <w:pPr>
        <w:pStyle w:val="TableFooter"/>
        <w:ind w:left="720"/>
      </w:pPr>
      <w:r w:rsidRPr="00E45630">
        <w:t>NNDSS = National Notified Diseases Surveillance System</w:t>
      </w:r>
    </w:p>
    <w:p w:rsidR="00503CF7" w:rsidRPr="00E45630" w:rsidRDefault="00503CF7" w:rsidP="00811B2C">
      <w:pPr>
        <w:widowControl/>
        <w:rPr>
          <w:lang w:val="en-US"/>
        </w:rPr>
      </w:pPr>
    </w:p>
    <w:p w:rsidR="00F45E95" w:rsidRPr="00E45630" w:rsidRDefault="00382220" w:rsidP="00081EEC">
      <w:pPr>
        <w:pStyle w:val="ListParagraph"/>
        <w:widowControl/>
        <w:numPr>
          <w:ilvl w:val="1"/>
          <w:numId w:val="3"/>
        </w:numPr>
      </w:pPr>
      <w:r w:rsidRPr="00E45630">
        <w:t>In its base case, the submission took an inconsistent approach to counting cases in the two treatment arms of the mode</w:t>
      </w:r>
      <w:r w:rsidR="00C7219A" w:rsidRPr="00E45630">
        <w:t>l</w:t>
      </w:r>
      <w:r w:rsidRPr="00E45630">
        <w:t xml:space="preserve">. </w:t>
      </w:r>
    </w:p>
    <w:p w:rsidR="00F45E95" w:rsidRPr="00E45630" w:rsidRDefault="00F45E95" w:rsidP="00081EEC">
      <w:pPr>
        <w:pStyle w:val="ListParagraph"/>
        <w:widowControl/>
        <w:numPr>
          <w:ilvl w:val="0"/>
          <w:numId w:val="2"/>
        </w:numPr>
        <w:ind w:left="993" w:hanging="284"/>
      </w:pPr>
      <w:r w:rsidRPr="00E45630">
        <w:t xml:space="preserve">The dynamic transmission model </w:t>
      </w:r>
      <w:r w:rsidR="006663A4">
        <w:t>was</w:t>
      </w:r>
      <w:r w:rsidRPr="00E45630">
        <w:t xml:space="preserve"> first run for 100 years without vaccination to allow the epidemic to approach a steady state, but results of these pertussis cases </w:t>
      </w:r>
      <w:r w:rsidR="006663A4">
        <w:t>were</w:t>
      </w:r>
      <w:r w:rsidRPr="00E45630">
        <w:t xml:space="preserve"> not directly used to inform the economic model</w:t>
      </w:r>
      <w:r w:rsidR="00D1651C" w:rsidRPr="00E45630">
        <w:t xml:space="preserve"> in the submission</w:t>
      </w:r>
      <w:r w:rsidRPr="00E45630">
        <w:t xml:space="preserve">. Instead, for years 96 to 100, incidence of primary and recidive infection (per 100,000) </w:t>
      </w:r>
      <w:r w:rsidR="006663A4">
        <w:t>was</w:t>
      </w:r>
      <w:r w:rsidRPr="00E45630">
        <w:t xml:space="preserve"> recorded for each of six broad age classes (&lt;1 year, 1-3, 4-9, 10-19, 20-59, 60</w:t>
      </w:r>
      <w:r w:rsidRPr="00E45630">
        <w:noBreakHyphen/>
        <w:t>75). The submission then t</w:t>
      </w:r>
      <w:r w:rsidR="006663A4">
        <w:t>ook</w:t>
      </w:r>
      <w:r w:rsidRPr="00E45630">
        <w:t xml:space="preserve"> the average for these five years, for each age group and infection type. This creates </w:t>
      </w:r>
      <w:r w:rsidR="009B47DB">
        <w:t>12</w:t>
      </w:r>
      <w:r w:rsidRPr="00E45630">
        <w:t xml:space="preserve"> numbers representing incidence/100,000 for each infection-type/age-category. The model assumes that for 100 years, each </w:t>
      </w:r>
      <w:r w:rsidRPr="00E45630">
        <w:lastRenderedPageBreak/>
        <w:t xml:space="preserve">of these 12 numbers will be the same. Thus the undiscounted 100 year model of ‘no booster’ treatment arm </w:t>
      </w:r>
      <w:r w:rsidR="006663A4">
        <w:t>was</w:t>
      </w:r>
      <w:r w:rsidRPr="00E45630">
        <w:t xml:space="preserve"> created.</w:t>
      </w:r>
    </w:p>
    <w:p w:rsidR="00F45E95" w:rsidRPr="00E45630" w:rsidRDefault="00F45E95" w:rsidP="00081EEC">
      <w:pPr>
        <w:pStyle w:val="ListParagraph"/>
        <w:widowControl/>
        <w:numPr>
          <w:ilvl w:val="0"/>
          <w:numId w:val="2"/>
        </w:numPr>
        <w:ind w:left="993" w:hanging="284"/>
      </w:pPr>
      <w:r w:rsidRPr="00E45630">
        <w:t>The model then introduce</w:t>
      </w:r>
      <w:r w:rsidR="006663A4">
        <w:t>d</w:t>
      </w:r>
      <w:r w:rsidRPr="00E45630">
        <w:t xml:space="preserve"> the 18-month booster at year 100, and allow</w:t>
      </w:r>
      <w:r w:rsidR="006663A4">
        <w:t>ed</w:t>
      </w:r>
      <w:r w:rsidRPr="00E45630">
        <w:t xml:space="preserve"> it to run for a further 100 years. For each of these 100 years, the model record</w:t>
      </w:r>
      <w:r w:rsidR="006663A4">
        <w:t>ed</w:t>
      </w:r>
      <w:r w:rsidRPr="00E45630">
        <w:t xml:space="preserve"> incidence of primary and recidive infection for each of the </w:t>
      </w:r>
      <w:r w:rsidR="003E0390">
        <w:t>6</w:t>
      </w:r>
      <w:r w:rsidRPr="00E45630">
        <w:t xml:space="preserve"> age groups. This creates 12 numbers every year for 100 years and these numbers in general vary from year to year. Thus the </w:t>
      </w:r>
      <w:r w:rsidR="007504FC">
        <w:t>undiscounted 100 year model of ‘18-month booster’</w:t>
      </w:r>
      <w:r w:rsidRPr="00E45630">
        <w:t xml:space="preserve"> </w:t>
      </w:r>
      <w:r w:rsidR="006663A4">
        <w:t>was</w:t>
      </w:r>
      <w:r w:rsidRPr="00E45630">
        <w:t xml:space="preserve"> created.</w:t>
      </w:r>
    </w:p>
    <w:p w:rsidR="00DB1A0B" w:rsidRPr="00E45630" w:rsidRDefault="00DB1A0B" w:rsidP="009C2B6E">
      <w:pPr>
        <w:widowControl/>
      </w:pPr>
    </w:p>
    <w:p w:rsidR="00D96592" w:rsidRPr="00E45630" w:rsidRDefault="00382220" w:rsidP="00081EEC">
      <w:pPr>
        <w:pStyle w:val="ListParagraph"/>
        <w:widowControl/>
        <w:numPr>
          <w:ilvl w:val="1"/>
          <w:numId w:val="3"/>
        </w:numPr>
      </w:pPr>
      <w:r w:rsidRPr="00E45630">
        <w:t xml:space="preserve">After correcting for </w:t>
      </w:r>
      <w:r w:rsidR="00680DFE" w:rsidRPr="00E45630">
        <w:t>this inconsistent approach</w:t>
      </w:r>
      <w:r w:rsidRPr="00E45630">
        <w:t xml:space="preserve"> and </w:t>
      </w:r>
      <w:r w:rsidR="006179A1" w:rsidRPr="00E45630">
        <w:t>grouping</w:t>
      </w:r>
      <w:r w:rsidR="009B27EA">
        <w:t xml:space="preserve"> reported cases after using age-</w:t>
      </w:r>
      <w:r w:rsidR="00567A58" w:rsidRPr="00E45630">
        <w:t xml:space="preserve">year </w:t>
      </w:r>
      <w:r w:rsidR="006179A1" w:rsidRPr="00E45630">
        <w:t>specific reporting rates, rather than grouping of ages together in</w:t>
      </w:r>
      <w:r w:rsidR="00567A58" w:rsidRPr="00E45630">
        <w:t xml:space="preserve"> broad age groups and then applying</w:t>
      </w:r>
      <w:r w:rsidR="006179A1" w:rsidRPr="00E45630">
        <w:t xml:space="preserve"> average reporting rates</w:t>
      </w:r>
      <w:r w:rsidRPr="00E45630">
        <w:t>, a revised base case was independently run.</w:t>
      </w:r>
      <w:r w:rsidR="008A68D7" w:rsidRPr="00E45630">
        <w:t xml:space="preserve"> The model presented in the submission provided only the discounted pertussis cases. During evaluation, the data was extracted to be able to </w:t>
      </w:r>
      <w:r w:rsidR="0036387A" w:rsidRPr="00E45630">
        <w:t xml:space="preserve">present </w:t>
      </w:r>
      <w:r w:rsidR="008A68D7" w:rsidRPr="00E45630">
        <w:t>the number of cases over 100 year</w:t>
      </w:r>
      <w:r w:rsidR="0036387A" w:rsidRPr="00E45630">
        <w:t>s</w:t>
      </w:r>
      <w:r w:rsidR="008A68D7" w:rsidRPr="00E45630">
        <w:t xml:space="preserve">. </w:t>
      </w:r>
      <w:r w:rsidR="00E274A5" w:rsidRPr="00E45630">
        <w:t xml:space="preserve">The PSCR </w:t>
      </w:r>
      <w:r w:rsidR="00D62B96" w:rsidRPr="00E45630">
        <w:t xml:space="preserve">(p4-5) </w:t>
      </w:r>
      <w:r w:rsidR="00E274A5" w:rsidRPr="00E45630">
        <w:t>accepted the appropriateness of th</w:t>
      </w:r>
      <w:r w:rsidR="002B7BB5" w:rsidRPr="00E45630">
        <w:t>is</w:t>
      </w:r>
      <w:r w:rsidR="00E274A5" w:rsidRPr="00E45630">
        <w:t xml:space="preserve"> respecified base case</w:t>
      </w:r>
      <w:r w:rsidR="008E4B21" w:rsidRPr="00E45630">
        <w:t>, termed base case (ESC).</w:t>
      </w:r>
      <w:r w:rsidR="00E274A5" w:rsidRPr="00E45630">
        <w:t xml:space="preserve"> </w:t>
      </w:r>
      <w:r w:rsidR="00992D73" w:rsidRPr="00E45630">
        <w:t>The revised base case in the commentary included a coding error to e</w:t>
      </w:r>
      <w:r w:rsidR="003E0390">
        <w:t>xtract the number of cases for ‘</w:t>
      </w:r>
      <w:r w:rsidR="00992D73" w:rsidRPr="00E45630">
        <w:t xml:space="preserve">18-month booster’, which resulted in the number of </w:t>
      </w:r>
      <w:r w:rsidR="00993E15" w:rsidRPr="00E45630">
        <w:t xml:space="preserve">recidive </w:t>
      </w:r>
      <w:r w:rsidR="00992D73" w:rsidRPr="00E45630">
        <w:t>pertussis cases be</w:t>
      </w:r>
      <w:r w:rsidR="00743E78">
        <w:t>ing</w:t>
      </w:r>
      <w:r w:rsidR="00992D73" w:rsidRPr="00E45630">
        <w:t xml:space="preserve"> overestimated. For the revised base case (ESC), this error </w:t>
      </w:r>
      <w:r w:rsidR="00743E78">
        <w:t>was</w:t>
      </w:r>
      <w:r w:rsidR="00992D73" w:rsidRPr="00E45630">
        <w:t xml:space="preserve"> corrected. </w:t>
      </w:r>
      <w:r w:rsidR="00237F8A">
        <w:t xml:space="preserve">The following </w:t>
      </w:r>
      <w:r w:rsidR="002D5ACB">
        <w:t xml:space="preserve">table </w:t>
      </w:r>
      <w:r w:rsidRPr="00E45630">
        <w:t>presents the</w:t>
      </w:r>
      <w:r w:rsidR="00B10B27" w:rsidRPr="00E45630">
        <w:t xml:space="preserve"> </w:t>
      </w:r>
      <w:r w:rsidR="00A75B24" w:rsidRPr="00E45630">
        <w:t>cases, discounted costs and discounted QALY</w:t>
      </w:r>
      <w:r w:rsidR="00527087" w:rsidRPr="00E45630">
        <w:t>s</w:t>
      </w:r>
      <w:r w:rsidR="00A75B24" w:rsidRPr="00E45630">
        <w:t xml:space="preserve"> for n</w:t>
      </w:r>
      <w:r w:rsidR="00237F8A">
        <w:t>on</w:t>
      </w:r>
      <w:r w:rsidR="00237F8A">
        <w:noBreakHyphen/>
      </w:r>
      <w:r w:rsidR="00A75B24" w:rsidRPr="00E45630">
        <w:t xml:space="preserve">notified cases, notified cases, hospitalized cases, vaccination and adverse events due to vaccination. </w:t>
      </w:r>
    </w:p>
    <w:p w:rsidR="00C0313B" w:rsidRPr="00E45630" w:rsidRDefault="00C0313B" w:rsidP="00F45E95">
      <w:pPr>
        <w:ind w:left="709"/>
      </w:pPr>
    </w:p>
    <w:p w:rsidR="00382220" w:rsidRPr="00E45630" w:rsidRDefault="00382220" w:rsidP="00DB1A0B">
      <w:pPr>
        <w:keepNext/>
        <w:keepLines/>
        <w:widowControl/>
        <w:ind w:left="709" w:firstLine="11"/>
        <w:rPr>
          <w:rStyle w:val="CommentReference"/>
        </w:rPr>
      </w:pPr>
      <w:r w:rsidRPr="00E45630">
        <w:rPr>
          <w:rStyle w:val="CommentReference"/>
        </w:rPr>
        <w:t>Results of the economic evaluation</w:t>
      </w:r>
      <w:r w:rsidR="002D5ACB">
        <w:rPr>
          <w:rStyle w:val="CommentReference"/>
        </w:rPr>
        <w:t xml:space="preserve"> –</w:t>
      </w:r>
      <w:r w:rsidR="00503CF7" w:rsidRPr="00E45630">
        <w:t xml:space="preserve"> </w:t>
      </w:r>
      <w:r w:rsidR="00503CF7" w:rsidRPr="00E45630">
        <w:rPr>
          <w:rFonts w:ascii="Arial Narrow" w:hAnsi="Arial Narrow"/>
          <w:b/>
          <w:sz w:val="20"/>
          <w:szCs w:val="16"/>
        </w:rPr>
        <w:t>Revised</w:t>
      </w:r>
      <w:r w:rsidR="002D5ACB">
        <w:rPr>
          <w:rFonts w:ascii="Arial Narrow" w:hAnsi="Arial Narrow"/>
          <w:b/>
          <w:sz w:val="20"/>
          <w:szCs w:val="16"/>
        </w:rPr>
        <w:t xml:space="preserve"> </w:t>
      </w:r>
      <w:r w:rsidR="00503CF7" w:rsidRPr="00E45630">
        <w:rPr>
          <w:rFonts w:ascii="Arial Narrow" w:hAnsi="Arial Narrow"/>
          <w:b/>
          <w:sz w:val="20"/>
          <w:szCs w:val="16"/>
        </w:rPr>
        <w:t>base case</w:t>
      </w:r>
      <w:r w:rsidR="00D62B96" w:rsidRPr="00E45630">
        <w:rPr>
          <w:rFonts w:ascii="Arial Narrow" w:hAnsi="Arial Narrow"/>
          <w:b/>
          <w:sz w:val="20"/>
          <w:szCs w:val="16"/>
        </w:rPr>
        <w:t xml:space="preserve"> (ESC)</w:t>
      </w:r>
      <w:r w:rsidR="00A75B24" w:rsidRPr="00E45630">
        <w:rPr>
          <w:rFonts w:ascii="Arial Narrow" w:hAnsi="Arial Narrow"/>
          <w:b/>
          <w:sz w:val="20"/>
          <w:szCs w:val="16"/>
        </w:rPr>
        <w:t xml:space="preserve"> – 100 year model duration, Australian population</w:t>
      </w:r>
      <w:r w:rsidR="00503CF7" w:rsidRPr="00E45630">
        <w:rPr>
          <w:rFonts w:ascii="Arial Narrow" w:hAnsi="Arial Narrow"/>
          <w:b/>
          <w:sz w:val="20"/>
          <w:szCs w:val="16"/>
          <w:vertAlign w:val="superscript"/>
        </w:rPr>
        <w:t>a</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firstRow="1" w:lastRow="1" w:firstColumn="1" w:lastColumn="1" w:noHBand="0" w:noVBand="0"/>
      </w:tblPr>
      <w:tblGrid>
        <w:gridCol w:w="2845"/>
        <w:gridCol w:w="1991"/>
        <w:gridCol w:w="2175"/>
        <w:gridCol w:w="1361"/>
      </w:tblGrid>
      <w:tr w:rsidR="00382220" w:rsidRPr="00E45630" w:rsidTr="00C85599">
        <w:trPr>
          <w:tblHeader/>
        </w:trPr>
        <w:tc>
          <w:tcPr>
            <w:tcW w:w="1699" w:type="pct"/>
            <w:vAlign w:val="center"/>
          </w:tcPr>
          <w:p w:rsidR="00382220" w:rsidRPr="00E45630" w:rsidRDefault="00382220" w:rsidP="00811B2C">
            <w:pPr>
              <w:keepNext/>
              <w:jc w:val="left"/>
              <w:rPr>
                <w:rFonts w:ascii="Arial Narrow" w:hAnsi="Arial Narrow"/>
                <w:b/>
                <w:sz w:val="20"/>
              </w:rPr>
            </w:pPr>
            <w:r w:rsidRPr="00E45630">
              <w:rPr>
                <w:rFonts w:ascii="Arial Narrow" w:hAnsi="Arial Narrow"/>
                <w:b/>
                <w:sz w:val="20"/>
              </w:rPr>
              <w:t>Step and component</w:t>
            </w:r>
          </w:p>
        </w:tc>
        <w:tc>
          <w:tcPr>
            <w:tcW w:w="1189" w:type="pct"/>
            <w:vAlign w:val="center"/>
          </w:tcPr>
          <w:p w:rsidR="00382220" w:rsidRPr="00E45630" w:rsidRDefault="00C45C30" w:rsidP="00811B2C">
            <w:pPr>
              <w:keepNext/>
              <w:jc w:val="center"/>
              <w:rPr>
                <w:rFonts w:ascii="Arial Narrow" w:hAnsi="Arial Narrow"/>
                <w:b/>
                <w:sz w:val="20"/>
              </w:rPr>
            </w:pPr>
            <w:r w:rsidRPr="00E45630">
              <w:rPr>
                <w:rFonts w:ascii="Arial Narrow" w:hAnsi="Arial Narrow"/>
                <w:b/>
                <w:sz w:val="20"/>
              </w:rPr>
              <w:t>18-month booster</w:t>
            </w:r>
          </w:p>
        </w:tc>
        <w:tc>
          <w:tcPr>
            <w:tcW w:w="1299" w:type="pct"/>
            <w:vAlign w:val="center"/>
          </w:tcPr>
          <w:p w:rsidR="00382220" w:rsidRPr="00E45630" w:rsidRDefault="00382220" w:rsidP="00811B2C">
            <w:pPr>
              <w:keepNext/>
              <w:jc w:val="center"/>
              <w:rPr>
                <w:rFonts w:ascii="Arial Narrow" w:hAnsi="Arial Narrow"/>
                <w:b/>
                <w:sz w:val="20"/>
              </w:rPr>
            </w:pPr>
            <w:r w:rsidRPr="00E45630">
              <w:rPr>
                <w:rFonts w:ascii="Arial Narrow" w:hAnsi="Arial Narrow"/>
                <w:b/>
                <w:sz w:val="20"/>
              </w:rPr>
              <w:t>No booster</w:t>
            </w:r>
          </w:p>
        </w:tc>
        <w:tc>
          <w:tcPr>
            <w:tcW w:w="813" w:type="pct"/>
            <w:vAlign w:val="center"/>
          </w:tcPr>
          <w:p w:rsidR="00382220" w:rsidRPr="00E45630" w:rsidRDefault="00382220" w:rsidP="00811B2C">
            <w:pPr>
              <w:keepNext/>
              <w:jc w:val="center"/>
              <w:rPr>
                <w:rFonts w:ascii="Arial Narrow" w:hAnsi="Arial Narrow"/>
                <w:b/>
                <w:sz w:val="20"/>
              </w:rPr>
            </w:pPr>
            <w:r w:rsidRPr="00E45630">
              <w:rPr>
                <w:rFonts w:ascii="Arial Narrow" w:hAnsi="Arial Narrow"/>
                <w:b/>
                <w:sz w:val="20"/>
              </w:rPr>
              <w:t>Increment</w:t>
            </w:r>
          </w:p>
        </w:tc>
      </w:tr>
      <w:tr w:rsidR="00503CF7" w:rsidRPr="00E45630" w:rsidTr="00C85599">
        <w:tc>
          <w:tcPr>
            <w:tcW w:w="1699" w:type="pct"/>
            <w:vAlign w:val="center"/>
          </w:tcPr>
          <w:p w:rsidR="00503CF7" w:rsidRPr="00E45630" w:rsidRDefault="00F61C0E" w:rsidP="00811B2C">
            <w:pPr>
              <w:keepNext/>
              <w:jc w:val="left"/>
              <w:rPr>
                <w:rFonts w:ascii="Arial Narrow" w:hAnsi="Arial Narrow"/>
                <w:b/>
                <w:sz w:val="20"/>
              </w:rPr>
            </w:pPr>
            <w:r w:rsidRPr="00E45630">
              <w:rPr>
                <w:rFonts w:ascii="Arial Narrow" w:hAnsi="Arial Narrow"/>
                <w:b/>
                <w:sz w:val="20"/>
              </w:rPr>
              <w:t>C</w:t>
            </w:r>
            <w:r w:rsidR="00503CF7" w:rsidRPr="00E45630">
              <w:rPr>
                <w:rFonts w:ascii="Arial Narrow" w:hAnsi="Arial Narrow"/>
                <w:b/>
                <w:sz w:val="20"/>
              </w:rPr>
              <w:t>ases</w:t>
            </w:r>
            <w:r w:rsidRPr="00E45630">
              <w:rPr>
                <w:rFonts w:ascii="Arial Narrow" w:hAnsi="Arial Narrow"/>
                <w:b/>
                <w:sz w:val="20"/>
              </w:rPr>
              <w:t xml:space="preserve"> (</w:t>
            </w:r>
            <w:r w:rsidR="00A75B24" w:rsidRPr="00E45630">
              <w:rPr>
                <w:rFonts w:ascii="Arial Narrow" w:hAnsi="Arial Narrow"/>
                <w:b/>
                <w:sz w:val="20"/>
              </w:rPr>
              <w:t>undiscounted</w:t>
            </w:r>
            <w:r w:rsidRPr="00E45630">
              <w:rPr>
                <w:rFonts w:ascii="Arial Narrow" w:hAnsi="Arial Narrow"/>
                <w:b/>
                <w:sz w:val="20"/>
              </w:rPr>
              <w:t>)</w:t>
            </w:r>
            <w:r w:rsidR="00C92D4F" w:rsidRPr="00E45630">
              <w:rPr>
                <w:rFonts w:ascii="Arial Narrow" w:hAnsi="Arial Narrow"/>
                <w:b/>
                <w:sz w:val="20"/>
              </w:rPr>
              <w:t xml:space="preserve"> </w:t>
            </w:r>
          </w:p>
        </w:tc>
        <w:tc>
          <w:tcPr>
            <w:tcW w:w="1189" w:type="pct"/>
            <w:vAlign w:val="bottom"/>
          </w:tcPr>
          <w:p w:rsidR="00503CF7" w:rsidRPr="00E45630" w:rsidRDefault="00503CF7" w:rsidP="00811B2C">
            <w:pPr>
              <w:pStyle w:val="tabletext2"/>
              <w:jc w:val="center"/>
            </w:pPr>
          </w:p>
        </w:tc>
        <w:tc>
          <w:tcPr>
            <w:tcW w:w="1299" w:type="pct"/>
            <w:vAlign w:val="bottom"/>
          </w:tcPr>
          <w:p w:rsidR="00503CF7" w:rsidRPr="00E45630" w:rsidRDefault="00503CF7" w:rsidP="00811B2C">
            <w:pPr>
              <w:pStyle w:val="tabletext2"/>
              <w:jc w:val="center"/>
            </w:pPr>
          </w:p>
        </w:tc>
        <w:tc>
          <w:tcPr>
            <w:tcW w:w="813" w:type="pct"/>
            <w:vAlign w:val="bottom"/>
          </w:tcPr>
          <w:p w:rsidR="00503CF7" w:rsidRPr="00E45630" w:rsidRDefault="00503CF7" w:rsidP="00811B2C">
            <w:pPr>
              <w:pStyle w:val="tabletext2"/>
              <w:jc w:val="center"/>
            </w:pPr>
          </w:p>
        </w:tc>
      </w:tr>
      <w:tr w:rsidR="00992D73" w:rsidRPr="00E45630" w:rsidTr="00C85599">
        <w:tc>
          <w:tcPr>
            <w:tcW w:w="1699" w:type="pct"/>
            <w:vAlign w:val="center"/>
          </w:tcPr>
          <w:p w:rsidR="00992D73" w:rsidRPr="00E45630" w:rsidRDefault="00992D73" w:rsidP="00A35824">
            <w:pPr>
              <w:keepNext/>
              <w:ind w:firstLine="256"/>
              <w:jc w:val="left"/>
              <w:rPr>
                <w:rFonts w:ascii="Arial Narrow" w:hAnsi="Arial Narrow"/>
                <w:sz w:val="20"/>
              </w:rPr>
            </w:pPr>
            <w:r w:rsidRPr="00E45630">
              <w:rPr>
                <w:rFonts w:ascii="Arial Narrow" w:hAnsi="Arial Narrow"/>
                <w:sz w:val="20"/>
              </w:rPr>
              <w:t>Non-notified cases</w:t>
            </w:r>
          </w:p>
        </w:tc>
        <w:tc>
          <w:tcPr>
            <w:tcW w:w="1189" w:type="pct"/>
            <w:vAlign w:val="bottom"/>
          </w:tcPr>
          <w:p w:rsidR="00992D73" w:rsidRPr="00365FD2" w:rsidRDefault="00365FD2" w:rsidP="00811B2C">
            <w:pPr>
              <w:pStyle w:val="tabletext2"/>
              <w:jc w:val="center"/>
              <w:rPr>
                <w:highlight w:val="black"/>
              </w:rPr>
            </w:pPr>
            <w:r>
              <w:rPr>
                <w:noProof/>
                <w:highlight w:val="black"/>
              </w:rPr>
              <w:t>''''''''''''''''''''''''''</w:t>
            </w:r>
          </w:p>
        </w:tc>
        <w:tc>
          <w:tcPr>
            <w:tcW w:w="1299" w:type="pct"/>
            <w:vAlign w:val="bottom"/>
          </w:tcPr>
          <w:p w:rsidR="00992D73" w:rsidRPr="00365FD2" w:rsidRDefault="00365FD2" w:rsidP="00811B2C">
            <w:pPr>
              <w:pStyle w:val="tabletext2"/>
              <w:jc w:val="center"/>
              <w:rPr>
                <w:highlight w:val="black"/>
              </w:rPr>
            </w:pPr>
            <w:r>
              <w:rPr>
                <w:noProof/>
                <w:highlight w:val="black"/>
              </w:rPr>
              <w:t>''''''''''''''''''''''''''''</w:t>
            </w:r>
          </w:p>
        </w:tc>
        <w:tc>
          <w:tcPr>
            <w:tcW w:w="813" w:type="pct"/>
            <w:vAlign w:val="bottom"/>
          </w:tcPr>
          <w:p w:rsidR="00992D73" w:rsidRPr="00365FD2" w:rsidRDefault="00365FD2" w:rsidP="00811B2C">
            <w:pPr>
              <w:pStyle w:val="tabletext2"/>
              <w:jc w:val="center"/>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 xml:space="preserve">Notified (non-hospitalised) cases </w:t>
            </w:r>
          </w:p>
        </w:tc>
        <w:tc>
          <w:tcPr>
            <w:tcW w:w="1189" w:type="pct"/>
            <w:vAlign w:val="bottom"/>
          </w:tcPr>
          <w:p w:rsidR="00992D73" w:rsidRPr="00365FD2" w:rsidRDefault="00365FD2" w:rsidP="00811B2C">
            <w:pPr>
              <w:pStyle w:val="tabletext2"/>
              <w:jc w:val="center"/>
              <w:rPr>
                <w:highlight w:val="black"/>
              </w:rPr>
            </w:pPr>
            <w:r>
              <w:rPr>
                <w:noProof/>
                <w:highlight w:val="black"/>
              </w:rPr>
              <w:t>'''''''''''''''''</w:t>
            </w:r>
          </w:p>
        </w:tc>
        <w:tc>
          <w:tcPr>
            <w:tcW w:w="1299" w:type="pct"/>
            <w:vAlign w:val="bottom"/>
          </w:tcPr>
          <w:p w:rsidR="00992D73" w:rsidRPr="00365FD2" w:rsidRDefault="00365FD2" w:rsidP="00811B2C">
            <w:pPr>
              <w:pStyle w:val="tabletext2"/>
              <w:jc w:val="center"/>
              <w:rPr>
                <w:highlight w:val="black"/>
              </w:rPr>
            </w:pPr>
            <w:r>
              <w:rPr>
                <w:noProof/>
                <w:highlight w:val="black"/>
              </w:rPr>
              <w:t>'''''''''''''''''''</w:t>
            </w:r>
          </w:p>
        </w:tc>
        <w:tc>
          <w:tcPr>
            <w:tcW w:w="813" w:type="pct"/>
            <w:vAlign w:val="bottom"/>
          </w:tcPr>
          <w:p w:rsidR="00992D73" w:rsidRPr="00365FD2" w:rsidRDefault="00365FD2" w:rsidP="00811B2C">
            <w:pPr>
              <w:pStyle w:val="tabletext2"/>
              <w:jc w:val="center"/>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Hospitalisation cases</w:t>
            </w:r>
          </w:p>
        </w:tc>
        <w:tc>
          <w:tcPr>
            <w:tcW w:w="1189" w:type="pct"/>
            <w:vAlign w:val="bottom"/>
          </w:tcPr>
          <w:p w:rsidR="00992D73" w:rsidRPr="00365FD2" w:rsidRDefault="00365FD2" w:rsidP="00811B2C">
            <w:pPr>
              <w:pStyle w:val="tabletext2"/>
              <w:jc w:val="center"/>
              <w:rPr>
                <w:highlight w:val="black"/>
              </w:rPr>
            </w:pPr>
            <w:r>
              <w:rPr>
                <w:noProof/>
                <w:highlight w:val="black"/>
              </w:rPr>
              <w:t>''''''''''''''''</w:t>
            </w:r>
          </w:p>
        </w:tc>
        <w:tc>
          <w:tcPr>
            <w:tcW w:w="1299" w:type="pct"/>
            <w:vAlign w:val="bottom"/>
          </w:tcPr>
          <w:p w:rsidR="00992D73" w:rsidRPr="00365FD2" w:rsidRDefault="00365FD2" w:rsidP="00811B2C">
            <w:pPr>
              <w:pStyle w:val="tabletext2"/>
              <w:jc w:val="center"/>
              <w:rPr>
                <w:highlight w:val="black"/>
              </w:rPr>
            </w:pPr>
            <w:r>
              <w:rPr>
                <w:noProof/>
                <w:highlight w:val="black"/>
              </w:rPr>
              <w:t>'''''''''''''''''</w:t>
            </w:r>
          </w:p>
        </w:tc>
        <w:tc>
          <w:tcPr>
            <w:tcW w:w="813" w:type="pct"/>
            <w:vAlign w:val="bottom"/>
          </w:tcPr>
          <w:p w:rsidR="00992D73" w:rsidRPr="00365FD2" w:rsidRDefault="00365FD2" w:rsidP="00811B2C">
            <w:pPr>
              <w:pStyle w:val="tabletext2"/>
              <w:jc w:val="center"/>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Local AE due to vaccination</w:t>
            </w:r>
          </w:p>
        </w:tc>
        <w:tc>
          <w:tcPr>
            <w:tcW w:w="1189" w:type="pct"/>
            <w:vAlign w:val="bottom"/>
          </w:tcPr>
          <w:p w:rsidR="00992D73" w:rsidRPr="00365FD2" w:rsidRDefault="00365FD2" w:rsidP="00811B2C">
            <w:pPr>
              <w:pStyle w:val="tabletext2"/>
              <w:jc w:val="center"/>
              <w:rPr>
                <w:highlight w:val="black"/>
              </w:rPr>
            </w:pPr>
            <w:r>
              <w:rPr>
                <w:noProof/>
                <w:highlight w:val="black"/>
              </w:rPr>
              <w:t>'''''''''''''''''''''''</w:t>
            </w:r>
          </w:p>
        </w:tc>
        <w:tc>
          <w:tcPr>
            <w:tcW w:w="1299" w:type="pct"/>
            <w:vAlign w:val="bottom"/>
          </w:tcPr>
          <w:p w:rsidR="00992D73" w:rsidRPr="00365FD2" w:rsidRDefault="00365FD2" w:rsidP="00811B2C">
            <w:pPr>
              <w:pStyle w:val="tabletext2"/>
              <w:jc w:val="center"/>
              <w:rPr>
                <w:highlight w:val="black"/>
              </w:rPr>
            </w:pPr>
            <w:r>
              <w:rPr>
                <w:noProof/>
                <w:highlight w:val="black"/>
              </w:rPr>
              <w:t>'''</w:t>
            </w:r>
          </w:p>
        </w:tc>
        <w:tc>
          <w:tcPr>
            <w:tcW w:w="813" w:type="pct"/>
            <w:vAlign w:val="bottom"/>
          </w:tcPr>
          <w:p w:rsidR="00992D73" w:rsidRPr="00365FD2" w:rsidRDefault="00365FD2" w:rsidP="00811B2C">
            <w:pPr>
              <w:pStyle w:val="tabletext2"/>
              <w:jc w:val="center"/>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Systemic AE due to vaccination</w:t>
            </w:r>
          </w:p>
        </w:tc>
        <w:tc>
          <w:tcPr>
            <w:tcW w:w="1189" w:type="pct"/>
            <w:vAlign w:val="bottom"/>
          </w:tcPr>
          <w:p w:rsidR="00992D73" w:rsidRPr="00365FD2" w:rsidRDefault="00365FD2" w:rsidP="00811B2C">
            <w:pPr>
              <w:pStyle w:val="tabletext2"/>
              <w:jc w:val="center"/>
              <w:rPr>
                <w:highlight w:val="black"/>
              </w:rPr>
            </w:pPr>
            <w:r>
              <w:rPr>
                <w:noProof/>
                <w:highlight w:val="black"/>
              </w:rPr>
              <w:t>''''''''''''''''''''''''''</w:t>
            </w:r>
          </w:p>
        </w:tc>
        <w:tc>
          <w:tcPr>
            <w:tcW w:w="1299" w:type="pct"/>
            <w:vAlign w:val="bottom"/>
          </w:tcPr>
          <w:p w:rsidR="00992D73" w:rsidRPr="00365FD2" w:rsidRDefault="00365FD2" w:rsidP="00811B2C">
            <w:pPr>
              <w:pStyle w:val="tabletext2"/>
              <w:jc w:val="center"/>
              <w:rPr>
                <w:highlight w:val="black"/>
              </w:rPr>
            </w:pPr>
            <w:r>
              <w:rPr>
                <w:noProof/>
                <w:highlight w:val="black"/>
              </w:rPr>
              <w:t>'''</w:t>
            </w:r>
          </w:p>
        </w:tc>
        <w:tc>
          <w:tcPr>
            <w:tcW w:w="813" w:type="pct"/>
            <w:vAlign w:val="bottom"/>
          </w:tcPr>
          <w:p w:rsidR="00992D73" w:rsidRPr="00365FD2" w:rsidRDefault="00365FD2" w:rsidP="00811B2C">
            <w:pPr>
              <w:pStyle w:val="tabletext2"/>
              <w:jc w:val="center"/>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jc w:val="left"/>
              <w:rPr>
                <w:rFonts w:ascii="Arial Narrow" w:hAnsi="Arial Narrow"/>
                <w:b/>
                <w:sz w:val="20"/>
              </w:rPr>
            </w:pPr>
            <w:r w:rsidRPr="00E45630">
              <w:rPr>
                <w:rFonts w:ascii="Arial Narrow" w:hAnsi="Arial Narrow"/>
                <w:b/>
                <w:sz w:val="20"/>
              </w:rPr>
              <w:t>Costs</w:t>
            </w:r>
          </w:p>
        </w:tc>
        <w:tc>
          <w:tcPr>
            <w:tcW w:w="1189" w:type="pct"/>
            <w:vAlign w:val="bottom"/>
          </w:tcPr>
          <w:p w:rsidR="00992D73" w:rsidRPr="00E45630" w:rsidRDefault="00992D73" w:rsidP="00811B2C">
            <w:pPr>
              <w:pStyle w:val="tabletext2"/>
              <w:jc w:val="center"/>
            </w:pPr>
          </w:p>
        </w:tc>
        <w:tc>
          <w:tcPr>
            <w:tcW w:w="1299" w:type="pct"/>
            <w:vAlign w:val="bottom"/>
          </w:tcPr>
          <w:p w:rsidR="00992D73" w:rsidRPr="00E45630" w:rsidRDefault="00992D73" w:rsidP="00811B2C">
            <w:pPr>
              <w:pStyle w:val="tabletext2"/>
              <w:jc w:val="center"/>
            </w:pPr>
          </w:p>
        </w:tc>
        <w:tc>
          <w:tcPr>
            <w:tcW w:w="813" w:type="pct"/>
            <w:vAlign w:val="bottom"/>
          </w:tcPr>
          <w:p w:rsidR="00992D73" w:rsidRPr="00E45630" w:rsidRDefault="00992D73" w:rsidP="00811B2C">
            <w:pPr>
              <w:pStyle w:val="tabletext2"/>
              <w:jc w:val="center"/>
            </w:pPr>
          </w:p>
        </w:tc>
      </w:tr>
      <w:tr w:rsidR="00992D73" w:rsidRPr="00E45630" w:rsidTr="00C85599">
        <w:tc>
          <w:tcPr>
            <w:tcW w:w="1699" w:type="pct"/>
            <w:vAlign w:val="center"/>
          </w:tcPr>
          <w:p w:rsidR="00992D73" w:rsidRPr="00E45630" w:rsidRDefault="00992D73" w:rsidP="00A35824">
            <w:pPr>
              <w:keepNext/>
              <w:ind w:firstLine="256"/>
              <w:jc w:val="left"/>
              <w:rPr>
                <w:rFonts w:ascii="Arial Narrow" w:hAnsi="Arial Narrow"/>
                <w:sz w:val="20"/>
              </w:rPr>
            </w:pPr>
            <w:r w:rsidRPr="00E45630">
              <w:rPr>
                <w:rFonts w:ascii="Arial Narrow" w:hAnsi="Arial Narrow"/>
                <w:sz w:val="20"/>
              </w:rPr>
              <w:t>Non-notified cases</w:t>
            </w:r>
          </w:p>
        </w:tc>
        <w:tc>
          <w:tcPr>
            <w:tcW w:w="1189" w:type="pct"/>
            <w:vAlign w:val="center"/>
          </w:tcPr>
          <w:p w:rsidR="00992D73" w:rsidRPr="00365FD2" w:rsidRDefault="00365FD2" w:rsidP="00811B2C">
            <w:pPr>
              <w:pStyle w:val="tabletext2"/>
              <w:jc w:val="right"/>
              <w:rPr>
                <w:highlight w:val="black"/>
              </w:rPr>
            </w:pPr>
            <w:r>
              <w:rPr>
                <w:noProof/>
                <w:highlight w:val="black"/>
              </w:rPr>
              <w:t>'''''</w:t>
            </w:r>
          </w:p>
        </w:tc>
        <w:tc>
          <w:tcPr>
            <w:tcW w:w="1299" w:type="pct"/>
            <w:vAlign w:val="center"/>
          </w:tcPr>
          <w:p w:rsidR="00992D73" w:rsidRPr="00365FD2" w:rsidRDefault="00365FD2" w:rsidP="00811B2C">
            <w:pPr>
              <w:pStyle w:val="tabletext2"/>
              <w:jc w:val="right"/>
              <w:rPr>
                <w:highlight w:val="black"/>
              </w:rPr>
            </w:pPr>
            <w:r>
              <w:rPr>
                <w:noProof/>
                <w:highlight w:val="black"/>
              </w:rPr>
              <w:t>'''''''</w:t>
            </w:r>
          </w:p>
        </w:tc>
        <w:tc>
          <w:tcPr>
            <w:tcW w:w="813" w:type="pct"/>
            <w:vAlign w:val="center"/>
          </w:tcPr>
          <w:p w:rsidR="00992D73" w:rsidRPr="00365FD2" w:rsidRDefault="00365FD2" w:rsidP="00811B2C">
            <w:pPr>
              <w:pStyle w:val="tabletext2"/>
              <w:jc w:val="right"/>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Notified (non-hospitalised) cases</w:t>
            </w:r>
          </w:p>
        </w:tc>
        <w:tc>
          <w:tcPr>
            <w:tcW w:w="1189" w:type="pct"/>
            <w:vAlign w:val="bottom"/>
          </w:tcPr>
          <w:p w:rsidR="00992D73" w:rsidRPr="00365FD2" w:rsidRDefault="00365FD2" w:rsidP="00811B2C">
            <w:pPr>
              <w:pStyle w:val="tabletext2"/>
              <w:jc w:val="right"/>
              <w:rPr>
                <w:szCs w:val="18"/>
                <w:highlight w:val="black"/>
              </w:rPr>
            </w:pPr>
            <w:r>
              <w:rPr>
                <w:noProof/>
                <w:highlight w:val="black"/>
              </w:rPr>
              <w:t>'''''''''''''''''''''''''''''</w:t>
            </w:r>
          </w:p>
        </w:tc>
        <w:tc>
          <w:tcPr>
            <w:tcW w:w="1299" w:type="pct"/>
            <w:vAlign w:val="bottom"/>
          </w:tcPr>
          <w:p w:rsidR="00992D73" w:rsidRPr="00365FD2" w:rsidRDefault="00365FD2" w:rsidP="00811B2C">
            <w:pPr>
              <w:pStyle w:val="tabletext2"/>
              <w:jc w:val="right"/>
              <w:rPr>
                <w:highlight w:val="black"/>
              </w:rPr>
            </w:pPr>
            <w:r>
              <w:rPr>
                <w:noProof/>
                <w:highlight w:val="black"/>
              </w:rPr>
              <w:t>''''''''''''''''''''''''''''''''</w:t>
            </w:r>
          </w:p>
        </w:tc>
        <w:tc>
          <w:tcPr>
            <w:tcW w:w="813" w:type="pct"/>
            <w:vAlign w:val="bottom"/>
          </w:tcPr>
          <w:p w:rsidR="00992D73" w:rsidRPr="00365FD2" w:rsidRDefault="00365FD2" w:rsidP="00811B2C">
            <w:pPr>
              <w:pStyle w:val="tabletext2"/>
              <w:jc w:val="right"/>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Hospitalisation cases</w:t>
            </w:r>
          </w:p>
        </w:tc>
        <w:tc>
          <w:tcPr>
            <w:tcW w:w="1189" w:type="pct"/>
            <w:vAlign w:val="bottom"/>
          </w:tcPr>
          <w:p w:rsidR="00992D73" w:rsidRPr="00365FD2" w:rsidRDefault="00365FD2" w:rsidP="00811B2C">
            <w:pPr>
              <w:pStyle w:val="tabletext2"/>
              <w:jc w:val="right"/>
              <w:rPr>
                <w:szCs w:val="18"/>
                <w:highlight w:val="black"/>
              </w:rPr>
            </w:pPr>
            <w:r>
              <w:rPr>
                <w:noProof/>
                <w:highlight w:val="black"/>
              </w:rPr>
              <w:t>''''''''''''''''''''''''''''''''</w:t>
            </w:r>
          </w:p>
        </w:tc>
        <w:tc>
          <w:tcPr>
            <w:tcW w:w="1299" w:type="pct"/>
            <w:vAlign w:val="bottom"/>
          </w:tcPr>
          <w:p w:rsidR="00992D73" w:rsidRPr="00365FD2" w:rsidRDefault="00365FD2" w:rsidP="00811B2C">
            <w:pPr>
              <w:pStyle w:val="tabletext2"/>
              <w:jc w:val="right"/>
              <w:rPr>
                <w:highlight w:val="black"/>
              </w:rPr>
            </w:pPr>
            <w:r>
              <w:rPr>
                <w:noProof/>
                <w:highlight w:val="black"/>
              </w:rPr>
              <w:t>'''''''''''''''''''''''''''</w:t>
            </w:r>
          </w:p>
        </w:tc>
        <w:tc>
          <w:tcPr>
            <w:tcW w:w="813" w:type="pct"/>
            <w:vAlign w:val="bottom"/>
          </w:tcPr>
          <w:p w:rsidR="00992D73" w:rsidRPr="00365FD2" w:rsidRDefault="00365FD2" w:rsidP="00811B2C">
            <w:pPr>
              <w:pStyle w:val="tabletext2"/>
              <w:jc w:val="right"/>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Vaccine costs</w:t>
            </w:r>
          </w:p>
        </w:tc>
        <w:tc>
          <w:tcPr>
            <w:tcW w:w="1189" w:type="pct"/>
            <w:vAlign w:val="center"/>
          </w:tcPr>
          <w:p w:rsidR="00992D73" w:rsidRPr="00365FD2" w:rsidRDefault="00365FD2" w:rsidP="00811B2C">
            <w:pPr>
              <w:pStyle w:val="tabletext2"/>
              <w:jc w:val="right"/>
              <w:rPr>
                <w:szCs w:val="18"/>
                <w:highlight w:val="black"/>
              </w:rPr>
            </w:pPr>
            <w:r>
              <w:rPr>
                <w:noProof/>
                <w:highlight w:val="black"/>
              </w:rPr>
              <w:t>'''''''''''''''''''''''''''''</w:t>
            </w:r>
          </w:p>
        </w:tc>
        <w:tc>
          <w:tcPr>
            <w:tcW w:w="1299" w:type="pct"/>
            <w:vAlign w:val="center"/>
          </w:tcPr>
          <w:p w:rsidR="00992D73" w:rsidRPr="00365FD2" w:rsidRDefault="00365FD2" w:rsidP="00811B2C">
            <w:pPr>
              <w:pStyle w:val="tabletext2"/>
              <w:jc w:val="right"/>
              <w:rPr>
                <w:highlight w:val="black"/>
              </w:rPr>
            </w:pPr>
            <w:r>
              <w:rPr>
                <w:noProof/>
                <w:highlight w:val="black"/>
              </w:rPr>
              <w:t>'''''''</w:t>
            </w:r>
          </w:p>
        </w:tc>
        <w:tc>
          <w:tcPr>
            <w:tcW w:w="813" w:type="pct"/>
            <w:vAlign w:val="center"/>
          </w:tcPr>
          <w:p w:rsidR="00992D73" w:rsidRPr="00365FD2" w:rsidRDefault="00365FD2" w:rsidP="00811B2C">
            <w:pPr>
              <w:pStyle w:val="tabletext2"/>
              <w:jc w:val="right"/>
              <w:rPr>
                <w:highlight w:val="black"/>
              </w:rPr>
            </w:pPr>
            <w:r>
              <w:rPr>
                <w:noProof/>
                <w:highlight w:val="black"/>
              </w:rPr>
              <w:t>''''''''''''''''''''''''''''</w:t>
            </w:r>
          </w:p>
        </w:tc>
      </w:tr>
      <w:tr w:rsidR="00992D73" w:rsidRPr="00E45630" w:rsidTr="002576BD">
        <w:tc>
          <w:tcPr>
            <w:tcW w:w="1699" w:type="pct"/>
            <w:vAlign w:val="center"/>
          </w:tcPr>
          <w:p w:rsidR="00992D73" w:rsidRPr="00E45630" w:rsidRDefault="00992D73" w:rsidP="00811B2C">
            <w:pPr>
              <w:keepNext/>
              <w:jc w:val="left"/>
              <w:rPr>
                <w:rFonts w:ascii="Arial Narrow" w:hAnsi="Arial Narrow"/>
                <w:b/>
                <w:sz w:val="20"/>
              </w:rPr>
            </w:pPr>
            <w:r w:rsidRPr="00E45630">
              <w:rPr>
                <w:rFonts w:ascii="Arial Narrow" w:hAnsi="Arial Narrow"/>
                <w:b/>
                <w:sz w:val="20"/>
              </w:rPr>
              <w:t>Total Costs</w:t>
            </w:r>
          </w:p>
        </w:tc>
        <w:tc>
          <w:tcPr>
            <w:tcW w:w="1189" w:type="pct"/>
            <w:vAlign w:val="bottom"/>
          </w:tcPr>
          <w:p w:rsidR="00992D73" w:rsidRPr="00365FD2" w:rsidRDefault="00365FD2" w:rsidP="00811B2C">
            <w:pPr>
              <w:pStyle w:val="tabletext2"/>
              <w:jc w:val="right"/>
              <w:rPr>
                <w:b/>
                <w:highlight w:val="black"/>
              </w:rPr>
            </w:pPr>
            <w:r>
              <w:rPr>
                <w:noProof/>
                <w:highlight w:val="black"/>
              </w:rPr>
              <w:t>'''''''''''''''''''''''''''''''</w:t>
            </w:r>
          </w:p>
        </w:tc>
        <w:tc>
          <w:tcPr>
            <w:tcW w:w="1299" w:type="pct"/>
            <w:vAlign w:val="bottom"/>
          </w:tcPr>
          <w:p w:rsidR="00992D73" w:rsidRPr="00365FD2" w:rsidRDefault="00365FD2" w:rsidP="00811B2C">
            <w:pPr>
              <w:pStyle w:val="tabletext2"/>
              <w:jc w:val="right"/>
              <w:rPr>
                <w:b/>
                <w:highlight w:val="black"/>
              </w:rPr>
            </w:pPr>
            <w:r>
              <w:rPr>
                <w:noProof/>
                <w:highlight w:val="black"/>
              </w:rPr>
              <w:t>'''''''''''''''''''''''''''''</w:t>
            </w:r>
          </w:p>
        </w:tc>
        <w:tc>
          <w:tcPr>
            <w:tcW w:w="813" w:type="pct"/>
            <w:vAlign w:val="bottom"/>
          </w:tcPr>
          <w:p w:rsidR="00992D73" w:rsidRPr="00365FD2" w:rsidRDefault="00365FD2" w:rsidP="00811B2C">
            <w:pPr>
              <w:pStyle w:val="tabletext2"/>
              <w:jc w:val="right"/>
              <w:rPr>
                <w:b/>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jc w:val="left"/>
              <w:rPr>
                <w:rFonts w:ascii="Arial Narrow" w:hAnsi="Arial Narrow"/>
                <w:b/>
                <w:sz w:val="20"/>
              </w:rPr>
            </w:pPr>
            <w:r w:rsidRPr="00E45630">
              <w:rPr>
                <w:rFonts w:ascii="Arial Narrow" w:hAnsi="Arial Narrow"/>
                <w:b/>
                <w:sz w:val="20"/>
              </w:rPr>
              <w:t xml:space="preserve">Discounted QALY </w:t>
            </w:r>
            <w:r w:rsidRPr="00E45630">
              <w:rPr>
                <w:rFonts w:ascii="Arial Narrow" w:hAnsi="Arial Narrow"/>
                <w:b/>
                <w:sz w:val="20"/>
                <w:vertAlign w:val="superscript"/>
              </w:rPr>
              <w:t>b</w:t>
            </w:r>
          </w:p>
        </w:tc>
        <w:tc>
          <w:tcPr>
            <w:tcW w:w="1189" w:type="pct"/>
            <w:vAlign w:val="bottom"/>
          </w:tcPr>
          <w:p w:rsidR="00992D73" w:rsidRPr="00E45630" w:rsidRDefault="00992D73" w:rsidP="00811B2C">
            <w:pPr>
              <w:pStyle w:val="tabletext2"/>
              <w:jc w:val="center"/>
            </w:pPr>
          </w:p>
        </w:tc>
        <w:tc>
          <w:tcPr>
            <w:tcW w:w="1299" w:type="pct"/>
            <w:vAlign w:val="bottom"/>
          </w:tcPr>
          <w:p w:rsidR="00992D73" w:rsidRPr="00E45630" w:rsidRDefault="00992D73" w:rsidP="00811B2C">
            <w:pPr>
              <w:pStyle w:val="tabletext2"/>
              <w:jc w:val="center"/>
            </w:pPr>
          </w:p>
        </w:tc>
        <w:tc>
          <w:tcPr>
            <w:tcW w:w="813" w:type="pct"/>
            <w:vAlign w:val="bottom"/>
          </w:tcPr>
          <w:p w:rsidR="00992D73" w:rsidRPr="00E45630" w:rsidRDefault="00992D73" w:rsidP="00811B2C">
            <w:pPr>
              <w:pStyle w:val="tabletext2"/>
              <w:jc w:val="center"/>
            </w:pPr>
          </w:p>
        </w:tc>
      </w:tr>
      <w:tr w:rsidR="00992D73" w:rsidRPr="00E45630" w:rsidTr="00C85599">
        <w:tc>
          <w:tcPr>
            <w:tcW w:w="1699" w:type="pct"/>
            <w:vAlign w:val="center"/>
          </w:tcPr>
          <w:p w:rsidR="00992D73" w:rsidRPr="00E45630" w:rsidRDefault="00992D73" w:rsidP="00A35824">
            <w:pPr>
              <w:keepNext/>
              <w:ind w:firstLine="256"/>
              <w:jc w:val="left"/>
              <w:rPr>
                <w:rFonts w:ascii="Arial Narrow" w:hAnsi="Arial Narrow"/>
                <w:sz w:val="20"/>
              </w:rPr>
            </w:pPr>
            <w:r w:rsidRPr="00E45630">
              <w:rPr>
                <w:rFonts w:ascii="Arial Narrow" w:hAnsi="Arial Narrow"/>
                <w:sz w:val="20"/>
              </w:rPr>
              <w:t>Non-notified cases</w:t>
            </w:r>
          </w:p>
        </w:tc>
        <w:tc>
          <w:tcPr>
            <w:tcW w:w="1189" w:type="pct"/>
            <w:vAlign w:val="bottom"/>
          </w:tcPr>
          <w:p w:rsidR="00992D73" w:rsidRPr="00365FD2" w:rsidRDefault="00365FD2" w:rsidP="00811B2C">
            <w:pPr>
              <w:pStyle w:val="tabletext2"/>
              <w:jc w:val="center"/>
              <w:rPr>
                <w:highlight w:val="black"/>
              </w:rPr>
            </w:pPr>
            <w:r>
              <w:rPr>
                <w:noProof/>
                <w:highlight w:val="black"/>
              </w:rPr>
              <w:t>''''''''''''''''''''</w:t>
            </w:r>
          </w:p>
        </w:tc>
        <w:tc>
          <w:tcPr>
            <w:tcW w:w="1299" w:type="pct"/>
            <w:vAlign w:val="bottom"/>
          </w:tcPr>
          <w:p w:rsidR="00992D73" w:rsidRPr="00365FD2" w:rsidRDefault="00365FD2" w:rsidP="00811B2C">
            <w:pPr>
              <w:pStyle w:val="tabletext2"/>
              <w:jc w:val="center"/>
              <w:rPr>
                <w:highlight w:val="black"/>
              </w:rPr>
            </w:pPr>
            <w:r>
              <w:rPr>
                <w:noProof/>
                <w:highlight w:val="black"/>
              </w:rPr>
              <w:t>'''''''''''''''''''</w:t>
            </w:r>
          </w:p>
        </w:tc>
        <w:tc>
          <w:tcPr>
            <w:tcW w:w="813" w:type="pct"/>
            <w:vAlign w:val="bottom"/>
          </w:tcPr>
          <w:p w:rsidR="00992D73" w:rsidRPr="00365FD2" w:rsidRDefault="00365FD2" w:rsidP="00811B2C">
            <w:pPr>
              <w:pStyle w:val="tabletext2"/>
              <w:jc w:val="center"/>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 xml:space="preserve">Notified (non-hospitalised) cases </w:t>
            </w:r>
          </w:p>
        </w:tc>
        <w:tc>
          <w:tcPr>
            <w:tcW w:w="1189" w:type="pct"/>
            <w:vAlign w:val="bottom"/>
          </w:tcPr>
          <w:p w:rsidR="00992D73" w:rsidRPr="00365FD2" w:rsidRDefault="00365FD2" w:rsidP="00811B2C">
            <w:pPr>
              <w:pStyle w:val="tabletext2"/>
              <w:jc w:val="center"/>
              <w:rPr>
                <w:highlight w:val="black"/>
              </w:rPr>
            </w:pPr>
            <w:r>
              <w:rPr>
                <w:noProof/>
                <w:highlight w:val="black"/>
              </w:rPr>
              <w:t>''''''''''''''</w:t>
            </w:r>
          </w:p>
        </w:tc>
        <w:tc>
          <w:tcPr>
            <w:tcW w:w="1299" w:type="pct"/>
            <w:vAlign w:val="bottom"/>
          </w:tcPr>
          <w:p w:rsidR="00992D73" w:rsidRPr="00365FD2" w:rsidRDefault="00365FD2" w:rsidP="00811B2C">
            <w:pPr>
              <w:pStyle w:val="tabletext2"/>
              <w:jc w:val="center"/>
              <w:rPr>
                <w:highlight w:val="black"/>
              </w:rPr>
            </w:pPr>
            <w:r>
              <w:rPr>
                <w:noProof/>
                <w:highlight w:val="black"/>
              </w:rPr>
              <w:t>''''''''''''''''</w:t>
            </w:r>
          </w:p>
        </w:tc>
        <w:tc>
          <w:tcPr>
            <w:tcW w:w="813" w:type="pct"/>
            <w:vAlign w:val="bottom"/>
          </w:tcPr>
          <w:p w:rsidR="00992D73" w:rsidRPr="00365FD2" w:rsidRDefault="00365FD2" w:rsidP="00811B2C">
            <w:pPr>
              <w:pStyle w:val="tabletext2"/>
              <w:jc w:val="center"/>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Hospitalisation cases</w:t>
            </w:r>
          </w:p>
        </w:tc>
        <w:tc>
          <w:tcPr>
            <w:tcW w:w="1189" w:type="pct"/>
            <w:vAlign w:val="bottom"/>
          </w:tcPr>
          <w:p w:rsidR="00992D73" w:rsidRPr="00365FD2" w:rsidRDefault="00365FD2" w:rsidP="00811B2C">
            <w:pPr>
              <w:pStyle w:val="tabletext2"/>
              <w:jc w:val="center"/>
              <w:rPr>
                <w:highlight w:val="black"/>
              </w:rPr>
            </w:pPr>
            <w:r>
              <w:rPr>
                <w:noProof/>
                <w:highlight w:val="black"/>
              </w:rPr>
              <w:t>''''''''''</w:t>
            </w:r>
          </w:p>
        </w:tc>
        <w:tc>
          <w:tcPr>
            <w:tcW w:w="1299" w:type="pct"/>
            <w:vAlign w:val="bottom"/>
          </w:tcPr>
          <w:p w:rsidR="00992D73" w:rsidRPr="00365FD2" w:rsidRDefault="00365FD2" w:rsidP="00811B2C">
            <w:pPr>
              <w:pStyle w:val="tabletext2"/>
              <w:jc w:val="center"/>
              <w:rPr>
                <w:highlight w:val="black"/>
              </w:rPr>
            </w:pPr>
            <w:r>
              <w:rPr>
                <w:noProof/>
                <w:highlight w:val="black"/>
              </w:rPr>
              <w:t>''''''''''''</w:t>
            </w:r>
          </w:p>
        </w:tc>
        <w:tc>
          <w:tcPr>
            <w:tcW w:w="813" w:type="pct"/>
            <w:vAlign w:val="bottom"/>
          </w:tcPr>
          <w:p w:rsidR="00992D73" w:rsidRPr="00365FD2" w:rsidRDefault="00365FD2" w:rsidP="00811B2C">
            <w:pPr>
              <w:pStyle w:val="tabletext2"/>
              <w:jc w:val="center"/>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ind w:firstLine="256"/>
              <w:jc w:val="left"/>
              <w:rPr>
                <w:rFonts w:ascii="Arial Narrow" w:hAnsi="Arial Narrow"/>
                <w:sz w:val="20"/>
              </w:rPr>
            </w:pPr>
            <w:r w:rsidRPr="00E45630">
              <w:rPr>
                <w:rFonts w:ascii="Arial Narrow" w:hAnsi="Arial Narrow"/>
                <w:sz w:val="20"/>
              </w:rPr>
              <w:t>Adverse events due to vaccination</w:t>
            </w:r>
          </w:p>
        </w:tc>
        <w:tc>
          <w:tcPr>
            <w:tcW w:w="1189" w:type="pct"/>
            <w:vAlign w:val="center"/>
          </w:tcPr>
          <w:p w:rsidR="00992D73" w:rsidRPr="00365FD2" w:rsidRDefault="00365FD2" w:rsidP="00811B2C">
            <w:pPr>
              <w:pStyle w:val="tabletext2"/>
              <w:jc w:val="center"/>
              <w:rPr>
                <w:highlight w:val="black"/>
              </w:rPr>
            </w:pPr>
            <w:r>
              <w:rPr>
                <w:noProof/>
                <w:highlight w:val="black"/>
              </w:rPr>
              <w:t>''''''''''</w:t>
            </w:r>
          </w:p>
        </w:tc>
        <w:tc>
          <w:tcPr>
            <w:tcW w:w="1299" w:type="pct"/>
            <w:vAlign w:val="center"/>
          </w:tcPr>
          <w:p w:rsidR="00992D73" w:rsidRPr="00365FD2" w:rsidRDefault="00365FD2" w:rsidP="00811B2C">
            <w:pPr>
              <w:pStyle w:val="tabletext2"/>
              <w:jc w:val="center"/>
              <w:rPr>
                <w:highlight w:val="black"/>
              </w:rPr>
            </w:pPr>
            <w:r>
              <w:rPr>
                <w:noProof/>
                <w:highlight w:val="black"/>
              </w:rPr>
              <w:t>''''</w:t>
            </w:r>
          </w:p>
        </w:tc>
        <w:tc>
          <w:tcPr>
            <w:tcW w:w="813" w:type="pct"/>
            <w:vAlign w:val="center"/>
          </w:tcPr>
          <w:p w:rsidR="00992D73" w:rsidRPr="00365FD2" w:rsidRDefault="00365FD2" w:rsidP="00811B2C">
            <w:pPr>
              <w:pStyle w:val="tabletext2"/>
              <w:jc w:val="center"/>
              <w:rPr>
                <w:highlight w:val="black"/>
              </w:rPr>
            </w:pPr>
            <w:r>
              <w:rPr>
                <w:noProof/>
                <w:highlight w:val="black"/>
              </w:rPr>
              <w:t>''''''''''</w:t>
            </w:r>
          </w:p>
        </w:tc>
      </w:tr>
      <w:tr w:rsidR="00992D73" w:rsidRPr="00E45630" w:rsidTr="00C85599">
        <w:tc>
          <w:tcPr>
            <w:tcW w:w="1699" w:type="pct"/>
            <w:vAlign w:val="center"/>
          </w:tcPr>
          <w:p w:rsidR="00992D73" w:rsidRPr="00E45630" w:rsidRDefault="00992D73" w:rsidP="00811B2C">
            <w:pPr>
              <w:keepNext/>
              <w:jc w:val="left"/>
              <w:rPr>
                <w:rFonts w:ascii="Arial Narrow" w:hAnsi="Arial Narrow"/>
                <w:b/>
                <w:sz w:val="20"/>
              </w:rPr>
            </w:pPr>
            <w:r w:rsidRPr="00E45630">
              <w:rPr>
                <w:rFonts w:ascii="Arial Narrow" w:hAnsi="Arial Narrow"/>
                <w:b/>
                <w:sz w:val="20"/>
              </w:rPr>
              <w:t xml:space="preserve">Total discounted QALY </w:t>
            </w:r>
          </w:p>
        </w:tc>
        <w:tc>
          <w:tcPr>
            <w:tcW w:w="1189" w:type="pct"/>
            <w:vAlign w:val="bottom"/>
          </w:tcPr>
          <w:p w:rsidR="00992D73" w:rsidRPr="00365FD2" w:rsidRDefault="00365FD2" w:rsidP="00811B2C">
            <w:pPr>
              <w:pStyle w:val="tabletext2"/>
              <w:jc w:val="center"/>
              <w:rPr>
                <w:highlight w:val="black"/>
              </w:rPr>
            </w:pPr>
            <w:r>
              <w:rPr>
                <w:noProof/>
                <w:highlight w:val="black"/>
              </w:rPr>
              <w:t>''''''''''''''''''''''</w:t>
            </w:r>
          </w:p>
        </w:tc>
        <w:tc>
          <w:tcPr>
            <w:tcW w:w="1299" w:type="pct"/>
            <w:vAlign w:val="bottom"/>
          </w:tcPr>
          <w:p w:rsidR="00992D73" w:rsidRPr="00365FD2" w:rsidRDefault="00365FD2" w:rsidP="00811B2C">
            <w:pPr>
              <w:pStyle w:val="tabletext2"/>
              <w:jc w:val="center"/>
              <w:rPr>
                <w:highlight w:val="black"/>
              </w:rPr>
            </w:pPr>
            <w:r>
              <w:rPr>
                <w:noProof/>
                <w:highlight w:val="black"/>
              </w:rPr>
              <w:t>'''''''''''''''''''</w:t>
            </w:r>
          </w:p>
        </w:tc>
        <w:tc>
          <w:tcPr>
            <w:tcW w:w="813" w:type="pct"/>
            <w:vAlign w:val="bottom"/>
          </w:tcPr>
          <w:p w:rsidR="00992D73" w:rsidRPr="00365FD2" w:rsidRDefault="00365FD2" w:rsidP="00811B2C">
            <w:pPr>
              <w:pStyle w:val="tabletext2"/>
              <w:jc w:val="center"/>
              <w:rPr>
                <w:highlight w:val="black"/>
              </w:rPr>
            </w:pPr>
            <w:r>
              <w:rPr>
                <w:noProof/>
                <w:highlight w:val="black"/>
              </w:rPr>
              <w:t>''''''''''''''''</w:t>
            </w:r>
          </w:p>
        </w:tc>
      </w:tr>
    </w:tbl>
    <w:p w:rsidR="00382220" w:rsidRPr="00E45630" w:rsidRDefault="00382220" w:rsidP="00811B2C">
      <w:pPr>
        <w:pStyle w:val="TableFooter"/>
        <w:keepNext/>
        <w:ind w:firstLine="720"/>
      </w:pPr>
      <w:r w:rsidRPr="00E45630">
        <w:t>Source: Table D.21, pp E-150 of the submission, and independent evaluation.</w:t>
      </w:r>
    </w:p>
    <w:p w:rsidR="00C46805" w:rsidRPr="00E45630" w:rsidRDefault="008A68D7" w:rsidP="00C46805">
      <w:pPr>
        <w:pStyle w:val="TableFooter"/>
        <w:ind w:left="709"/>
      </w:pPr>
      <w:r w:rsidRPr="00E45630">
        <w:rPr>
          <w:vertAlign w:val="superscript"/>
        </w:rPr>
        <w:t>a</w:t>
      </w:r>
      <w:r w:rsidRPr="00E45630">
        <w:t xml:space="preserve"> In the submission’s base case, the pertussis cases included was inconsistently done for the two treatment options. During evaluation the inclusion of cases was performed for both treatment options, using the submission’s approach for ‘no booster’. </w:t>
      </w:r>
      <w:r w:rsidR="00E274A5" w:rsidRPr="00E45630">
        <w:t>T</w:t>
      </w:r>
      <w:r w:rsidRPr="00E45630">
        <w:t xml:space="preserve">he data was extracted for each year up to the age of four. </w:t>
      </w:r>
      <w:r w:rsidR="009B27EA">
        <w:t>Additionally, age-</w:t>
      </w:r>
      <w:r w:rsidR="00E274A5" w:rsidRPr="00E45630">
        <w:t>year specific reporting rates are used, and then reported cases are grouped, rather than grouping of ages together in broad age groups and then apply average reporting rates.</w:t>
      </w:r>
      <w:r w:rsidR="00C46805" w:rsidRPr="00E45630">
        <w:t xml:space="preserve"> Further, the error (in the commentary base case) to estimate the number of recidive cases has been corrected.</w:t>
      </w:r>
    </w:p>
    <w:p w:rsidR="00DA6FA1" w:rsidRPr="00E45630" w:rsidRDefault="00DA6FA1" w:rsidP="008A68D7">
      <w:pPr>
        <w:pStyle w:val="TableFooter"/>
        <w:ind w:left="709" w:firstLine="11"/>
      </w:pPr>
      <w:r w:rsidRPr="00E45630">
        <w:rPr>
          <w:vertAlign w:val="superscript"/>
        </w:rPr>
        <w:t>b</w:t>
      </w:r>
      <w:r w:rsidRPr="00E45630">
        <w:t xml:space="preserve"> The Discounted QALYs reflect the reduction in QALYs due to pertussis cases (non-notified, notified or hospitalised) or adverse events due to vaccinations. Positive QALYs represent a health gain.</w:t>
      </w:r>
    </w:p>
    <w:p w:rsidR="00F61C0E" w:rsidRDefault="00F61C0E" w:rsidP="008A68D7">
      <w:pPr>
        <w:pStyle w:val="TableFooter"/>
        <w:ind w:left="709" w:firstLine="11"/>
      </w:pPr>
      <w:r w:rsidRPr="00E45630">
        <w:t>AE = adverse event</w:t>
      </w:r>
      <w:r w:rsidR="006179A1" w:rsidRPr="00E45630">
        <w:t>; QALY = quality adjusted life year; ICER = incremental cost effectiveness ratio</w:t>
      </w:r>
    </w:p>
    <w:p w:rsidR="00237F8A" w:rsidRPr="00E45630" w:rsidRDefault="00237F8A" w:rsidP="008A68D7">
      <w:pPr>
        <w:pStyle w:val="TableFooter"/>
        <w:ind w:left="709" w:firstLine="11"/>
      </w:pPr>
    </w:p>
    <w:p w:rsidR="00382220" w:rsidRDefault="00237F8A" w:rsidP="00237F8A">
      <w:pPr>
        <w:pStyle w:val="ListParagraph"/>
        <w:widowControl/>
        <w:numPr>
          <w:ilvl w:val="1"/>
          <w:numId w:val="3"/>
        </w:numPr>
      </w:pPr>
      <w:r>
        <w:lastRenderedPageBreak/>
        <w:t xml:space="preserve">The following table </w:t>
      </w:r>
      <w:r w:rsidRPr="00E45630">
        <w:t>presents a summary of the submission’s base case and the revised base case.</w:t>
      </w:r>
    </w:p>
    <w:p w:rsidR="00237F8A" w:rsidRPr="00237F8A" w:rsidRDefault="00237F8A" w:rsidP="00237F8A">
      <w:pPr>
        <w:pStyle w:val="ListParagraph"/>
        <w:widowControl/>
      </w:pPr>
    </w:p>
    <w:p w:rsidR="00503CF7" w:rsidRPr="00E45630" w:rsidRDefault="006245E6" w:rsidP="00811B2C">
      <w:pPr>
        <w:keepNext/>
        <w:ind w:firstLine="720"/>
        <w:rPr>
          <w:rStyle w:val="CommentReference"/>
        </w:rPr>
      </w:pPr>
      <w:r w:rsidRPr="00E45630">
        <w:rPr>
          <w:rStyle w:val="CommentReference"/>
        </w:rPr>
        <w:t>Costs and QALYs in the economic evaluation (submission’s base case vs revised base case)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6"/>
        <w:gridCol w:w="1843"/>
        <w:gridCol w:w="2126"/>
        <w:gridCol w:w="1400"/>
      </w:tblGrid>
      <w:tr w:rsidR="00503CF7" w:rsidRPr="00E45630" w:rsidTr="00EC46E1">
        <w:trPr>
          <w:tblHeader/>
        </w:trPr>
        <w:tc>
          <w:tcPr>
            <w:tcW w:w="1783" w:type="pct"/>
            <w:vAlign w:val="center"/>
          </w:tcPr>
          <w:p w:rsidR="00503CF7" w:rsidRPr="00E45630" w:rsidRDefault="00503CF7" w:rsidP="00811B2C">
            <w:pPr>
              <w:keepNext/>
              <w:jc w:val="left"/>
              <w:rPr>
                <w:rFonts w:ascii="Arial Narrow" w:hAnsi="Arial Narrow"/>
                <w:b/>
                <w:sz w:val="20"/>
              </w:rPr>
            </w:pPr>
            <w:r w:rsidRPr="00E45630">
              <w:rPr>
                <w:rFonts w:ascii="Arial Narrow" w:hAnsi="Arial Narrow"/>
                <w:b/>
                <w:sz w:val="20"/>
              </w:rPr>
              <w:t>Step and component</w:t>
            </w:r>
          </w:p>
        </w:tc>
        <w:tc>
          <w:tcPr>
            <w:tcW w:w="1104" w:type="pct"/>
            <w:vAlign w:val="center"/>
          </w:tcPr>
          <w:p w:rsidR="00503CF7" w:rsidRPr="00E45630" w:rsidRDefault="00C45C30" w:rsidP="00811B2C">
            <w:pPr>
              <w:keepNext/>
              <w:jc w:val="center"/>
              <w:rPr>
                <w:rFonts w:ascii="Arial Narrow" w:hAnsi="Arial Narrow"/>
                <w:b/>
                <w:sz w:val="20"/>
              </w:rPr>
            </w:pPr>
            <w:r w:rsidRPr="00E45630">
              <w:rPr>
                <w:rFonts w:ascii="Arial Narrow" w:hAnsi="Arial Narrow"/>
                <w:b/>
                <w:sz w:val="20"/>
              </w:rPr>
              <w:t>18-month booster</w:t>
            </w:r>
          </w:p>
        </w:tc>
        <w:tc>
          <w:tcPr>
            <w:tcW w:w="1274" w:type="pct"/>
            <w:vAlign w:val="center"/>
          </w:tcPr>
          <w:p w:rsidR="00503CF7" w:rsidRPr="00E45630" w:rsidRDefault="00503CF7" w:rsidP="00811B2C">
            <w:pPr>
              <w:keepNext/>
              <w:jc w:val="center"/>
              <w:rPr>
                <w:rFonts w:ascii="Arial Narrow" w:hAnsi="Arial Narrow"/>
                <w:b/>
                <w:sz w:val="20"/>
              </w:rPr>
            </w:pPr>
            <w:r w:rsidRPr="00E45630">
              <w:rPr>
                <w:rFonts w:ascii="Arial Narrow" w:hAnsi="Arial Narrow"/>
                <w:b/>
                <w:sz w:val="20"/>
              </w:rPr>
              <w:t>No booster</w:t>
            </w:r>
          </w:p>
        </w:tc>
        <w:tc>
          <w:tcPr>
            <w:tcW w:w="839" w:type="pct"/>
            <w:vAlign w:val="center"/>
          </w:tcPr>
          <w:p w:rsidR="00503CF7" w:rsidRPr="00E45630" w:rsidRDefault="00503CF7" w:rsidP="00811B2C">
            <w:pPr>
              <w:keepNext/>
              <w:jc w:val="center"/>
              <w:rPr>
                <w:rFonts w:ascii="Arial Narrow" w:hAnsi="Arial Narrow"/>
                <w:b/>
                <w:sz w:val="20"/>
              </w:rPr>
            </w:pPr>
            <w:r w:rsidRPr="00E45630">
              <w:rPr>
                <w:rFonts w:ascii="Arial Narrow" w:hAnsi="Arial Narrow"/>
                <w:b/>
                <w:sz w:val="20"/>
              </w:rPr>
              <w:t>Increment</w:t>
            </w:r>
          </w:p>
        </w:tc>
      </w:tr>
      <w:tr w:rsidR="00503CF7" w:rsidRPr="00E45630" w:rsidTr="00EC46E1">
        <w:tc>
          <w:tcPr>
            <w:tcW w:w="5000" w:type="pct"/>
            <w:gridSpan w:val="4"/>
            <w:vAlign w:val="center"/>
          </w:tcPr>
          <w:p w:rsidR="00503CF7" w:rsidRPr="00E45630" w:rsidRDefault="00503CF7" w:rsidP="00811B2C">
            <w:pPr>
              <w:pStyle w:val="TableHeading"/>
              <w:widowControl w:val="0"/>
              <w:spacing w:before="0" w:after="0"/>
              <w:rPr>
                <w:snapToGrid w:val="0"/>
              </w:rPr>
            </w:pPr>
            <w:r w:rsidRPr="00E45630">
              <w:rPr>
                <w:snapToGrid w:val="0"/>
              </w:rPr>
              <w:t>Submission’s modelled evaluation (base case)</w:t>
            </w:r>
          </w:p>
        </w:tc>
      </w:tr>
      <w:tr w:rsidR="00503CF7" w:rsidRPr="00E45630" w:rsidTr="00EC46E1">
        <w:tc>
          <w:tcPr>
            <w:tcW w:w="1783" w:type="pct"/>
            <w:vAlign w:val="center"/>
          </w:tcPr>
          <w:p w:rsidR="00503CF7" w:rsidRPr="00E45630" w:rsidRDefault="00503CF7" w:rsidP="00811B2C">
            <w:pPr>
              <w:keepNext/>
              <w:jc w:val="left"/>
              <w:rPr>
                <w:rFonts w:ascii="Arial Narrow" w:hAnsi="Arial Narrow"/>
                <w:sz w:val="20"/>
              </w:rPr>
            </w:pPr>
            <w:r w:rsidRPr="00E45630">
              <w:rPr>
                <w:rFonts w:ascii="Arial Narrow" w:hAnsi="Arial Narrow"/>
                <w:sz w:val="20"/>
              </w:rPr>
              <w:t>Costs</w:t>
            </w:r>
          </w:p>
        </w:tc>
        <w:tc>
          <w:tcPr>
            <w:tcW w:w="1104" w:type="pct"/>
            <w:vAlign w:val="center"/>
          </w:tcPr>
          <w:p w:rsidR="00503CF7" w:rsidRPr="00365FD2" w:rsidRDefault="00365FD2" w:rsidP="00811B2C">
            <w:pPr>
              <w:keepNext/>
              <w:jc w:val="center"/>
              <w:rPr>
                <w:rFonts w:ascii="Arial Narrow" w:hAnsi="Arial Narrow"/>
                <w:sz w:val="20"/>
                <w:highlight w:val="black"/>
              </w:rPr>
            </w:pPr>
            <w:r>
              <w:rPr>
                <w:rFonts w:ascii="Arial Narrow" w:hAnsi="Arial Narrow"/>
                <w:noProof/>
                <w:color w:val="000000"/>
                <w:sz w:val="20"/>
                <w:highlight w:val="black"/>
              </w:rPr>
              <w:t>'''''''''''''''''''''''''''''</w:t>
            </w:r>
          </w:p>
        </w:tc>
        <w:tc>
          <w:tcPr>
            <w:tcW w:w="1274" w:type="pct"/>
            <w:vAlign w:val="center"/>
          </w:tcPr>
          <w:p w:rsidR="00503CF7" w:rsidRPr="00365FD2" w:rsidRDefault="00365FD2" w:rsidP="00811B2C">
            <w:pPr>
              <w:keepNext/>
              <w:jc w:val="center"/>
              <w:rPr>
                <w:rFonts w:ascii="Arial Narrow" w:hAnsi="Arial Narrow"/>
                <w:sz w:val="20"/>
                <w:highlight w:val="black"/>
              </w:rPr>
            </w:pPr>
            <w:r>
              <w:rPr>
                <w:rFonts w:ascii="Arial Narrow" w:hAnsi="Arial Narrow"/>
                <w:noProof/>
                <w:color w:val="000000"/>
                <w:sz w:val="20"/>
                <w:highlight w:val="black"/>
              </w:rPr>
              <w:t>''''''''''''''''''''''''''''''</w:t>
            </w:r>
          </w:p>
        </w:tc>
        <w:tc>
          <w:tcPr>
            <w:tcW w:w="839" w:type="pct"/>
            <w:vAlign w:val="center"/>
          </w:tcPr>
          <w:p w:rsidR="00503CF7" w:rsidRPr="00365FD2" w:rsidRDefault="00365FD2" w:rsidP="00811B2C">
            <w:pPr>
              <w:keepNext/>
              <w:jc w:val="center"/>
              <w:rPr>
                <w:rFonts w:ascii="Arial Narrow" w:hAnsi="Arial Narrow"/>
                <w:sz w:val="20"/>
                <w:highlight w:val="black"/>
              </w:rPr>
            </w:pPr>
            <w:r>
              <w:rPr>
                <w:rFonts w:ascii="Arial Narrow" w:hAnsi="Arial Narrow"/>
                <w:noProof/>
                <w:color w:val="000000"/>
                <w:sz w:val="20"/>
                <w:highlight w:val="black"/>
              </w:rPr>
              <w:t>'''''''''''''''''''''''''''</w:t>
            </w:r>
          </w:p>
        </w:tc>
      </w:tr>
      <w:tr w:rsidR="00503CF7" w:rsidRPr="00E45630" w:rsidTr="00EC46E1">
        <w:tc>
          <w:tcPr>
            <w:tcW w:w="1783" w:type="pct"/>
            <w:vAlign w:val="center"/>
          </w:tcPr>
          <w:p w:rsidR="00503CF7" w:rsidRPr="00E45630" w:rsidRDefault="00503CF7" w:rsidP="00811B2C">
            <w:pPr>
              <w:keepNext/>
              <w:jc w:val="left"/>
              <w:rPr>
                <w:rFonts w:ascii="Arial Narrow" w:hAnsi="Arial Narrow"/>
                <w:sz w:val="20"/>
              </w:rPr>
            </w:pPr>
            <w:r w:rsidRPr="00E45630">
              <w:rPr>
                <w:rFonts w:ascii="Arial Narrow" w:hAnsi="Arial Narrow"/>
                <w:sz w:val="20"/>
              </w:rPr>
              <w:t>Discounted QALY</w:t>
            </w:r>
            <w:r w:rsidR="00DA6FA1" w:rsidRPr="00E45630">
              <w:rPr>
                <w:rFonts w:ascii="Arial Narrow" w:hAnsi="Arial Narrow"/>
                <w:sz w:val="20"/>
              </w:rPr>
              <w:t xml:space="preserve"> </w:t>
            </w:r>
            <w:r w:rsidR="00DA6FA1" w:rsidRPr="00E45630">
              <w:rPr>
                <w:rFonts w:ascii="Arial Narrow" w:hAnsi="Arial Narrow"/>
                <w:sz w:val="20"/>
                <w:vertAlign w:val="superscript"/>
              </w:rPr>
              <w:t>b</w:t>
            </w:r>
            <w:r w:rsidRPr="00E45630">
              <w:rPr>
                <w:rFonts w:ascii="Arial Narrow" w:hAnsi="Arial Narrow"/>
                <w:sz w:val="20"/>
              </w:rPr>
              <w:t xml:space="preserve"> </w:t>
            </w:r>
          </w:p>
        </w:tc>
        <w:tc>
          <w:tcPr>
            <w:tcW w:w="1104" w:type="pct"/>
            <w:vAlign w:val="center"/>
          </w:tcPr>
          <w:p w:rsidR="00503CF7" w:rsidRPr="00365FD2" w:rsidRDefault="00365FD2" w:rsidP="00811B2C">
            <w:pPr>
              <w:keepNext/>
              <w:jc w:val="center"/>
              <w:rPr>
                <w:rFonts w:ascii="Arial Narrow" w:hAnsi="Arial Narrow"/>
                <w:sz w:val="20"/>
                <w:highlight w:val="black"/>
              </w:rPr>
            </w:pPr>
            <w:r>
              <w:rPr>
                <w:rFonts w:ascii="Arial Narrow" w:hAnsi="Arial Narrow"/>
                <w:noProof/>
                <w:color w:val="000000"/>
                <w:sz w:val="20"/>
                <w:highlight w:val="black"/>
              </w:rPr>
              <w:t>'''''''''''''''''''</w:t>
            </w:r>
          </w:p>
        </w:tc>
        <w:tc>
          <w:tcPr>
            <w:tcW w:w="1274" w:type="pct"/>
            <w:vAlign w:val="center"/>
          </w:tcPr>
          <w:p w:rsidR="00503CF7" w:rsidRPr="00365FD2" w:rsidRDefault="00365FD2" w:rsidP="00811B2C">
            <w:pPr>
              <w:keepNext/>
              <w:jc w:val="center"/>
              <w:rPr>
                <w:rFonts w:ascii="Arial Narrow" w:hAnsi="Arial Narrow"/>
                <w:sz w:val="20"/>
                <w:highlight w:val="black"/>
              </w:rPr>
            </w:pPr>
            <w:r>
              <w:rPr>
                <w:rFonts w:ascii="Arial Narrow" w:hAnsi="Arial Narrow"/>
                <w:noProof/>
                <w:color w:val="000000"/>
                <w:sz w:val="20"/>
                <w:highlight w:val="black"/>
              </w:rPr>
              <w:t>'''''''''''''''''''''''</w:t>
            </w:r>
          </w:p>
        </w:tc>
        <w:tc>
          <w:tcPr>
            <w:tcW w:w="839" w:type="pct"/>
            <w:vAlign w:val="center"/>
          </w:tcPr>
          <w:p w:rsidR="00503CF7" w:rsidRPr="00365FD2" w:rsidRDefault="00365FD2" w:rsidP="00811B2C">
            <w:pPr>
              <w:keepNext/>
              <w:jc w:val="center"/>
              <w:rPr>
                <w:rFonts w:ascii="Arial Narrow" w:hAnsi="Arial Narrow"/>
                <w:sz w:val="20"/>
                <w:highlight w:val="black"/>
              </w:rPr>
            </w:pPr>
            <w:r>
              <w:rPr>
                <w:rFonts w:ascii="Arial Narrow" w:hAnsi="Arial Narrow"/>
                <w:noProof/>
                <w:color w:val="000000"/>
                <w:sz w:val="20"/>
                <w:highlight w:val="black"/>
              </w:rPr>
              <w:t>''''''''''''''''</w:t>
            </w:r>
          </w:p>
        </w:tc>
      </w:tr>
      <w:tr w:rsidR="00503CF7" w:rsidRPr="00E45630" w:rsidTr="00EC46E1">
        <w:tc>
          <w:tcPr>
            <w:tcW w:w="4161" w:type="pct"/>
            <w:gridSpan w:val="3"/>
            <w:vAlign w:val="center"/>
          </w:tcPr>
          <w:p w:rsidR="00503CF7" w:rsidRPr="00E45630" w:rsidRDefault="00503CF7" w:rsidP="00811B2C">
            <w:pPr>
              <w:keepNext/>
              <w:jc w:val="left"/>
              <w:rPr>
                <w:rFonts w:ascii="Arial Narrow" w:hAnsi="Arial Narrow"/>
                <w:b/>
                <w:sz w:val="20"/>
              </w:rPr>
            </w:pPr>
            <w:r w:rsidRPr="00E45630">
              <w:rPr>
                <w:rFonts w:ascii="Arial Narrow" w:hAnsi="Arial Narrow"/>
                <w:b/>
                <w:sz w:val="20"/>
              </w:rPr>
              <w:t>Incremental cost/ QALY</w:t>
            </w:r>
          </w:p>
        </w:tc>
        <w:tc>
          <w:tcPr>
            <w:tcW w:w="839" w:type="pct"/>
            <w:vAlign w:val="center"/>
          </w:tcPr>
          <w:p w:rsidR="00503CF7" w:rsidRPr="00365FD2" w:rsidRDefault="00365FD2" w:rsidP="00811B2C">
            <w:pPr>
              <w:keepNext/>
              <w:jc w:val="center"/>
              <w:rPr>
                <w:rFonts w:ascii="Arial Narrow" w:hAnsi="Arial Narrow"/>
                <w:b/>
                <w:sz w:val="20"/>
                <w:highlight w:val="black"/>
              </w:rPr>
            </w:pPr>
            <w:r>
              <w:rPr>
                <w:rFonts w:ascii="Arial Narrow" w:hAnsi="Arial Narrow"/>
                <w:b/>
                <w:noProof/>
                <w:color w:val="000000"/>
                <w:sz w:val="20"/>
                <w:highlight w:val="black"/>
              </w:rPr>
              <w:t>''''''''''''''</w:t>
            </w:r>
          </w:p>
        </w:tc>
      </w:tr>
      <w:tr w:rsidR="00503CF7" w:rsidRPr="00E45630" w:rsidTr="00EC46E1">
        <w:tc>
          <w:tcPr>
            <w:tcW w:w="5000" w:type="pct"/>
            <w:gridSpan w:val="4"/>
            <w:vAlign w:val="center"/>
          </w:tcPr>
          <w:p w:rsidR="00503CF7" w:rsidRPr="00E45630" w:rsidRDefault="00503CF7" w:rsidP="00811B2C">
            <w:pPr>
              <w:pStyle w:val="TableHeading"/>
              <w:widowControl w:val="0"/>
              <w:spacing w:before="0" w:after="0"/>
              <w:rPr>
                <w:snapToGrid w:val="0"/>
              </w:rPr>
            </w:pPr>
            <w:r w:rsidRPr="00E45630">
              <w:rPr>
                <w:snapToGrid w:val="0"/>
              </w:rPr>
              <w:t>Revised base case</w:t>
            </w:r>
            <w:r w:rsidR="00CA3FBD" w:rsidRPr="00E45630">
              <w:rPr>
                <w:snapToGrid w:val="0"/>
              </w:rPr>
              <w:t xml:space="preserve"> (ESC)</w:t>
            </w:r>
            <w:r w:rsidRPr="00E45630">
              <w:rPr>
                <w:snapToGrid w:val="0"/>
              </w:rPr>
              <w:t xml:space="preserve"> </w:t>
            </w:r>
            <w:r w:rsidRPr="00E45630">
              <w:rPr>
                <w:snapToGrid w:val="0"/>
                <w:vertAlign w:val="superscript"/>
              </w:rPr>
              <w:t>a</w:t>
            </w:r>
          </w:p>
        </w:tc>
      </w:tr>
      <w:tr w:rsidR="00992D73" w:rsidRPr="00E45630" w:rsidTr="002576BD">
        <w:tc>
          <w:tcPr>
            <w:tcW w:w="1783" w:type="pct"/>
            <w:vAlign w:val="center"/>
          </w:tcPr>
          <w:p w:rsidR="00992D73" w:rsidRPr="00E45630" w:rsidRDefault="00992D73" w:rsidP="00811B2C">
            <w:pPr>
              <w:keepNext/>
              <w:jc w:val="left"/>
              <w:rPr>
                <w:rFonts w:ascii="Arial Narrow" w:hAnsi="Arial Narrow"/>
                <w:sz w:val="20"/>
              </w:rPr>
            </w:pPr>
            <w:r w:rsidRPr="00E45630">
              <w:rPr>
                <w:rFonts w:ascii="Arial Narrow" w:hAnsi="Arial Narrow"/>
                <w:sz w:val="20"/>
              </w:rPr>
              <w:t>Costs</w:t>
            </w:r>
          </w:p>
        </w:tc>
        <w:tc>
          <w:tcPr>
            <w:tcW w:w="1104" w:type="pct"/>
            <w:vAlign w:val="bottom"/>
          </w:tcPr>
          <w:p w:rsidR="00992D73" w:rsidRPr="00365FD2" w:rsidRDefault="00365FD2" w:rsidP="00811B2C">
            <w:pPr>
              <w:pStyle w:val="tabletext2"/>
              <w:jc w:val="center"/>
              <w:rPr>
                <w:highlight w:val="black"/>
              </w:rPr>
            </w:pPr>
            <w:r>
              <w:rPr>
                <w:noProof/>
                <w:highlight w:val="black"/>
              </w:rPr>
              <w:t>''''''''''''''''''''''''''''''''</w:t>
            </w:r>
          </w:p>
        </w:tc>
        <w:tc>
          <w:tcPr>
            <w:tcW w:w="1274" w:type="pct"/>
            <w:vAlign w:val="bottom"/>
          </w:tcPr>
          <w:p w:rsidR="00992D73" w:rsidRPr="00365FD2" w:rsidRDefault="00365FD2" w:rsidP="00811B2C">
            <w:pPr>
              <w:pStyle w:val="tabletext2"/>
              <w:jc w:val="center"/>
              <w:rPr>
                <w:highlight w:val="black"/>
              </w:rPr>
            </w:pPr>
            <w:r>
              <w:rPr>
                <w:noProof/>
                <w:highlight w:val="black"/>
              </w:rPr>
              <w:t>''''''''''''''''''''''''''''</w:t>
            </w:r>
          </w:p>
        </w:tc>
        <w:tc>
          <w:tcPr>
            <w:tcW w:w="839" w:type="pct"/>
            <w:vAlign w:val="bottom"/>
          </w:tcPr>
          <w:p w:rsidR="00992D73" w:rsidRPr="00365FD2" w:rsidRDefault="00365FD2" w:rsidP="00811B2C">
            <w:pPr>
              <w:pStyle w:val="tabletext2"/>
              <w:jc w:val="center"/>
              <w:rPr>
                <w:highlight w:val="black"/>
              </w:rPr>
            </w:pPr>
            <w:r>
              <w:rPr>
                <w:noProof/>
                <w:highlight w:val="black"/>
              </w:rPr>
              <w:t>'''''''''''''''''''''''''''''''</w:t>
            </w:r>
          </w:p>
        </w:tc>
      </w:tr>
      <w:tr w:rsidR="00992D73" w:rsidRPr="00E45630" w:rsidTr="002576BD">
        <w:tc>
          <w:tcPr>
            <w:tcW w:w="1783" w:type="pct"/>
            <w:vAlign w:val="center"/>
          </w:tcPr>
          <w:p w:rsidR="00992D73" w:rsidRPr="00E45630" w:rsidRDefault="00992D73" w:rsidP="00811B2C">
            <w:pPr>
              <w:keepNext/>
              <w:jc w:val="left"/>
              <w:rPr>
                <w:rFonts w:ascii="Arial Narrow" w:hAnsi="Arial Narrow"/>
                <w:sz w:val="20"/>
              </w:rPr>
            </w:pPr>
            <w:r w:rsidRPr="00E45630">
              <w:rPr>
                <w:rFonts w:ascii="Arial Narrow" w:hAnsi="Arial Narrow"/>
                <w:sz w:val="20"/>
              </w:rPr>
              <w:t xml:space="preserve">Discounted QALY </w:t>
            </w:r>
            <w:r w:rsidRPr="00E45630">
              <w:rPr>
                <w:rFonts w:ascii="Arial Narrow" w:hAnsi="Arial Narrow"/>
                <w:sz w:val="20"/>
                <w:vertAlign w:val="superscript"/>
              </w:rPr>
              <w:t>b</w:t>
            </w:r>
            <w:r w:rsidRPr="00E45630">
              <w:rPr>
                <w:rFonts w:ascii="Arial Narrow" w:hAnsi="Arial Narrow"/>
                <w:sz w:val="20"/>
              </w:rPr>
              <w:t xml:space="preserve"> </w:t>
            </w:r>
          </w:p>
        </w:tc>
        <w:tc>
          <w:tcPr>
            <w:tcW w:w="1104" w:type="pct"/>
            <w:vAlign w:val="bottom"/>
          </w:tcPr>
          <w:p w:rsidR="00992D73" w:rsidRPr="00365FD2" w:rsidRDefault="00365FD2" w:rsidP="00811B2C">
            <w:pPr>
              <w:pStyle w:val="tabletext2"/>
              <w:jc w:val="center"/>
              <w:rPr>
                <w:highlight w:val="black"/>
              </w:rPr>
            </w:pPr>
            <w:r>
              <w:rPr>
                <w:noProof/>
                <w:highlight w:val="black"/>
              </w:rPr>
              <w:t>'''''''''''''''''''''''</w:t>
            </w:r>
          </w:p>
        </w:tc>
        <w:tc>
          <w:tcPr>
            <w:tcW w:w="1274" w:type="pct"/>
            <w:vAlign w:val="bottom"/>
          </w:tcPr>
          <w:p w:rsidR="00992D73" w:rsidRPr="00365FD2" w:rsidRDefault="00365FD2" w:rsidP="00811B2C">
            <w:pPr>
              <w:pStyle w:val="tabletext2"/>
              <w:jc w:val="center"/>
              <w:rPr>
                <w:highlight w:val="black"/>
              </w:rPr>
            </w:pPr>
            <w:r>
              <w:rPr>
                <w:noProof/>
                <w:highlight w:val="black"/>
              </w:rPr>
              <w:t>'''''''''''''''''''''</w:t>
            </w:r>
          </w:p>
        </w:tc>
        <w:tc>
          <w:tcPr>
            <w:tcW w:w="839" w:type="pct"/>
            <w:vAlign w:val="bottom"/>
          </w:tcPr>
          <w:p w:rsidR="00992D73" w:rsidRPr="00365FD2" w:rsidRDefault="00365FD2" w:rsidP="00811B2C">
            <w:pPr>
              <w:pStyle w:val="tabletext2"/>
              <w:jc w:val="center"/>
              <w:rPr>
                <w:highlight w:val="black"/>
              </w:rPr>
            </w:pPr>
            <w:r>
              <w:rPr>
                <w:noProof/>
                <w:highlight w:val="black"/>
              </w:rPr>
              <w:t>''''''''''''''''</w:t>
            </w:r>
          </w:p>
        </w:tc>
      </w:tr>
      <w:tr w:rsidR="00503CF7" w:rsidRPr="00E45630" w:rsidTr="00EC46E1">
        <w:tc>
          <w:tcPr>
            <w:tcW w:w="4161" w:type="pct"/>
            <w:gridSpan w:val="3"/>
            <w:vAlign w:val="center"/>
          </w:tcPr>
          <w:p w:rsidR="00503CF7" w:rsidRPr="00E45630" w:rsidRDefault="00503CF7" w:rsidP="00811B2C">
            <w:pPr>
              <w:keepNext/>
              <w:jc w:val="left"/>
              <w:rPr>
                <w:rFonts w:ascii="Arial Narrow" w:hAnsi="Arial Narrow"/>
                <w:b/>
                <w:sz w:val="20"/>
              </w:rPr>
            </w:pPr>
            <w:r w:rsidRPr="00E45630">
              <w:rPr>
                <w:rFonts w:ascii="Arial Narrow" w:hAnsi="Arial Narrow"/>
                <w:b/>
                <w:sz w:val="20"/>
              </w:rPr>
              <w:t xml:space="preserve">Incremental cost/ QALY </w:t>
            </w:r>
          </w:p>
        </w:tc>
        <w:tc>
          <w:tcPr>
            <w:tcW w:w="839" w:type="pct"/>
          </w:tcPr>
          <w:p w:rsidR="00503CF7" w:rsidRPr="00365FD2" w:rsidRDefault="00365FD2" w:rsidP="00811B2C">
            <w:pPr>
              <w:keepNext/>
              <w:jc w:val="center"/>
              <w:rPr>
                <w:rFonts w:ascii="Arial Narrow" w:hAnsi="Arial Narrow"/>
                <w:b/>
                <w:sz w:val="20"/>
                <w:highlight w:val="black"/>
              </w:rPr>
            </w:pPr>
            <w:r>
              <w:rPr>
                <w:rFonts w:ascii="Arial Narrow" w:hAnsi="Arial Narrow"/>
                <w:noProof/>
                <w:color w:val="000000"/>
                <w:sz w:val="20"/>
                <w:highlight w:val="black"/>
              </w:rPr>
              <w:t>''''''''''''''''''</w:t>
            </w:r>
          </w:p>
        </w:tc>
      </w:tr>
    </w:tbl>
    <w:p w:rsidR="00503CF7" w:rsidRPr="00E45630" w:rsidRDefault="00503CF7" w:rsidP="00811B2C">
      <w:pPr>
        <w:pStyle w:val="TableFooter"/>
        <w:keepNext/>
        <w:ind w:firstLine="720"/>
      </w:pPr>
      <w:r w:rsidRPr="00E45630">
        <w:t>Source: Table D.21, pp E-150 of the submission, and independent evaluation.</w:t>
      </w:r>
    </w:p>
    <w:p w:rsidR="00DA6FA1" w:rsidRPr="00E45630" w:rsidRDefault="00503CF7" w:rsidP="00C46805">
      <w:pPr>
        <w:pStyle w:val="TableFooter"/>
        <w:ind w:left="709"/>
      </w:pPr>
      <w:r w:rsidRPr="00E45630">
        <w:rPr>
          <w:vertAlign w:val="superscript"/>
        </w:rPr>
        <w:t>a</w:t>
      </w:r>
      <w:r w:rsidRPr="00E45630">
        <w:t xml:space="preserve"> In the submission’s base case, the pertussis cases included was inconsistently done for the two treatment options. During evaluation the inclusion of cases was performed for both treatment options, using the submission’s approach for ‘no booster’. </w:t>
      </w:r>
      <w:r w:rsidR="00CA3FBD" w:rsidRPr="00E45630">
        <w:t>T</w:t>
      </w:r>
      <w:r w:rsidRPr="00E45630">
        <w:t xml:space="preserve">he data was extracted for each year up to the age of four. </w:t>
      </w:r>
      <w:r w:rsidR="009B27EA">
        <w:t>Additionally, age-</w:t>
      </w:r>
      <w:r w:rsidR="00CA3FBD" w:rsidRPr="00E45630">
        <w:t>year specific reporting rates are used, and then reported cases are grouped, rather than grouping of ages together in broad age groups and then apply average reporting rates.</w:t>
      </w:r>
      <w:r w:rsidR="00C46805" w:rsidRPr="00E45630">
        <w:t xml:space="preserve"> Further, the error (in the commentary base case) to estimate the number of recidive cases has been corrected.</w:t>
      </w:r>
    </w:p>
    <w:p w:rsidR="00DA6FA1" w:rsidRPr="00E45630" w:rsidRDefault="00DA6FA1" w:rsidP="00811B2C">
      <w:pPr>
        <w:pStyle w:val="TableFooter"/>
        <w:keepNext/>
        <w:ind w:left="709" w:firstLine="11"/>
      </w:pPr>
      <w:r w:rsidRPr="00E45630">
        <w:rPr>
          <w:vertAlign w:val="superscript"/>
        </w:rPr>
        <w:t>b</w:t>
      </w:r>
      <w:r w:rsidRPr="00E45630">
        <w:t xml:space="preserve"> The Discounted QALYs reflect the reduction in QALYs due to pertussis cases (non-notified, notified or hospitalised) or adverse events due to vaccinations. Positive QALYs represent a health gain.</w:t>
      </w:r>
    </w:p>
    <w:p w:rsidR="006179A1" w:rsidRPr="00E45630" w:rsidRDefault="006179A1" w:rsidP="00811B2C">
      <w:pPr>
        <w:pStyle w:val="TableFooter"/>
        <w:keepNext/>
        <w:ind w:left="709" w:firstLine="11"/>
      </w:pPr>
      <w:r w:rsidRPr="00E45630">
        <w:t>QALY = quality adjusted life year; ICER = incremental cost effectiveness ratio</w:t>
      </w:r>
    </w:p>
    <w:p w:rsidR="00BE0558" w:rsidRPr="00E45630" w:rsidRDefault="00BE0558" w:rsidP="00BE0558">
      <w:pPr>
        <w:autoSpaceDE w:val="0"/>
        <w:autoSpaceDN w:val="0"/>
        <w:adjustRightInd w:val="0"/>
        <w:jc w:val="left"/>
        <w:rPr>
          <w:snapToGrid/>
          <w:sz w:val="28"/>
          <w:szCs w:val="28"/>
          <w:lang w:val="en-US" w:eastAsia="en-AU"/>
        </w:rPr>
      </w:pPr>
    </w:p>
    <w:p w:rsidR="00CE4139" w:rsidRPr="00E45630" w:rsidRDefault="00BE0558" w:rsidP="00081EEC">
      <w:pPr>
        <w:pStyle w:val="ListParagraph"/>
        <w:widowControl/>
        <w:numPr>
          <w:ilvl w:val="1"/>
          <w:numId w:val="3"/>
        </w:numPr>
        <w:rPr>
          <w:szCs w:val="22"/>
          <w:lang w:val="en-US"/>
        </w:rPr>
      </w:pPr>
      <w:r w:rsidRPr="00E45630">
        <w:rPr>
          <w:szCs w:val="22"/>
          <w:lang w:val="en-US"/>
        </w:rPr>
        <w:t>The</w:t>
      </w:r>
      <w:r w:rsidRPr="00E45630">
        <w:rPr>
          <w:snapToGrid/>
          <w:szCs w:val="22"/>
          <w:lang w:val="en-US" w:eastAsia="en-AU"/>
        </w:rPr>
        <w:t xml:space="preserve"> evaluatio</w:t>
      </w:r>
      <w:r w:rsidR="00743E78">
        <w:rPr>
          <w:snapToGrid/>
          <w:szCs w:val="22"/>
          <w:lang w:val="en-US" w:eastAsia="en-AU"/>
        </w:rPr>
        <w:t>n</w:t>
      </w:r>
      <w:r w:rsidRPr="00E45630">
        <w:rPr>
          <w:snapToGrid/>
          <w:szCs w:val="22"/>
          <w:lang w:val="en-US" w:eastAsia="en-AU"/>
        </w:rPr>
        <w:t xml:space="preserve"> corrected the inconsistencies in the model by extracting the model outputs from both the </w:t>
      </w:r>
      <w:r w:rsidR="00442B48">
        <w:rPr>
          <w:snapToGrid/>
          <w:szCs w:val="22"/>
          <w:lang w:val="en-US" w:eastAsia="en-AU"/>
        </w:rPr>
        <w:t>‘</w:t>
      </w:r>
      <w:r w:rsidRPr="00E45630">
        <w:rPr>
          <w:snapToGrid/>
          <w:szCs w:val="22"/>
          <w:lang w:val="en-US" w:eastAsia="en-AU"/>
        </w:rPr>
        <w:t>no booster</w:t>
      </w:r>
      <w:r w:rsidR="00442B48">
        <w:rPr>
          <w:snapToGrid/>
          <w:szCs w:val="22"/>
          <w:lang w:val="en-US" w:eastAsia="en-AU"/>
        </w:rPr>
        <w:t>’</w:t>
      </w:r>
      <w:r w:rsidRPr="00E45630">
        <w:rPr>
          <w:snapToGrid/>
          <w:szCs w:val="22"/>
          <w:lang w:val="en-US" w:eastAsia="en-AU"/>
        </w:rPr>
        <w:t xml:space="preserve"> and </w:t>
      </w:r>
      <w:r w:rsidR="00EB30F4">
        <w:rPr>
          <w:snapToGrid/>
          <w:szCs w:val="22"/>
          <w:lang w:val="en-US" w:eastAsia="en-AU"/>
        </w:rPr>
        <w:t>‘</w:t>
      </w:r>
      <w:r w:rsidR="00442B48">
        <w:rPr>
          <w:snapToGrid/>
          <w:szCs w:val="22"/>
          <w:lang w:val="en-US" w:eastAsia="en-AU"/>
        </w:rPr>
        <w:t xml:space="preserve">18-month </w:t>
      </w:r>
      <w:r w:rsidRPr="00E45630">
        <w:rPr>
          <w:snapToGrid/>
          <w:szCs w:val="22"/>
          <w:lang w:val="en-US" w:eastAsia="en-AU"/>
        </w:rPr>
        <w:t>booster</w:t>
      </w:r>
      <w:r w:rsidR="00442B48">
        <w:rPr>
          <w:snapToGrid/>
          <w:szCs w:val="22"/>
          <w:lang w:val="en-US" w:eastAsia="en-AU"/>
        </w:rPr>
        <w:t>’</w:t>
      </w:r>
      <w:r w:rsidRPr="00E45630">
        <w:rPr>
          <w:snapToGrid/>
          <w:szCs w:val="22"/>
          <w:lang w:val="en-US" w:eastAsia="en-AU"/>
        </w:rPr>
        <w:t xml:space="preserve"> groups from the point at which the model is in a steady state</w:t>
      </w:r>
      <w:r w:rsidR="00CE4139" w:rsidRPr="00E45630">
        <w:rPr>
          <w:snapToGrid/>
          <w:szCs w:val="22"/>
          <w:lang w:val="en-US" w:eastAsia="en-AU"/>
        </w:rPr>
        <w:t xml:space="preserve">. As noted, however, </w:t>
      </w:r>
      <w:r w:rsidR="00743E78">
        <w:rPr>
          <w:snapToGrid/>
          <w:szCs w:val="22"/>
          <w:lang w:val="en-US" w:eastAsia="en-AU"/>
        </w:rPr>
        <w:t>the</w:t>
      </w:r>
      <w:r w:rsidRPr="00E45630">
        <w:rPr>
          <w:snapToGrid/>
          <w:szCs w:val="22"/>
          <w:lang w:val="en-US" w:eastAsia="en-AU"/>
        </w:rPr>
        <w:t xml:space="preserve"> steady state is not reflective of pertussis epi</w:t>
      </w:r>
      <w:r w:rsidR="00CE4139" w:rsidRPr="00E45630">
        <w:rPr>
          <w:snapToGrid/>
          <w:szCs w:val="22"/>
          <w:lang w:val="en-US" w:eastAsia="en-AU"/>
        </w:rPr>
        <w:t>demiology, and it may be more appropriate to use model outputs over the whole 100</w:t>
      </w:r>
      <w:r w:rsidR="00743E78">
        <w:rPr>
          <w:snapToGrid/>
          <w:szCs w:val="22"/>
          <w:lang w:val="en-US" w:eastAsia="en-AU"/>
        </w:rPr>
        <w:t>-</w:t>
      </w:r>
      <w:r w:rsidR="00CE4139" w:rsidRPr="00E45630">
        <w:rPr>
          <w:snapToGrid/>
          <w:szCs w:val="22"/>
          <w:lang w:val="en-US" w:eastAsia="en-AU"/>
        </w:rPr>
        <w:t>year time horizon</w:t>
      </w:r>
      <w:r w:rsidRPr="00E45630">
        <w:rPr>
          <w:snapToGrid/>
          <w:szCs w:val="22"/>
          <w:lang w:val="en-US" w:eastAsia="en-AU"/>
        </w:rPr>
        <w:t xml:space="preserve">, </w:t>
      </w:r>
      <w:r w:rsidR="00CE4139" w:rsidRPr="00E45630">
        <w:rPr>
          <w:snapToGrid/>
          <w:szCs w:val="22"/>
          <w:lang w:val="en-US" w:eastAsia="en-AU"/>
        </w:rPr>
        <w:t>over which period incidence increases and decreases.</w:t>
      </w:r>
    </w:p>
    <w:p w:rsidR="00551632" w:rsidRPr="00E45630" w:rsidRDefault="00551632" w:rsidP="00551632">
      <w:pPr>
        <w:pStyle w:val="PBACHeading1"/>
        <w:numPr>
          <w:ilvl w:val="0"/>
          <w:numId w:val="0"/>
        </w:numPr>
        <w:ind w:left="720" w:hanging="720"/>
        <w:rPr>
          <w:lang w:val="en-US"/>
        </w:rPr>
      </w:pPr>
    </w:p>
    <w:p w:rsidR="00BE0558" w:rsidRPr="00E45630" w:rsidRDefault="00CE4139" w:rsidP="00081EEC">
      <w:pPr>
        <w:pStyle w:val="ListParagraph"/>
        <w:widowControl/>
        <w:numPr>
          <w:ilvl w:val="1"/>
          <w:numId w:val="3"/>
        </w:numPr>
        <w:rPr>
          <w:szCs w:val="22"/>
          <w:lang w:val="en-US"/>
        </w:rPr>
      </w:pPr>
      <w:r w:rsidRPr="00E45630">
        <w:rPr>
          <w:snapToGrid/>
          <w:szCs w:val="22"/>
          <w:lang w:val="en-US" w:eastAsia="en-AU"/>
        </w:rPr>
        <w:t xml:space="preserve">An alternative re-specification of the model would use the </w:t>
      </w:r>
      <w:r w:rsidR="00BE0558" w:rsidRPr="00E45630">
        <w:rPr>
          <w:snapToGrid/>
          <w:szCs w:val="22"/>
          <w:lang w:val="en-US" w:eastAsia="en-AU"/>
        </w:rPr>
        <w:t xml:space="preserve">non-steady state </w:t>
      </w:r>
      <w:r w:rsidRPr="00E45630">
        <w:rPr>
          <w:snapToGrid/>
          <w:szCs w:val="22"/>
          <w:lang w:val="en-US" w:eastAsia="en-AU"/>
        </w:rPr>
        <w:t xml:space="preserve">model </w:t>
      </w:r>
      <w:r w:rsidR="00BE0558" w:rsidRPr="00E45630">
        <w:rPr>
          <w:snapToGrid/>
          <w:szCs w:val="22"/>
          <w:lang w:val="en-US" w:eastAsia="en-AU"/>
        </w:rPr>
        <w:t>outputs for both booster and non-booster (</w:t>
      </w:r>
      <w:r w:rsidRPr="00E45630">
        <w:rPr>
          <w:snapToGrid/>
          <w:szCs w:val="22"/>
          <w:lang w:val="en-US" w:eastAsia="en-AU"/>
        </w:rPr>
        <w:t>i</w:t>
      </w:r>
      <w:r w:rsidR="00BE0558" w:rsidRPr="00E45630">
        <w:rPr>
          <w:snapToGrid/>
          <w:szCs w:val="22"/>
          <w:lang w:val="en-US" w:eastAsia="en-AU"/>
        </w:rPr>
        <w:t>.e. </w:t>
      </w:r>
      <w:r w:rsidRPr="00E45630">
        <w:rPr>
          <w:snapToGrid/>
          <w:szCs w:val="22"/>
          <w:lang w:val="en-US" w:eastAsia="en-AU"/>
        </w:rPr>
        <w:t>t</w:t>
      </w:r>
      <w:r w:rsidR="00BE0558" w:rsidRPr="00E45630">
        <w:rPr>
          <w:snapToGrid/>
          <w:szCs w:val="22"/>
          <w:lang w:val="en-US" w:eastAsia="en-AU"/>
        </w:rPr>
        <w:t>he results over the 100 years that it takes the model to become stable).</w:t>
      </w:r>
    </w:p>
    <w:p w:rsidR="00551632" w:rsidRPr="00E45630" w:rsidRDefault="00551632" w:rsidP="00551632">
      <w:pPr>
        <w:pStyle w:val="PBACHeading1"/>
        <w:numPr>
          <w:ilvl w:val="0"/>
          <w:numId w:val="0"/>
        </w:numPr>
        <w:rPr>
          <w:lang w:val="en-US"/>
        </w:rPr>
      </w:pPr>
    </w:p>
    <w:p w:rsidR="00567A58" w:rsidRPr="00E45630" w:rsidRDefault="00EF393F" w:rsidP="00081EEC">
      <w:pPr>
        <w:pStyle w:val="ListParagraph"/>
        <w:widowControl/>
        <w:numPr>
          <w:ilvl w:val="1"/>
          <w:numId w:val="3"/>
        </w:numPr>
        <w:rPr>
          <w:lang w:val="en-US"/>
        </w:rPr>
      </w:pPr>
      <w:r w:rsidRPr="00E45630">
        <w:rPr>
          <w:lang w:val="en-US"/>
        </w:rPr>
        <w:t>The ESC considered that the model may underestimate</w:t>
      </w:r>
      <w:r w:rsidR="00567A58" w:rsidRPr="00E45630">
        <w:rPr>
          <w:lang w:val="en-US"/>
        </w:rPr>
        <w:t xml:space="preserve"> the cost savings</w:t>
      </w:r>
      <w:r w:rsidRPr="00E45630">
        <w:rPr>
          <w:lang w:val="en-US"/>
        </w:rPr>
        <w:t xml:space="preserve"> of the </w:t>
      </w:r>
      <w:r w:rsidR="00567A58" w:rsidRPr="00E45630">
        <w:rPr>
          <w:lang w:val="en-US"/>
        </w:rPr>
        <w:t>‘18</w:t>
      </w:r>
      <w:r w:rsidR="00567A58" w:rsidRPr="00E45630">
        <w:rPr>
          <w:lang w:val="en-US"/>
        </w:rPr>
        <w:noBreakHyphen/>
        <w:t xml:space="preserve">month </w:t>
      </w:r>
      <w:r w:rsidRPr="00E45630">
        <w:rPr>
          <w:lang w:val="en-US"/>
        </w:rPr>
        <w:t>booster</w:t>
      </w:r>
      <w:r w:rsidR="00567A58" w:rsidRPr="00E45630">
        <w:rPr>
          <w:lang w:val="en-US"/>
        </w:rPr>
        <w:t>’</w:t>
      </w:r>
      <w:r w:rsidRPr="00E45630">
        <w:rPr>
          <w:lang w:val="en-US"/>
        </w:rPr>
        <w:t xml:space="preserve"> scenario. For instance, the </w:t>
      </w:r>
      <w:r w:rsidR="004E603D" w:rsidRPr="00E45630">
        <w:rPr>
          <w:lang w:val="en-US"/>
        </w:rPr>
        <w:t>addition of the 18-month booster and expected reduction in transmission</w:t>
      </w:r>
      <w:r w:rsidR="00DC6058" w:rsidRPr="00E45630">
        <w:rPr>
          <w:lang w:val="en-US"/>
        </w:rPr>
        <w:t xml:space="preserve"> may impact on GP behavior such as increased testing rates and antibiotic use during outbreaks. In addition, the assumption of no resource costs for non-notified symptomatic infection was considered to be conservative</w:t>
      </w:r>
      <w:r w:rsidR="00567A58" w:rsidRPr="00E45630">
        <w:rPr>
          <w:lang w:val="en-US"/>
        </w:rPr>
        <w:t xml:space="preserve"> for the following reasons: </w:t>
      </w:r>
    </w:p>
    <w:p w:rsidR="00567A58" w:rsidRPr="00E45630" w:rsidRDefault="00965A1B" w:rsidP="00081EEC">
      <w:pPr>
        <w:pStyle w:val="ListParagraph"/>
        <w:widowControl/>
        <w:numPr>
          <w:ilvl w:val="0"/>
          <w:numId w:val="2"/>
        </w:numPr>
        <w:ind w:left="993" w:hanging="284"/>
      </w:pPr>
      <w:r>
        <w:t>p</w:t>
      </w:r>
      <w:r w:rsidR="00DC6058" w:rsidRPr="00E45630">
        <w:t xml:space="preserve">atients may wait several weeks before seeking treatment for a cough, at which point a </w:t>
      </w:r>
      <w:r w:rsidR="00567A58" w:rsidRPr="00E45630">
        <w:t>general practitioner</w:t>
      </w:r>
      <w:r w:rsidR="00DC6058" w:rsidRPr="00E45630">
        <w:t xml:space="preserve"> may be unlikely to order serology as the test </w:t>
      </w:r>
      <w:r w:rsidR="00DF31BF" w:rsidRPr="00E45630">
        <w:t>i</w:t>
      </w:r>
      <w:r w:rsidR="00DC6058" w:rsidRPr="00E45630">
        <w:t>s not sensitive</w:t>
      </w:r>
      <w:r>
        <w:t>; and</w:t>
      </w:r>
    </w:p>
    <w:p w:rsidR="00567A58" w:rsidRPr="00E45630" w:rsidRDefault="00965A1B" w:rsidP="00081EEC">
      <w:pPr>
        <w:pStyle w:val="ListParagraph"/>
        <w:widowControl/>
        <w:numPr>
          <w:ilvl w:val="0"/>
          <w:numId w:val="2"/>
        </w:numPr>
        <w:ind w:left="993" w:hanging="284"/>
      </w:pPr>
      <w:r>
        <w:t>g</w:t>
      </w:r>
      <w:r w:rsidR="00567A58" w:rsidRPr="00E45630">
        <w:t>eneral practitioner</w:t>
      </w:r>
      <w:r w:rsidR="00DC6058" w:rsidRPr="00E45630">
        <w:t>s may treat suspected pertussis cases without reporting</w:t>
      </w:r>
      <w:r w:rsidR="00567A58" w:rsidRPr="00E45630">
        <w:t>.</w:t>
      </w:r>
      <w:r w:rsidR="00DC6058" w:rsidRPr="00E45630">
        <w:t xml:space="preserve"> </w:t>
      </w:r>
    </w:p>
    <w:p w:rsidR="005C0F14" w:rsidRPr="00E45630" w:rsidRDefault="005C0F14" w:rsidP="00680DFE">
      <w:pPr>
        <w:pStyle w:val="ListParagraph"/>
        <w:widowControl/>
      </w:pPr>
    </w:p>
    <w:p w:rsidR="009F7B89" w:rsidRPr="00237F8A" w:rsidRDefault="00740535" w:rsidP="00237F8A">
      <w:pPr>
        <w:pStyle w:val="ListParagraph"/>
        <w:widowControl/>
        <w:numPr>
          <w:ilvl w:val="1"/>
          <w:numId w:val="3"/>
        </w:numPr>
        <w:rPr>
          <w:lang w:val="en-US"/>
        </w:rPr>
      </w:pPr>
      <w:r w:rsidRPr="00E45630">
        <w:rPr>
          <w:lang w:val="en-US"/>
        </w:rPr>
        <w:t xml:space="preserve">The base case ICER presented in the submission is </w:t>
      </w:r>
      <w:r w:rsidR="00906CBB">
        <w:rPr>
          <w:lang w:val="en-US"/>
        </w:rPr>
        <w:t>less than $15,000/QALY</w:t>
      </w:r>
      <w:r w:rsidRPr="00E45630">
        <w:rPr>
          <w:lang w:val="en-US"/>
        </w:rPr>
        <w:t>, and using consistent inclusion of pertussis cases for the two treatment options</w:t>
      </w:r>
      <w:r w:rsidR="00CA3FBD" w:rsidRPr="00E45630">
        <w:rPr>
          <w:lang w:val="en-US"/>
        </w:rPr>
        <w:t xml:space="preserve"> and grouping reported cases using age</w:t>
      </w:r>
      <w:r w:rsidR="009B27EA">
        <w:rPr>
          <w:lang w:val="en-US"/>
        </w:rPr>
        <w:t>-</w:t>
      </w:r>
      <w:r w:rsidR="00CA3FBD" w:rsidRPr="00E45630">
        <w:rPr>
          <w:lang w:val="en-US"/>
        </w:rPr>
        <w:t>year specific reported rates,</w:t>
      </w:r>
      <w:r w:rsidRPr="00E45630">
        <w:rPr>
          <w:lang w:val="en-US"/>
        </w:rPr>
        <w:t xml:space="preserve"> </w:t>
      </w:r>
      <w:r w:rsidR="00906CBB">
        <w:rPr>
          <w:lang w:val="en-US"/>
        </w:rPr>
        <w:t>less than $15,000/QALY</w:t>
      </w:r>
      <w:r w:rsidRPr="00E45630">
        <w:rPr>
          <w:lang w:val="en-US"/>
        </w:rPr>
        <w:t xml:space="preserve">. </w:t>
      </w:r>
      <w:r w:rsidR="00936B3A" w:rsidRPr="00E45630">
        <w:rPr>
          <w:lang w:val="en-US"/>
        </w:rPr>
        <w:t xml:space="preserve">While </w:t>
      </w:r>
      <w:r w:rsidR="00382220" w:rsidRPr="00E45630">
        <w:rPr>
          <w:lang w:val="en-US"/>
        </w:rPr>
        <w:t>uncertainties regarding the model’s external and internal validity cast doubt on both ICERs</w:t>
      </w:r>
      <w:r w:rsidR="00936B3A" w:rsidRPr="00E45630">
        <w:rPr>
          <w:lang w:val="en-US"/>
        </w:rPr>
        <w:t xml:space="preserve">, </w:t>
      </w:r>
      <w:r w:rsidR="008E4B21" w:rsidRPr="00E45630">
        <w:rPr>
          <w:lang w:val="en-US"/>
        </w:rPr>
        <w:t xml:space="preserve">the ESC considered that </w:t>
      </w:r>
      <w:r w:rsidR="00936B3A" w:rsidRPr="00E45630">
        <w:rPr>
          <w:lang w:val="en-US"/>
        </w:rPr>
        <w:t>the revised base case is more robust than that presented in the submission, exhibiting reduced sensitivity to changes in assumptions</w:t>
      </w:r>
      <w:r w:rsidR="004B032B" w:rsidRPr="00E45630">
        <w:rPr>
          <w:lang w:val="en-US"/>
        </w:rPr>
        <w:t>.</w:t>
      </w:r>
      <w:r w:rsidR="00237F8A">
        <w:rPr>
          <w:lang w:val="en-US"/>
        </w:rPr>
        <w:t xml:space="preserve"> </w:t>
      </w:r>
      <w:r w:rsidR="009F7B89" w:rsidRPr="00237F8A">
        <w:rPr>
          <w:lang w:val="en-US"/>
        </w:rPr>
        <w:t>The key sensitivity a</w:t>
      </w:r>
      <w:r w:rsidR="00AD3B77" w:rsidRPr="00237F8A">
        <w:rPr>
          <w:lang w:val="en-US"/>
        </w:rPr>
        <w:t xml:space="preserve">nalyses are presented in </w:t>
      </w:r>
      <w:r w:rsidR="00237F8A">
        <w:rPr>
          <w:lang w:val="en-US"/>
        </w:rPr>
        <w:t>the table</w:t>
      </w:r>
      <w:r w:rsidR="006663A4">
        <w:rPr>
          <w:lang w:val="en-US"/>
        </w:rPr>
        <w:t xml:space="preserve"> below</w:t>
      </w:r>
      <w:r w:rsidR="009F7B89" w:rsidRPr="00237F8A">
        <w:rPr>
          <w:lang w:val="en-US"/>
        </w:rPr>
        <w:t xml:space="preserve">. </w:t>
      </w:r>
    </w:p>
    <w:p w:rsidR="006D5D8B" w:rsidRPr="00E45630" w:rsidRDefault="006D5D8B" w:rsidP="006D5D8B">
      <w:pPr>
        <w:pStyle w:val="PBACHeading1"/>
        <w:numPr>
          <w:ilvl w:val="0"/>
          <w:numId w:val="0"/>
        </w:numPr>
        <w:ind w:left="720" w:hanging="720"/>
        <w:rPr>
          <w:lang w:val="en-US"/>
        </w:rPr>
      </w:pPr>
    </w:p>
    <w:p w:rsidR="008E4B21" w:rsidRPr="00E172A9" w:rsidRDefault="006D5D8B" w:rsidP="00081EEC">
      <w:pPr>
        <w:pStyle w:val="ListParagraph"/>
        <w:widowControl/>
        <w:numPr>
          <w:ilvl w:val="1"/>
          <w:numId w:val="3"/>
        </w:numPr>
        <w:rPr>
          <w:szCs w:val="22"/>
        </w:rPr>
      </w:pPr>
      <w:r w:rsidRPr="00E172A9">
        <w:rPr>
          <w:lang w:val="en-US"/>
        </w:rPr>
        <w:t>The ESC noted that the utility weights in the submission were derived from Lee (2005). The ESC considered that the use</w:t>
      </w:r>
      <w:r w:rsidR="008E4B21" w:rsidRPr="00E172A9">
        <w:rPr>
          <w:lang w:val="en-US"/>
        </w:rPr>
        <w:t xml:space="preserve"> of the short-term time trade-off </w:t>
      </w:r>
      <w:r w:rsidR="00F03AAC" w:rsidRPr="00E172A9">
        <w:rPr>
          <w:lang w:val="en-US"/>
        </w:rPr>
        <w:t xml:space="preserve">(TTO) </w:t>
      </w:r>
      <w:r w:rsidR="008E4B21" w:rsidRPr="00E172A9">
        <w:rPr>
          <w:lang w:val="en-US"/>
        </w:rPr>
        <w:t>utilities from Lee (2005) (based on health states described as lasting for 8 weeks for an infant, adolescent or adult) was a non</w:t>
      </w:r>
      <w:r w:rsidR="008E4B21" w:rsidRPr="00E172A9">
        <w:rPr>
          <w:lang w:val="en-US"/>
        </w:rPr>
        <w:noBreakHyphen/>
        <w:t xml:space="preserve">conservative approach. Use of the long-term time trade-off utilities (based on health states described as lasting for the lifetime of the infant, adolescent or adult) increased the ICER to </w:t>
      </w:r>
      <w:r w:rsidR="00906CBB">
        <w:rPr>
          <w:lang w:val="en-US"/>
        </w:rPr>
        <w:t>less than $15,000/QALY</w:t>
      </w:r>
      <w:r w:rsidR="008E4B21" w:rsidRPr="00E172A9">
        <w:rPr>
          <w:lang w:val="en-US"/>
        </w:rPr>
        <w:t xml:space="preserve">. </w:t>
      </w:r>
      <w:r w:rsidR="00C70A44" w:rsidRPr="00E172A9">
        <w:rPr>
          <w:lang w:val="en-US"/>
        </w:rPr>
        <w:t xml:space="preserve">The pre-PBAC response noted that </w:t>
      </w:r>
      <w:r w:rsidR="00F03AAC" w:rsidRPr="00E172A9">
        <w:rPr>
          <w:lang w:val="en-US"/>
        </w:rPr>
        <w:t xml:space="preserve">these short-term TTO utilities have been applied in publications of the cost-effectiveness of the pertussis vaccine. </w:t>
      </w:r>
    </w:p>
    <w:p w:rsidR="008E4B21" w:rsidRPr="00E45630" w:rsidRDefault="008E4B21" w:rsidP="00043058">
      <w:pPr>
        <w:widowControl/>
        <w:rPr>
          <w:szCs w:val="22"/>
        </w:rPr>
      </w:pPr>
    </w:p>
    <w:p w:rsidR="008E4B21" w:rsidRPr="00E45630" w:rsidRDefault="006D5D8B" w:rsidP="00081EEC">
      <w:pPr>
        <w:pStyle w:val="ListParagraph"/>
        <w:widowControl/>
        <w:numPr>
          <w:ilvl w:val="1"/>
          <w:numId w:val="3"/>
        </w:numPr>
        <w:rPr>
          <w:szCs w:val="22"/>
        </w:rPr>
      </w:pPr>
      <w:r w:rsidRPr="00E45630">
        <w:rPr>
          <w:szCs w:val="22"/>
        </w:rPr>
        <w:t>The ESC noted that the model w</w:t>
      </w:r>
      <w:r w:rsidR="009B573D" w:rsidRPr="00E45630">
        <w:rPr>
          <w:szCs w:val="22"/>
        </w:rPr>
        <w:t xml:space="preserve">as not sensitive to the inclusion of maternal immunity to pertussis </w:t>
      </w:r>
      <w:r w:rsidR="00016E95" w:rsidRPr="00E45630">
        <w:rPr>
          <w:szCs w:val="22"/>
        </w:rPr>
        <w:t xml:space="preserve">at a value </w:t>
      </w:r>
      <w:r w:rsidR="009B573D" w:rsidRPr="00E45630">
        <w:rPr>
          <w:szCs w:val="22"/>
        </w:rPr>
        <w:t>between 0% and 34%</w:t>
      </w:r>
      <w:r w:rsidR="005F6968" w:rsidRPr="00E45630">
        <w:rPr>
          <w:szCs w:val="22"/>
        </w:rPr>
        <w:t>.</w:t>
      </w:r>
    </w:p>
    <w:p w:rsidR="009F7B89" w:rsidRPr="00E45630" w:rsidRDefault="009F7B89" w:rsidP="009F7B89">
      <w:pPr>
        <w:pStyle w:val="PBACHeading1"/>
        <w:numPr>
          <w:ilvl w:val="0"/>
          <w:numId w:val="0"/>
        </w:numPr>
        <w:ind w:left="720"/>
        <w:rPr>
          <w:lang w:val="en-US"/>
        </w:rPr>
      </w:pPr>
    </w:p>
    <w:p w:rsidR="00382220" w:rsidRPr="00E45630" w:rsidRDefault="009F7B89" w:rsidP="00711E32">
      <w:pPr>
        <w:pStyle w:val="ListParagraph"/>
        <w:widowControl/>
      </w:pPr>
      <w:r w:rsidRPr="00E45630">
        <w:rPr>
          <w:rStyle w:val="CommentReference"/>
        </w:rPr>
        <w:t>Selected sensitivity analyses performed during evaluation</w:t>
      </w:r>
      <w:r w:rsidR="00382220" w:rsidRPr="00E45630">
        <w:rPr>
          <w:rStyle w:val="CommentReference"/>
        </w:rPr>
        <w:t xml:space="preserve"> </w:t>
      </w:r>
    </w:p>
    <w:tbl>
      <w:tblPr>
        <w:tblStyle w:val="TableGrid"/>
        <w:tblW w:w="4594" w:type="pct"/>
        <w:tblInd w:w="737" w:type="dxa"/>
        <w:tblLayout w:type="fixed"/>
        <w:tblCellMar>
          <w:left w:w="28" w:type="dxa"/>
          <w:right w:w="28" w:type="dxa"/>
        </w:tblCellMar>
        <w:tblLook w:val="04A0" w:firstRow="1" w:lastRow="0" w:firstColumn="1" w:lastColumn="0" w:noHBand="0" w:noVBand="1"/>
      </w:tblPr>
      <w:tblGrid>
        <w:gridCol w:w="2552"/>
        <w:gridCol w:w="1133"/>
        <w:gridCol w:w="991"/>
        <w:gridCol w:w="709"/>
        <w:gridCol w:w="1132"/>
        <w:gridCol w:w="855"/>
        <w:gridCol w:w="973"/>
      </w:tblGrid>
      <w:tr w:rsidR="00382220" w:rsidRPr="00711E32" w:rsidTr="00482A8B">
        <w:trPr>
          <w:trHeight w:val="57"/>
          <w:tblHeader/>
        </w:trPr>
        <w:tc>
          <w:tcPr>
            <w:tcW w:w="1529" w:type="pct"/>
            <w:vAlign w:val="center"/>
          </w:tcPr>
          <w:p w:rsidR="00382220" w:rsidRPr="00711E32" w:rsidRDefault="00382220" w:rsidP="00811B2C">
            <w:pPr>
              <w:pStyle w:val="tabletext2"/>
              <w:widowControl w:val="0"/>
              <w:jc w:val="center"/>
            </w:pPr>
          </w:p>
        </w:tc>
        <w:tc>
          <w:tcPr>
            <w:tcW w:w="1697" w:type="pct"/>
            <w:gridSpan w:val="3"/>
            <w:tcBorders>
              <w:right w:val="double" w:sz="4" w:space="0" w:color="auto"/>
            </w:tcBorders>
            <w:vAlign w:val="center"/>
          </w:tcPr>
          <w:p w:rsidR="00382220" w:rsidRPr="00711E32" w:rsidRDefault="00382220" w:rsidP="00811B2C">
            <w:pPr>
              <w:pStyle w:val="tabletext2"/>
              <w:widowControl w:val="0"/>
              <w:jc w:val="center"/>
              <w:rPr>
                <w:b/>
              </w:rPr>
            </w:pPr>
            <w:r w:rsidRPr="00711E32">
              <w:rPr>
                <w:b/>
              </w:rPr>
              <w:t>Whole population</w:t>
            </w:r>
          </w:p>
        </w:tc>
        <w:tc>
          <w:tcPr>
            <w:tcW w:w="1774" w:type="pct"/>
            <w:gridSpan w:val="3"/>
            <w:tcBorders>
              <w:left w:val="double" w:sz="4" w:space="0" w:color="auto"/>
            </w:tcBorders>
            <w:vAlign w:val="center"/>
          </w:tcPr>
          <w:p w:rsidR="00382220" w:rsidRPr="00711E32" w:rsidRDefault="00382220" w:rsidP="00811B2C">
            <w:pPr>
              <w:pStyle w:val="tabletext2"/>
              <w:widowControl w:val="0"/>
              <w:jc w:val="center"/>
              <w:rPr>
                <w:b/>
              </w:rPr>
            </w:pPr>
            <w:r w:rsidRPr="00711E32">
              <w:rPr>
                <w:b/>
              </w:rPr>
              <w:t>0-3 year old</w:t>
            </w:r>
            <w:r w:rsidR="00711E32">
              <w:rPr>
                <w:b/>
              </w:rPr>
              <w:t xml:space="preserve"> population</w:t>
            </w:r>
          </w:p>
        </w:tc>
      </w:tr>
      <w:tr w:rsidR="009F7B89" w:rsidRPr="00711E32" w:rsidTr="00486DD9">
        <w:trPr>
          <w:trHeight w:val="57"/>
          <w:tblHeader/>
        </w:trPr>
        <w:tc>
          <w:tcPr>
            <w:tcW w:w="1529" w:type="pct"/>
            <w:vAlign w:val="center"/>
          </w:tcPr>
          <w:p w:rsidR="00382220" w:rsidRPr="00711E32" w:rsidRDefault="00382220" w:rsidP="00811B2C">
            <w:pPr>
              <w:pStyle w:val="tabletext2"/>
              <w:widowControl w:val="0"/>
              <w:jc w:val="center"/>
            </w:pPr>
          </w:p>
        </w:tc>
        <w:tc>
          <w:tcPr>
            <w:tcW w:w="679" w:type="pct"/>
            <w:vAlign w:val="center"/>
          </w:tcPr>
          <w:p w:rsidR="00382220" w:rsidRPr="00711E32" w:rsidRDefault="00382220" w:rsidP="00811B2C">
            <w:pPr>
              <w:pStyle w:val="tabletext2"/>
              <w:widowControl w:val="0"/>
              <w:jc w:val="center"/>
              <w:rPr>
                <w:b/>
              </w:rPr>
            </w:pPr>
            <w:r w:rsidRPr="00711E32">
              <w:rPr>
                <w:b/>
              </w:rPr>
              <w:t>Δ Cost</w:t>
            </w:r>
          </w:p>
        </w:tc>
        <w:tc>
          <w:tcPr>
            <w:tcW w:w="594" w:type="pct"/>
            <w:vAlign w:val="center"/>
          </w:tcPr>
          <w:p w:rsidR="00382220" w:rsidRPr="00711E32" w:rsidRDefault="00382220" w:rsidP="00811B2C">
            <w:pPr>
              <w:pStyle w:val="tabletext2"/>
              <w:widowControl w:val="0"/>
              <w:jc w:val="center"/>
              <w:rPr>
                <w:b/>
              </w:rPr>
            </w:pPr>
            <w:r w:rsidRPr="00711E32">
              <w:rPr>
                <w:b/>
              </w:rPr>
              <w:t xml:space="preserve">Δ QALY </w:t>
            </w:r>
            <w:r w:rsidR="00FC1FAC" w:rsidRPr="00711E32">
              <w:rPr>
                <w:b/>
                <w:vertAlign w:val="superscript"/>
              </w:rPr>
              <w:t>a</w:t>
            </w:r>
          </w:p>
        </w:tc>
        <w:tc>
          <w:tcPr>
            <w:tcW w:w="425" w:type="pct"/>
            <w:tcBorders>
              <w:right w:val="double" w:sz="4" w:space="0" w:color="auto"/>
            </w:tcBorders>
            <w:vAlign w:val="center"/>
          </w:tcPr>
          <w:p w:rsidR="00382220" w:rsidRPr="00711E32" w:rsidRDefault="00382220" w:rsidP="00811B2C">
            <w:pPr>
              <w:pStyle w:val="tabletext2"/>
              <w:widowControl w:val="0"/>
              <w:jc w:val="center"/>
              <w:rPr>
                <w:b/>
              </w:rPr>
            </w:pPr>
            <w:r w:rsidRPr="00711E32">
              <w:rPr>
                <w:b/>
              </w:rPr>
              <w:t>ICER</w:t>
            </w:r>
          </w:p>
        </w:tc>
        <w:tc>
          <w:tcPr>
            <w:tcW w:w="678" w:type="pct"/>
            <w:tcBorders>
              <w:left w:val="double" w:sz="4" w:space="0" w:color="auto"/>
            </w:tcBorders>
            <w:vAlign w:val="center"/>
          </w:tcPr>
          <w:p w:rsidR="00382220" w:rsidRPr="00711E32" w:rsidRDefault="00382220" w:rsidP="00811B2C">
            <w:pPr>
              <w:pStyle w:val="tabletext2"/>
              <w:widowControl w:val="0"/>
              <w:jc w:val="center"/>
              <w:rPr>
                <w:b/>
              </w:rPr>
            </w:pPr>
            <w:r w:rsidRPr="00711E32">
              <w:rPr>
                <w:b/>
              </w:rPr>
              <w:t>Δ Cost</w:t>
            </w:r>
          </w:p>
        </w:tc>
        <w:tc>
          <w:tcPr>
            <w:tcW w:w="512" w:type="pct"/>
            <w:vAlign w:val="center"/>
          </w:tcPr>
          <w:p w:rsidR="00382220" w:rsidRPr="00711E32" w:rsidRDefault="00382220" w:rsidP="00811B2C">
            <w:pPr>
              <w:pStyle w:val="tabletext2"/>
              <w:widowControl w:val="0"/>
              <w:jc w:val="center"/>
              <w:rPr>
                <w:b/>
              </w:rPr>
            </w:pPr>
            <w:r w:rsidRPr="00711E32">
              <w:rPr>
                <w:b/>
              </w:rPr>
              <w:t>Δ QALY</w:t>
            </w:r>
            <w:r w:rsidR="00DA6FA1" w:rsidRPr="00711E32">
              <w:rPr>
                <w:b/>
              </w:rPr>
              <w:t xml:space="preserve"> </w:t>
            </w:r>
            <w:r w:rsidR="00FC1FAC" w:rsidRPr="00711E32">
              <w:rPr>
                <w:b/>
                <w:vertAlign w:val="superscript"/>
              </w:rPr>
              <w:t>a</w:t>
            </w:r>
            <w:r w:rsidRPr="00711E32">
              <w:rPr>
                <w:b/>
              </w:rPr>
              <w:t xml:space="preserve"> </w:t>
            </w:r>
          </w:p>
        </w:tc>
        <w:tc>
          <w:tcPr>
            <w:tcW w:w="583" w:type="pct"/>
            <w:vAlign w:val="center"/>
          </w:tcPr>
          <w:p w:rsidR="00382220" w:rsidRPr="00711E32" w:rsidRDefault="00382220" w:rsidP="00811B2C">
            <w:pPr>
              <w:pStyle w:val="tabletext2"/>
              <w:widowControl w:val="0"/>
              <w:jc w:val="center"/>
              <w:rPr>
                <w:b/>
              </w:rPr>
            </w:pPr>
            <w:r w:rsidRPr="00711E32">
              <w:rPr>
                <w:b/>
              </w:rPr>
              <w:t>ICER</w:t>
            </w:r>
          </w:p>
        </w:tc>
      </w:tr>
      <w:tr w:rsidR="009F7B89" w:rsidRPr="00711E32" w:rsidTr="00486DD9">
        <w:trPr>
          <w:trHeight w:val="57"/>
        </w:trPr>
        <w:tc>
          <w:tcPr>
            <w:tcW w:w="1529" w:type="pct"/>
            <w:vAlign w:val="center"/>
          </w:tcPr>
          <w:p w:rsidR="00382220" w:rsidRPr="00711E32" w:rsidRDefault="00382220" w:rsidP="00811B2C">
            <w:pPr>
              <w:pStyle w:val="tabletext2"/>
              <w:widowControl w:val="0"/>
            </w:pPr>
            <w:r w:rsidRPr="00711E32">
              <w:t>Base case submission</w:t>
            </w:r>
          </w:p>
        </w:tc>
        <w:tc>
          <w:tcPr>
            <w:tcW w:w="679" w:type="pct"/>
            <w:vAlign w:val="center"/>
          </w:tcPr>
          <w:p w:rsidR="00382220" w:rsidRPr="00365FD2" w:rsidRDefault="00365FD2" w:rsidP="00811B2C">
            <w:pPr>
              <w:keepNext/>
              <w:jc w:val="right"/>
              <w:rPr>
                <w:rFonts w:ascii="Arial Narrow" w:hAnsi="Arial Narrow"/>
                <w:sz w:val="20"/>
                <w:highlight w:val="black"/>
              </w:rPr>
            </w:pPr>
            <w:r>
              <w:rPr>
                <w:rFonts w:ascii="Arial Narrow" w:hAnsi="Arial Narrow"/>
                <w:noProof/>
                <w:color w:val="000000"/>
                <w:sz w:val="20"/>
                <w:highlight w:val="black"/>
              </w:rPr>
              <w:t>'''''''''''''''''''''''''''''</w:t>
            </w:r>
          </w:p>
        </w:tc>
        <w:tc>
          <w:tcPr>
            <w:tcW w:w="594" w:type="pct"/>
            <w:vAlign w:val="center"/>
          </w:tcPr>
          <w:p w:rsidR="00382220" w:rsidRPr="00365FD2" w:rsidRDefault="00365FD2" w:rsidP="00811B2C">
            <w:pPr>
              <w:keepNext/>
              <w:jc w:val="center"/>
              <w:rPr>
                <w:rFonts w:ascii="Arial Narrow" w:hAnsi="Arial Narrow"/>
                <w:sz w:val="20"/>
                <w:highlight w:val="black"/>
              </w:rPr>
            </w:pPr>
            <w:r>
              <w:rPr>
                <w:rFonts w:ascii="Arial Narrow" w:hAnsi="Arial Narrow"/>
                <w:noProof/>
                <w:color w:val="000000"/>
                <w:sz w:val="20"/>
                <w:highlight w:val="black"/>
              </w:rPr>
              <w:t>''''''''''''''''''</w:t>
            </w:r>
          </w:p>
        </w:tc>
        <w:tc>
          <w:tcPr>
            <w:tcW w:w="425" w:type="pct"/>
            <w:tcBorders>
              <w:right w:val="double" w:sz="4" w:space="0" w:color="auto"/>
            </w:tcBorders>
            <w:vAlign w:val="center"/>
          </w:tcPr>
          <w:p w:rsidR="00382220" w:rsidRPr="00365FD2" w:rsidRDefault="00365FD2" w:rsidP="00811B2C">
            <w:pPr>
              <w:keepNext/>
              <w:jc w:val="right"/>
              <w:rPr>
                <w:rFonts w:ascii="Arial Narrow" w:hAnsi="Arial Narrow"/>
                <w:bCs/>
                <w:sz w:val="20"/>
                <w:highlight w:val="black"/>
              </w:rPr>
            </w:pPr>
            <w:r>
              <w:rPr>
                <w:rFonts w:ascii="Arial Narrow" w:hAnsi="Arial Narrow"/>
                <w:bCs/>
                <w:noProof/>
                <w:color w:val="000000"/>
                <w:sz w:val="20"/>
                <w:highlight w:val="black"/>
              </w:rPr>
              <w:t>''''''''''''''''</w:t>
            </w:r>
          </w:p>
        </w:tc>
        <w:tc>
          <w:tcPr>
            <w:tcW w:w="678" w:type="pct"/>
            <w:tcBorders>
              <w:left w:val="double" w:sz="4" w:space="0" w:color="auto"/>
            </w:tcBorders>
            <w:vAlign w:val="center"/>
          </w:tcPr>
          <w:p w:rsidR="00382220" w:rsidRPr="00365FD2" w:rsidRDefault="00365FD2" w:rsidP="00811B2C">
            <w:pPr>
              <w:keepNext/>
              <w:jc w:val="right"/>
              <w:rPr>
                <w:rFonts w:ascii="Arial Narrow" w:hAnsi="Arial Narrow"/>
                <w:sz w:val="20"/>
                <w:highlight w:val="black"/>
              </w:rPr>
            </w:pPr>
            <w:r>
              <w:rPr>
                <w:rFonts w:ascii="Arial Narrow" w:hAnsi="Arial Narrow"/>
                <w:noProof/>
                <w:color w:val="000000"/>
                <w:sz w:val="20"/>
                <w:highlight w:val="black"/>
              </w:rPr>
              <w:t>''''''''''''''''''''''''''''''''</w:t>
            </w:r>
          </w:p>
        </w:tc>
        <w:tc>
          <w:tcPr>
            <w:tcW w:w="512" w:type="pct"/>
            <w:vAlign w:val="center"/>
          </w:tcPr>
          <w:p w:rsidR="00382220" w:rsidRPr="00365FD2" w:rsidRDefault="00365FD2" w:rsidP="00811B2C">
            <w:pPr>
              <w:keepNext/>
              <w:jc w:val="center"/>
              <w:rPr>
                <w:rFonts w:ascii="Arial Narrow" w:hAnsi="Arial Narrow"/>
                <w:sz w:val="20"/>
                <w:highlight w:val="black"/>
              </w:rPr>
            </w:pPr>
            <w:r>
              <w:rPr>
                <w:rFonts w:ascii="Arial Narrow" w:hAnsi="Arial Narrow"/>
                <w:noProof/>
                <w:color w:val="000000"/>
                <w:sz w:val="20"/>
                <w:highlight w:val="black"/>
              </w:rPr>
              <w:t>'''''''''''''</w:t>
            </w:r>
          </w:p>
        </w:tc>
        <w:tc>
          <w:tcPr>
            <w:tcW w:w="583" w:type="pct"/>
            <w:vAlign w:val="center"/>
          </w:tcPr>
          <w:p w:rsidR="00382220" w:rsidRPr="00365FD2" w:rsidRDefault="00365FD2" w:rsidP="00811B2C">
            <w:pPr>
              <w:keepNext/>
              <w:jc w:val="right"/>
              <w:rPr>
                <w:rFonts w:ascii="Arial Narrow" w:hAnsi="Arial Narrow"/>
                <w:bCs/>
                <w:sz w:val="20"/>
                <w:highlight w:val="black"/>
              </w:rPr>
            </w:pPr>
            <w:r>
              <w:rPr>
                <w:rFonts w:ascii="Arial Narrow" w:hAnsi="Arial Narrow"/>
                <w:bCs/>
                <w:noProof/>
                <w:color w:val="000000"/>
                <w:sz w:val="20"/>
                <w:highlight w:val="black"/>
              </w:rPr>
              <w:t>''''''''''''''''''''</w:t>
            </w:r>
          </w:p>
        </w:tc>
      </w:tr>
      <w:tr w:rsidR="009F7B89" w:rsidRPr="00711E32" w:rsidTr="00486DD9">
        <w:trPr>
          <w:trHeight w:val="57"/>
        </w:trPr>
        <w:tc>
          <w:tcPr>
            <w:tcW w:w="1529" w:type="pct"/>
            <w:vAlign w:val="center"/>
          </w:tcPr>
          <w:p w:rsidR="00382220" w:rsidRPr="00711E32" w:rsidRDefault="00382220" w:rsidP="00811B2C">
            <w:pPr>
              <w:pStyle w:val="tabletext2"/>
              <w:widowControl w:val="0"/>
            </w:pPr>
            <w:r w:rsidRPr="00711E32">
              <w:t xml:space="preserve">Revised </w:t>
            </w:r>
            <w:r w:rsidR="00E63EA6" w:rsidRPr="00711E32">
              <w:t xml:space="preserve">(corrected) </w:t>
            </w:r>
            <w:r w:rsidRPr="00711E32">
              <w:t>base case</w:t>
            </w:r>
            <w:r w:rsidRPr="00711E32">
              <w:rPr>
                <w:vertAlign w:val="superscript"/>
              </w:rPr>
              <w:t xml:space="preserve"> </w:t>
            </w:r>
            <w:r w:rsidR="00FC1FAC" w:rsidRPr="00711E32">
              <w:rPr>
                <w:vertAlign w:val="superscript"/>
              </w:rPr>
              <w:t>b</w:t>
            </w:r>
          </w:p>
        </w:tc>
        <w:tc>
          <w:tcPr>
            <w:tcW w:w="679" w:type="pct"/>
            <w:vAlign w:val="center"/>
          </w:tcPr>
          <w:p w:rsidR="00F66E08" w:rsidRPr="00365FD2" w:rsidRDefault="00365FD2" w:rsidP="00E63EA6">
            <w:pPr>
              <w:keepNext/>
              <w:jc w:val="right"/>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594" w:type="pct"/>
            <w:vAlign w:val="center"/>
          </w:tcPr>
          <w:p w:rsidR="00382220" w:rsidRPr="00365FD2" w:rsidRDefault="00365FD2" w:rsidP="00F66E08">
            <w:pPr>
              <w:keepNext/>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425" w:type="pct"/>
            <w:tcBorders>
              <w:right w:val="double" w:sz="4" w:space="0" w:color="auto"/>
            </w:tcBorders>
            <w:vAlign w:val="center"/>
          </w:tcPr>
          <w:p w:rsidR="00F66E08" w:rsidRPr="00365FD2" w:rsidRDefault="00365FD2" w:rsidP="00E63EA6">
            <w:pPr>
              <w:keepNext/>
              <w:jc w:val="right"/>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678" w:type="pct"/>
            <w:tcBorders>
              <w:left w:val="double" w:sz="4" w:space="0" w:color="auto"/>
            </w:tcBorders>
            <w:vAlign w:val="center"/>
          </w:tcPr>
          <w:p w:rsidR="00F66E08" w:rsidRPr="00365FD2" w:rsidRDefault="00365FD2" w:rsidP="00E63EA6">
            <w:pPr>
              <w:keepNext/>
              <w:jc w:val="right"/>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512" w:type="pct"/>
            <w:vAlign w:val="center"/>
          </w:tcPr>
          <w:p w:rsidR="00F66E08" w:rsidRPr="00365FD2" w:rsidRDefault="00365FD2" w:rsidP="00E63EA6">
            <w:pPr>
              <w:keepNext/>
              <w:jc w:val="center"/>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c>
          <w:tcPr>
            <w:tcW w:w="583" w:type="pct"/>
            <w:vAlign w:val="center"/>
          </w:tcPr>
          <w:p w:rsidR="00F66E08" w:rsidRPr="00365FD2" w:rsidRDefault="00365FD2" w:rsidP="00E63EA6">
            <w:pPr>
              <w:keepNext/>
              <w:jc w:val="right"/>
              <w:rPr>
                <w:rFonts w:ascii="Arial Narrow" w:hAnsi="Arial Narrow"/>
                <w:snapToGrid/>
                <w:color w:val="000000"/>
                <w:sz w:val="20"/>
                <w:highlight w:val="black"/>
                <w:lang w:eastAsia="en-AU"/>
              </w:rPr>
            </w:pPr>
            <w:r>
              <w:rPr>
                <w:rFonts w:ascii="Arial Narrow" w:hAnsi="Arial Narrow"/>
                <w:noProof/>
                <w:snapToGrid/>
                <w:color w:val="000000"/>
                <w:sz w:val="20"/>
                <w:highlight w:val="black"/>
                <w:lang w:eastAsia="en-AU"/>
              </w:rPr>
              <w:t>'''''''''''''''''''''</w:t>
            </w:r>
          </w:p>
        </w:tc>
      </w:tr>
      <w:tr w:rsidR="00992D73" w:rsidRPr="00711E32" w:rsidTr="002576BD">
        <w:trPr>
          <w:trHeight w:val="57"/>
        </w:trPr>
        <w:tc>
          <w:tcPr>
            <w:tcW w:w="1529" w:type="pct"/>
          </w:tcPr>
          <w:p w:rsidR="00992D73" w:rsidRPr="00711E32" w:rsidRDefault="00992D73" w:rsidP="00811B2C">
            <w:pPr>
              <w:pStyle w:val="tabletext2"/>
              <w:widowControl w:val="0"/>
              <w:rPr>
                <w:b/>
              </w:rPr>
            </w:pPr>
            <w:r w:rsidRPr="00711E32">
              <w:rPr>
                <w:b/>
                <w:lang w:eastAsia="en-US" w:bidi="en-US"/>
              </w:rPr>
              <w:t xml:space="preserve">Revised base case (ESC) </w:t>
            </w:r>
            <w:r w:rsidRPr="00711E32">
              <w:rPr>
                <w:vertAlign w:val="superscript"/>
                <w:lang w:eastAsia="en-US" w:bidi="en-US"/>
              </w:rPr>
              <w:t>c</w:t>
            </w:r>
          </w:p>
        </w:tc>
        <w:tc>
          <w:tcPr>
            <w:tcW w:w="679" w:type="pct"/>
            <w:vAlign w:val="bottom"/>
          </w:tcPr>
          <w:p w:rsidR="00992D73" w:rsidRPr="00365FD2" w:rsidRDefault="00365FD2" w:rsidP="00811B2C">
            <w:pPr>
              <w:keepNext/>
              <w:jc w:val="right"/>
              <w:rPr>
                <w:rFonts w:ascii="Arial Narrow" w:hAnsi="Arial Narrow"/>
                <w:b/>
                <w:snapToGrid/>
                <w:color w:val="000000"/>
                <w:sz w:val="20"/>
                <w:highlight w:val="black"/>
                <w:lang w:eastAsia="en-AU"/>
              </w:rPr>
            </w:pPr>
            <w:r>
              <w:rPr>
                <w:rFonts w:ascii="Arial Narrow" w:hAnsi="Arial Narrow"/>
                <w:b/>
                <w:noProof/>
                <w:color w:val="000000"/>
                <w:sz w:val="20"/>
                <w:highlight w:val="black"/>
              </w:rPr>
              <w:t>''''''''''''''''''''''''''</w:t>
            </w:r>
          </w:p>
        </w:tc>
        <w:tc>
          <w:tcPr>
            <w:tcW w:w="594" w:type="pct"/>
            <w:vAlign w:val="bottom"/>
          </w:tcPr>
          <w:p w:rsidR="00992D73" w:rsidRPr="00365FD2" w:rsidRDefault="00365FD2" w:rsidP="00811B2C">
            <w:pPr>
              <w:keepNext/>
              <w:jc w:val="center"/>
              <w:rPr>
                <w:rFonts w:ascii="Arial Narrow" w:hAnsi="Arial Narrow"/>
                <w:b/>
                <w:snapToGrid/>
                <w:color w:val="000000"/>
                <w:sz w:val="20"/>
                <w:highlight w:val="black"/>
                <w:lang w:eastAsia="en-AU"/>
              </w:rPr>
            </w:pPr>
            <w:r>
              <w:rPr>
                <w:rFonts w:ascii="Arial Narrow" w:hAnsi="Arial Narrow"/>
                <w:b/>
                <w:noProof/>
                <w:color w:val="000000"/>
                <w:sz w:val="20"/>
                <w:highlight w:val="black"/>
              </w:rPr>
              <w:t>'''''''''''''</w:t>
            </w:r>
          </w:p>
        </w:tc>
        <w:tc>
          <w:tcPr>
            <w:tcW w:w="425" w:type="pct"/>
            <w:tcBorders>
              <w:right w:val="double" w:sz="4" w:space="0" w:color="auto"/>
            </w:tcBorders>
            <w:vAlign w:val="bottom"/>
          </w:tcPr>
          <w:p w:rsidR="00992D73" w:rsidRPr="00365FD2" w:rsidRDefault="00365FD2" w:rsidP="00811B2C">
            <w:pPr>
              <w:keepNext/>
              <w:jc w:val="right"/>
              <w:rPr>
                <w:rFonts w:ascii="Arial Narrow" w:hAnsi="Arial Narrow"/>
                <w:b/>
                <w:snapToGrid/>
                <w:color w:val="000000"/>
                <w:sz w:val="20"/>
                <w:highlight w:val="black"/>
                <w:lang w:eastAsia="en-AU"/>
              </w:rPr>
            </w:pPr>
            <w:r>
              <w:rPr>
                <w:rFonts w:ascii="Arial Narrow" w:hAnsi="Arial Narrow"/>
                <w:b/>
                <w:noProof/>
                <w:color w:val="000000"/>
                <w:sz w:val="20"/>
                <w:highlight w:val="black"/>
              </w:rPr>
              <w:t>''''''''''''''</w:t>
            </w:r>
          </w:p>
        </w:tc>
        <w:tc>
          <w:tcPr>
            <w:tcW w:w="678" w:type="pct"/>
            <w:tcBorders>
              <w:left w:val="double" w:sz="4" w:space="0" w:color="auto"/>
            </w:tcBorders>
            <w:vAlign w:val="bottom"/>
          </w:tcPr>
          <w:p w:rsidR="00992D73" w:rsidRPr="00365FD2" w:rsidRDefault="00365FD2" w:rsidP="00811B2C">
            <w:pPr>
              <w:keepNext/>
              <w:jc w:val="right"/>
              <w:rPr>
                <w:rFonts w:ascii="Arial Narrow" w:hAnsi="Arial Narrow"/>
                <w:b/>
                <w:snapToGrid/>
                <w:color w:val="000000"/>
                <w:sz w:val="20"/>
                <w:highlight w:val="black"/>
                <w:lang w:eastAsia="en-AU"/>
              </w:rPr>
            </w:pPr>
            <w:r>
              <w:rPr>
                <w:rFonts w:ascii="Arial Narrow" w:hAnsi="Arial Narrow"/>
                <w:b/>
                <w:noProof/>
                <w:color w:val="000000"/>
                <w:sz w:val="20"/>
                <w:highlight w:val="black"/>
              </w:rPr>
              <w:t>'''''''''''''''''''''''</w:t>
            </w:r>
          </w:p>
        </w:tc>
        <w:tc>
          <w:tcPr>
            <w:tcW w:w="512" w:type="pct"/>
            <w:vAlign w:val="bottom"/>
          </w:tcPr>
          <w:p w:rsidR="00992D73" w:rsidRPr="00365FD2" w:rsidRDefault="00365FD2" w:rsidP="00811B2C">
            <w:pPr>
              <w:keepNext/>
              <w:jc w:val="center"/>
              <w:rPr>
                <w:rFonts w:ascii="Arial Narrow" w:hAnsi="Arial Narrow"/>
                <w:b/>
                <w:snapToGrid/>
                <w:color w:val="000000"/>
                <w:sz w:val="20"/>
                <w:highlight w:val="black"/>
                <w:lang w:eastAsia="en-AU"/>
              </w:rPr>
            </w:pPr>
            <w:r>
              <w:rPr>
                <w:rFonts w:ascii="Arial Narrow" w:hAnsi="Arial Narrow"/>
                <w:b/>
                <w:noProof/>
                <w:color w:val="000000"/>
                <w:sz w:val="20"/>
                <w:highlight w:val="black"/>
              </w:rPr>
              <w:t>''''''''''''</w:t>
            </w:r>
          </w:p>
        </w:tc>
        <w:tc>
          <w:tcPr>
            <w:tcW w:w="583" w:type="pct"/>
            <w:vAlign w:val="bottom"/>
          </w:tcPr>
          <w:p w:rsidR="00992D73" w:rsidRPr="00365FD2" w:rsidRDefault="00365FD2" w:rsidP="00811B2C">
            <w:pPr>
              <w:keepNext/>
              <w:jc w:val="right"/>
              <w:rPr>
                <w:rFonts w:ascii="Arial Narrow" w:hAnsi="Arial Narrow"/>
                <w:b/>
                <w:snapToGrid/>
                <w:color w:val="000000"/>
                <w:sz w:val="20"/>
                <w:highlight w:val="black"/>
                <w:lang w:eastAsia="en-AU"/>
              </w:rPr>
            </w:pPr>
            <w:r>
              <w:rPr>
                <w:rFonts w:ascii="Arial Narrow" w:hAnsi="Arial Narrow"/>
                <w:b/>
                <w:noProof/>
                <w:color w:val="000000"/>
                <w:sz w:val="20"/>
                <w:highlight w:val="black"/>
              </w:rPr>
              <w:t>'''''''''''''''</w:t>
            </w:r>
          </w:p>
        </w:tc>
      </w:tr>
      <w:tr w:rsidR="00382220" w:rsidRPr="00711E32" w:rsidTr="00482A8B">
        <w:trPr>
          <w:trHeight w:val="57"/>
        </w:trPr>
        <w:tc>
          <w:tcPr>
            <w:tcW w:w="5000" w:type="pct"/>
            <w:gridSpan w:val="7"/>
            <w:tcBorders>
              <w:right w:val="double" w:sz="4" w:space="0" w:color="auto"/>
            </w:tcBorders>
            <w:vAlign w:val="center"/>
          </w:tcPr>
          <w:p w:rsidR="00382220" w:rsidRPr="00711E32" w:rsidRDefault="00382220" w:rsidP="00811B2C">
            <w:pPr>
              <w:pStyle w:val="tabletext2"/>
              <w:widowControl w:val="0"/>
              <w:rPr>
                <w:b/>
              </w:rPr>
            </w:pPr>
            <w:r w:rsidRPr="00711E32">
              <w:rPr>
                <w:b/>
              </w:rPr>
              <w:t xml:space="preserve">Disutility for non-notified </w:t>
            </w:r>
            <w:r w:rsidR="009F7B89" w:rsidRPr="00711E32">
              <w:rPr>
                <w:b/>
              </w:rPr>
              <w:t xml:space="preserve">pertussis cases </w:t>
            </w:r>
            <w:r w:rsidRPr="00711E32">
              <w:rPr>
                <w:b/>
              </w:rPr>
              <w:t>(base case 50% of notified</w:t>
            </w:r>
            <w:r w:rsidR="009F7B89" w:rsidRPr="00711E32">
              <w:rPr>
                <w:b/>
              </w:rPr>
              <w:t xml:space="preserve"> pertussis cases</w:t>
            </w:r>
            <w:r w:rsidRPr="00711E32">
              <w:rPr>
                <w:b/>
              </w:rPr>
              <w:t>)</w:t>
            </w:r>
          </w:p>
        </w:tc>
      </w:tr>
      <w:tr w:rsidR="00992D73" w:rsidRPr="00711E32" w:rsidTr="002576BD">
        <w:trPr>
          <w:trHeight w:val="57"/>
        </w:trPr>
        <w:tc>
          <w:tcPr>
            <w:tcW w:w="1529" w:type="pct"/>
            <w:vAlign w:val="center"/>
          </w:tcPr>
          <w:p w:rsidR="00992D73" w:rsidRPr="00711E32" w:rsidRDefault="00992D73" w:rsidP="00FC1FAC">
            <w:pPr>
              <w:pStyle w:val="tabletext2"/>
              <w:widowControl w:val="0"/>
              <w:ind w:firstLine="142"/>
            </w:pPr>
            <w:r w:rsidRPr="00711E32">
              <w:t xml:space="preserve">25% </w:t>
            </w:r>
            <w:r w:rsidRPr="00711E32">
              <w:rPr>
                <w:vertAlign w:val="superscript"/>
              </w:rPr>
              <w:t>d</w:t>
            </w:r>
          </w:p>
        </w:tc>
        <w:tc>
          <w:tcPr>
            <w:tcW w:w="679" w:type="pct"/>
            <w:vAlign w:val="bottom"/>
          </w:tcPr>
          <w:p w:rsidR="00992D73"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594" w:type="pct"/>
            <w:vAlign w:val="bottom"/>
          </w:tcPr>
          <w:p w:rsidR="00992D73" w:rsidRPr="00365FD2" w:rsidRDefault="00365FD2" w:rsidP="00811B2C">
            <w:pPr>
              <w:keepNext/>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425" w:type="pct"/>
            <w:tcBorders>
              <w:right w:val="double" w:sz="4" w:space="0" w:color="auto"/>
            </w:tcBorders>
            <w:vAlign w:val="bottom"/>
          </w:tcPr>
          <w:p w:rsidR="00992D73"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678" w:type="pct"/>
            <w:tcBorders>
              <w:left w:val="double" w:sz="4" w:space="0" w:color="auto"/>
            </w:tcBorders>
            <w:vAlign w:val="bottom"/>
          </w:tcPr>
          <w:p w:rsidR="00992D73"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512" w:type="pct"/>
            <w:vAlign w:val="bottom"/>
          </w:tcPr>
          <w:p w:rsidR="00992D73" w:rsidRPr="00365FD2" w:rsidRDefault="00365FD2" w:rsidP="00811B2C">
            <w:pPr>
              <w:keepNext/>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583" w:type="pct"/>
            <w:vAlign w:val="bottom"/>
          </w:tcPr>
          <w:p w:rsidR="00992D73"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rPr>
              <w:t>'''''''''''''''''''''</w:t>
            </w:r>
          </w:p>
        </w:tc>
      </w:tr>
      <w:tr w:rsidR="00FC1FAC" w:rsidRPr="00711E32" w:rsidTr="00FC1FAC">
        <w:trPr>
          <w:trHeight w:val="57"/>
        </w:trPr>
        <w:tc>
          <w:tcPr>
            <w:tcW w:w="5000" w:type="pct"/>
            <w:gridSpan w:val="7"/>
            <w:vAlign w:val="center"/>
          </w:tcPr>
          <w:p w:rsidR="00FC1FAC" w:rsidRPr="00711E32" w:rsidRDefault="00FC1FAC" w:rsidP="00FC1FAC">
            <w:pPr>
              <w:keepNext/>
              <w:jc w:val="left"/>
              <w:rPr>
                <w:rFonts w:ascii="Arial Narrow" w:hAnsi="Arial Narrow"/>
                <w:sz w:val="20"/>
                <w:lang w:bidi="en-US"/>
              </w:rPr>
            </w:pPr>
            <w:r w:rsidRPr="00711E32">
              <w:rPr>
                <w:rFonts w:ascii="Arial Narrow" w:eastAsia="Calibri" w:hAnsi="Arial Narrow"/>
                <w:b/>
                <w:sz w:val="20"/>
                <w:lang w:bidi="en-US"/>
              </w:rPr>
              <w:t>Source of disutilities (base case: short-term TTO from Lee (2005))</w:t>
            </w:r>
          </w:p>
        </w:tc>
      </w:tr>
      <w:tr w:rsidR="00FC1FAC" w:rsidRPr="00711E32" w:rsidTr="00486DD9">
        <w:trPr>
          <w:trHeight w:val="57"/>
        </w:trPr>
        <w:tc>
          <w:tcPr>
            <w:tcW w:w="1529" w:type="pct"/>
            <w:vAlign w:val="center"/>
          </w:tcPr>
          <w:p w:rsidR="00FC1FAC" w:rsidRPr="00711E32" w:rsidRDefault="00FC1FAC" w:rsidP="00E63EA6">
            <w:pPr>
              <w:pStyle w:val="tabletext2"/>
              <w:widowControl w:val="0"/>
              <w:ind w:firstLine="142"/>
            </w:pPr>
            <w:r w:rsidRPr="00711E32">
              <w:rPr>
                <w:rFonts w:eastAsia="Calibri"/>
                <w:lang w:bidi="en-US"/>
              </w:rPr>
              <w:t xml:space="preserve">long-term TTO </w:t>
            </w:r>
          </w:p>
        </w:tc>
        <w:tc>
          <w:tcPr>
            <w:tcW w:w="679" w:type="pct"/>
            <w:vAlign w:val="center"/>
          </w:tcPr>
          <w:p w:rsidR="00FC1FAC" w:rsidRPr="00365FD2" w:rsidRDefault="00365FD2" w:rsidP="00811B2C">
            <w:pPr>
              <w:keepNext/>
              <w:jc w:val="right"/>
              <w:rPr>
                <w:rFonts w:ascii="Arial Narrow" w:hAnsi="Arial Narrow"/>
                <w:sz w:val="20"/>
                <w:highlight w:val="black"/>
                <w:lang w:bidi="en-US"/>
              </w:rPr>
            </w:pPr>
            <w:r>
              <w:rPr>
                <w:rFonts w:ascii="Arial Narrow" w:hAnsi="Arial Narrow"/>
                <w:noProof/>
                <w:color w:val="000000"/>
                <w:sz w:val="20"/>
                <w:highlight w:val="black"/>
              </w:rPr>
              <w:t>'''''''''''''''''''''''''''''</w:t>
            </w:r>
          </w:p>
        </w:tc>
        <w:tc>
          <w:tcPr>
            <w:tcW w:w="594" w:type="pct"/>
            <w:vAlign w:val="center"/>
          </w:tcPr>
          <w:p w:rsidR="00FC1FAC" w:rsidRPr="00365FD2" w:rsidRDefault="00365FD2" w:rsidP="00E63EA6">
            <w:pPr>
              <w:keepNext/>
              <w:jc w:val="center"/>
              <w:rPr>
                <w:rFonts w:ascii="Arial Narrow" w:hAnsi="Arial Narrow"/>
                <w:sz w:val="20"/>
                <w:highlight w:val="black"/>
                <w:lang w:bidi="en-US"/>
              </w:rPr>
            </w:pPr>
            <w:r>
              <w:rPr>
                <w:rFonts w:ascii="Arial Narrow" w:hAnsi="Arial Narrow"/>
                <w:noProof/>
                <w:color w:val="000000"/>
                <w:sz w:val="20"/>
                <w:highlight w:val="black"/>
              </w:rPr>
              <w:t>'''''''''''''</w:t>
            </w:r>
          </w:p>
        </w:tc>
        <w:tc>
          <w:tcPr>
            <w:tcW w:w="425" w:type="pct"/>
            <w:tcBorders>
              <w:right w:val="double" w:sz="4" w:space="0" w:color="auto"/>
            </w:tcBorders>
            <w:vAlign w:val="center"/>
          </w:tcPr>
          <w:p w:rsidR="00FC1FAC" w:rsidRPr="00365FD2" w:rsidRDefault="00365FD2" w:rsidP="00E63EA6">
            <w:pPr>
              <w:keepNext/>
              <w:jc w:val="right"/>
              <w:rPr>
                <w:rFonts w:ascii="Arial Narrow" w:hAnsi="Arial Narrow"/>
                <w:sz w:val="20"/>
                <w:highlight w:val="black"/>
                <w:lang w:bidi="en-US"/>
              </w:rPr>
            </w:pPr>
            <w:r>
              <w:rPr>
                <w:rFonts w:ascii="Arial Narrow" w:hAnsi="Arial Narrow"/>
                <w:noProof/>
                <w:color w:val="000000"/>
                <w:sz w:val="20"/>
                <w:highlight w:val="black"/>
              </w:rPr>
              <w:t>''''''''''''''''</w:t>
            </w:r>
          </w:p>
        </w:tc>
        <w:tc>
          <w:tcPr>
            <w:tcW w:w="678" w:type="pct"/>
            <w:tcBorders>
              <w:left w:val="double" w:sz="4" w:space="0" w:color="auto"/>
            </w:tcBorders>
            <w:vAlign w:val="center"/>
          </w:tcPr>
          <w:p w:rsidR="00FC1FAC" w:rsidRPr="00365FD2" w:rsidRDefault="00365FD2" w:rsidP="00811B2C">
            <w:pPr>
              <w:keepNext/>
              <w:jc w:val="right"/>
              <w:rPr>
                <w:rFonts w:ascii="Arial Narrow" w:hAnsi="Arial Narrow"/>
                <w:sz w:val="20"/>
                <w:highlight w:val="black"/>
                <w:lang w:bidi="en-US"/>
              </w:rPr>
            </w:pPr>
            <w:r>
              <w:rPr>
                <w:rFonts w:ascii="Arial Narrow" w:hAnsi="Arial Narrow"/>
                <w:noProof/>
                <w:color w:val="000000"/>
                <w:sz w:val="20"/>
                <w:highlight w:val="black"/>
              </w:rPr>
              <w:t>'''''''''''''''''''''''''''''''''</w:t>
            </w:r>
          </w:p>
        </w:tc>
        <w:tc>
          <w:tcPr>
            <w:tcW w:w="512" w:type="pct"/>
            <w:vAlign w:val="center"/>
          </w:tcPr>
          <w:p w:rsidR="00FC1FAC" w:rsidRPr="00365FD2" w:rsidRDefault="00365FD2" w:rsidP="00811B2C">
            <w:pPr>
              <w:keepNext/>
              <w:jc w:val="center"/>
              <w:rPr>
                <w:rFonts w:ascii="Arial Narrow" w:hAnsi="Arial Narrow"/>
                <w:sz w:val="20"/>
                <w:highlight w:val="black"/>
                <w:lang w:bidi="en-US"/>
              </w:rPr>
            </w:pPr>
            <w:r>
              <w:rPr>
                <w:rFonts w:ascii="Arial Narrow" w:hAnsi="Arial Narrow"/>
                <w:noProof/>
                <w:color w:val="000000"/>
                <w:sz w:val="20"/>
                <w:highlight w:val="black"/>
              </w:rPr>
              <w:t>'''''''''''''</w:t>
            </w:r>
          </w:p>
        </w:tc>
        <w:tc>
          <w:tcPr>
            <w:tcW w:w="583" w:type="pct"/>
            <w:vAlign w:val="center"/>
          </w:tcPr>
          <w:p w:rsidR="00FC1FAC" w:rsidRPr="00365FD2" w:rsidRDefault="00365FD2" w:rsidP="00E63EA6">
            <w:pPr>
              <w:keepNext/>
              <w:jc w:val="right"/>
              <w:rPr>
                <w:rFonts w:ascii="Arial Narrow" w:hAnsi="Arial Narrow"/>
                <w:sz w:val="20"/>
                <w:highlight w:val="black"/>
                <w:lang w:bidi="en-US"/>
              </w:rPr>
            </w:pPr>
            <w:r>
              <w:rPr>
                <w:rFonts w:ascii="Arial Narrow" w:hAnsi="Arial Narrow"/>
                <w:noProof/>
                <w:color w:val="000000"/>
                <w:sz w:val="20"/>
                <w:highlight w:val="black"/>
              </w:rPr>
              <w:t>'''''''''''''''''''''</w:t>
            </w:r>
          </w:p>
        </w:tc>
      </w:tr>
      <w:tr w:rsidR="00FC1FAC" w:rsidRPr="00711E32" w:rsidTr="00FC1FAC">
        <w:trPr>
          <w:trHeight w:val="57"/>
        </w:trPr>
        <w:tc>
          <w:tcPr>
            <w:tcW w:w="5000" w:type="pct"/>
            <w:gridSpan w:val="7"/>
            <w:vAlign w:val="center"/>
          </w:tcPr>
          <w:p w:rsidR="00FC1FAC" w:rsidRPr="00711E32" w:rsidRDefault="00FC1FAC" w:rsidP="00FC1FAC">
            <w:pPr>
              <w:keepNext/>
              <w:jc w:val="left"/>
              <w:rPr>
                <w:rFonts w:ascii="Arial Narrow" w:hAnsi="Arial Narrow"/>
                <w:color w:val="000000"/>
                <w:sz w:val="20"/>
              </w:rPr>
            </w:pPr>
            <w:r w:rsidRPr="00711E32">
              <w:rPr>
                <w:rFonts w:ascii="Arial Narrow" w:hAnsi="Arial Narrow"/>
                <w:b/>
                <w:sz w:val="20"/>
              </w:rPr>
              <w:t>Maternal immunity (base case: 34% of new-borns have maternal immunity)</w:t>
            </w:r>
          </w:p>
        </w:tc>
      </w:tr>
      <w:tr w:rsidR="00FC1FAC" w:rsidRPr="00711E32" w:rsidTr="00486DD9">
        <w:trPr>
          <w:trHeight w:val="57"/>
        </w:trPr>
        <w:tc>
          <w:tcPr>
            <w:tcW w:w="1529" w:type="pct"/>
            <w:vAlign w:val="center"/>
          </w:tcPr>
          <w:p w:rsidR="00FC1FAC" w:rsidRPr="00711E32" w:rsidRDefault="00FC1FAC" w:rsidP="00FC1FAC">
            <w:pPr>
              <w:pStyle w:val="tabletext2"/>
              <w:widowControl w:val="0"/>
              <w:ind w:firstLine="142"/>
              <w:rPr>
                <w:rFonts w:eastAsia="Calibri"/>
                <w:lang w:bidi="en-US"/>
              </w:rPr>
            </w:pPr>
            <w:r w:rsidRPr="00711E32">
              <w:t xml:space="preserve">0% new-borns </w:t>
            </w:r>
          </w:p>
        </w:tc>
        <w:tc>
          <w:tcPr>
            <w:tcW w:w="679" w:type="pct"/>
            <w:vAlign w:val="center"/>
          </w:tcPr>
          <w:p w:rsidR="00FC1FAC" w:rsidRPr="00365FD2" w:rsidRDefault="00365FD2" w:rsidP="00E63EA6">
            <w:pPr>
              <w:keepNext/>
              <w:jc w:val="right"/>
              <w:rPr>
                <w:rFonts w:ascii="Arial Narrow" w:hAnsi="Arial Narrow"/>
                <w:color w:val="000000"/>
                <w:sz w:val="20"/>
                <w:highlight w:val="black"/>
              </w:rPr>
            </w:pPr>
            <w:r>
              <w:rPr>
                <w:rFonts w:ascii="Arial Narrow" w:hAnsi="Arial Narrow"/>
                <w:noProof/>
                <w:color w:val="000000"/>
                <w:sz w:val="20"/>
                <w:highlight w:val="black"/>
              </w:rPr>
              <w:t>'''''''''''''''''''''''''''''</w:t>
            </w:r>
          </w:p>
        </w:tc>
        <w:tc>
          <w:tcPr>
            <w:tcW w:w="594" w:type="pct"/>
            <w:vAlign w:val="center"/>
          </w:tcPr>
          <w:p w:rsidR="00FC1FAC" w:rsidRPr="00365FD2" w:rsidRDefault="00365FD2" w:rsidP="00811B2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425" w:type="pct"/>
            <w:tcBorders>
              <w:right w:val="double" w:sz="4" w:space="0" w:color="auto"/>
            </w:tcBorders>
            <w:vAlign w:val="center"/>
          </w:tcPr>
          <w:p w:rsidR="00FC1FAC" w:rsidRPr="00365FD2" w:rsidRDefault="00365FD2" w:rsidP="00811B2C">
            <w:pPr>
              <w:keepNext/>
              <w:jc w:val="right"/>
              <w:rPr>
                <w:rFonts w:ascii="Arial Narrow" w:hAnsi="Arial Narrow"/>
                <w:color w:val="000000"/>
                <w:sz w:val="20"/>
                <w:highlight w:val="black"/>
              </w:rPr>
            </w:pPr>
            <w:r>
              <w:rPr>
                <w:rFonts w:ascii="Arial Narrow" w:hAnsi="Arial Narrow"/>
                <w:noProof/>
                <w:color w:val="000000"/>
                <w:sz w:val="20"/>
                <w:highlight w:val="black"/>
              </w:rPr>
              <w:t>'''''''''''''''</w:t>
            </w:r>
          </w:p>
        </w:tc>
        <w:tc>
          <w:tcPr>
            <w:tcW w:w="678" w:type="pct"/>
            <w:tcBorders>
              <w:left w:val="double" w:sz="4" w:space="0" w:color="auto"/>
            </w:tcBorders>
            <w:vAlign w:val="center"/>
          </w:tcPr>
          <w:p w:rsidR="00FC1FAC" w:rsidRPr="00365FD2" w:rsidRDefault="00365FD2" w:rsidP="00811B2C">
            <w:pPr>
              <w:keepNext/>
              <w:jc w:val="right"/>
              <w:rPr>
                <w:rFonts w:ascii="Arial Narrow" w:hAnsi="Arial Narrow"/>
                <w:color w:val="000000"/>
                <w:sz w:val="20"/>
                <w:highlight w:val="black"/>
              </w:rPr>
            </w:pPr>
            <w:r>
              <w:rPr>
                <w:rFonts w:ascii="Arial Narrow" w:hAnsi="Arial Narrow"/>
                <w:noProof/>
                <w:color w:val="000000"/>
                <w:sz w:val="20"/>
                <w:highlight w:val="black"/>
              </w:rPr>
              <w:t>'''''''''''''''''''''''''''''</w:t>
            </w:r>
          </w:p>
        </w:tc>
        <w:tc>
          <w:tcPr>
            <w:tcW w:w="512" w:type="pct"/>
            <w:vAlign w:val="center"/>
          </w:tcPr>
          <w:p w:rsidR="00FC1FAC" w:rsidRPr="00365FD2" w:rsidRDefault="00365FD2" w:rsidP="00811B2C">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583" w:type="pct"/>
            <w:vAlign w:val="center"/>
          </w:tcPr>
          <w:p w:rsidR="00FC1FAC" w:rsidRPr="00365FD2" w:rsidRDefault="00365FD2" w:rsidP="00811B2C">
            <w:pPr>
              <w:keepNext/>
              <w:jc w:val="right"/>
              <w:rPr>
                <w:rFonts w:ascii="Arial Narrow" w:hAnsi="Arial Narrow"/>
                <w:color w:val="000000"/>
                <w:sz w:val="20"/>
                <w:highlight w:val="black"/>
              </w:rPr>
            </w:pPr>
            <w:r>
              <w:rPr>
                <w:rFonts w:ascii="Arial Narrow" w:hAnsi="Arial Narrow"/>
                <w:noProof/>
                <w:color w:val="000000"/>
                <w:sz w:val="20"/>
                <w:highlight w:val="black"/>
              </w:rPr>
              <w:t>'''''''''''''''''''</w:t>
            </w:r>
          </w:p>
        </w:tc>
      </w:tr>
      <w:tr w:rsidR="00FC1FAC" w:rsidRPr="00711E32" w:rsidTr="00482A8B">
        <w:trPr>
          <w:trHeight w:val="57"/>
        </w:trPr>
        <w:tc>
          <w:tcPr>
            <w:tcW w:w="5000" w:type="pct"/>
            <w:gridSpan w:val="7"/>
            <w:vAlign w:val="center"/>
          </w:tcPr>
          <w:p w:rsidR="00FC1FAC" w:rsidRPr="00711E32" w:rsidRDefault="00FC1FAC" w:rsidP="00811B2C">
            <w:pPr>
              <w:pStyle w:val="tabletext2"/>
              <w:widowControl w:val="0"/>
            </w:pPr>
            <w:r w:rsidRPr="00711E32">
              <w:rPr>
                <w:b/>
              </w:rPr>
              <w:t>Duration waning booster (base case 5 years partial immunity)</w:t>
            </w:r>
          </w:p>
        </w:tc>
      </w:tr>
      <w:tr w:rsidR="00FC1FAC" w:rsidRPr="00711E32" w:rsidTr="00486DD9">
        <w:trPr>
          <w:trHeight w:val="57"/>
        </w:trPr>
        <w:tc>
          <w:tcPr>
            <w:tcW w:w="1529" w:type="pct"/>
            <w:vAlign w:val="center"/>
          </w:tcPr>
          <w:p w:rsidR="00FC1FAC" w:rsidRPr="00711E32" w:rsidRDefault="00FC1FAC" w:rsidP="00811B2C">
            <w:pPr>
              <w:pStyle w:val="tabletext2"/>
              <w:widowControl w:val="0"/>
              <w:ind w:firstLine="142"/>
            </w:pPr>
            <w:r w:rsidRPr="00711E32">
              <w:t>8 years partial</w:t>
            </w:r>
          </w:p>
        </w:tc>
        <w:tc>
          <w:tcPr>
            <w:tcW w:w="679" w:type="pct"/>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eastAsia="Calibri" w:hAnsi="Arial Narrow"/>
                <w:noProof/>
                <w:color w:val="000000"/>
                <w:sz w:val="20"/>
                <w:highlight w:val="black"/>
              </w:rPr>
              <w:t>''''''''''''''''''''''''''''''''</w:t>
            </w:r>
          </w:p>
        </w:tc>
        <w:tc>
          <w:tcPr>
            <w:tcW w:w="594" w:type="pct"/>
            <w:vAlign w:val="center"/>
          </w:tcPr>
          <w:p w:rsidR="00FC1FAC" w:rsidRPr="00365FD2" w:rsidRDefault="00365FD2" w:rsidP="00811B2C">
            <w:pPr>
              <w:keepNext/>
              <w:jc w:val="center"/>
              <w:rPr>
                <w:rFonts w:ascii="Arial Narrow" w:hAnsi="Arial Narrow"/>
                <w:snapToGrid/>
                <w:color w:val="000000"/>
                <w:sz w:val="20"/>
                <w:highlight w:val="black"/>
                <w:lang w:eastAsia="en-AU"/>
              </w:rPr>
            </w:pPr>
            <w:r>
              <w:rPr>
                <w:rFonts w:ascii="Arial Narrow" w:eastAsia="Calibri" w:hAnsi="Arial Narrow"/>
                <w:noProof/>
                <w:color w:val="000000"/>
                <w:sz w:val="20"/>
                <w:highlight w:val="black"/>
              </w:rPr>
              <w:t>'''''''''''''''''</w:t>
            </w:r>
          </w:p>
        </w:tc>
        <w:tc>
          <w:tcPr>
            <w:tcW w:w="425" w:type="pct"/>
            <w:tcBorders>
              <w:right w:val="double" w:sz="4" w:space="0" w:color="auto"/>
            </w:tcBorders>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eastAsia="Calibri" w:hAnsi="Arial Narrow"/>
                <w:noProof/>
                <w:color w:val="000000"/>
                <w:sz w:val="20"/>
                <w:highlight w:val="black"/>
              </w:rPr>
              <w:t>'''''''''''''''''</w:t>
            </w:r>
          </w:p>
        </w:tc>
        <w:tc>
          <w:tcPr>
            <w:tcW w:w="678" w:type="pct"/>
            <w:tcBorders>
              <w:left w:val="double" w:sz="4" w:space="0" w:color="auto"/>
            </w:tcBorders>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eastAsia="Calibri" w:hAnsi="Arial Narrow"/>
                <w:noProof/>
                <w:color w:val="000000"/>
                <w:sz w:val="20"/>
                <w:highlight w:val="black"/>
              </w:rPr>
              <w:t>'''''''''''''''''''''''''''''''</w:t>
            </w:r>
          </w:p>
        </w:tc>
        <w:tc>
          <w:tcPr>
            <w:tcW w:w="512" w:type="pct"/>
            <w:vAlign w:val="center"/>
          </w:tcPr>
          <w:p w:rsidR="00FC1FAC" w:rsidRPr="00365FD2" w:rsidRDefault="00365FD2" w:rsidP="00811B2C">
            <w:pPr>
              <w:keepNext/>
              <w:jc w:val="center"/>
              <w:rPr>
                <w:rFonts w:ascii="Arial Narrow" w:hAnsi="Arial Narrow"/>
                <w:snapToGrid/>
                <w:color w:val="000000"/>
                <w:sz w:val="20"/>
                <w:highlight w:val="black"/>
                <w:lang w:eastAsia="en-AU"/>
              </w:rPr>
            </w:pPr>
            <w:r>
              <w:rPr>
                <w:rFonts w:ascii="Arial Narrow" w:eastAsia="Calibri" w:hAnsi="Arial Narrow"/>
                <w:noProof/>
                <w:color w:val="000000"/>
                <w:sz w:val="20"/>
                <w:highlight w:val="black"/>
              </w:rPr>
              <w:t>'''''''''''''''</w:t>
            </w:r>
          </w:p>
        </w:tc>
        <w:tc>
          <w:tcPr>
            <w:tcW w:w="583" w:type="pct"/>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eastAsia="Calibri" w:hAnsi="Arial Narrow"/>
                <w:noProof/>
                <w:color w:val="000000"/>
                <w:sz w:val="20"/>
                <w:highlight w:val="black"/>
              </w:rPr>
              <w:t>''''''''''''''''</w:t>
            </w:r>
          </w:p>
        </w:tc>
      </w:tr>
      <w:tr w:rsidR="00FC1FAC" w:rsidRPr="00711E32" w:rsidTr="00482A8B">
        <w:trPr>
          <w:trHeight w:val="57"/>
        </w:trPr>
        <w:tc>
          <w:tcPr>
            <w:tcW w:w="5000" w:type="pct"/>
            <w:gridSpan w:val="7"/>
            <w:vAlign w:val="center"/>
          </w:tcPr>
          <w:p w:rsidR="00FC1FAC" w:rsidRPr="00711E32" w:rsidRDefault="00FC1FAC" w:rsidP="00811B2C">
            <w:pPr>
              <w:keepNext/>
              <w:jc w:val="left"/>
              <w:rPr>
                <w:rFonts w:ascii="Arial Narrow" w:hAnsi="Arial Narrow"/>
                <w:color w:val="000000"/>
                <w:sz w:val="20"/>
              </w:rPr>
            </w:pPr>
            <w:r w:rsidRPr="00711E32">
              <w:rPr>
                <w:rFonts w:ascii="Arial Narrow" w:hAnsi="Arial Narrow"/>
                <w:b/>
                <w:snapToGrid/>
                <w:color w:val="000000"/>
                <w:sz w:val="20"/>
                <w:lang w:eastAsia="en-AU"/>
              </w:rPr>
              <w:t>Vaccine administration cost (base case $0)</w:t>
            </w:r>
          </w:p>
        </w:tc>
      </w:tr>
      <w:tr w:rsidR="00FC1FAC" w:rsidRPr="00711E32" w:rsidTr="00486DD9">
        <w:trPr>
          <w:trHeight w:val="57"/>
        </w:trPr>
        <w:tc>
          <w:tcPr>
            <w:tcW w:w="1529" w:type="pct"/>
            <w:vAlign w:val="center"/>
          </w:tcPr>
          <w:p w:rsidR="00FC1FAC" w:rsidRPr="00711E32" w:rsidRDefault="00FC1FAC" w:rsidP="00FC1FAC">
            <w:pPr>
              <w:pStyle w:val="tabletext2"/>
              <w:widowControl w:val="0"/>
              <w:ind w:firstLine="142"/>
            </w:pPr>
            <w:r w:rsidRPr="00711E32">
              <w:t xml:space="preserve">$7 </w:t>
            </w:r>
          </w:p>
        </w:tc>
        <w:tc>
          <w:tcPr>
            <w:tcW w:w="679" w:type="pct"/>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lang w:bidi="en-US"/>
              </w:rPr>
              <w:t>'''''''''''''''''''''''''''''''''''</w:t>
            </w:r>
          </w:p>
        </w:tc>
        <w:tc>
          <w:tcPr>
            <w:tcW w:w="594" w:type="pct"/>
            <w:vAlign w:val="center"/>
          </w:tcPr>
          <w:p w:rsidR="00FC1FAC" w:rsidRPr="00365FD2" w:rsidRDefault="00365FD2" w:rsidP="00811B2C">
            <w:pPr>
              <w:keepNext/>
              <w:jc w:val="center"/>
              <w:rPr>
                <w:rFonts w:ascii="Arial Narrow" w:hAnsi="Arial Narrow"/>
                <w:snapToGrid/>
                <w:color w:val="000000"/>
                <w:sz w:val="20"/>
                <w:highlight w:val="black"/>
                <w:lang w:eastAsia="en-AU"/>
              </w:rPr>
            </w:pPr>
            <w:r>
              <w:rPr>
                <w:rFonts w:ascii="Arial Narrow" w:hAnsi="Arial Narrow"/>
                <w:noProof/>
                <w:color w:val="000000"/>
                <w:sz w:val="20"/>
                <w:highlight w:val="black"/>
                <w:lang w:bidi="en-US"/>
              </w:rPr>
              <w:t>''''''''''''''''</w:t>
            </w:r>
          </w:p>
        </w:tc>
        <w:tc>
          <w:tcPr>
            <w:tcW w:w="425" w:type="pct"/>
            <w:tcBorders>
              <w:right w:val="double" w:sz="4" w:space="0" w:color="auto"/>
            </w:tcBorders>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lang w:bidi="en-US"/>
              </w:rPr>
              <w:t>'''''''''''''''''</w:t>
            </w:r>
          </w:p>
        </w:tc>
        <w:tc>
          <w:tcPr>
            <w:tcW w:w="678" w:type="pct"/>
            <w:tcBorders>
              <w:left w:val="double" w:sz="4" w:space="0" w:color="auto"/>
            </w:tcBorders>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eastAsia="Calibri" w:hAnsi="Arial Narrow"/>
                <w:noProof/>
                <w:color w:val="000000"/>
                <w:sz w:val="20"/>
                <w:highlight w:val="black"/>
              </w:rPr>
              <w:t>'''''''''''''''''''''''''''''''</w:t>
            </w:r>
          </w:p>
        </w:tc>
        <w:tc>
          <w:tcPr>
            <w:tcW w:w="512" w:type="pct"/>
            <w:vAlign w:val="center"/>
          </w:tcPr>
          <w:p w:rsidR="00FC1FAC" w:rsidRPr="00365FD2" w:rsidRDefault="00365FD2" w:rsidP="00811B2C">
            <w:pPr>
              <w:keepNext/>
              <w:jc w:val="center"/>
              <w:rPr>
                <w:rFonts w:ascii="Arial Narrow" w:hAnsi="Arial Narrow"/>
                <w:snapToGrid/>
                <w:color w:val="000000"/>
                <w:sz w:val="20"/>
                <w:highlight w:val="black"/>
                <w:lang w:eastAsia="en-AU"/>
              </w:rPr>
            </w:pPr>
            <w:r>
              <w:rPr>
                <w:rFonts w:ascii="Arial Narrow" w:eastAsia="Calibri" w:hAnsi="Arial Narrow"/>
                <w:noProof/>
                <w:color w:val="000000"/>
                <w:sz w:val="20"/>
                <w:highlight w:val="black"/>
              </w:rPr>
              <w:t>'''''''''''''</w:t>
            </w:r>
          </w:p>
        </w:tc>
        <w:tc>
          <w:tcPr>
            <w:tcW w:w="583" w:type="pct"/>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eastAsia="Calibri" w:hAnsi="Arial Narrow"/>
                <w:noProof/>
                <w:color w:val="000000"/>
                <w:sz w:val="20"/>
                <w:highlight w:val="black"/>
              </w:rPr>
              <w:t>'''''''''''''''''''''</w:t>
            </w:r>
          </w:p>
        </w:tc>
      </w:tr>
      <w:tr w:rsidR="00992D73" w:rsidRPr="00711E32" w:rsidTr="00992D73">
        <w:trPr>
          <w:trHeight w:val="57"/>
        </w:trPr>
        <w:tc>
          <w:tcPr>
            <w:tcW w:w="5000" w:type="pct"/>
            <w:gridSpan w:val="7"/>
            <w:vAlign w:val="center"/>
          </w:tcPr>
          <w:p w:rsidR="00992D73" w:rsidRPr="00711E32" w:rsidRDefault="00992D73" w:rsidP="002576BD">
            <w:pPr>
              <w:keepNext/>
              <w:jc w:val="left"/>
              <w:rPr>
                <w:rFonts w:ascii="Arial Narrow" w:eastAsia="Calibri" w:hAnsi="Arial Narrow"/>
                <w:b/>
                <w:color w:val="000000"/>
                <w:sz w:val="20"/>
              </w:rPr>
            </w:pPr>
            <w:r w:rsidRPr="00711E32">
              <w:rPr>
                <w:rFonts w:ascii="Arial Narrow" w:hAnsi="Arial Narrow"/>
                <w:b/>
                <w:sz w:val="20"/>
              </w:rPr>
              <w:t>Extraction of cases from the dynamic transmission model (</w:t>
            </w:r>
            <w:r w:rsidR="00110399" w:rsidRPr="00711E32">
              <w:rPr>
                <w:rFonts w:ascii="Arial Narrow" w:hAnsi="Arial Narrow"/>
                <w:b/>
                <w:sz w:val="20"/>
              </w:rPr>
              <w:t xml:space="preserve">Revised </w:t>
            </w:r>
            <w:r w:rsidRPr="00711E32">
              <w:rPr>
                <w:rFonts w:ascii="Arial Narrow" w:hAnsi="Arial Narrow"/>
                <w:b/>
                <w:sz w:val="20"/>
              </w:rPr>
              <w:t>base case</w:t>
            </w:r>
            <w:r w:rsidR="00110399" w:rsidRPr="00711E32">
              <w:rPr>
                <w:rFonts w:ascii="Arial Narrow" w:hAnsi="Arial Narrow"/>
                <w:b/>
                <w:sz w:val="20"/>
              </w:rPr>
              <w:t xml:space="preserve"> ESC</w:t>
            </w:r>
            <w:r w:rsidRPr="00711E32">
              <w:rPr>
                <w:rFonts w:ascii="Arial Narrow" w:hAnsi="Arial Narrow"/>
                <w:b/>
                <w:sz w:val="20"/>
              </w:rPr>
              <w:t>: last 5 years for both arms)</w:t>
            </w:r>
          </w:p>
        </w:tc>
      </w:tr>
      <w:tr w:rsidR="00992D73" w:rsidRPr="00711E32" w:rsidTr="002576BD">
        <w:trPr>
          <w:trHeight w:val="57"/>
        </w:trPr>
        <w:tc>
          <w:tcPr>
            <w:tcW w:w="1529" w:type="pct"/>
            <w:vAlign w:val="center"/>
          </w:tcPr>
          <w:p w:rsidR="00992D73" w:rsidRPr="00711E32" w:rsidRDefault="00992D73" w:rsidP="00992D73">
            <w:pPr>
              <w:pStyle w:val="tabletext2"/>
              <w:widowControl w:val="0"/>
              <w:ind w:firstLine="142"/>
            </w:pPr>
            <w:r w:rsidRPr="00711E32">
              <w:t>Use 100 year of model duration</w:t>
            </w:r>
          </w:p>
        </w:tc>
        <w:tc>
          <w:tcPr>
            <w:tcW w:w="679" w:type="pct"/>
            <w:vAlign w:val="bottom"/>
          </w:tcPr>
          <w:p w:rsidR="00992D73" w:rsidRPr="00365FD2" w:rsidRDefault="00365FD2" w:rsidP="00E61096">
            <w:pPr>
              <w:keepNext/>
              <w:jc w:val="right"/>
              <w:rPr>
                <w:rFonts w:ascii="Arial Narrow" w:hAnsi="Arial Narrow"/>
                <w:sz w:val="20"/>
                <w:highlight w:val="black"/>
                <w:lang w:bidi="en-US"/>
              </w:rPr>
            </w:pPr>
            <w:r>
              <w:rPr>
                <w:rFonts w:ascii="Arial Narrow" w:hAnsi="Arial Narrow"/>
                <w:noProof/>
                <w:color w:val="000000"/>
                <w:sz w:val="20"/>
                <w:highlight w:val="black"/>
              </w:rPr>
              <w:t>'''''''''''''''''''''''''''''</w:t>
            </w:r>
          </w:p>
        </w:tc>
        <w:tc>
          <w:tcPr>
            <w:tcW w:w="594" w:type="pct"/>
            <w:vAlign w:val="bottom"/>
          </w:tcPr>
          <w:p w:rsidR="00992D73" w:rsidRPr="00365FD2" w:rsidRDefault="00365FD2" w:rsidP="00E61096">
            <w:pPr>
              <w:keepNext/>
              <w:jc w:val="center"/>
              <w:rPr>
                <w:rFonts w:ascii="Arial Narrow" w:hAnsi="Arial Narrow"/>
                <w:sz w:val="20"/>
                <w:highlight w:val="black"/>
                <w:lang w:bidi="en-US"/>
              </w:rPr>
            </w:pPr>
            <w:r>
              <w:rPr>
                <w:rFonts w:ascii="Arial Narrow" w:hAnsi="Arial Narrow"/>
                <w:noProof/>
                <w:color w:val="000000"/>
                <w:sz w:val="20"/>
                <w:highlight w:val="black"/>
              </w:rPr>
              <w:t>''''''''''''''''</w:t>
            </w:r>
          </w:p>
        </w:tc>
        <w:tc>
          <w:tcPr>
            <w:tcW w:w="425" w:type="pct"/>
            <w:tcBorders>
              <w:right w:val="double" w:sz="4" w:space="0" w:color="auto"/>
            </w:tcBorders>
            <w:vAlign w:val="bottom"/>
          </w:tcPr>
          <w:p w:rsidR="00992D73" w:rsidRPr="00365FD2" w:rsidRDefault="00365FD2" w:rsidP="00E61096">
            <w:pPr>
              <w:keepNext/>
              <w:jc w:val="right"/>
              <w:rPr>
                <w:rFonts w:ascii="Arial Narrow" w:hAnsi="Arial Narrow"/>
                <w:sz w:val="20"/>
                <w:highlight w:val="black"/>
                <w:lang w:bidi="en-US"/>
              </w:rPr>
            </w:pPr>
            <w:r>
              <w:rPr>
                <w:rFonts w:ascii="Arial Narrow" w:hAnsi="Arial Narrow"/>
                <w:noProof/>
                <w:color w:val="000000"/>
                <w:sz w:val="20"/>
                <w:highlight w:val="black"/>
              </w:rPr>
              <w:t>''''''''''''''''''</w:t>
            </w:r>
          </w:p>
        </w:tc>
        <w:tc>
          <w:tcPr>
            <w:tcW w:w="678" w:type="pct"/>
            <w:tcBorders>
              <w:left w:val="double" w:sz="4" w:space="0" w:color="auto"/>
            </w:tcBorders>
            <w:vAlign w:val="bottom"/>
          </w:tcPr>
          <w:p w:rsidR="00992D73" w:rsidRPr="00365FD2" w:rsidRDefault="00365FD2" w:rsidP="00E61096">
            <w:pPr>
              <w:keepNext/>
              <w:jc w:val="right"/>
              <w:rPr>
                <w:rFonts w:ascii="Arial Narrow" w:eastAsia="Calibri" w:hAnsi="Arial Narrow"/>
                <w:color w:val="000000"/>
                <w:sz w:val="20"/>
                <w:highlight w:val="black"/>
              </w:rPr>
            </w:pPr>
            <w:r>
              <w:rPr>
                <w:rFonts w:ascii="Arial Narrow" w:hAnsi="Arial Narrow"/>
                <w:noProof/>
                <w:color w:val="000000"/>
                <w:sz w:val="20"/>
                <w:highlight w:val="black"/>
              </w:rPr>
              <w:t xml:space="preserve">''''''''''''''''''''''''''''''''' </w:t>
            </w:r>
          </w:p>
        </w:tc>
        <w:tc>
          <w:tcPr>
            <w:tcW w:w="512" w:type="pct"/>
            <w:vAlign w:val="bottom"/>
          </w:tcPr>
          <w:p w:rsidR="00992D73" w:rsidRPr="00365FD2" w:rsidRDefault="00365FD2" w:rsidP="00811B2C">
            <w:pPr>
              <w:keepNext/>
              <w:jc w:val="center"/>
              <w:rPr>
                <w:rFonts w:ascii="Arial Narrow" w:eastAsia="Calibri" w:hAnsi="Arial Narrow"/>
                <w:color w:val="000000"/>
                <w:sz w:val="20"/>
                <w:highlight w:val="black"/>
              </w:rPr>
            </w:pPr>
            <w:r>
              <w:rPr>
                <w:rFonts w:ascii="Arial Narrow" w:hAnsi="Arial Narrow"/>
                <w:noProof/>
                <w:color w:val="000000"/>
                <w:sz w:val="20"/>
                <w:highlight w:val="black"/>
              </w:rPr>
              <w:t>''''''''''''''</w:t>
            </w:r>
          </w:p>
        </w:tc>
        <w:tc>
          <w:tcPr>
            <w:tcW w:w="583" w:type="pct"/>
            <w:vAlign w:val="bottom"/>
          </w:tcPr>
          <w:p w:rsidR="00992D73" w:rsidRPr="00365FD2" w:rsidRDefault="00365FD2" w:rsidP="00E61096">
            <w:pPr>
              <w:keepNext/>
              <w:jc w:val="right"/>
              <w:rPr>
                <w:rFonts w:ascii="Arial Narrow" w:eastAsia="Calibri" w:hAnsi="Arial Narrow"/>
                <w:color w:val="000000"/>
                <w:sz w:val="20"/>
                <w:highlight w:val="black"/>
              </w:rPr>
            </w:pPr>
            <w:r>
              <w:rPr>
                <w:rFonts w:ascii="Arial Narrow" w:hAnsi="Arial Narrow"/>
                <w:noProof/>
                <w:color w:val="000000"/>
                <w:sz w:val="20"/>
                <w:highlight w:val="black"/>
              </w:rPr>
              <w:t>''''''''''''''''''''</w:t>
            </w:r>
          </w:p>
        </w:tc>
      </w:tr>
      <w:tr w:rsidR="00FC1FAC" w:rsidRPr="00711E32" w:rsidTr="00FC1FAC">
        <w:trPr>
          <w:trHeight w:val="57"/>
        </w:trPr>
        <w:tc>
          <w:tcPr>
            <w:tcW w:w="5000" w:type="pct"/>
            <w:gridSpan w:val="7"/>
            <w:vAlign w:val="center"/>
          </w:tcPr>
          <w:p w:rsidR="00FC1FAC" w:rsidRPr="00711E32" w:rsidRDefault="00FC1FAC" w:rsidP="00FC1FAC">
            <w:pPr>
              <w:keepNext/>
              <w:jc w:val="left"/>
              <w:rPr>
                <w:rFonts w:ascii="Arial Narrow" w:hAnsi="Arial Narrow"/>
                <w:snapToGrid/>
                <w:color w:val="000000"/>
                <w:sz w:val="20"/>
                <w:lang w:eastAsia="en-AU"/>
              </w:rPr>
            </w:pPr>
            <w:r w:rsidRPr="00711E32">
              <w:rPr>
                <w:rFonts w:ascii="Arial Narrow" w:hAnsi="Arial Narrow"/>
                <w:b/>
                <w:sz w:val="20"/>
                <w:lang w:bidi="en-US"/>
              </w:rPr>
              <w:t>Multivariate analysis</w:t>
            </w:r>
          </w:p>
        </w:tc>
      </w:tr>
      <w:tr w:rsidR="00FC1FAC" w:rsidRPr="00711E32" w:rsidTr="00FC1FAC">
        <w:trPr>
          <w:trHeight w:val="57"/>
        </w:trPr>
        <w:tc>
          <w:tcPr>
            <w:tcW w:w="1529" w:type="pct"/>
            <w:vAlign w:val="center"/>
          </w:tcPr>
          <w:p w:rsidR="00FC1FAC" w:rsidRPr="00711E32" w:rsidRDefault="00FC1FAC" w:rsidP="00811B2C">
            <w:pPr>
              <w:pStyle w:val="tabletext2"/>
              <w:widowControl w:val="0"/>
            </w:pPr>
            <w:r w:rsidRPr="00711E32">
              <w:rPr>
                <w:rFonts w:eastAsia="Calibri"/>
                <w:lang w:bidi="en-US"/>
              </w:rPr>
              <w:t>25% disutility + long term TTO</w:t>
            </w:r>
          </w:p>
        </w:tc>
        <w:tc>
          <w:tcPr>
            <w:tcW w:w="679" w:type="pct"/>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594" w:type="pct"/>
            <w:vAlign w:val="center"/>
          </w:tcPr>
          <w:p w:rsidR="00FC1FAC" w:rsidRPr="00365FD2" w:rsidRDefault="00365FD2" w:rsidP="00811B2C">
            <w:pPr>
              <w:keepNext/>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425" w:type="pct"/>
            <w:tcBorders>
              <w:right w:val="double" w:sz="4" w:space="0" w:color="auto"/>
            </w:tcBorders>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678" w:type="pct"/>
            <w:tcBorders>
              <w:left w:val="double" w:sz="4" w:space="0" w:color="auto"/>
            </w:tcBorders>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512" w:type="pct"/>
            <w:vAlign w:val="center"/>
          </w:tcPr>
          <w:p w:rsidR="00FC1FAC" w:rsidRPr="00365FD2" w:rsidRDefault="00365FD2" w:rsidP="00811B2C">
            <w:pPr>
              <w:keepNext/>
              <w:jc w:val="center"/>
              <w:rPr>
                <w:rFonts w:ascii="Arial Narrow" w:hAnsi="Arial Narrow"/>
                <w:snapToGrid/>
                <w:color w:val="000000"/>
                <w:sz w:val="20"/>
                <w:highlight w:val="black"/>
                <w:lang w:eastAsia="en-AU"/>
              </w:rPr>
            </w:pPr>
            <w:r>
              <w:rPr>
                <w:rFonts w:ascii="Arial Narrow" w:hAnsi="Arial Narrow"/>
                <w:noProof/>
                <w:color w:val="000000"/>
                <w:sz w:val="20"/>
                <w:highlight w:val="black"/>
              </w:rPr>
              <w:t>''''''''''''''</w:t>
            </w:r>
          </w:p>
        </w:tc>
        <w:tc>
          <w:tcPr>
            <w:tcW w:w="583" w:type="pct"/>
            <w:vAlign w:val="center"/>
          </w:tcPr>
          <w:p w:rsidR="00FC1FAC" w:rsidRPr="00365FD2" w:rsidRDefault="00365FD2" w:rsidP="00811B2C">
            <w:pPr>
              <w:keepNext/>
              <w:jc w:val="right"/>
              <w:rPr>
                <w:rFonts w:ascii="Arial Narrow" w:hAnsi="Arial Narrow"/>
                <w:snapToGrid/>
                <w:color w:val="000000"/>
                <w:sz w:val="20"/>
                <w:highlight w:val="black"/>
                <w:lang w:eastAsia="en-AU"/>
              </w:rPr>
            </w:pPr>
            <w:r>
              <w:rPr>
                <w:rFonts w:ascii="Arial Narrow" w:hAnsi="Arial Narrow"/>
                <w:noProof/>
                <w:color w:val="000000"/>
                <w:sz w:val="20"/>
                <w:highlight w:val="black"/>
              </w:rPr>
              <w:t>''''''''''''''''''</w:t>
            </w:r>
          </w:p>
        </w:tc>
      </w:tr>
    </w:tbl>
    <w:p w:rsidR="00496BDC" w:rsidRPr="00E45630" w:rsidRDefault="00496BDC" w:rsidP="00811B2C">
      <w:pPr>
        <w:pStyle w:val="TableFooter"/>
        <w:keepNext/>
        <w:ind w:left="720"/>
      </w:pPr>
      <w:r w:rsidRPr="00E45630">
        <w:t>Source: Calculated during evaluation</w:t>
      </w:r>
    </w:p>
    <w:p w:rsidR="00FC1FAC" w:rsidRPr="00E45630" w:rsidRDefault="00FC1FAC" w:rsidP="00FC1FAC">
      <w:pPr>
        <w:pStyle w:val="TableFooter"/>
        <w:keepNext/>
        <w:ind w:left="709" w:firstLine="11"/>
      </w:pPr>
      <w:r w:rsidRPr="00E45630">
        <w:rPr>
          <w:vertAlign w:val="superscript"/>
        </w:rPr>
        <w:t>a</w:t>
      </w:r>
      <w:r w:rsidRPr="00E45630">
        <w:t xml:space="preserve"> The Discounted QALYs reflect the reduction in QALYs due to pertussis cases (non-notified, notified or hospitalised) or adverse events due to vaccinations. Positive QALYs represent a health gain.</w:t>
      </w:r>
    </w:p>
    <w:p w:rsidR="00DA6FA1" w:rsidRPr="00E45630" w:rsidRDefault="00FC1FAC" w:rsidP="00811B2C">
      <w:pPr>
        <w:pStyle w:val="TableFooter"/>
        <w:keepNext/>
        <w:ind w:left="709" w:firstLine="11"/>
      </w:pPr>
      <w:r w:rsidRPr="00E45630">
        <w:rPr>
          <w:vertAlign w:val="superscript"/>
        </w:rPr>
        <w:t>b</w:t>
      </w:r>
      <w:r w:rsidR="00DA6FA1" w:rsidRPr="00E45630">
        <w:t xml:space="preserve"> In the submission’s base case, the pertussis cases included was inconsistently done for the two treatment options. During evaluation the inclusion of cases was performed for both treatment options, using the submission’s approach for ‘no booster’. Additionally, the data was extracted for each year up to the age of four. </w:t>
      </w:r>
      <w:r w:rsidR="00E63EA6" w:rsidRPr="00E45630">
        <w:t>These values have been updated compared to the base case presented in the commentary to include the correct n</w:t>
      </w:r>
      <w:r w:rsidR="00EB30F4">
        <w:t>umber of recidive cases in the ‘</w:t>
      </w:r>
      <w:r w:rsidR="00E63EA6" w:rsidRPr="00E45630">
        <w:t>18-month booster’ arm.</w:t>
      </w:r>
    </w:p>
    <w:p w:rsidR="00FC1FAC" w:rsidRPr="00E45630" w:rsidRDefault="00FC1FAC" w:rsidP="00FC1FAC">
      <w:pPr>
        <w:pStyle w:val="TableFooter"/>
        <w:ind w:left="709"/>
      </w:pPr>
      <w:r w:rsidRPr="00E45630">
        <w:rPr>
          <w:vertAlign w:val="superscript"/>
        </w:rPr>
        <w:t>c</w:t>
      </w:r>
      <w:r w:rsidRPr="00E45630">
        <w:t xml:space="preserve"> The Updated base case (ESC) includes the changes from the updated base case (Commenta</w:t>
      </w:r>
      <w:r w:rsidR="009B27EA">
        <w:t>ry) and age-</w:t>
      </w:r>
      <w:r w:rsidRPr="00E45630">
        <w:t>year specific reporting rates are used, and then reported cases are grouped, rather than grouping of ages together in broad age groups and then apply average reporting rates.</w:t>
      </w:r>
      <w:r w:rsidR="00C46805" w:rsidRPr="00E45630">
        <w:t xml:space="preserve"> Additionally, the error (in the commentary base case) to estimate the number of recidive cases has been corrected.</w:t>
      </w:r>
    </w:p>
    <w:p w:rsidR="00DA6FA1" w:rsidRPr="00E45630" w:rsidRDefault="00FC1FAC" w:rsidP="00811B2C">
      <w:pPr>
        <w:pStyle w:val="TableFooter"/>
        <w:keepNext/>
        <w:ind w:left="709" w:firstLine="11"/>
      </w:pPr>
      <w:r w:rsidRPr="00E45630">
        <w:rPr>
          <w:vertAlign w:val="superscript"/>
        </w:rPr>
        <w:t>d</w:t>
      </w:r>
      <w:r w:rsidRPr="00E45630">
        <w:t xml:space="preserve"> </w:t>
      </w:r>
      <w:r w:rsidR="00DA6FA1" w:rsidRPr="00E45630">
        <w:t>The base cases assumes that non-notified pertussis cases have a disutility which equates to 50% of the notified cases. For this sensitivity analysis, the assumption is made that the disutility is 25% of the disutility of notified cases, e.g. for 1 year old, notified cases disutility of 0.28, non-notified cases in base case disutility of 0.14, in sensitivity analysis disutility of 0.07.</w:t>
      </w:r>
    </w:p>
    <w:p w:rsidR="009F7B89" w:rsidRPr="00E45630" w:rsidRDefault="00496BDC" w:rsidP="00482A8B">
      <w:pPr>
        <w:pStyle w:val="TableFooter"/>
        <w:ind w:left="720"/>
      </w:pPr>
      <w:r w:rsidRPr="00E45630">
        <w:t>QALY = quality adjusted life year; ICER = incremental cost effectiveness ratio</w:t>
      </w:r>
      <w:r w:rsidR="00740535" w:rsidRPr="00E45630">
        <w:t>; CI = confidence interval</w:t>
      </w:r>
      <w:r w:rsidR="00D5664C" w:rsidRPr="00E45630">
        <w:t>; TTO = time trade-</w:t>
      </w:r>
      <w:r w:rsidR="00FC1FAC" w:rsidRPr="00E45630">
        <w:t>off</w:t>
      </w:r>
      <w:r w:rsidRPr="00E45630">
        <w:t>.</w:t>
      </w:r>
    </w:p>
    <w:p w:rsidR="003525A5" w:rsidRPr="00E45630" w:rsidRDefault="003525A5" w:rsidP="003525A5">
      <w:pPr>
        <w:widowControl/>
        <w:rPr>
          <w:i/>
          <w:szCs w:val="22"/>
        </w:rPr>
      </w:pPr>
    </w:p>
    <w:p w:rsidR="00C0313B" w:rsidRPr="00E172A9" w:rsidRDefault="00496BDC" w:rsidP="00081EEC">
      <w:pPr>
        <w:pStyle w:val="ListParagraph"/>
        <w:widowControl/>
        <w:numPr>
          <w:ilvl w:val="1"/>
          <w:numId w:val="3"/>
        </w:numPr>
        <w:rPr>
          <w:szCs w:val="22"/>
        </w:rPr>
      </w:pPr>
      <w:r w:rsidRPr="00E45630">
        <w:rPr>
          <w:lang w:val="en-US"/>
        </w:rPr>
        <w:t>Some key aspects of the model could not be tested, e.g. monthly cycles for the first year of life, changes in the contact matrix to better reflect persons with pertussis and the differences in contact in the younger age category (0-4 year</w:t>
      </w:r>
      <w:r w:rsidR="003525A5" w:rsidRPr="00E45630">
        <w:rPr>
          <w:lang w:val="en-US"/>
        </w:rPr>
        <w:t>s</w:t>
      </w:r>
      <w:r w:rsidRPr="00E45630">
        <w:rPr>
          <w:lang w:val="en-US"/>
        </w:rPr>
        <w:t xml:space="preserve"> was one category in </w:t>
      </w:r>
      <w:r w:rsidRPr="00E45630">
        <w:rPr>
          <w:lang w:val="en-US"/>
        </w:rPr>
        <w:lastRenderedPageBreak/>
        <w:t xml:space="preserve">the matrix used in the submission), </w:t>
      </w:r>
      <w:r w:rsidR="00740535" w:rsidRPr="00E45630">
        <w:rPr>
          <w:lang w:val="en-US"/>
        </w:rPr>
        <w:t xml:space="preserve">and </w:t>
      </w:r>
      <w:r w:rsidRPr="00E45630">
        <w:rPr>
          <w:lang w:val="en-US"/>
        </w:rPr>
        <w:t xml:space="preserve">the primary vaccination schedule </w:t>
      </w:r>
      <w:r w:rsidRPr="00E172A9">
        <w:rPr>
          <w:lang w:val="en-US"/>
        </w:rPr>
        <w:t xml:space="preserve">effectiveness without the 18-month booster. </w:t>
      </w:r>
    </w:p>
    <w:p w:rsidR="006663A4" w:rsidRPr="00E172A9" w:rsidRDefault="006663A4" w:rsidP="006663A4">
      <w:pPr>
        <w:pStyle w:val="PBACHeading1"/>
        <w:numPr>
          <w:ilvl w:val="0"/>
          <w:numId w:val="0"/>
        </w:numPr>
        <w:ind w:left="720" w:hanging="720"/>
      </w:pPr>
    </w:p>
    <w:p w:rsidR="005670F8" w:rsidRPr="00E172A9" w:rsidRDefault="005670F8" w:rsidP="00081EEC">
      <w:pPr>
        <w:pStyle w:val="ListParagraph"/>
        <w:widowControl/>
        <w:numPr>
          <w:ilvl w:val="1"/>
          <w:numId w:val="3"/>
        </w:numPr>
        <w:rPr>
          <w:szCs w:val="22"/>
        </w:rPr>
      </w:pPr>
      <w:r w:rsidRPr="00E172A9">
        <w:rPr>
          <w:szCs w:val="22"/>
        </w:rPr>
        <w:t xml:space="preserve">The PBAC </w:t>
      </w:r>
      <w:r w:rsidR="00323384" w:rsidRPr="00E172A9">
        <w:rPr>
          <w:szCs w:val="22"/>
        </w:rPr>
        <w:t>accepted</w:t>
      </w:r>
      <w:r w:rsidRPr="00E172A9">
        <w:rPr>
          <w:szCs w:val="22"/>
        </w:rPr>
        <w:t xml:space="preserve"> ESC</w:t>
      </w:r>
      <w:r w:rsidR="00323384" w:rsidRPr="00E172A9">
        <w:rPr>
          <w:szCs w:val="22"/>
        </w:rPr>
        <w:t>’s</w:t>
      </w:r>
      <w:r w:rsidRPr="00E172A9">
        <w:rPr>
          <w:szCs w:val="22"/>
        </w:rPr>
        <w:t xml:space="preserve"> respecified base cas</w:t>
      </w:r>
      <w:r w:rsidR="00323384" w:rsidRPr="00E172A9">
        <w:rPr>
          <w:szCs w:val="22"/>
        </w:rPr>
        <w:t xml:space="preserve">e, which </w:t>
      </w:r>
      <w:r w:rsidR="006663A4" w:rsidRPr="00E172A9">
        <w:rPr>
          <w:szCs w:val="22"/>
        </w:rPr>
        <w:t>corrected, amongst other inputs,</w:t>
      </w:r>
      <w:r w:rsidRPr="00E172A9">
        <w:rPr>
          <w:szCs w:val="22"/>
        </w:rPr>
        <w:t xml:space="preserve"> </w:t>
      </w:r>
      <w:r w:rsidR="00714526">
        <w:rPr>
          <w:szCs w:val="22"/>
        </w:rPr>
        <w:t xml:space="preserve">for </w:t>
      </w:r>
      <w:r w:rsidRPr="00E172A9">
        <w:rPr>
          <w:szCs w:val="22"/>
        </w:rPr>
        <w:t>the inconsistent approach to counting cases in the two treatment arms in the model and grouping</w:t>
      </w:r>
      <w:r w:rsidR="009B27EA" w:rsidRPr="00E172A9">
        <w:rPr>
          <w:szCs w:val="22"/>
        </w:rPr>
        <w:t xml:space="preserve"> reported cases after using age-</w:t>
      </w:r>
      <w:r w:rsidRPr="00E172A9">
        <w:rPr>
          <w:szCs w:val="22"/>
        </w:rPr>
        <w:t>year specific reporting ra</w:t>
      </w:r>
      <w:r w:rsidR="00323384" w:rsidRPr="00E172A9">
        <w:rPr>
          <w:szCs w:val="22"/>
        </w:rPr>
        <w:t xml:space="preserve">tes. The committee noted the respecified base case </w:t>
      </w:r>
      <w:r w:rsidRPr="00E172A9">
        <w:rPr>
          <w:szCs w:val="22"/>
        </w:rPr>
        <w:t xml:space="preserve">resulted in an ICER of </w:t>
      </w:r>
      <w:r w:rsidR="00906CBB">
        <w:rPr>
          <w:lang w:val="en-US"/>
        </w:rPr>
        <w:t>less than $15,000/QALY</w:t>
      </w:r>
      <w:r w:rsidRPr="00E172A9">
        <w:rPr>
          <w:szCs w:val="22"/>
        </w:rPr>
        <w:t xml:space="preserve"> (for the whole population). The PBAC further agreed with the ESC that the revised </w:t>
      </w:r>
      <w:r w:rsidR="004F49F0" w:rsidRPr="00E172A9">
        <w:rPr>
          <w:szCs w:val="22"/>
        </w:rPr>
        <w:t>model</w:t>
      </w:r>
      <w:r w:rsidR="00D82C1C" w:rsidRPr="00E172A9">
        <w:rPr>
          <w:szCs w:val="22"/>
        </w:rPr>
        <w:t xml:space="preserve"> is more robust </w:t>
      </w:r>
      <w:r w:rsidRPr="00E172A9">
        <w:rPr>
          <w:szCs w:val="22"/>
        </w:rPr>
        <w:t xml:space="preserve">and </w:t>
      </w:r>
      <w:r w:rsidR="00985FFC" w:rsidRPr="00E172A9">
        <w:rPr>
          <w:szCs w:val="22"/>
        </w:rPr>
        <w:t xml:space="preserve">noted </w:t>
      </w:r>
      <w:r w:rsidRPr="00E172A9">
        <w:rPr>
          <w:szCs w:val="22"/>
        </w:rPr>
        <w:t xml:space="preserve">that the ICER for the whole population remained under $20,000 per QALY under all scenarios tested. </w:t>
      </w:r>
    </w:p>
    <w:p w:rsidR="00323384" w:rsidRPr="00E172A9" w:rsidRDefault="00323384" w:rsidP="00323384">
      <w:pPr>
        <w:pStyle w:val="ListParagraph"/>
        <w:widowControl/>
        <w:rPr>
          <w:szCs w:val="22"/>
        </w:rPr>
      </w:pPr>
    </w:p>
    <w:p w:rsidR="00323384" w:rsidRPr="00E172A9" w:rsidRDefault="00D82C1C" w:rsidP="00E172A9">
      <w:pPr>
        <w:pStyle w:val="ListParagraph"/>
        <w:widowControl/>
        <w:numPr>
          <w:ilvl w:val="1"/>
          <w:numId w:val="3"/>
        </w:numPr>
        <w:rPr>
          <w:szCs w:val="22"/>
        </w:rPr>
      </w:pPr>
      <w:r w:rsidRPr="00E172A9">
        <w:rPr>
          <w:szCs w:val="22"/>
        </w:rPr>
        <w:t xml:space="preserve">The </w:t>
      </w:r>
      <w:r w:rsidR="00323384" w:rsidRPr="00E172A9">
        <w:rPr>
          <w:szCs w:val="22"/>
        </w:rPr>
        <w:t xml:space="preserve">PBAC considered that the </w:t>
      </w:r>
      <w:r w:rsidRPr="00E172A9">
        <w:rPr>
          <w:szCs w:val="22"/>
        </w:rPr>
        <w:t xml:space="preserve">cost-effectiveness of the 18-month booster may be underestimated, given </w:t>
      </w:r>
      <w:r w:rsidR="00714526">
        <w:rPr>
          <w:szCs w:val="22"/>
        </w:rPr>
        <w:t xml:space="preserve">that </w:t>
      </w:r>
      <w:r w:rsidRPr="00E172A9">
        <w:rPr>
          <w:szCs w:val="22"/>
        </w:rPr>
        <w:t>the magnitude of the</w:t>
      </w:r>
      <w:r w:rsidR="00323384" w:rsidRPr="00E172A9">
        <w:rPr>
          <w:szCs w:val="22"/>
        </w:rPr>
        <w:t xml:space="preserve"> clinical</w:t>
      </w:r>
      <w:r w:rsidR="00E172A9">
        <w:rPr>
          <w:szCs w:val="22"/>
        </w:rPr>
        <w:t xml:space="preserve"> effectiveness of adding the 18</w:t>
      </w:r>
      <w:r w:rsidR="00E172A9">
        <w:rPr>
          <w:szCs w:val="22"/>
        </w:rPr>
        <w:noBreakHyphen/>
      </w:r>
      <w:r w:rsidR="00323384" w:rsidRPr="00E172A9">
        <w:rPr>
          <w:szCs w:val="22"/>
        </w:rPr>
        <w:t xml:space="preserve">month booster </w:t>
      </w:r>
      <w:r w:rsidRPr="00E172A9">
        <w:rPr>
          <w:szCs w:val="22"/>
        </w:rPr>
        <w:t xml:space="preserve">is unknown and the model, particularly in the 0-3 year old population, is sensitive to the source of the disutilities and the application of disutility for non-notified pertussis cases </w:t>
      </w:r>
      <w:r w:rsidR="00323384" w:rsidRPr="00E172A9">
        <w:rPr>
          <w:szCs w:val="22"/>
        </w:rPr>
        <w:t xml:space="preserve">as well as other uncertain assumptions and methodologies highlighted by the ESC. </w:t>
      </w:r>
      <w:r w:rsidR="00655867" w:rsidRPr="00E172A9">
        <w:rPr>
          <w:szCs w:val="22"/>
        </w:rPr>
        <w:t>The PBAC considered that while the booster is likely to be cost-effective, the extent of uncertainty may be ameliorated via a reduction in the proposed price per booster dose.</w:t>
      </w:r>
    </w:p>
    <w:p w:rsidR="00280C9C" w:rsidRDefault="00280C9C" w:rsidP="00365FD2">
      <w:bookmarkStart w:id="18" w:name="_Toc398033200"/>
    </w:p>
    <w:p w:rsidR="009246B0" w:rsidRPr="009246B0" w:rsidRDefault="009246B0" w:rsidP="009246B0">
      <w:pPr>
        <w:pStyle w:val="PBACHeading1"/>
        <w:numPr>
          <w:ilvl w:val="0"/>
          <w:numId w:val="0"/>
        </w:numPr>
        <w:ind w:left="720"/>
        <w:rPr>
          <w:b w:val="0"/>
          <w:i/>
        </w:rPr>
      </w:pPr>
      <w:r w:rsidRPr="00E4716A">
        <w:rPr>
          <w:b w:val="0"/>
          <w:i/>
        </w:rPr>
        <w:t>For more detail on PBAC’s view, see section 7 “PBAC outcome”</w:t>
      </w:r>
    </w:p>
    <w:p w:rsidR="005F6968" w:rsidRDefault="005F6968" w:rsidP="00201D16"/>
    <w:p w:rsidR="00382220" w:rsidRPr="00201D16" w:rsidRDefault="00382220" w:rsidP="00201D16">
      <w:pPr>
        <w:rPr>
          <w:b/>
        </w:rPr>
      </w:pPr>
      <w:r w:rsidRPr="00201D16">
        <w:rPr>
          <w:b/>
        </w:rPr>
        <w:t>Drug cost/patient:</w:t>
      </w:r>
      <w:bookmarkEnd w:id="18"/>
      <w:r w:rsidR="00711E32" w:rsidRPr="00201D16">
        <w:rPr>
          <w:b/>
        </w:rPr>
        <w:t xml:space="preserve"> $</w:t>
      </w:r>
      <w:r w:rsidR="00365FD2">
        <w:rPr>
          <w:b/>
          <w:noProof/>
          <w:color w:val="000000"/>
          <w:highlight w:val="black"/>
        </w:rPr>
        <w:t>'''''</w:t>
      </w:r>
    </w:p>
    <w:p w:rsidR="00382220" w:rsidRPr="00E45630" w:rsidRDefault="00382220" w:rsidP="00382220">
      <w:pPr>
        <w:widowControl/>
        <w:rPr>
          <w:szCs w:val="22"/>
        </w:rPr>
      </w:pPr>
    </w:p>
    <w:p w:rsidR="00382220" w:rsidRPr="00E45630" w:rsidRDefault="00382220" w:rsidP="00081EEC">
      <w:pPr>
        <w:pStyle w:val="ListParagraph"/>
        <w:widowControl/>
        <w:numPr>
          <w:ilvl w:val="1"/>
          <w:numId w:val="3"/>
        </w:numPr>
        <w:rPr>
          <w:szCs w:val="22"/>
        </w:rPr>
      </w:pPr>
      <w:r w:rsidRPr="00E45630">
        <w:t>The proposed treatment consists of a single additional booster dose of DTPa at 18</w:t>
      </w:r>
      <w:r w:rsidR="007C4E7D" w:rsidRPr="00E45630">
        <w:t> </w:t>
      </w:r>
      <w:r w:rsidRPr="00E45630">
        <w:t xml:space="preserve">months, </w:t>
      </w:r>
      <w:r w:rsidR="00890CB8" w:rsidRPr="00E45630">
        <w:t xml:space="preserve">with a cost of </w:t>
      </w:r>
      <w:r w:rsidRPr="00E45630">
        <w:t>$</w:t>
      </w:r>
      <w:r w:rsidR="00365FD2">
        <w:rPr>
          <w:noProof/>
          <w:color w:val="000000"/>
          <w:highlight w:val="black"/>
        </w:rPr>
        <w:t>''''''</w:t>
      </w:r>
      <w:r w:rsidRPr="00E45630">
        <w:t xml:space="preserve">. </w:t>
      </w:r>
    </w:p>
    <w:p w:rsidR="00382220" w:rsidRPr="00E45630" w:rsidRDefault="00382220" w:rsidP="00382220">
      <w:pPr>
        <w:rPr>
          <w:szCs w:val="22"/>
        </w:rPr>
      </w:pPr>
    </w:p>
    <w:p w:rsidR="00382220" w:rsidRPr="00201D16" w:rsidRDefault="00382220" w:rsidP="00201D16">
      <w:pPr>
        <w:rPr>
          <w:b/>
        </w:rPr>
      </w:pPr>
      <w:bookmarkStart w:id="19" w:name="_Toc398033201"/>
      <w:r w:rsidRPr="00201D16">
        <w:rPr>
          <w:b/>
        </w:rPr>
        <w:t>Estimated PBS usage &amp; financial implications</w:t>
      </w:r>
      <w:bookmarkEnd w:id="19"/>
    </w:p>
    <w:p w:rsidR="00382220" w:rsidRPr="00E45630" w:rsidRDefault="00382220" w:rsidP="00382220">
      <w:pPr>
        <w:ind w:left="720" w:hanging="720"/>
        <w:rPr>
          <w:b/>
          <w:szCs w:val="22"/>
        </w:rPr>
      </w:pPr>
    </w:p>
    <w:p w:rsidR="004F4D58" w:rsidRPr="00E45630" w:rsidRDefault="00382220" w:rsidP="00081EEC">
      <w:pPr>
        <w:pStyle w:val="ListParagraph"/>
        <w:widowControl/>
        <w:numPr>
          <w:ilvl w:val="1"/>
          <w:numId w:val="3"/>
        </w:numPr>
      </w:pPr>
      <w:r w:rsidRPr="00E45630">
        <w:t xml:space="preserve">This submission </w:t>
      </w:r>
      <w:r w:rsidR="004F4D58" w:rsidRPr="00E45630">
        <w:t>was not</w:t>
      </w:r>
      <w:r w:rsidRPr="00E45630">
        <w:t xml:space="preserve"> considered by DUSC. </w:t>
      </w:r>
    </w:p>
    <w:p w:rsidR="004F4D58" w:rsidRPr="00E45630" w:rsidRDefault="004F4D58" w:rsidP="004F4D58">
      <w:pPr>
        <w:pStyle w:val="ListParagraph"/>
        <w:widowControl/>
      </w:pPr>
    </w:p>
    <w:p w:rsidR="005C0F14" w:rsidRPr="00E45630" w:rsidRDefault="00740535" w:rsidP="00081EEC">
      <w:pPr>
        <w:pStyle w:val="ListParagraph"/>
        <w:widowControl/>
        <w:numPr>
          <w:ilvl w:val="1"/>
          <w:numId w:val="3"/>
        </w:numPr>
      </w:pPr>
      <w:r w:rsidRPr="00E45630">
        <w:t>The submission assume</w:t>
      </w:r>
      <w:r w:rsidR="006B060D">
        <w:t>d</w:t>
      </w:r>
      <w:r w:rsidRPr="00E45630">
        <w:t xml:space="preserve"> that all 18-month old children are eligible for vaccination and that the uptake will be similar to current </w:t>
      </w:r>
      <w:r w:rsidR="002A097C">
        <w:t>MMRV</w:t>
      </w:r>
      <w:r w:rsidRPr="00E45630">
        <w:t xml:space="preserve"> vaccination, i.e. 94.1%.</w:t>
      </w:r>
      <w:r w:rsidR="00382220" w:rsidRPr="00E45630">
        <w:t xml:space="preserve"> </w:t>
      </w:r>
      <w:r w:rsidRPr="00E45630">
        <w:t>Therefore, the submission</w:t>
      </w:r>
      <w:r w:rsidR="003F7E3B" w:rsidRPr="00E45630">
        <w:t xml:space="preserve"> expect</w:t>
      </w:r>
      <w:r w:rsidR="006B060D">
        <w:t>ed</w:t>
      </w:r>
      <w:r w:rsidRPr="00E45630">
        <w:t xml:space="preserve"> that there will be no additional administration costs. </w:t>
      </w:r>
      <w:r w:rsidR="005C0F14" w:rsidRPr="00E45630">
        <w:t>The ESC considered that this assumption may not be reasonable</w:t>
      </w:r>
      <w:r w:rsidR="003525A5" w:rsidRPr="00E45630">
        <w:t>. I</w:t>
      </w:r>
      <w:r w:rsidR="005C0F14" w:rsidRPr="00E45630">
        <w:t>f a GP is administering the vaccine the consultation would</w:t>
      </w:r>
      <w:r w:rsidR="000578B4">
        <w:t xml:space="preserve"> be expected to take at least 5 </w:t>
      </w:r>
      <w:r w:rsidR="005C0F14" w:rsidRPr="00E45630">
        <w:t xml:space="preserve">minutes longer and may therefore result in a greater cost to the MBS. </w:t>
      </w:r>
      <w:r w:rsidR="00176962">
        <w:t xml:space="preserve">The pre-PBAC response argued that </w:t>
      </w:r>
      <w:r w:rsidR="00E701F5">
        <w:t xml:space="preserve">there unlikely to be an increase in the cost of administration of vaccine. </w:t>
      </w:r>
    </w:p>
    <w:p w:rsidR="00382220" w:rsidRPr="00E45630" w:rsidRDefault="00382220" w:rsidP="00382220">
      <w:pPr>
        <w:pStyle w:val="ListParagraph"/>
        <w:widowControl/>
        <w:ind w:left="709"/>
        <w:rPr>
          <w:color w:val="3366FF"/>
        </w:rPr>
      </w:pPr>
    </w:p>
    <w:p w:rsidR="00382220" w:rsidRPr="00E45630" w:rsidRDefault="00382220" w:rsidP="00E172A9">
      <w:pPr>
        <w:pStyle w:val="ListParagraph"/>
        <w:keepNext/>
        <w:widowControl/>
        <w:rPr>
          <w:rStyle w:val="CommentReference"/>
        </w:rPr>
      </w:pPr>
      <w:r w:rsidRPr="00E45630">
        <w:rPr>
          <w:rStyle w:val="CommentReference"/>
        </w:rPr>
        <w:t>Estimated costs and financial implications of 18-month booster of DTPa for NIP and PBS/RPBS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09"/>
        <w:gridCol w:w="1150"/>
        <w:gridCol w:w="1151"/>
        <w:gridCol w:w="1151"/>
        <w:gridCol w:w="1151"/>
        <w:gridCol w:w="1151"/>
      </w:tblGrid>
      <w:tr w:rsidR="00FB5E3B" w:rsidRPr="00E45630" w:rsidTr="00FB5E3B">
        <w:trPr>
          <w:trHeight w:val="20"/>
          <w:tblHeader/>
        </w:trPr>
        <w:tc>
          <w:tcPr>
            <w:tcW w:w="2609" w:type="dxa"/>
            <w:shd w:val="clear" w:color="auto" w:fill="auto"/>
            <w:tcMar>
              <w:left w:w="28" w:type="dxa"/>
              <w:right w:w="28" w:type="dxa"/>
            </w:tcMar>
            <w:vAlign w:val="center"/>
            <w:hideMark/>
          </w:tcPr>
          <w:p w:rsidR="00382220" w:rsidRPr="00E45630" w:rsidRDefault="00382220" w:rsidP="00811B2C">
            <w:pPr>
              <w:keepNext/>
              <w:widowControl/>
              <w:jc w:val="left"/>
              <w:rPr>
                <w:rFonts w:ascii="Arial Narrow" w:hAnsi="Arial Narrow"/>
                <w:b/>
                <w:snapToGrid/>
                <w:sz w:val="20"/>
                <w:lang w:eastAsia="en-AU"/>
              </w:rPr>
            </w:pPr>
            <w:r w:rsidRPr="00E45630">
              <w:rPr>
                <w:rFonts w:ascii="Arial Narrow" w:hAnsi="Arial Narrow"/>
                <w:b/>
                <w:snapToGrid/>
                <w:sz w:val="20"/>
                <w:lang w:eastAsia="en-AU"/>
              </w:rPr>
              <w:t>Description</w:t>
            </w:r>
          </w:p>
        </w:tc>
        <w:tc>
          <w:tcPr>
            <w:tcW w:w="1150" w:type="dxa"/>
            <w:shd w:val="clear" w:color="auto" w:fill="auto"/>
            <w:noWrap/>
            <w:tcMar>
              <w:left w:w="28" w:type="dxa"/>
              <w:right w:w="28" w:type="dxa"/>
            </w:tcMar>
            <w:vAlign w:val="center"/>
            <w:hideMark/>
          </w:tcPr>
          <w:p w:rsidR="00382220" w:rsidRPr="00E45630" w:rsidRDefault="00382220" w:rsidP="00811B2C">
            <w:pPr>
              <w:keepNext/>
              <w:widowControl/>
              <w:jc w:val="center"/>
              <w:rPr>
                <w:rFonts w:ascii="Arial Narrow" w:hAnsi="Arial Narrow"/>
                <w:b/>
                <w:snapToGrid/>
                <w:color w:val="000000"/>
                <w:sz w:val="20"/>
                <w:lang w:eastAsia="en-AU"/>
              </w:rPr>
            </w:pPr>
            <w:r w:rsidRPr="00E45630">
              <w:rPr>
                <w:rFonts w:ascii="Arial Narrow" w:hAnsi="Arial Narrow"/>
                <w:b/>
                <w:snapToGrid/>
                <w:color w:val="000000"/>
                <w:sz w:val="20"/>
                <w:lang w:eastAsia="en-AU"/>
              </w:rPr>
              <w:t>2015</w:t>
            </w:r>
          </w:p>
        </w:tc>
        <w:tc>
          <w:tcPr>
            <w:tcW w:w="1151" w:type="dxa"/>
            <w:shd w:val="clear" w:color="auto" w:fill="auto"/>
            <w:noWrap/>
            <w:tcMar>
              <w:left w:w="28" w:type="dxa"/>
              <w:right w:w="28" w:type="dxa"/>
            </w:tcMar>
            <w:vAlign w:val="center"/>
            <w:hideMark/>
          </w:tcPr>
          <w:p w:rsidR="00382220" w:rsidRPr="00E45630" w:rsidRDefault="00382220" w:rsidP="00811B2C">
            <w:pPr>
              <w:keepNext/>
              <w:widowControl/>
              <w:jc w:val="center"/>
              <w:rPr>
                <w:rFonts w:ascii="Arial Narrow" w:hAnsi="Arial Narrow"/>
                <w:b/>
                <w:snapToGrid/>
                <w:color w:val="000000"/>
                <w:sz w:val="20"/>
                <w:lang w:eastAsia="en-AU"/>
              </w:rPr>
            </w:pPr>
            <w:r w:rsidRPr="00E45630">
              <w:rPr>
                <w:rFonts w:ascii="Arial Narrow" w:hAnsi="Arial Narrow"/>
                <w:b/>
                <w:snapToGrid/>
                <w:color w:val="000000"/>
                <w:sz w:val="20"/>
                <w:lang w:eastAsia="en-AU"/>
              </w:rPr>
              <w:t>2016</w:t>
            </w:r>
          </w:p>
        </w:tc>
        <w:tc>
          <w:tcPr>
            <w:tcW w:w="1151" w:type="dxa"/>
            <w:shd w:val="clear" w:color="auto" w:fill="auto"/>
            <w:noWrap/>
            <w:tcMar>
              <w:left w:w="28" w:type="dxa"/>
              <w:right w:w="28" w:type="dxa"/>
            </w:tcMar>
            <w:vAlign w:val="center"/>
            <w:hideMark/>
          </w:tcPr>
          <w:p w:rsidR="00382220" w:rsidRPr="00E45630" w:rsidRDefault="00382220" w:rsidP="00811B2C">
            <w:pPr>
              <w:keepNext/>
              <w:widowControl/>
              <w:jc w:val="center"/>
              <w:rPr>
                <w:rFonts w:ascii="Arial Narrow" w:hAnsi="Arial Narrow"/>
                <w:b/>
                <w:snapToGrid/>
                <w:color w:val="000000"/>
                <w:sz w:val="20"/>
                <w:lang w:eastAsia="en-AU"/>
              </w:rPr>
            </w:pPr>
            <w:r w:rsidRPr="00E45630">
              <w:rPr>
                <w:rFonts w:ascii="Arial Narrow" w:hAnsi="Arial Narrow"/>
                <w:b/>
                <w:snapToGrid/>
                <w:color w:val="000000"/>
                <w:sz w:val="20"/>
                <w:lang w:eastAsia="en-AU"/>
              </w:rPr>
              <w:t>2017</w:t>
            </w:r>
          </w:p>
        </w:tc>
        <w:tc>
          <w:tcPr>
            <w:tcW w:w="1151" w:type="dxa"/>
            <w:shd w:val="clear" w:color="auto" w:fill="auto"/>
            <w:noWrap/>
            <w:tcMar>
              <w:left w:w="28" w:type="dxa"/>
              <w:right w:w="28" w:type="dxa"/>
            </w:tcMar>
            <w:vAlign w:val="center"/>
            <w:hideMark/>
          </w:tcPr>
          <w:p w:rsidR="00382220" w:rsidRPr="00E45630" w:rsidRDefault="00382220" w:rsidP="00811B2C">
            <w:pPr>
              <w:keepNext/>
              <w:widowControl/>
              <w:jc w:val="center"/>
              <w:rPr>
                <w:rFonts w:ascii="Arial Narrow" w:hAnsi="Arial Narrow"/>
                <w:b/>
                <w:snapToGrid/>
                <w:color w:val="000000"/>
                <w:sz w:val="20"/>
                <w:lang w:eastAsia="en-AU"/>
              </w:rPr>
            </w:pPr>
            <w:r w:rsidRPr="00E45630">
              <w:rPr>
                <w:rFonts w:ascii="Arial Narrow" w:hAnsi="Arial Narrow"/>
                <w:b/>
                <w:snapToGrid/>
                <w:color w:val="000000"/>
                <w:sz w:val="20"/>
                <w:lang w:eastAsia="en-AU"/>
              </w:rPr>
              <w:t>2018</w:t>
            </w:r>
          </w:p>
        </w:tc>
        <w:tc>
          <w:tcPr>
            <w:tcW w:w="1151" w:type="dxa"/>
            <w:shd w:val="clear" w:color="auto" w:fill="auto"/>
            <w:noWrap/>
            <w:tcMar>
              <w:left w:w="28" w:type="dxa"/>
              <w:right w:w="28" w:type="dxa"/>
            </w:tcMar>
            <w:vAlign w:val="center"/>
            <w:hideMark/>
          </w:tcPr>
          <w:p w:rsidR="00382220" w:rsidRPr="00E45630" w:rsidRDefault="00382220" w:rsidP="00811B2C">
            <w:pPr>
              <w:keepNext/>
              <w:widowControl/>
              <w:jc w:val="center"/>
              <w:rPr>
                <w:rFonts w:ascii="Arial Narrow" w:hAnsi="Arial Narrow"/>
                <w:b/>
                <w:snapToGrid/>
                <w:color w:val="000000"/>
                <w:sz w:val="20"/>
                <w:lang w:eastAsia="en-AU"/>
              </w:rPr>
            </w:pPr>
            <w:r w:rsidRPr="00E45630">
              <w:rPr>
                <w:rFonts w:ascii="Arial Narrow" w:hAnsi="Arial Narrow"/>
                <w:b/>
                <w:snapToGrid/>
                <w:color w:val="000000"/>
                <w:sz w:val="20"/>
                <w:lang w:eastAsia="en-AU"/>
              </w:rPr>
              <w:t>2019</w:t>
            </w:r>
          </w:p>
        </w:tc>
      </w:tr>
      <w:tr w:rsidR="00FB5E3B" w:rsidRPr="00E45630" w:rsidTr="00FB5E3B">
        <w:trPr>
          <w:trHeight w:val="20"/>
        </w:trPr>
        <w:tc>
          <w:tcPr>
            <w:tcW w:w="2609" w:type="dxa"/>
            <w:shd w:val="clear" w:color="auto" w:fill="auto"/>
            <w:tcMar>
              <w:left w:w="28" w:type="dxa"/>
              <w:right w:w="28" w:type="dxa"/>
            </w:tcMar>
            <w:vAlign w:val="center"/>
          </w:tcPr>
          <w:p w:rsidR="00382220" w:rsidRPr="00E45630" w:rsidRDefault="00382220" w:rsidP="00811B2C">
            <w:pPr>
              <w:keepNext/>
              <w:widowControl/>
              <w:jc w:val="left"/>
              <w:rPr>
                <w:rFonts w:ascii="Arial Narrow" w:hAnsi="Arial Narrow"/>
                <w:snapToGrid/>
                <w:sz w:val="20"/>
                <w:lang w:eastAsia="en-AU"/>
              </w:rPr>
            </w:pPr>
            <w:r w:rsidRPr="00E45630">
              <w:rPr>
                <w:rFonts w:ascii="Arial Narrow" w:hAnsi="Arial Narrow"/>
                <w:snapToGrid/>
                <w:sz w:val="20"/>
                <w:lang w:eastAsia="en-AU"/>
              </w:rPr>
              <w:t xml:space="preserve">Number of children treated </w:t>
            </w:r>
          </w:p>
        </w:tc>
        <w:tc>
          <w:tcPr>
            <w:tcW w:w="1150"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FB5E3B" w:rsidRPr="00E45630" w:rsidTr="00FB5E3B">
        <w:trPr>
          <w:trHeight w:val="20"/>
        </w:trPr>
        <w:tc>
          <w:tcPr>
            <w:tcW w:w="2609" w:type="dxa"/>
            <w:shd w:val="clear" w:color="auto" w:fill="auto"/>
            <w:tcMar>
              <w:left w:w="28" w:type="dxa"/>
              <w:right w:w="28" w:type="dxa"/>
            </w:tcMar>
            <w:vAlign w:val="center"/>
          </w:tcPr>
          <w:p w:rsidR="00382220" w:rsidRPr="00E45630" w:rsidRDefault="00382220" w:rsidP="00811B2C">
            <w:pPr>
              <w:keepNext/>
              <w:widowControl/>
              <w:jc w:val="left"/>
              <w:rPr>
                <w:rFonts w:ascii="Arial Narrow" w:hAnsi="Arial Narrow"/>
                <w:snapToGrid/>
                <w:sz w:val="20"/>
                <w:lang w:eastAsia="en-AU"/>
              </w:rPr>
            </w:pPr>
            <w:r w:rsidRPr="00E45630">
              <w:rPr>
                <w:rFonts w:ascii="Arial Narrow" w:hAnsi="Arial Narrow"/>
                <w:snapToGrid/>
                <w:sz w:val="20"/>
                <w:lang w:eastAsia="en-AU"/>
              </w:rPr>
              <w:t xml:space="preserve">prescriptions </w:t>
            </w:r>
          </w:p>
        </w:tc>
        <w:tc>
          <w:tcPr>
            <w:tcW w:w="1150"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tcPr>
          <w:p w:rsidR="00382220" w:rsidRPr="00365FD2" w:rsidRDefault="00365FD2" w:rsidP="00811B2C">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FB5E3B" w:rsidRPr="00E45630" w:rsidTr="00FB5E3B">
        <w:trPr>
          <w:trHeight w:val="20"/>
        </w:trPr>
        <w:tc>
          <w:tcPr>
            <w:tcW w:w="2609" w:type="dxa"/>
            <w:shd w:val="clear" w:color="auto" w:fill="auto"/>
            <w:tcMar>
              <w:left w:w="28" w:type="dxa"/>
              <w:right w:w="28" w:type="dxa"/>
            </w:tcMar>
            <w:vAlign w:val="center"/>
            <w:hideMark/>
          </w:tcPr>
          <w:p w:rsidR="00382220" w:rsidRPr="00E45630" w:rsidRDefault="00382220" w:rsidP="00811B2C">
            <w:pPr>
              <w:keepNext/>
              <w:jc w:val="left"/>
              <w:rPr>
                <w:rFonts w:ascii="Arial Narrow" w:hAnsi="Arial Narrow"/>
                <w:snapToGrid/>
                <w:sz w:val="20"/>
                <w:lang w:eastAsia="en-AU"/>
              </w:rPr>
            </w:pPr>
            <w:r w:rsidRPr="00E45630">
              <w:rPr>
                <w:rFonts w:ascii="Arial Narrow" w:hAnsi="Arial Narrow"/>
                <w:snapToGrid/>
                <w:sz w:val="20"/>
                <w:lang w:eastAsia="en-AU"/>
              </w:rPr>
              <w:t>Net cost NIP</w:t>
            </w:r>
          </w:p>
        </w:tc>
        <w:tc>
          <w:tcPr>
            <w:tcW w:w="1150" w:type="dxa"/>
            <w:shd w:val="clear" w:color="auto" w:fill="auto"/>
            <w:noWrap/>
            <w:tcMar>
              <w:left w:w="28" w:type="dxa"/>
              <w:right w:w="28" w:type="dxa"/>
            </w:tcMar>
            <w:vAlign w:val="center"/>
            <w:hideMark/>
          </w:tcPr>
          <w:p w:rsidR="00382220"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hideMark/>
          </w:tcPr>
          <w:p w:rsidR="00382220"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hideMark/>
          </w:tcPr>
          <w:p w:rsidR="00382220"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hideMark/>
          </w:tcPr>
          <w:p w:rsidR="00382220"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center"/>
            <w:hideMark/>
          </w:tcPr>
          <w:p w:rsidR="00382220"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r>
      <w:tr w:rsidR="00FB5E3B" w:rsidRPr="00E45630" w:rsidTr="00FB5E3B">
        <w:trPr>
          <w:trHeight w:val="20"/>
        </w:trPr>
        <w:tc>
          <w:tcPr>
            <w:tcW w:w="2609" w:type="dxa"/>
            <w:shd w:val="clear" w:color="auto" w:fill="auto"/>
            <w:tcMar>
              <w:left w:w="28" w:type="dxa"/>
              <w:right w:w="28" w:type="dxa"/>
            </w:tcMar>
            <w:vAlign w:val="center"/>
          </w:tcPr>
          <w:p w:rsidR="00382220" w:rsidRPr="00E45630" w:rsidRDefault="00382220" w:rsidP="00811B2C">
            <w:pPr>
              <w:keepNext/>
              <w:jc w:val="left"/>
              <w:rPr>
                <w:rFonts w:ascii="Arial Narrow" w:hAnsi="Arial Narrow"/>
                <w:snapToGrid/>
                <w:sz w:val="20"/>
                <w:lang w:eastAsia="en-AU"/>
              </w:rPr>
            </w:pPr>
            <w:r w:rsidRPr="00E45630">
              <w:rPr>
                <w:rFonts w:ascii="Arial Narrow" w:hAnsi="Arial Narrow"/>
                <w:snapToGrid/>
                <w:sz w:val="20"/>
                <w:lang w:eastAsia="en-AU"/>
              </w:rPr>
              <w:t>Net saving PBS/RPBS</w:t>
            </w:r>
          </w:p>
        </w:tc>
        <w:tc>
          <w:tcPr>
            <w:tcW w:w="1150" w:type="dxa"/>
            <w:shd w:val="clear" w:color="auto" w:fill="auto"/>
            <w:noWrap/>
            <w:tcMar>
              <w:left w:w="28" w:type="dxa"/>
              <w:right w:w="28" w:type="dxa"/>
            </w:tcMar>
            <w:vAlign w:val="center"/>
          </w:tcPr>
          <w:p w:rsidR="00382220" w:rsidRPr="00365FD2" w:rsidDel="00272204" w:rsidRDefault="00365FD2" w:rsidP="00811B2C">
            <w:pPr>
              <w:keepNext/>
              <w:jc w:val="right"/>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382220" w:rsidRPr="00365FD2" w:rsidDel="00272204" w:rsidRDefault="00365FD2" w:rsidP="00811B2C">
            <w:pPr>
              <w:keepNext/>
              <w:jc w:val="right"/>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382220" w:rsidRPr="00365FD2" w:rsidDel="00272204" w:rsidRDefault="00365FD2" w:rsidP="00811B2C">
            <w:pPr>
              <w:keepNext/>
              <w:jc w:val="right"/>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382220" w:rsidRPr="00365FD2" w:rsidDel="00272204" w:rsidRDefault="00365FD2" w:rsidP="00811B2C">
            <w:pPr>
              <w:keepNext/>
              <w:jc w:val="right"/>
              <w:rPr>
                <w:rFonts w:ascii="Arial Narrow" w:hAnsi="Arial Narrow"/>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382220" w:rsidRPr="00365FD2" w:rsidDel="00272204" w:rsidRDefault="00365FD2" w:rsidP="00811B2C">
            <w:pPr>
              <w:keepNext/>
              <w:jc w:val="right"/>
              <w:rPr>
                <w:rFonts w:ascii="Arial Narrow" w:hAnsi="Arial Narrow"/>
                <w:sz w:val="20"/>
                <w:highlight w:val="black"/>
              </w:rPr>
            </w:pPr>
            <w:r>
              <w:rPr>
                <w:rFonts w:ascii="Arial Narrow" w:hAnsi="Arial Narrow"/>
                <w:noProof/>
                <w:color w:val="000000"/>
                <w:sz w:val="20"/>
                <w:highlight w:val="black"/>
              </w:rPr>
              <w:t>'''''''''''''''''''</w:t>
            </w:r>
          </w:p>
        </w:tc>
      </w:tr>
      <w:tr w:rsidR="00FB5E3B" w:rsidRPr="00E45630" w:rsidTr="00FB5E3B">
        <w:trPr>
          <w:trHeight w:val="20"/>
        </w:trPr>
        <w:tc>
          <w:tcPr>
            <w:tcW w:w="2609" w:type="dxa"/>
            <w:shd w:val="clear" w:color="auto" w:fill="auto"/>
            <w:tcMar>
              <w:left w:w="28" w:type="dxa"/>
              <w:right w:w="28" w:type="dxa"/>
            </w:tcMar>
            <w:vAlign w:val="bottom"/>
          </w:tcPr>
          <w:p w:rsidR="00FB5E3B" w:rsidRPr="00E45630" w:rsidRDefault="00FB5E3B" w:rsidP="00811B2C">
            <w:pPr>
              <w:keepNext/>
              <w:jc w:val="left"/>
              <w:rPr>
                <w:rFonts w:ascii="Arial Narrow" w:hAnsi="Arial Narrow"/>
                <w:bCs/>
                <w:color w:val="000000" w:themeColor="text1"/>
                <w:sz w:val="20"/>
              </w:rPr>
            </w:pPr>
            <w:r w:rsidRPr="00E45630">
              <w:rPr>
                <w:rFonts w:ascii="Arial Narrow" w:hAnsi="Arial Narrow"/>
                <w:bCs/>
                <w:color w:val="000000" w:themeColor="text1"/>
                <w:sz w:val="20"/>
              </w:rPr>
              <w:t>Cost to Government for MBS</w:t>
            </w:r>
          </w:p>
        </w:tc>
        <w:tc>
          <w:tcPr>
            <w:tcW w:w="1150"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r>
      <w:tr w:rsidR="00FB5E3B" w:rsidRPr="00E45630" w:rsidTr="00FB5E3B">
        <w:trPr>
          <w:trHeight w:val="20"/>
        </w:trPr>
        <w:tc>
          <w:tcPr>
            <w:tcW w:w="2609" w:type="dxa"/>
            <w:shd w:val="clear" w:color="auto" w:fill="auto"/>
            <w:tcMar>
              <w:left w:w="28" w:type="dxa"/>
              <w:right w:w="28" w:type="dxa"/>
            </w:tcMar>
            <w:vAlign w:val="bottom"/>
          </w:tcPr>
          <w:p w:rsidR="00FB5E3B" w:rsidRPr="00E45630" w:rsidRDefault="00FB5E3B" w:rsidP="00811B2C">
            <w:pPr>
              <w:keepNext/>
              <w:jc w:val="left"/>
              <w:rPr>
                <w:rFonts w:ascii="Arial Narrow" w:hAnsi="Arial Narrow"/>
                <w:bCs/>
                <w:color w:val="000000" w:themeColor="text1"/>
                <w:sz w:val="20"/>
              </w:rPr>
            </w:pPr>
            <w:r w:rsidRPr="00E45630">
              <w:rPr>
                <w:rFonts w:ascii="Arial Narrow" w:hAnsi="Arial Narrow"/>
                <w:bCs/>
                <w:color w:val="000000" w:themeColor="text1"/>
                <w:sz w:val="20"/>
              </w:rPr>
              <w:t xml:space="preserve">Cost to State/Territory Government </w:t>
            </w:r>
          </w:p>
        </w:tc>
        <w:tc>
          <w:tcPr>
            <w:tcW w:w="1150"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color w:val="000000" w:themeColor="text1"/>
                <w:sz w:val="20"/>
                <w:highlight w:val="black"/>
              </w:rPr>
            </w:pPr>
            <w:r>
              <w:rPr>
                <w:rFonts w:ascii="Arial Narrow" w:hAnsi="Arial Narrow"/>
                <w:noProof/>
                <w:color w:val="000000"/>
                <w:sz w:val="20"/>
                <w:highlight w:val="black"/>
              </w:rPr>
              <w:t>'''''''''''''''''''''</w:t>
            </w:r>
          </w:p>
        </w:tc>
      </w:tr>
      <w:tr w:rsidR="00FB5E3B" w:rsidRPr="00E45630" w:rsidTr="00FB5E3B">
        <w:trPr>
          <w:trHeight w:val="20"/>
        </w:trPr>
        <w:tc>
          <w:tcPr>
            <w:tcW w:w="2609" w:type="dxa"/>
            <w:shd w:val="clear" w:color="auto" w:fill="auto"/>
            <w:tcMar>
              <w:left w:w="28" w:type="dxa"/>
              <w:right w:w="28" w:type="dxa"/>
            </w:tcMar>
            <w:vAlign w:val="bottom"/>
          </w:tcPr>
          <w:p w:rsidR="00FB5E3B" w:rsidRPr="00E45630" w:rsidRDefault="00FB5E3B" w:rsidP="00811B2C">
            <w:pPr>
              <w:keepNext/>
              <w:jc w:val="left"/>
              <w:rPr>
                <w:rFonts w:ascii="Arial Narrow" w:hAnsi="Arial Narrow"/>
                <w:b/>
                <w:bCs/>
                <w:color w:val="000000" w:themeColor="text1"/>
                <w:sz w:val="20"/>
              </w:rPr>
            </w:pPr>
            <w:r w:rsidRPr="00E45630">
              <w:rPr>
                <w:rFonts w:ascii="Arial Narrow" w:hAnsi="Arial Narrow"/>
                <w:b/>
                <w:bCs/>
                <w:color w:val="000000" w:themeColor="text1"/>
                <w:sz w:val="20"/>
              </w:rPr>
              <w:t xml:space="preserve">Overall Net cost </w:t>
            </w:r>
          </w:p>
        </w:tc>
        <w:tc>
          <w:tcPr>
            <w:tcW w:w="1150"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color w:val="000000" w:themeColor="text1"/>
                <w:sz w:val="20"/>
                <w:highlight w:val="black"/>
              </w:rPr>
            </w:pPr>
            <w:r>
              <w:rPr>
                <w:rFonts w:ascii="Arial Narrow" w:hAnsi="Arial Narrow"/>
                <w:b/>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color w:val="000000" w:themeColor="text1"/>
                <w:sz w:val="20"/>
                <w:highlight w:val="black"/>
              </w:rPr>
            </w:pPr>
            <w:r>
              <w:rPr>
                <w:rFonts w:ascii="Arial Narrow" w:hAnsi="Arial Narrow"/>
                <w:b/>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color w:val="000000" w:themeColor="text1"/>
                <w:sz w:val="20"/>
                <w:highlight w:val="black"/>
              </w:rPr>
            </w:pPr>
            <w:r>
              <w:rPr>
                <w:rFonts w:ascii="Arial Narrow" w:hAnsi="Arial Narrow"/>
                <w:b/>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color w:val="000000" w:themeColor="text1"/>
                <w:sz w:val="20"/>
                <w:highlight w:val="black"/>
              </w:rPr>
            </w:pPr>
            <w:r>
              <w:rPr>
                <w:rFonts w:ascii="Arial Narrow" w:hAnsi="Arial Narrow"/>
                <w:b/>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color w:val="000000" w:themeColor="text1"/>
                <w:sz w:val="20"/>
                <w:highlight w:val="black"/>
              </w:rPr>
            </w:pPr>
            <w:r>
              <w:rPr>
                <w:rFonts w:ascii="Arial Narrow" w:hAnsi="Arial Narrow"/>
                <w:b/>
                <w:noProof/>
                <w:color w:val="000000"/>
                <w:sz w:val="20"/>
                <w:highlight w:val="black"/>
              </w:rPr>
              <w:t>''''''''''''''''''''''''</w:t>
            </w:r>
          </w:p>
        </w:tc>
      </w:tr>
      <w:tr w:rsidR="00FB5E3B" w:rsidRPr="00E45630" w:rsidTr="00FB5E3B">
        <w:trPr>
          <w:trHeight w:val="20"/>
        </w:trPr>
        <w:tc>
          <w:tcPr>
            <w:tcW w:w="2609" w:type="dxa"/>
            <w:shd w:val="clear" w:color="auto" w:fill="auto"/>
            <w:tcMar>
              <w:left w:w="28" w:type="dxa"/>
              <w:right w:w="28" w:type="dxa"/>
            </w:tcMar>
            <w:vAlign w:val="center"/>
          </w:tcPr>
          <w:p w:rsidR="00FB5E3B" w:rsidRPr="00E45630" w:rsidRDefault="00FB5E3B" w:rsidP="00811B2C">
            <w:pPr>
              <w:keepNext/>
              <w:jc w:val="left"/>
              <w:rPr>
                <w:rFonts w:ascii="Arial Narrow" w:hAnsi="Arial Narrow"/>
                <w:b/>
                <w:snapToGrid/>
                <w:sz w:val="20"/>
                <w:lang w:eastAsia="en-AU"/>
              </w:rPr>
            </w:pPr>
            <w:r w:rsidRPr="00E45630">
              <w:rPr>
                <w:rFonts w:ascii="Arial Narrow" w:hAnsi="Arial Narrow"/>
                <w:b/>
                <w:snapToGrid/>
                <w:sz w:val="20"/>
                <w:lang w:eastAsia="en-AU"/>
              </w:rPr>
              <w:t>Net cost NIP and PBS/RPBS</w:t>
            </w:r>
          </w:p>
        </w:tc>
        <w:tc>
          <w:tcPr>
            <w:tcW w:w="1150"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sz w:val="20"/>
                <w:highlight w:val="black"/>
              </w:rPr>
            </w:pPr>
            <w:r>
              <w:rPr>
                <w:rFonts w:ascii="Arial Narrow" w:hAnsi="Arial Narrow"/>
                <w:b/>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sz w:val="20"/>
                <w:highlight w:val="black"/>
              </w:rPr>
            </w:pPr>
            <w:r>
              <w:rPr>
                <w:rFonts w:ascii="Arial Narrow" w:hAnsi="Arial Narrow"/>
                <w:b/>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sz w:val="20"/>
                <w:highlight w:val="black"/>
              </w:rPr>
            </w:pPr>
            <w:r>
              <w:rPr>
                <w:rFonts w:ascii="Arial Narrow" w:hAnsi="Arial Narrow"/>
                <w:b/>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sz w:val="20"/>
                <w:highlight w:val="black"/>
              </w:rPr>
            </w:pPr>
            <w:r>
              <w:rPr>
                <w:rFonts w:ascii="Arial Narrow" w:hAnsi="Arial Narrow"/>
                <w:b/>
                <w:noProof/>
                <w:color w:val="000000"/>
                <w:sz w:val="20"/>
                <w:highlight w:val="black"/>
              </w:rPr>
              <w:t>''''''''''''''''''''''</w:t>
            </w:r>
          </w:p>
        </w:tc>
        <w:tc>
          <w:tcPr>
            <w:tcW w:w="1151" w:type="dxa"/>
            <w:shd w:val="clear" w:color="auto" w:fill="auto"/>
            <w:noWrap/>
            <w:tcMar>
              <w:left w:w="28" w:type="dxa"/>
              <w:right w:w="28" w:type="dxa"/>
            </w:tcMar>
            <w:vAlign w:val="bottom"/>
          </w:tcPr>
          <w:p w:rsidR="00FB5E3B" w:rsidRPr="00365FD2" w:rsidRDefault="00365FD2" w:rsidP="00811B2C">
            <w:pPr>
              <w:keepNext/>
              <w:jc w:val="right"/>
              <w:rPr>
                <w:rFonts w:ascii="Arial Narrow" w:hAnsi="Arial Narrow"/>
                <w:b/>
                <w:sz w:val="20"/>
                <w:highlight w:val="black"/>
              </w:rPr>
            </w:pPr>
            <w:r>
              <w:rPr>
                <w:rFonts w:ascii="Arial Narrow" w:hAnsi="Arial Narrow"/>
                <w:b/>
                <w:noProof/>
                <w:color w:val="000000"/>
                <w:sz w:val="20"/>
                <w:highlight w:val="black"/>
              </w:rPr>
              <w:t>'''''''''''''''''''''''</w:t>
            </w:r>
          </w:p>
        </w:tc>
      </w:tr>
    </w:tbl>
    <w:p w:rsidR="00382220" w:rsidRDefault="00382220" w:rsidP="00382220">
      <w:pPr>
        <w:pStyle w:val="TableFooter"/>
        <w:ind w:firstLine="709"/>
      </w:pPr>
      <w:r w:rsidRPr="00E45630">
        <w:t>Source: Table E.4, p166 and Table E.20, pE-175 of the submission</w:t>
      </w:r>
    </w:p>
    <w:p w:rsidR="00FF112E" w:rsidRDefault="00FF112E" w:rsidP="00382220">
      <w:pPr>
        <w:pStyle w:val="TableFooter"/>
        <w:ind w:firstLine="709"/>
      </w:pPr>
    </w:p>
    <w:p w:rsidR="00FF112E" w:rsidRPr="00FF112E" w:rsidRDefault="00FF112E" w:rsidP="00FF112E">
      <w:pPr>
        <w:pStyle w:val="ListParagraph"/>
        <w:widowControl/>
        <w:rPr>
          <w:i/>
        </w:rPr>
      </w:pPr>
      <w:r w:rsidRPr="00FF112E">
        <w:rPr>
          <w:i/>
        </w:rPr>
        <w:lastRenderedPageBreak/>
        <w:t>The redacted table above shows that at Year 5, the estimated number of children treated to be over 200,000 and the net cost to NIP and PBS/RPBS to be less than $10 million.</w:t>
      </w:r>
    </w:p>
    <w:p w:rsidR="00382220" w:rsidRPr="00E45630" w:rsidRDefault="00382220" w:rsidP="00382220">
      <w:pPr>
        <w:rPr>
          <w:rFonts w:ascii="Arial Narrow" w:hAnsi="Arial Narrow"/>
          <w:sz w:val="20"/>
        </w:rPr>
      </w:pPr>
    </w:p>
    <w:p w:rsidR="004F4D58" w:rsidRPr="00E45630" w:rsidRDefault="00382220" w:rsidP="00081EEC">
      <w:pPr>
        <w:pStyle w:val="ListParagraph"/>
        <w:widowControl/>
        <w:numPr>
          <w:ilvl w:val="1"/>
          <w:numId w:val="3"/>
        </w:numPr>
      </w:pPr>
      <w:r w:rsidRPr="00E45630">
        <w:t>The estimated cost to the Government over the first</w:t>
      </w:r>
      <w:r w:rsidR="00811B2C" w:rsidRPr="00E45630">
        <w:t xml:space="preserve"> five years of listing is $</w:t>
      </w:r>
      <w:r w:rsidR="00365FD2">
        <w:rPr>
          <w:noProof/>
          <w:color w:val="000000"/>
          <w:highlight w:val="black"/>
        </w:rPr>
        <w:t>''''''''''''''''''''''''''''</w:t>
      </w:r>
      <w:r w:rsidRPr="00E45630">
        <w:t xml:space="preserve">. This is subject to uncertainty about uptake rates </w:t>
      </w:r>
      <w:r w:rsidR="00826271">
        <w:t xml:space="preserve">of the vaccine </w:t>
      </w:r>
      <w:r w:rsidRPr="00E45630">
        <w:t xml:space="preserve">and </w:t>
      </w:r>
      <w:r w:rsidR="00826271">
        <w:t>its</w:t>
      </w:r>
      <w:r w:rsidR="00826271" w:rsidRPr="00E45630">
        <w:t xml:space="preserve"> </w:t>
      </w:r>
      <w:r w:rsidRPr="00E45630">
        <w:t xml:space="preserve">effectiveness to reduce </w:t>
      </w:r>
      <w:r w:rsidR="00826271">
        <w:t xml:space="preserve">the number of </w:t>
      </w:r>
      <w:r w:rsidRPr="00E45630">
        <w:t xml:space="preserve">pertussis </w:t>
      </w:r>
      <w:r w:rsidR="00826271">
        <w:t xml:space="preserve">cases </w:t>
      </w:r>
      <w:r w:rsidRPr="00E45630">
        <w:t xml:space="preserve">for the five year period. Additionally, the submission </w:t>
      </w:r>
      <w:r w:rsidR="006B060D">
        <w:t>did</w:t>
      </w:r>
      <w:r w:rsidR="006B060D" w:rsidRPr="00E45630">
        <w:t xml:space="preserve"> </w:t>
      </w:r>
      <w:r w:rsidRPr="00E45630">
        <w:t>not include any costs for the treatment of adverse injection reactions or administration costs</w:t>
      </w:r>
      <w:r w:rsidR="00E77381" w:rsidRPr="00E45630">
        <w:t xml:space="preserve"> which </w:t>
      </w:r>
      <w:r w:rsidR="00856F3C" w:rsidRPr="00E45630">
        <w:t>will underestimate the financial implications</w:t>
      </w:r>
      <w:r w:rsidR="00E77381" w:rsidRPr="00E45630">
        <w:t xml:space="preserve"> </w:t>
      </w:r>
      <w:r w:rsidR="00856F3C" w:rsidRPr="00E45630">
        <w:t>of implementing the 18-month booster</w:t>
      </w:r>
      <w:r w:rsidRPr="00E45630">
        <w:t xml:space="preserve">. </w:t>
      </w:r>
    </w:p>
    <w:p w:rsidR="0010062A" w:rsidRPr="00E45630" w:rsidRDefault="0010062A" w:rsidP="00382220">
      <w:pPr>
        <w:widowControl/>
        <w:rPr>
          <w:szCs w:val="22"/>
        </w:rPr>
      </w:pPr>
    </w:p>
    <w:p w:rsidR="005F6968" w:rsidRDefault="009246B0" w:rsidP="009246B0">
      <w:pPr>
        <w:widowControl/>
        <w:ind w:left="709"/>
        <w:rPr>
          <w:i/>
          <w:szCs w:val="22"/>
        </w:rPr>
      </w:pPr>
      <w:r w:rsidRPr="00F82B6A">
        <w:rPr>
          <w:i/>
          <w:szCs w:val="22"/>
        </w:rPr>
        <w:t>For more detail on PBAC’s view, see section 7 “PBAC outcome”</w:t>
      </w:r>
    </w:p>
    <w:p w:rsidR="0010062A" w:rsidRDefault="0010062A" w:rsidP="009246B0">
      <w:pPr>
        <w:widowControl/>
        <w:ind w:left="709"/>
        <w:rPr>
          <w:i/>
          <w:szCs w:val="22"/>
        </w:rPr>
      </w:pPr>
    </w:p>
    <w:p w:rsidR="00814200" w:rsidRDefault="00814200" w:rsidP="009246B0">
      <w:pPr>
        <w:widowControl/>
        <w:ind w:left="709"/>
        <w:rPr>
          <w:i/>
          <w:szCs w:val="22"/>
        </w:rPr>
      </w:pPr>
    </w:p>
    <w:p w:rsidR="009246B0" w:rsidRPr="00201D16" w:rsidRDefault="009246B0" w:rsidP="00201D16">
      <w:pPr>
        <w:pStyle w:val="ListParagraph"/>
        <w:widowControl/>
        <w:numPr>
          <w:ilvl w:val="0"/>
          <w:numId w:val="3"/>
        </w:numPr>
        <w:rPr>
          <w:b/>
        </w:rPr>
      </w:pPr>
      <w:r w:rsidRPr="00201D16">
        <w:rPr>
          <w:b/>
        </w:rPr>
        <w:t>PBAC Outcome</w:t>
      </w:r>
    </w:p>
    <w:p w:rsidR="009246B0" w:rsidRDefault="009246B0" w:rsidP="00201D16"/>
    <w:p w:rsidR="00E21022" w:rsidRDefault="000F7B64" w:rsidP="000529B6">
      <w:pPr>
        <w:pStyle w:val="ListParagraph"/>
        <w:widowControl/>
        <w:numPr>
          <w:ilvl w:val="1"/>
          <w:numId w:val="3"/>
        </w:numPr>
      </w:pPr>
      <w:r>
        <w:t>The PBAC recommended including a</w:t>
      </w:r>
      <w:r w:rsidR="00C37605">
        <w:t>n 18-month</w:t>
      </w:r>
      <w:r>
        <w:t xml:space="preserve"> booster do</w:t>
      </w:r>
      <w:r w:rsidR="00C37605">
        <w:t>s</w:t>
      </w:r>
      <w:r>
        <w:t xml:space="preserve">e </w:t>
      </w:r>
      <w:r w:rsidR="009246B0" w:rsidRPr="009246B0">
        <w:t xml:space="preserve">of </w:t>
      </w:r>
      <w:r w:rsidR="004E671F">
        <w:t>the DTPa</w:t>
      </w:r>
      <w:r w:rsidR="004E671F" w:rsidRPr="004E671F">
        <w:t xml:space="preserve"> vaccine </w:t>
      </w:r>
      <w:r w:rsidR="004E671F">
        <w:t xml:space="preserve">on the NIP </w:t>
      </w:r>
      <w:r w:rsidR="004E671F" w:rsidRPr="004E671F">
        <w:t>for the prevention of pertussis</w:t>
      </w:r>
      <w:r>
        <w:t xml:space="preserve"> on the basis of </w:t>
      </w:r>
      <w:r w:rsidR="00C37605">
        <w:t>cost</w:t>
      </w:r>
      <w:r w:rsidR="00C37605">
        <w:noBreakHyphen/>
      </w:r>
      <w:r>
        <w:t>effectiveness compared with the current schedule without the booster</w:t>
      </w:r>
      <w:r w:rsidR="004E671F">
        <w:t xml:space="preserve">. </w:t>
      </w:r>
    </w:p>
    <w:p w:rsidR="00E21022" w:rsidRDefault="00E21022" w:rsidP="00E21022">
      <w:pPr>
        <w:pStyle w:val="ListParagraph"/>
      </w:pPr>
    </w:p>
    <w:p w:rsidR="00471D9E" w:rsidRDefault="00471D9E" w:rsidP="00471D9E">
      <w:pPr>
        <w:pStyle w:val="ListParagraph"/>
        <w:numPr>
          <w:ilvl w:val="1"/>
          <w:numId w:val="3"/>
        </w:numPr>
      </w:pPr>
      <w:r>
        <w:t xml:space="preserve">The PBAC recalled </w:t>
      </w:r>
      <w:r w:rsidR="000578B4">
        <w:t xml:space="preserve">that </w:t>
      </w:r>
      <w:r w:rsidRPr="000529B6">
        <w:t xml:space="preserve">the </w:t>
      </w:r>
      <w:r w:rsidR="000578B4">
        <w:t xml:space="preserve">NIP previously </w:t>
      </w:r>
      <w:r w:rsidRPr="000529B6">
        <w:t xml:space="preserve">included a booster dose </w:t>
      </w:r>
      <w:r w:rsidR="000578B4">
        <w:t xml:space="preserve">of </w:t>
      </w:r>
      <w:r w:rsidR="000578B4" w:rsidRPr="000529B6">
        <w:t xml:space="preserve">DTPa </w:t>
      </w:r>
      <w:r w:rsidR="000578B4">
        <w:t>at approximately 18 </w:t>
      </w:r>
      <w:r w:rsidRPr="000529B6">
        <w:t>months</w:t>
      </w:r>
      <w:r>
        <w:t xml:space="preserve"> u</w:t>
      </w:r>
      <w:r w:rsidRPr="000529B6">
        <w:t>ntil 2003</w:t>
      </w:r>
      <w:r w:rsidR="000578B4">
        <w:t>,</w:t>
      </w:r>
      <w:r>
        <w:t xml:space="preserve"> when it was removed with the </w:t>
      </w:r>
      <w:r w:rsidRPr="000529B6">
        <w:t>introduction of the b</w:t>
      </w:r>
      <w:r>
        <w:t>ooster dose for adolescents (15-</w:t>
      </w:r>
      <w:r w:rsidRPr="000529B6">
        <w:t xml:space="preserve">17 years). </w:t>
      </w:r>
      <w:r>
        <w:t xml:space="preserve">The PBAC considered the removal of the 18-month dose may have contributed to </w:t>
      </w:r>
      <w:r w:rsidR="00FB4996">
        <w:t>resurgence</w:t>
      </w:r>
      <w:r>
        <w:t xml:space="preserve"> in pertussis notifications between 2008 and 2012. </w:t>
      </w:r>
    </w:p>
    <w:p w:rsidR="00471D9E" w:rsidRDefault="00471D9E" w:rsidP="00471D9E"/>
    <w:p w:rsidR="009246B0" w:rsidRPr="009246B0" w:rsidRDefault="00E21022" w:rsidP="00081EEC">
      <w:pPr>
        <w:pStyle w:val="ListParagraph"/>
        <w:widowControl/>
        <w:numPr>
          <w:ilvl w:val="1"/>
          <w:numId w:val="3"/>
        </w:numPr>
      </w:pPr>
      <w:r>
        <w:t xml:space="preserve">The PBAC </w:t>
      </w:r>
      <w:r w:rsidR="00981B8C">
        <w:t xml:space="preserve">agreed with </w:t>
      </w:r>
      <w:r w:rsidR="00E40369">
        <w:t xml:space="preserve">the </w:t>
      </w:r>
      <w:r>
        <w:t xml:space="preserve">ATAGI that </w:t>
      </w:r>
      <w:r w:rsidR="00C37605">
        <w:t>the re</w:t>
      </w:r>
      <w:r>
        <w:t xml:space="preserve">introduction of </w:t>
      </w:r>
      <w:r w:rsidR="00F76A26">
        <w:t>an</w:t>
      </w:r>
      <w:r>
        <w:t xml:space="preserve"> </w:t>
      </w:r>
      <w:r w:rsidR="00C37605">
        <w:t>18</w:t>
      </w:r>
      <w:r w:rsidR="00C37605">
        <w:noBreakHyphen/>
        <w:t>month DTPa booster o</w:t>
      </w:r>
      <w:r>
        <w:t xml:space="preserve">nto the NIP is necessary from a public health perspective, as an additional measure </w:t>
      </w:r>
      <w:r w:rsidR="00714526">
        <w:t>to</w:t>
      </w:r>
      <w:r>
        <w:t xml:space="preserve"> improve control of pertussis in Australia. The PBAC further noted advice from the ATAGI that while pertussis does not cause severe disease in the majority of the targeted age group (18 months to less than 4 years), children in this age group have an important role in overall disease transmission, in particular to vulnerable young infants.</w:t>
      </w:r>
    </w:p>
    <w:p w:rsidR="009246B0" w:rsidRPr="000529B6" w:rsidRDefault="009246B0" w:rsidP="000529B6">
      <w:pPr>
        <w:widowControl/>
        <w:rPr>
          <w:highlight w:val="yellow"/>
        </w:rPr>
      </w:pPr>
    </w:p>
    <w:p w:rsidR="009246B0" w:rsidRDefault="000529B6" w:rsidP="000529B6">
      <w:pPr>
        <w:pStyle w:val="ListParagraph"/>
        <w:widowControl/>
        <w:numPr>
          <w:ilvl w:val="1"/>
          <w:numId w:val="3"/>
        </w:numPr>
      </w:pPr>
      <w:r w:rsidRPr="000529B6">
        <w:t xml:space="preserve">The PBAC </w:t>
      </w:r>
      <w:r>
        <w:t>accepted</w:t>
      </w:r>
      <w:r w:rsidRPr="000529B6">
        <w:t xml:space="preserve"> the comparator</w:t>
      </w:r>
      <w:r w:rsidR="002C7C0D">
        <w:t xml:space="preserve"> </w:t>
      </w:r>
      <w:r w:rsidR="002C7C0D" w:rsidRPr="000529B6">
        <w:t>nominated</w:t>
      </w:r>
      <w:r w:rsidR="002C7C0D">
        <w:t xml:space="preserve"> in the submission</w:t>
      </w:r>
      <w:r w:rsidR="00C663C0">
        <w:t xml:space="preserve">, </w:t>
      </w:r>
      <w:r w:rsidR="00C663C0" w:rsidRPr="000529B6">
        <w:t>the</w:t>
      </w:r>
      <w:r w:rsidRPr="000529B6">
        <w:t xml:space="preserve"> current vaccination schedule with no </w:t>
      </w:r>
      <w:r w:rsidR="002C7C0D">
        <w:t xml:space="preserve">18-month DTPa </w:t>
      </w:r>
      <w:r w:rsidRPr="000529B6">
        <w:t xml:space="preserve">booster. </w:t>
      </w:r>
    </w:p>
    <w:p w:rsidR="009246B0" w:rsidRPr="00FD614B" w:rsidRDefault="009246B0" w:rsidP="00FD614B">
      <w:pPr>
        <w:widowControl/>
        <w:rPr>
          <w:highlight w:val="yellow"/>
        </w:rPr>
      </w:pPr>
    </w:p>
    <w:p w:rsidR="002C7C0D" w:rsidRPr="002C7C0D" w:rsidRDefault="002C7C0D" w:rsidP="00081EEC">
      <w:pPr>
        <w:pStyle w:val="ListParagraph"/>
        <w:widowControl/>
        <w:numPr>
          <w:ilvl w:val="1"/>
          <w:numId w:val="3"/>
        </w:numPr>
      </w:pPr>
      <w:r>
        <w:t xml:space="preserve">The PBAC noted the </w:t>
      </w:r>
      <w:r w:rsidR="00C37605">
        <w:t xml:space="preserve">limitations of the </w:t>
      </w:r>
      <w:r>
        <w:t xml:space="preserve">evidence of vaccine effectiveness </w:t>
      </w:r>
      <w:r w:rsidR="00C37605">
        <w:t>for the 18</w:t>
      </w:r>
      <w:r w:rsidR="00C37605">
        <w:noBreakHyphen/>
      </w:r>
      <w:r>
        <w:t xml:space="preserve">month booster </w:t>
      </w:r>
      <w:r w:rsidR="00C37605">
        <w:t xml:space="preserve">treatment </w:t>
      </w:r>
      <w:r>
        <w:t>arm</w:t>
      </w:r>
      <w:r w:rsidR="00714526">
        <w:t>,</w:t>
      </w:r>
      <w:r w:rsidR="00C37605">
        <w:t xml:space="preserve"> which was </w:t>
      </w:r>
      <w:r>
        <w:t>derived from a cross-sectional study presented as a PowerPoint presentation (Quinn 2011)</w:t>
      </w:r>
      <w:r w:rsidR="00480459">
        <w:t xml:space="preserve">. This study was considered to have a high risk of bias due to confounding factors such as the change from DTPw to DTPa and the </w:t>
      </w:r>
      <w:r w:rsidR="00C37605">
        <w:t xml:space="preserve">subsequent </w:t>
      </w:r>
      <w:r w:rsidR="00480459">
        <w:t>introduction of the more sensitive PCR diagnostic test</w:t>
      </w:r>
      <w:r>
        <w:t>.</w:t>
      </w:r>
      <w:r w:rsidR="00480459">
        <w:t xml:space="preserve"> </w:t>
      </w:r>
      <w:r>
        <w:t xml:space="preserve">However, </w:t>
      </w:r>
      <w:r w:rsidR="00D041F7">
        <w:t xml:space="preserve">the committee noted </w:t>
      </w:r>
      <w:r w:rsidR="00480459">
        <w:t xml:space="preserve">the limited information available and </w:t>
      </w:r>
      <w:r w:rsidR="00D041F7">
        <w:t xml:space="preserve">that the magnitude of the burden of disease </w:t>
      </w:r>
      <w:r w:rsidR="00480459">
        <w:t>was difficult to quantify.</w:t>
      </w:r>
    </w:p>
    <w:p w:rsidR="0015129F" w:rsidRDefault="0015129F" w:rsidP="0015129F">
      <w:pPr>
        <w:pStyle w:val="ListParagraph"/>
        <w:widowControl/>
      </w:pPr>
    </w:p>
    <w:p w:rsidR="009246B0" w:rsidRPr="00480459" w:rsidRDefault="00480459" w:rsidP="00081EEC">
      <w:pPr>
        <w:pStyle w:val="ListParagraph"/>
        <w:widowControl/>
        <w:numPr>
          <w:ilvl w:val="1"/>
          <w:numId w:val="3"/>
        </w:numPr>
      </w:pPr>
      <w:r w:rsidRPr="00480459">
        <w:t>The PBAC considered that</w:t>
      </w:r>
      <w:r>
        <w:t xml:space="preserve"> while the magnitude of effectiveness is unclear,</w:t>
      </w:r>
      <w:r w:rsidRPr="00480459">
        <w:t xml:space="preserve"> it </w:t>
      </w:r>
      <w:r>
        <w:t>is</w:t>
      </w:r>
      <w:r w:rsidRPr="00480459">
        <w:t xml:space="preserve"> reasonable to assume that the introduction of the 18-month DTPa booster would </w:t>
      </w:r>
      <w:r>
        <w:t>result in superior comparative effectiveness compared with the current immunisation schedule.</w:t>
      </w:r>
      <w:r w:rsidR="00D87785">
        <w:t xml:space="preserve"> The PBAC noted that the majority of benefits in the model were due to a reduction in the number of non-notified cases of pertussis. </w:t>
      </w:r>
    </w:p>
    <w:p w:rsidR="009246B0" w:rsidRPr="00C04316" w:rsidRDefault="009246B0" w:rsidP="009246B0">
      <w:pPr>
        <w:pStyle w:val="ListParagraph"/>
        <w:widowControl/>
        <w:rPr>
          <w:highlight w:val="yellow"/>
        </w:rPr>
      </w:pPr>
    </w:p>
    <w:p w:rsidR="009246B0" w:rsidRPr="0015129F" w:rsidRDefault="0015129F" w:rsidP="00081EEC">
      <w:pPr>
        <w:pStyle w:val="ListParagraph"/>
        <w:widowControl/>
        <w:numPr>
          <w:ilvl w:val="1"/>
          <w:numId w:val="3"/>
        </w:numPr>
      </w:pPr>
      <w:r w:rsidRPr="0015129F">
        <w:lastRenderedPageBreak/>
        <w:t>The PBAC</w:t>
      </w:r>
      <w:r>
        <w:t xml:space="preserve"> agreed with the submission and the ESC that the introduction of the 18</w:t>
      </w:r>
      <w:r>
        <w:noBreakHyphen/>
        <w:t xml:space="preserve">month booster would result in </w:t>
      </w:r>
      <w:r w:rsidR="00D87785">
        <w:t xml:space="preserve">additional </w:t>
      </w:r>
      <w:r>
        <w:t>localised adverse events</w:t>
      </w:r>
      <w:r w:rsidR="00685008">
        <w:t xml:space="preserve"> </w:t>
      </w:r>
      <w:r w:rsidR="00981B8C">
        <w:t xml:space="preserve">at the time of vaccination </w:t>
      </w:r>
      <w:r w:rsidR="00685008">
        <w:t>and was therefore inferior in safety compared with the current immunisation schedule</w:t>
      </w:r>
      <w:r w:rsidR="009246B0" w:rsidRPr="0015129F">
        <w:t>.</w:t>
      </w:r>
      <w:r w:rsidR="00981B8C">
        <w:t xml:space="preserve"> The PBAC noted that the submission did not consider implications of the introduction of the 18-month DTPa booster on adverse reactions at the 4 year old </w:t>
      </w:r>
      <w:r w:rsidR="003819EB">
        <w:t xml:space="preserve">vaccine </w:t>
      </w:r>
      <w:r w:rsidR="00981B8C">
        <w:t xml:space="preserve">schedule point. </w:t>
      </w:r>
    </w:p>
    <w:p w:rsidR="009246B0" w:rsidRPr="00C04316" w:rsidRDefault="009246B0" w:rsidP="009246B0">
      <w:pPr>
        <w:pStyle w:val="ListParagraph"/>
        <w:widowControl/>
        <w:rPr>
          <w:highlight w:val="yellow"/>
        </w:rPr>
      </w:pPr>
    </w:p>
    <w:p w:rsidR="003D2161" w:rsidRDefault="0015129F" w:rsidP="00081EEC">
      <w:pPr>
        <w:pStyle w:val="ListParagraph"/>
        <w:widowControl/>
        <w:numPr>
          <w:ilvl w:val="1"/>
          <w:numId w:val="3"/>
        </w:numPr>
      </w:pPr>
      <w:r w:rsidRPr="0015129F">
        <w:t xml:space="preserve">The PBAC agreed </w:t>
      </w:r>
      <w:r>
        <w:t xml:space="preserve">with the ESC that the base model presented in the submission included some </w:t>
      </w:r>
      <w:r w:rsidR="00F57519">
        <w:t>inconsistent and inappropriate methodologies</w:t>
      </w:r>
      <w:r>
        <w:t>.</w:t>
      </w:r>
      <w:r w:rsidR="009E23A8" w:rsidRPr="009E23A8">
        <w:rPr>
          <w:szCs w:val="22"/>
        </w:rPr>
        <w:t xml:space="preserve"> </w:t>
      </w:r>
      <w:r w:rsidR="009E23A8" w:rsidRPr="005670F8">
        <w:rPr>
          <w:szCs w:val="22"/>
        </w:rPr>
        <w:t>The PBAC</w:t>
      </w:r>
      <w:r w:rsidR="009E23A8">
        <w:rPr>
          <w:szCs w:val="22"/>
        </w:rPr>
        <w:t xml:space="preserve"> accepted </w:t>
      </w:r>
      <w:r w:rsidR="007B2A59">
        <w:rPr>
          <w:szCs w:val="22"/>
        </w:rPr>
        <w:t xml:space="preserve">the </w:t>
      </w:r>
      <w:r w:rsidR="009E23A8">
        <w:rPr>
          <w:szCs w:val="22"/>
        </w:rPr>
        <w:t>ESC’s respecified base case</w:t>
      </w:r>
      <w:r w:rsidR="009E23A8" w:rsidRPr="00C92AD1">
        <w:rPr>
          <w:szCs w:val="22"/>
        </w:rPr>
        <w:t xml:space="preserve">, </w:t>
      </w:r>
      <w:r w:rsidR="00C92AD1" w:rsidRPr="00C92AD1">
        <w:rPr>
          <w:szCs w:val="22"/>
        </w:rPr>
        <w:t>which corrected</w:t>
      </w:r>
      <w:r w:rsidR="00714526">
        <w:rPr>
          <w:szCs w:val="22"/>
        </w:rPr>
        <w:t>,</w:t>
      </w:r>
      <w:r w:rsidR="00C92AD1" w:rsidRPr="00C92AD1">
        <w:rPr>
          <w:szCs w:val="22"/>
        </w:rPr>
        <w:t xml:space="preserve"> amongst other inputs, </w:t>
      </w:r>
      <w:r w:rsidR="00714526">
        <w:rPr>
          <w:szCs w:val="22"/>
        </w:rPr>
        <w:t xml:space="preserve">for </w:t>
      </w:r>
      <w:r w:rsidR="00C92AD1" w:rsidRPr="00C92AD1">
        <w:rPr>
          <w:szCs w:val="22"/>
        </w:rPr>
        <w:t>the</w:t>
      </w:r>
      <w:r w:rsidR="009E23A8" w:rsidRPr="00C92AD1">
        <w:rPr>
          <w:szCs w:val="22"/>
        </w:rPr>
        <w:t xml:space="preserve"> inconsistent approach to counting cases in the two treatment arms in the model and</w:t>
      </w:r>
      <w:r w:rsidR="009E23A8">
        <w:rPr>
          <w:szCs w:val="22"/>
        </w:rPr>
        <w:t xml:space="preserve"> grouping</w:t>
      </w:r>
      <w:r w:rsidR="009B27EA">
        <w:rPr>
          <w:szCs w:val="22"/>
        </w:rPr>
        <w:t xml:space="preserve"> reported cases after using age-</w:t>
      </w:r>
      <w:r w:rsidR="009E23A8">
        <w:rPr>
          <w:szCs w:val="22"/>
        </w:rPr>
        <w:t>year specific reporting rates.</w:t>
      </w:r>
      <w:r>
        <w:t xml:space="preserve"> </w:t>
      </w:r>
    </w:p>
    <w:p w:rsidR="003D2161" w:rsidRDefault="003D2161" w:rsidP="003D2161">
      <w:pPr>
        <w:pStyle w:val="ListParagraph"/>
      </w:pPr>
    </w:p>
    <w:p w:rsidR="001B0F94" w:rsidRPr="00CA34A4" w:rsidRDefault="00323384" w:rsidP="00CA34A4">
      <w:pPr>
        <w:pStyle w:val="ListParagraph"/>
        <w:widowControl/>
        <w:numPr>
          <w:ilvl w:val="1"/>
          <w:numId w:val="3"/>
        </w:numPr>
      </w:pPr>
      <w:r>
        <w:t xml:space="preserve">The PBAC </w:t>
      </w:r>
      <w:r w:rsidR="009E23A8">
        <w:t>noted</w:t>
      </w:r>
      <w:r>
        <w:t xml:space="preserve"> that the ESC’s respecified base case </w:t>
      </w:r>
      <w:r w:rsidR="003D2161">
        <w:t xml:space="preserve">reduced </w:t>
      </w:r>
      <w:r>
        <w:t>the ICER</w:t>
      </w:r>
      <w:r w:rsidR="003D2161">
        <w:t xml:space="preserve"> for the whole population to </w:t>
      </w:r>
      <w:r w:rsidR="00FF112E">
        <w:rPr>
          <w:lang w:val="en-US"/>
        </w:rPr>
        <w:t>less than $15,000/QALY</w:t>
      </w:r>
      <w:r w:rsidR="003D2161">
        <w:t xml:space="preserve"> </w:t>
      </w:r>
      <w:r>
        <w:t xml:space="preserve">and </w:t>
      </w:r>
      <w:r w:rsidR="003D2161">
        <w:t xml:space="preserve">that the model </w:t>
      </w:r>
      <w:r>
        <w:t>exhibited reduced sensitivity to changes in assumptions, compared with the base case presented in the submission</w:t>
      </w:r>
      <w:r w:rsidR="00BB5F3B">
        <w:t>.</w:t>
      </w:r>
      <w:r w:rsidR="00CA34A4">
        <w:t xml:space="preserve"> In this regard, t</w:t>
      </w:r>
      <w:r w:rsidR="001B0F94" w:rsidRPr="00CA34A4">
        <w:rPr>
          <w:szCs w:val="22"/>
        </w:rPr>
        <w:t xml:space="preserve">he PBAC </w:t>
      </w:r>
      <w:r w:rsidR="00CA34A4">
        <w:rPr>
          <w:szCs w:val="22"/>
        </w:rPr>
        <w:t xml:space="preserve">noted </w:t>
      </w:r>
      <w:r w:rsidR="001B0F94" w:rsidRPr="00CA34A4">
        <w:rPr>
          <w:szCs w:val="22"/>
        </w:rPr>
        <w:t>that the ICER for the whole population remained under $20,000 per QALY under all scenarios tested.</w:t>
      </w:r>
    </w:p>
    <w:p w:rsidR="00BB5F3B" w:rsidRPr="001B0F94" w:rsidRDefault="00BB5F3B" w:rsidP="001B0F94">
      <w:pPr>
        <w:rPr>
          <w:szCs w:val="22"/>
        </w:rPr>
      </w:pPr>
    </w:p>
    <w:p w:rsidR="00BB5F3B" w:rsidRDefault="00BB5F3B" w:rsidP="009B2FAF">
      <w:pPr>
        <w:pStyle w:val="ListParagraph"/>
        <w:widowControl/>
        <w:numPr>
          <w:ilvl w:val="1"/>
          <w:numId w:val="3"/>
        </w:numPr>
        <w:rPr>
          <w:szCs w:val="22"/>
        </w:rPr>
      </w:pPr>
      <w:r w:rsidRPr="00BB5F3B">
        <w:rPr>
          <w:szCs w:val="22"/>
        </w:rPr>
        <w:t xml:space="preserve">The </w:t>
      </w:r>
      <w:r>
        <w:rPr>
          <w:szCs w:val="22"/>
        </w:rPr>
        <w:t>PBAC considered that estimates</w:t>
      </w:r>
      <w:r w:rsidR="00621245">
        <w:rPr>
          <w:szCs w:val="22"/>
        </w:rPr>
        <w:t xml:space="preserve"> of utilisation and </w:t>
      </w:r>
      <w:r>
        <w:rPr>
          <w:szCs w:val="22"/>
        </w:rPr>
        <w:t xml:space="preserve">cost to the </w:t>
      </w:r>
      <w:r w:rsidRPr="00BB5F3B">
        <w:rPr>
          <w:szCs w:val="22"/>
        </w:rPr>
        <w:t xml:space="preserve">Government </w:t>
      </w:r>
      <w:r>
        <w:rPr>
          <w:szCs w:val="22"/>
        </w:rPr>
        <w:t xml:space="preserve">were </w:t>
      </w:r>
      <w:r w:rsidRPr="00BB5F3B">
        <w:rPr>
          <w:szCs w:val="22"/>
        </w:rPr>
        <w:t xml:space="preserve">subject to uncertainty </w:t>
      </w:r>
      <w:r w:rsidR="00826271" w:rsidRPr="00E45630">
        <w:t xml:space="preserve">about uptake rates </w:t>
      </w:r>
      <w:r w:rsidR="00826271">
        <w:t xml:space="preserve">of the vaccine </w:t>
      </w:r>
      <w:r w:rsidR="00826271" w:rsidRPr="00E45630">
        <w:t xml:space="preserve">and </w:t>
      </w:r>
      <w:r w:rsidR="00826271">
        <w:t>its</w:t>
      </w:r>
      <w:r w:rsidR="00826271" w:rsidRPr="00E45630">
        <w:t xml:space="preserve"> effectiveness to reduce </w:t>
      </w:r>
      <w:r w:rsidR="00826271">
        <w:t xml:space="preserve">the number of </w:t>
      </w:r>
      <w:r w:rsidR="00826271" w:rsidRPr="00E45630">
        <w:t xml:space="preserve">pertussis </w:t>
      </w:r>
      <w:r w:rsidR="00826271">
        <w:t xml:space="preserve">cases </w:t>
      </w:r>
      <w:r w:rsidR="00826271" w:rsidRPr="00E45630">
        <w:t xml:space="preserve">for the five year period. </w:t>
      </w:r>
      <w:r w:rsidR="009B2FAF" w:rsidRPr="009B2FAF">
        <w:rPr>
          <w:szCs w:val="22"/>
        </w:rPr>
        <w:t>Additionally, the submission does not include any costs for the treatment of adverse injection reactions which will underestimate the financial impl</w:t>
      </w:r>
      <w:r w:rsidR="00826271">
        <w:rPr>
          <w:szCs w:val="22"/>
        </w:rPr>
        <w:t>ications of implementing the 18</w:t>
      </w:r>
      <w:r w:rsidR="00826271">
        <w:rPr>
          <w:szCs w:val="22"/>
        </w:rPr>
        <w:noBreakHyphen/>
      </w:r>
      <w:r w:rsidR="009B2FAF" w:rsidRPr="009B2FAF">
        <w:rPr>
          <w:szCs w:val="22"/>
        </w:rPr>
        <w:t>month booster.</w:t>
      </w:r>
      <w:r w:rsidR="009B2FAF">
        <w:rPr>
          <w:szCs w:val="22"/>
        </w:rPr>
        <w:t xml:space="preserve"> As noted by the ESC, </w:t>
      </w:r>
      <w:r w:rsidR="007141DB">
        <w:rPr>
          <w:szCs w:val="22"/>
        </w:rPr>
        <w:t xml:space="preserve">however, </w:t>
      </w:r>
      <w:r w:rsidR="009B2FAF">
        <w:rPr>
          <w:szCs w:val="22"/>
        </w:rPr>
        <w:t xml:space="preserve">the model may </w:t>
      </w:r>
      <w:r w:rsidR="007141DB">
        <w:rPr>
          <w:szCs w:val="22"/>
        </w:rPr>
        <w:t xml:space="preserve">also </w:t>
      </w:r>
      <w:r w:rsidR="009B2FAF">
        <w:rPr>
          <w:szCs w:val="22"/>
        </w:rPr>
        <w:t xml:space="preserve">underestimate the cost savings of the </w:t>
      </w:r>
      <w:r w:rsidR="00C34F05">
        <w:rPr>
          <w:szCs w:val="22"/>
        </w:rPr>
        <w:t>‘</w:t>
      </w:r>
      <w:r w:rsidR="009B2FAF">
        <w:rPr>
          <w:szCs w:val="22"/>
        </w:rPr>
        <w:t>18-month booster’ scenario. I</w:t>
      </w:r>
      <w:r>
        <w:rPr>
          <w:szCs w:val="22"/>
        </w:rPr>
        <w:t>n the context of these uncertainties, the PBAC considered that the estimates were reasonable.</w:t>
      </w:r>
    </w:p>
    <w:p w:rsidR="009246B0" w:rsidRDefault="009246B0" w:rsidP="009246B0">
      <w:pPr>
        <w:widowControl/>
        <w:rPr>
          <w:szCs w:val="22"/>
        </w:rPr>
      </w:pPr>
    </w:p>
    <w:p w:rsidR="00201D16" w:rsidRPr="009246B0" w:rsidRDefault="00201D16" w:rsidP="009246B0">
      <w:pPr>
        <w:widowControl/>
        <w:rPr>
          <w:szCs w:val="22"/>
        </w:rPr>
      </w:pPr>
    </w:p>
    <w:p w:rsidR="009246B0" w:rsidRPr="00C85701" w:rsidRDefault="009246B0" w:rsidP="009246B0">
      <w:pPr>
        <w:widowControl/>
        <w:rPr>
          <w:b/>
          <w:szCs w:val="22"/>
        </w:rPr>
      </w:pPr>
      <w:r w:rsidRPr="0010504B">
        <w:rPr>
          <w:b/>
          <w:szCs w:val="22"/>
        </w:rPr>
        <w:t>Outcome:</w:t>
      </w:r>
    </w:p>
    <w:p w:rsidR="009246B0" w:rsidRPr="009246B0" w:rsidRDefault="0010504B" w:rsidP="009246B0">
      <w:pPr>
        <w:widowControl/>
        <w:rPr>
          <w:szCs w:val="22"/>
        </w:rPr>
      </w:pPr>
      <w:r>
        <w:rPr>
          <w:szCs w:val="22"/>
        </w:rPr>
        <w:t>Recommended</w:t>
      </w:r>
    </w:p>
    <w:p w:rsidR="00DC1E35" w:rsidRDefault="00DC1E35" w:rsidP="00DC1E35">
      <w:pPr>
        <w:widowControl/>
      </w:pPr>
    </w:p>
    <w:p w:rsidR="009246B0" w:rsidRPr="009246B0" w:rsidRDefault="009246B0" w:rsidP="009246B0">
      <w:pPr>
        <w:widowControl/>
        <w:rPr>
          <w:szCs w:val="22"/>
        </w:rPr>
      </w:pPr>
    </w:p>
    <w:p w:rsidR="009246B0" w:rsidRPr="00201D16" w:rsidRDefault="009246B0" w:rsidP="00201D16">
      <w:pPr>
        <w:pStyle w:val="ListParagraph"/>
        <w:widowControl/>
        <w:numPr>
          <w:ilvl w:val="0"/>
          <w:numId w:val="3"/>
        </w:numPr>
        <w:rPr>
          <w:b/>
        </w:rPr>
      </w:pPr>
      <w:r w:rsidRPr="00201D16">
        <w:rPr>
          <w:b/>
        </w:rPr>
        <w:t>Recommended listing</w:t>
      </w:r>
    </w:p>
    <w:p w:rsidR="009246B0" w:rsidRPr="009246B0" w:rsidRDefault="009246B0" w:rsidP="00201D16"/>
    <w:p w:rsidR="00E45630" w:rsidRPr="00724C82" w:rsidRDefault="0014368C" w:rsidP="00201D16">
      <w:pPr>
        <w:pStyle w:val="ListParagraph"/>
        <w:widowControl/>
        <w:numPr>
          <w:ilvl w:val="1"/>
          <w:numId w:val="3"/>
        </w:numPr>
        <w:rPr>
          <w:szCs w:val="22"/>
        </w:rPr>
      </w:pPr>
      <w:r>
        <w:rPr>
          <w:szCs w:val="22"/>
        </w:rPr>
        <w:t>List DTPa vaccine on</w:t>
      </w:r>
      <w:r w:rsidR="00FD614B">
        <w:rPr>
          <w:szCs w:val="22"/>
        </w:rPr>
        <w:t xml:space="preserve"> the NIP</w:t>
      </w:r>
      <w:r>
        <w:rPr>
          <w:szCs w:val="22"/>
        </w:rPr>
        <w:t xml:space="preserve"> </w:t>
      </w:r>
      <w:r w:rsidRPr="0014368C">
        <w:rPr>
          <w:szCs w:val="22"/>
        </w:rPr>
        <w:t>for infants aged approximately 18 months</w:t>
      </w:r>
      <w:r w:rsidR="00724C82">
        <w:rPr>
          <w:szCs w:val="22"/>
        </w:rPr>
        <w:t>.</w:t>
      </w:r>
      <w:bookmarkEnd w:id="1"/>
      <w:bookmarkEnd w:id="2"/>
      <w:bookmarkEnd w:id="3"/>
      <w:bookmarkEnd w:id="4"/>
      <w:bookmarkEnd w:id="5"/>
    </w:p>
    <w:p w:rsidR="00A5182B" w:rsidRDefault="00A5182B" w:rsidP="00E36257">
      <w:pPr>
        <w:widowControl/>
        <w:rPr>
          <w:szCs w:val="22"/>
          <w:highlight w:val="yellow"/>
        </w:rPr>
      </w:pPr>
    </w:p>
    <w:p w:rsidR="00630BAC" w:rsidRDefault="00630BAC" w:rsidP="00E36257">
      <w:pPr>
        <w:widowControl/>
        <w:rPr>
          <w:szCs w:val="22"/>
          <w:highlight w:val="yellow"/>
        </w:rPr>
      </w:pPr>
    </w:p>
    <w:p w:rsidR="0062686F" w:rsidRDefault="0062686F" w:rsidP="0062686F">
      <w:pPr>
        <w:pStyle w:val="ListParagraph"/>
        <w:widowControl/>
        <w:numPr>
          <w:ilvl w:val="0"/>
          <w:numId w:val="3"/>
        </w:numPr>
        <w:rPr>
          <w:b/>
        </w:rPr>
      </w:pPr>
      <w:r w:rsidRPr="00D4420F">
        <w:rPr>
          <w:b/>
        </w:rPr>
        <w:t>Context for Decision</w:t>
      </w:r>
    </w:p>
    <w:p w:rsidR="0062686F" w:rsidRPr="00D4420F" w:rsidRDefault="0062686F" w:rsidP="0062686F">
      <w:pPr>
        <w:pStyle w:val="ListParagraph"/>
        <w:rPr>
          <w:b/>
        </w:rPr>
      </w:pPr>
    </w:p>
    <w:p w:rsidR="0062686F" w:rsidRPr="00D4420F" w:rsidRDefault="0062686F" w:rsidP="0062686F">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2686F" w:rsidRDefault="0062686F" w:rsidP="0062686F"/>
    <w:p w:rsidR="00630BAC" w:rsidRPr="00D4420F" w:rsidRDefault="00630BAC" w:rsidP="0062686F"/>
    <w:p w:rsidR="0062686F" w:rsidRDefault="0062686F" w:rsidP="0062686F">
      <w:pPr>
        <w:pStyle w:val="ListParagraph"/>
        <w:widowControl/>
        <w:numPr>
          <w:ilvl w:val="0"/>
          <w:numId w:val="3"/>
        </w:numPr>
        <w:rPr>
          <w:b/>
        </w:rPr>
      </w:pPr>
      <w:r w:rsidRPr="00D4420F">
        <w:rPr>
          <w:b/>
        </w:rPr>
        <w:t>Sponsor’s Comment</w:t>
      </w:r>
    </w:p>
    <w:p w:rsidR="0062686F" w:rsidRDefault="0062686F" w:rsidP="00E673A8">
      <w:pPr>
        <w:widowControl/>
        <w:ind w:left="720"/>
        <w:rPr>
          <w:szCs w:val="22"/>
          <w:highlight w:val="yellow"/>
        </w:rPr>
      </w:pPr>
    </w:p>
    <w:p w:rsidR="00E673A8" w:rsidRPr="00FD614B" w:rsidRDefault="00E673A8" w:rsidP="00E673A8">
      <w:pPr>
        <w:widowControl/>
        <w:ind w:left="720"/>
        <w:rPr>
          <w:szCs w:val="22"/>
          <w:highlight w:val="yellow"/>
        </w:rPr>
      </w:pPr>
      <w:r w:rsidRPr="00E673A8">
        <w:rPr>
          <w:szCs w:val="22"/>
        </w:rPr>
        <w:lastRenderedPageBreak/>
        <w:t>GlaxoSmithKline welcomes the PBAC’s recommendation to include an 18 month booster of Infanrix® (DTPa vaccine) for the prevention of pertussis in the National Immunisation Program.</w:t>
      </w:r>
    </w:p>
    <w:sectPr w:rsidR="00E673A8" w:rsidRPr="00FD614B" w:rsidSect="004F4D58">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52E705" w15:done="0"/>
  <w15:commentEx w15:paraId="127559F3" w15:done="0"/>
  <w15:commentEx w15:paraId="77DB0ADA" w15:done="0"/>
  <w15:commentEx w15:paraId="29B098A1" w15:done="0"/>
  <w15:commentEx w15:paraId="0EB68048" w15:done="0"/>
  <w15:commentEx w15:paraId="3D16F5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FD2" w:rsidRDefault="00365FD2" w:rsidP="00124A51">
      <w:r>
        <w:separator/>
      </w:r>
    </w:p>
  </w:endnote>
  <w:endnote w:type="continuationSeparator" w:id="0">
    <w:p w:rsidR="00365FD2" w:rsidRDefault="00365FD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201D16" w:rsidRDefault="00201D16" w:rsidP="00201D16">
        <w:pPr>
          <w:pStyle w:val="Footer"/>
          <w:widowControl/>
          <w:tabs>
            <w:tab w:val="center" w:pos="4153"/>
            <w:tab w:val="right" w:pos="8306"/>
          </w:tabs>
          <w:jc w:val="center"/>
        </w:pPr>
      </w:p>
      <w:p w:rsidR="00307DB9" w:rsidRPr="009246B0" w:rsidRDefault="00307DB9" w:rsidP="00201D16">
        <w:pPr>
          <w:pStyle w:val="Footer"/>
          <w:widowControl/>
          <w:tabs>
            <w:tab w:val="center" w:pos="4153"/>
            <w:tab w:val="right" w:pos="8306"/>
          </w:tabs>
          <w:jc w:val="center"/>
          <w:rPr>
            <w:b/>
            <w:noProof/>
          </w:rPr>
        </w:pPr>
        <w:r w:rsidRPr="00651169">
          <w:rPr>
            <w:sz w:val="20"/>
          </w:rPr>
          <w:fldChar w:fldCharType="begin"/>
        </w:r>
        <w:r w:rsidRPr="00651169">
          <w:rPr>
            <w:sz w:val="20"/>
          </w:rPr>
          <w:instrText xml:space="preserve"> PAGE   \* MERGEFORMAT </w:instrText>
        </w:r>
        <w:r w:rsidRPr="00651169">
          <w:rPr>
            <w:sz w:val="20"/>
          </w:rPr>
          <w:fldChar w:fldCharType="separate"/>
        </w:r>
        <w:r w:rsidR="00BA645F">
          <w:rPr>
            <w:noProof/>
            <w:sz w:val="20"/>
          </w:rPr>
          <w:t>1</w:t>
        </w:r>
        <w:r w:rsidRPr="00651169">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FD2" w:rsidRDefault="00365FD2" w:rsidP="00124A51">
      <w:r>
        <w:separator/>
      </w:r>
    </w:p>
  </w:footnote>
  <w:footnote w:type="continuationSeparator" w:id="0">
    <w:p w:rsidR="00365FD2" w:rsidRDefault="00365FD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B9" w:rsidRPr="003B6059" w:rsidRDefault="00307DB9" w:rsidP="003B6059">
    <w:pPr>
      <w:pStyle w:val="Header"/>
      <w:jc w:val="center"/>
      <w:rPr>
        <w:i/>
      </w:rPr>
    </w:pPr>
    <w:r>
      <w:rPr>
        <w:i/>
      </w:rPr>
      <w:t xml:space="preserve">Public Summary Document </w:t>
    </w:r>
    <w:r w:rsidRPr="003B6059">
      <w:rPr>
        <w:i/>
      </w:rPr>
      <w:t>– November 2014 PBAC Meeting</w:t>
    </w:r>
  </w:p>
  <w:p w:rsidR="00307DB9" w:rsidRPr="008C7ECB" w:rsidRDefault="00307DB9" w:rsidP="003B605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DF4"/>
    <w:multiLevelType w:val="hybridMultilevel"/>
    <w:tmpl w:val="1256D95A"/>
    <w:lvl w:ilvl="0" w:tplc="13CCF4DA">
      <w:start w:val="1"/>
      <w:numFmt w:val="bullet"/>
      <w:lvlText w:val="•"/>
      <w:lvlJc w:val="left"/>
      <w:pPr>
        <w:tabs>
          <w:tab w:val="num" w:pos="720"/>
        </w:tabs>
        <w:ind w:left="720" w:hanging="360"/>
      </w:pPr>
      <w:rPr>
        <w:rFonts w:ascii="Arial" w:hAnsi="Arial" w:hint="default"/>
      </w:rPr>
    </w:lvl>
    <w:lvl w:ilvl="1" w:tplc="D88AB9AA">
      <w:start w:val="1236"/>
      <w:numFmt w:val="bullet"/>
      <w:lvlText w:val="–"/>
      <w:lvlJc w:val="left"/>
      <w:pPr>
        <w:tabs>
          <w:tab w:val="num" w:pos="1440"/>
        </w:tabs>
        <w:ind w:left="1440" w:hanging="360"/>
      </w:pPr>
      <w:rPr>
        <w:rFonts w:ascii="Arial" w:hAnsi="Arial" w:hint="default"/>
      </w:rPr>
    </w:lvl>
    <w:lvl w:ilvl="2" w:tplc="63E4BDC4" w:tentative="1">
      <w:start w:val="1"/>
      <w:numFmt w:val="bullet"/>
      <w:lvlText w:val="•"/>
      <w:lvlJc w:val="left"/>
      <w:pPr>
        <w:tabs>
          <w:tab w:val="num" w:pos="2160"/>
        </w:tabs>
        <w:ind w:left="2160" w:hanging="360"/>
      </w:pPr>
      <w:rPr>
        <w:rFonts w:ascii="Arial" w:hAnsi="Arial" w:hint="default"/>
      </w:rPr>
    </w:lvl>
    <w:lvl w:ilvl="3" w:tplc="8270674A" w:tentative="1">
      <w:start w:val="1"/>
      <w:numFmt w:val="bullet"/>
      <w:lvlText w:val="•"/>
      <w:lvlJc w:val="left"/>
      <w:pPr>
        <w:tabs>
          <w:tab w:val="num" w:pos="2880"/>
        </w:tabs>
        <w:ind w:left="2880" w:hanging="360"/>
      </w:pPr>
      <w:rPr>
        <w:rFonts w:ascii="Arial" w:hAnsi="Arial" w:hint="default"/>
      </w:rPr>
    </w:lvl>
    <w:lvl w:ilvl="4" w:tplc="111A50E8" w:tentative="1">
      <w:start w:val="1"/>
      <w:numFmt w:val="bullet"/>
      <w:lvlText w:val="•"/>
      <w:lvlJc w:val="left"/>
      <w:pPr>
        <w:tabs>
          <w:tab w:val="num" w:pos="3600"/>
        </w:tabs>
        <w:ind w:left="3600" w:hanging="360"/>
      </w:pPr>
      <w:rPr>
        <w:rFonts w:ascii="Arial" w:hAnsi="Arial" w:hint="default"/>
      </w:rPr>
    </w:lvl>
    <w:lvl w:ilvl="5" w:tplc="43A0CB20" w:tentative="1">
      <w:start w:val="1"/>
      <w:numFmt w:val="bullet"/>
      <w:lvlText w:val="•"/>
      <w:lvlJc w:val="left"/>
      <w:pPr>
        <w:tabs>
          <w:tab w:val="num" w:pos="4320"/>
        </w:tabs>
        <w:ind w:left="4320" w:hanging="360"/>
      </w:pPr>
      <w:rPr>
        <w:rFonts w:ascii="Arial" w:hAnsi="Arial" w:hint="default"/>
      </w:rPr>
    </w:lvl>
    <w:lvl w:ilvl="6" w:tplc="1E24CEBE" w:tentative="1">
      <w:start w:val="1"/>
      <w:numFmt w:val="bullet"/>
      <w:lvlText w:val="•"/>
      <w:lvlJc w:val="left"/>
      <w:pPr>
        <w:tabs>
          <w:tab w:val="num" w:pos="5040"/>
        </w:tabs>
        <w:ind w:left="5040" w:hanging="360"/>
      </w:pPr>
      <w:rPr>
        <w:rFonts w:ascii="Arial" w:hAnsi="Arial" w:hint="default"/>
      </w:rPr>
    </w:lvl>
    <w:lvl w:ilvl="7" w:tplc="EFE8391C" w:tentative="1">
      <w:start w:val="1"/>
      <w:numFmt w:val="bullet"/>
      <w:lvlText w:val="•"/>
      <w:lvlJc w:val="left"/>
      <w:pPr>
        <w:tabs>
          <w:tab w:val="num" w:pos="5760"/>
        </w:tabs>
        <w:ind w:left="5760" w:hanging="360"/>
      </w:pPr>
      <w:rPr>
        <w:rFonts w:ascii="Arial" w:hAnsi="Arial" w:hint="default"/>
      </w:rPr>
    </w:lvl>
    <w:lvl w:ilvl="8" w:tplc="332CA17A" w:tentative="1">
      <w:start w:val="1"/>
      <w:numFmt w:val="bullet"/>
      <w:lvlText w:val="•"/>
      <w:lvlJc w:val="left"/>
      <w:pPr>
        <w:tabs>
          <w:tab w:val="num" w:pos="6480"/>
        </w:tabs>
        <w:ind w:left="6480" w:hanging="360"/>
      </w:pPr>
      <w:rPr>
        <w:rFonts w:ascii="Arial" w:hAnsi="Arial" w:hint="default"/>
      </w:rPr>
    </w:lvl>
  </w:abstractNum>
  <w:abstractNum w:abstractNumId="2">
    <w:nsid w:val="124E5C8A"/>
    <w:multiLevelType w:val="hybridMultilevel"/>
    <w:tmpl w:val="B1885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BB3E9E"/>
    <w:multiLevelType w:val="multilevel"/>
    <w:tmpl w:val="DCE018D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355149"/>
    <w:multiLevelType w:val="hybridMultilevel"/>
    <w:tmpl w:val="49EE8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4E6478"/>
    <w:multiLevelType w:val="hybridMultilevel"/>
    <w:tmpl w:val="3C4482E4"/>
    <w:lvl w:ilvl="0" w:tplc="DDA0FA72">
      <w:start w:val="1"/>
      <w:numFmt w:val="bullet"/>
      <w:pStyle w:val="Bulletedbodytext"/>
      <w:lvlText w:val=""/>
      <w:lvlJc w:val="left"/>
      <w:pPr>
        <w:ind w:left="720" w:hanging="360"/>
      </w:pPr>
      <w:rPr>
        <w:rFonts w:ascii="Symbol" w:hAnsi="Symbol" w:hint="default"/>
        <w:spacing w:val="0"/>
        <w:w w:val="100"/>
        <w:position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DF03CB"/>
    <w:multiLevelType w:val="hybridMultilevel"/>
    <w:tmpl w:val="F090477A"/>
    <w:lvl w:ilvl="0" w:tplc="6F6E54DE">
      <w:numFmt w:val="bullet"/>
      <w:pStyle w:val="Bulletlis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0071EC"/>
    <w:multiLevelType w:val="hybridMultilevel"/>
    <w:tmpl w:val="8040789A"/>
    <w:lvl w:ilvl="0" w:tplc="D81C4C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7C34E2"/>
    <w:multiLevelType w:val="hybridMultilevel"/>
    <w:tmpl w:val="D7A8D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4B2D45"/>
    <w:multiLevelType w:val="hybridMultilevel"/>
    <w:tmpl w:val="BFB0673C"/>
    <w:lvl w:ilvl="0" w:tplc="D8A4B6A8">
      <w:start w:val="1"/>
      <w:numFmt w:val="bullet"/>
      <w:lvlText w:val="•"/>
      <w:lvlJc w:val="left"/>
      <w:pPr>
        <w:tabs>
          <w:tab w:val="num" w:pos="720"/>
        </w:tabs>
        <w:ind w:left="720" w:hanging="360"/>
      </w:pPr>
      <w:rPr>
        <w:rFonts w:ascii="Arial" w:hAnsi="Arial" w:hint="default"/>
      </w:rPr>
    </w:lvl>
    <w:lvl w:ilvl="1" w:tplc="FFB44A60">
      <w:start w:val="1236"/>
      <w:numFmt w:val="bullet"/>
      <w:lvlText w:val="–"/>
      <w:lvlJc w:val="left"/>
      <w:pPr>
        <w:tabs>
          <w:tab w:val="num" w:pos="1440"/>
        </w:tabs>
        <w:ind w:left="1440" w:hanging="360"/>
      </w:pPr>
      <w:rPr>
        <w:rFonts w:ascii="Arial" w:hAnsi="Arial" w:hint="default"/>
      </w:rPr>
    </w:lvl>
    <w:lvl w:ilvl="2" w:tplc="9334DE7C" w:tentative="1">
      <w:start w:val="1"/>
      <w:numFmt w:val="bullet"/>
      <w:lvlText w:val="•"/>
      <w:lvlJc w:val="left"/>
      <w:pPr>
        <w:tabs>
          <w:tab w:val="num" w:pos="2160"/>
        </w:tabs>
        <w:ind w:left="2160" w:hanging="360"/>
      </w:pPr>
      <w:rPr>
        <w:rFonts w:ascii="Arial" w:hAnsi="Arial" w:hint="default"/>
      </w:rPr>
    </w:lvl>
    <w:lvl w:ilvl="3" w:tplc="EEA25262" w:tentative="1">
      <w:start w:val="1"/>
      <w:numFmt w:val="bullet"/>
      <w:lvlText w:val="•"/>
      <w:lvlJc w:val="left"/>
      <w:pPr>
        <w:tabs>
          <w:tab w:val="num" w:pos="2880"/>
        </w:tabs>
        <w:ind w:left="2880" w:hanging="360"/>
      </w:pPr>
      <w:rPr>
        <w:rFonts w:ascii="Arial" w:hAnsi="Arial" w:hint="default"/>
      </w:rPr>
    </w:lvl>
    <w:lvl w:ilvl="4" w:tplc="11DED778" w:tentative="1">
      <w:start w:val="1"/>
      <w:numFmt w:val="bullet"/>
      <w:lvlText w:val="•"/>
      <w:lvlJc w:val="left"/>
      <w:pPr>
        <w:tabs>
          <w:tab w:val="num" w:pos="3600"/>
        </w:tabs>
        <w:ind w:left="3600" w:hanging="360"/>
      </w:pPr>
      <w:rPr>
        <w:rFonts w:ascii="Arial" w:hAnsi="Arial" w:hint="default"/>
      </w:rPr>
    </w:lvl>
    <w:lvl w:ilvl="5" w:tplc="A58A50BC" w:tentative="1">
      <w:start w:val="1"/>
      <w:numFmt w:val="bullet"/>
      <w:lvlText w:val="•"/>
      <w:lvlJc w:val="left"/>
      <w:pPr>
        <w:tabs>
          <w:tab w:val="num" w:pos="4320"/>
        </w:tabs>
        <w:ind w:left="4320" w:hanging="360"/>
      </w:pPr>
      <w:rPr>
        <w:rFonts w:ascii="Arial" w:hAnsi="Arial" w:hint="default"/>
      </w:rPr>
    </w:lvl>
    <w:lvl w:ilvl="6" w:tplc="8AA6AE08" w:tentative="1">
      <w:start w:val="1"/>
      <w:numFmt w:val="bullet"/>
      <w:lvlText w:val="•"/>
      <w:lvlJc w:val="left"/>
      <w:pPr>
        <w:tabs>
          <w:tab w:val="num" w:pos="5040"/>
        </w:tabs>
        <w:ind w:left="5040" w:hanging="360"/>
      </w:pPr>
      <w:rPr>
        <w:rFonts w:ascii="Arial" w:hAnsi="Arial" w:hint="default"/>
      </w:rPr>
    </w:lvl>
    <w:lvl w:ilvl="7" w:tplc="F390A144" w:tentative="1">
      <w:start w:val="1"/>
      <w:numFmt w:val="bullet"/>
      <w:lvlText w:val="•"/>
      <w:lvlJc w:val="left"/>
      <w:pPr>
        <w:tabs>
          <w:tab w:val="num" w:pos="5760"/>
        </w:tabs>
        <w:ind w:left="5760" w:hanging="360"/>
      </w:pPr>
      <w:rPr>
        <w:rFonts w:ascii="Arial" w:hAnsi="Arial" w:hint="default"/>
      </w:rPr>
    </w:lvl>
    <w:lvl w:ilvl="8" w:tplc="47E0E7A4" w:tentative="1">
      <w:start w:val="1"/>
      <w:numFmt w:val="bullet"/>
      <w:lvlText w:val="•"/>
      <w:lvlJc w:val="left"/>
      <w:pPr>
        <w:tabs>
          <w:tab w:val="num" w:pos="6480"/>
        </w:tabs>
        <w:ind w:left="6480" w:hanging="360"/>
      </w:pPr>
      <w:rPr>
        <w:rFonts w:ascii="Arial" w:hAnsi="Arial" w:hint="default"/>
      </w:rPr>
    </w:lvl>
  </w:abstractNum>
  <w:abstractNum w:abstractNumId="10">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1A1602"/>
    <w:multiLevelType w:val="hybridMultilevel"/>
    <w:tmpl w:val="DE56179A"/>
    <w:lvl w:ilvl="0" w:tplc="08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FF1BFD"/>
    <w:multiLevelType w:val="hybridMultilevel"/>
    <w:tmpl w:val="DA3CBDD2"/>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nsid w:val="61664E38"/>
    <w:multiLevelType w:val="hybridMultilevel"/>
    <w:tmpl w:val="E548B994"/>
    <w:lvl w:ilvl="0" w:tplc="3404D898">
      <w:start w:val="2000"/>
      <w:numFmt w:val="bullet"/>
      <w:pStyle w:val="bulletpointstyle"/>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FA60202"/>
    <w:multiLevelType w:val="multilevel"/>
    <w:tmpl w:val="F0BC0F28"/>
    <w:styleLink w:val="SectionStyle1"/>
    <w:lvl w:ilvl="0">
      <w:start w:val="1"/>
      <w:numFmt w:val="upperLetter"/>
      <w:lvlText w:val="%1"/>
      <w:lvlJc w:val="left"/>
      <w:pPr>
        <w:tabs>
          <w:tab w:val="num" w:pos="2232"/>
        </w:tabs>
        <w:ind w:left="2520" w:hanging="720"/>
      </w:pPr>
      <w:rPr>
        <w:rFonts w:ascii="Arial" w:hAnsi="Arial" w:hint="default"/>
        <w:b/>
        <w:i w:val="0"/>
        <w:spacing w:val="40"/>
        <w:kern w:val="28"/>
        <w:sz w:val="36"/>
      </w:rPr>
    </w:lvl>
    <w:lvl w:ilvl="1">
      <w:start w:val="1"/>
      <w:numFmt w:val="decimal"/>
      <w:lvlText w:val="%1.%2"/>
      <w:lvlJc w:val="left"/>
      <w:pPr>
        <w:tabs>
          <w:tab w:val="num" w:pos="432"/>
        </w:tabs>
        <w:ind w:left="720" w:hanging="720"/>
      </w:pPr>
      <w:rPr>
        <w:rFonts w:ascii="Arial" w:hAnsi="Arial" w:hint="default"/>
        <w:b/>
        <w:i w:val="0"/>
        <w:spacing w:val="30"/>
        <w:position w:val="0"/>
        <w:sz w:val="28"/>
      </w:rPr>
    </w:lvl>
    <w:lvl w:ilvl="2">
      <w:start w:val="1"/>
      <w:numFmt w:val="decimal"/>
      <w:lvlText w:val="%1.%2.%3"/>
      <w:lvlJc w:val="left"/>
      <w:pPr>
        <w:tabs>
          <w:tab w:val="num" w:pos="432"/>
        </w:tabs>
        <w:ind w:left="720" w:hanging="720"/>
      </w:pPr>
      <w:rPr>
        <w:rFonts w:ascii="Arial" w:hAnsi="Arial" w:hint="default"/>
        <w:b/>
        <w:i w:val="0"/>
        <w:spacing w:val="20"/>
        <w:kern w:val="28"/>
        <w:sz w:val="24"/>
      </w:rPr>
    </w:lvl>
    <w:lvl w:ilvl="3">
      <w:start w:val="1"/>
      <w:numFmt w:val="decimal"/>
      <w:lvlText w:val="%1.%2.%3.%4"/>
      <w:lvlJc w:val="left"/>
      <w:pPr>
        <w:tabs>
          <w:tab w:val="num" w:pos="1512"/>
        </w:tabs>
        <w:ind w:left="1800" w:hanging="720"/>
      </w:pPr>
      <w:rPr>
        <w:rFonts w:hint="default"/>
      </w:rPr>
    </w:lvl>
    <w:lvl w:ilvl="4">
      <w:start w:val="1"/>
      <w:numFmt w:val="decimal"/>
      <w:lvlText w:val="%1.%2.%3.%4.%5"/>
      <w:lvlJc w:val="left"/>
      <w:pPr>
        <w:tabs>
          <w:tab w:val="num" w:pos="1872"/>
        </w:tabs>
        <w:ind w:left="2160" w:hanging="720"/>
      </w:pPr>
      <w:rPr>
        <w:rFonts w:hint="default"/>
      </w:rPr>
    </w:lvl>
    <w:lvl w:ilvl="5">
      <w:start w:val="1"/>
      <w:numFmt w:val="decimal"/>
      <w:lvlText w:val="%1.%2.%3.%4.%5.%6"/>
      <w:lvlJc w:val="left"/>
      <w:pPr>
        <w:tabs>
          <w:tab w:val="num" w:pos="2232"/>
        </w:tabs>
        <w:ind w:left="2520" w:hanging="720"/>
      </w:pPr>
      <w:rPr>
        <w:rFonts w:hint="default"/>
      </w:rPr>
    </w:lvl>
    <w:lvl w:ilvl="6">
      <w:start w:val="1"/>
      <w:numFmt w:val="decimal"/>
      <w:lvlText w:val="%1.%2.%3.%4.%5.%6.%7"/>
      <w:lvlJc w:val="left"/>
      <w:pPr>
        <w:tabs>
          <w:tab w:val="num" w:pos="2592"/>
        </w:tabs>
        <w:ind w:left="2880" w:hanging="720"/>
      </w:pPr>
      <w:rPr>
        <w:rFonts w:hint="default"/>
      </w:rPr>
    </w:lvl>
    <w:lvl w:ilvl="7">
      <w:start w:val="1"/>
      <w:numFmt w:val="decimal"/>
      <w:lvlText w:val="%1.%2.%3.%4.%5.%6.%7.%8"/>
      <w:lvlJc w:val="left"/>
      <w:pPr>
        <w:tabs>
          <w:tab w:val="num" w:pos="2952"/>
        </w:tabs>
        <w:ind w:left="3240" w:hanging="720"/>
      </w:pPr>
      <w:rPr>
        <w:rFonts w:hint="default"/>
      </w:rPr>
    </w:lvl>
    <w:lvl w:ilvl="8">
      <w:start w:val="1"/>
      <w:numFmt w:val="decimal"/>
      <w:lvlText w:val="%1.%2.%3.%4.%5.%6.%7.%8.%9"/>
      <w:lvlJc w:val="left"/>
      <w:pPr>
        <w:tabs>
          <w:tab w:val="num" w:pos="3312"/>
        </w:tabs>
        <w:ind w:left="3600" w:hanging="720"/>
      </w:pPr>
      <w:rPr>
        <w:rFonts w:hint="default"/>
      </w:rPr>
    </w:lvl>
  </w:abstractNum>
  <w:abstractNum w:abstractNumId="15">
    <w:nsid w:val="784D033C"/>
    <w:multiLevelType w:val="multilevel"/>
    <w:tmpl w:val="A6A828B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B9600D0"/>
    <w:multiLevelType w:val="hybridMultilevel"/>
    <w:tmpl w:val="C9C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6"/>
  </w:num>
  <w:num w:numId="5">
    <w:abstractNumId w:val="14"/>
  </w:num>
  <w:num w:numId="6">
    <w:abstractNumId w:val="13"/>
  </w:num>
  <w:num w:numId="7">
    <w:abstractNumId w:val="5"/>
  </w:num>
  <w:num w:numId="8">
    <w:abstractNumId w:val="12"/>
  </w:num>
  <w:num w:numId="9">
    <w:abstractNumId w:val="2"/>
  </w:num>
  <w:num w:numId="10">
    <w:abstractNumId w:val="3"/>
  </w:num>
  <w:num w:numId="11">
    <w:abstractNumId w:val="16"/>
  </w:num>
  <w:num w:numId="12">
    <w:abstractNumId w:val="1"/>
  </w:num>
  <w:num w:numId="13">
    <w:abstractNumId w:val="9"/>
  </w:num>
  <w:num w:numId="14">
    <w:abstractNumId w:val="4"/>
  </w:num>
  <w:num w:numId="15">
    <w:abstractNumId w:val="11"/>
  </w:num>
  <w:num w:numId="16">
    <w:abstractNumId w:val="7"/>
  </w:num>
  <w:num w:numId="17">
    <w:abstractNumId w:val="10"/>
  </w:num>
  <w:num w:numId="18">
    <w:abstractNumId w:val="1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y Comans">
    <w15:presenceInfo w15:providerId="Windows Live" w15:userId="2535df218b6f1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AD"/>
    <w:rsid w:val="0000055B"/>
    <w:rsid w:val="00000790"/>
    <w:rsid w:val="0000110B"/>
    <w:rsid w:val="00003499"/>
    <w:rsid w:val="000034CE"/>
    <w:rsid w:val="00005904"/>
    <w:rsid w:val="00010228"/>
    <w:rsid w:val="00010647"/>
    <w:rsid w:val="000109A4"/>
    <w:rsid w:val="00010E0A"/>
    <w:rsid w:val="00011B78"/>
    <w:rsid w:val="0001202D"/>
    <w:rsid w:val="00013247"/>
    <w:rsid w:val="000138A4"/>
    <w:rsid w:val="00014245"/>
    <w:rsid w:val="00015886"/>
    <w:rsid w:val="000162EF"/>
    <w:rsid w:val="00016E95"/>
    <w:rsid w:val="000206EF"/>
    <w:rsid w:val="0002225F"/>
    <w:rsid w:val="0002346C"/>
    <w:rsid w:val="00023763"/>
    <w:rsid w:val="000249A9"/>
    <w:rsid w:val="00026A8F"/>
    <w:rsid w:val="000301D5"/>
    <w:rsid w:val="000356E3"/>
    <w:rsid w:val="0003597E"/>
    <w:rsid w:val="00040895"/>
    <w:rsid w:val="0004146D"/>
    <w:rsid w:val="0004292D"/>
    <w:rsid w:val="00043058"/>
    <w:rsid w:val="00043C37"/>
    <w:rsid w:val="000447DE"/>
    <w:rsid w:val="00045F2C"/>
    <w:rsid w:val="00045FBC"/>
    <w:rsid w:val="000529B6"/>
    <w:rsid w:val="000529F7"/>
    <w:rsid w:val="0005408A"/>
    <w:rsid w:val="000546D7"/>
    <w:rsid w:val="000578B4"/>
    <w:rsid w:val="00067E78"/>
    <w:rsid w:val="00071248"/>
    <w:rsid w:val="00071D7D"/>
    <w:rsid w:val="000720B9"/>
    <w:rsid w:val="00072655"/>
    <w:rsid w:val="000745E1"/>
    <w:rsid w:val="00074EE1"/>
    <w:rsid w:val="000756FB"/>
    <w:rsid w:val="0007613E"/>
    <w:rsid w:val="0007796F"/>
    <w:rsid w:val="00080CDD"/>
    <w:rsid w:val="000812CA"/>
    <w:rsid w:val="00081EEC"/>
    <w:rsid w:val="0008717B"/>
    <w:rsid w:val="00090C7E"/>
    <w:rsid w:val="00091AF1"/>
    <w:rsid w:val="00092272"/>
    <w:rsid w:val="00092E6E"/>
    <w:rsid w:val="000944AC"/>
    <w:rsid w:val="00097032"/>
    <w:rsid w:val="000A1F5A"/>
    <w:rsid w:val="000A221A"/>
    <w:rsid w:val="000A3927"/>
    <w:rsid w:val="000A3B25"/>
    <w:rsid w:val="000A3D60"/>
    <w:rsid w:val="000A790B"/>
    <w:rsid w:val="000B1FB3"/>
    <w:rsid w:val="000B2E03"/>
    <w:rsid w:val="000B49FA"/>
    <w:rsid w:val="000B646E"/>
    <w:rsid w:val="000C0529"/>
    <w:rsid w:val="000C0D1E"/>
    <w:rsid w:val="000C42BE"/>
    <w:rsid w:val="000C64A2"/>
    <w:rsid w:val="000C6E42"/>
    <w:rsid w:val="000C76AB"/>
    <w:rsid w:val="000D0140"/>
    <w:rsid w:val="000D0A24"/>
    <w:rsid w:val="000D17B7"/>
    <w:rsid w:val="000D1BFC"/>
    <w:rsid w:val="000D2757"/>
    <w:rsid w:val="000D72E9"/>
    <w:rsid w:val="000E3BDB"/>
    <w:rsid w:val="000E7522"/>
    <w:rsid w:val="000F4BB8"/>
    <w:rsid w:val="000F5795"/>
    <w:rsid w:val="000F663B"/>
    <w:rsid w:val="000F7127"/>
    <w:rsid w:val="000F7255"/>
    <w:rsid w:val="000F7B64"/>
    <w:rsid w:val="0010062A"/>
    <w:rsid w:val="00100F8A"/>
    <w:rsid w:val="00102007"/>
    <w:rsid w:val="0010504B"/>
    <w:rsid w:val="0011032E"/>
    <w:rsid w:val="00110399"/>
    <w:rsid w:val="00111053"/>
    <w:rsid w:val="00111DF9"/>
    <w:rsid w:val="0011348B"/>
    <w:rsid w:val="00113B42"/>
    <w:rsid w:val="00116D68"/>
    <w:rsid w:val="00121799"/>
    <w:rsid w:val="00121A4D"/>
    <w:rsid w:val="001222FC"/>
    <w:rsid w:val="0012392F"/>
    <w:rsid w:val="00124A51"/>
    <w:rsid w:val="00126621"/>
    <w:rsid w:val="001301E9"/>
    <w:rsid w:val="00131E4A"/>
    <w:rsid w:val="0013506D"/>
    <w:rsid w:val="0013513B"/>
    <w:rsid w:val="00137645"/>
    <w:rsid w:val="0014015A"/>
    <w:rsid w:val="0014055B"/>
    <w:rsid w:val="00140E99"/>
    <w:rsid w:val="0014139C"/>
    <w:rsid w:val="00141690"/>
    <w:rsid w:val="00141DC6"/>
    <w:rsid w:val="0014368C"/>
    <w:rsid w:val="00144780"/>
    <w:rsid w:val="00145540"/>
    <w:rsid w:val="001456B0"/>
    <w:rsid w:val="00146930"/>
    <w:rsid w:val="00147179"/>
    <w:rsid w:val="00150281"/>
    <w:rsid w:val="001511CA"/>
    <w:rsid w:val="0015129F"/>
    <w:rsid w:val="00153127"/>
    <w:rsid w:val="001553FA"/>
    <w:rsid w:val="00157130"/>
    <w:rsid w:val="00161CAB"/>
    <w:rsid w:val="0016221E"/>
    <w:rsid w:val="00162913"/>
    <w:rsid w:val="00163EFF"/>
    <w:rsid w:val="001661FB"/>
    <w:rsid w:val="001666C7"/>
    <w:rsid w:val="00173567"/>
    <w:rsid w:val="001762CA"/>
    <w:rsid w:val="00176962"/>
    <w:rsid w:val="001812B3"/>
    <w:rsid w:val="00182338"/>
    <w:rsid w:val="001825E0"/>
    <w:rsid w:val="0018340C"/>
    <w:rsid w:val="001844E9"/>
    <w:rsid w:val="001864E4"/>
    <w:rsid w:val="00186D1E"/>
    <w:rsid w:val="001871B9"/>
    <w:rsid w:val="0018752F"/>
    <w:rsid w:val="00190B79"/>
    <w:rsid w:val="00195222"/>
    <w:rsid w:val="001975D8"/>
    <w:rsid w:val="001A019A"/>
    <w:rsid w:val="001A0862"/>
    <w:rsid w:val="001A2024"/>
    <w:rsid w:val="001A248C"/>
    <w:rsid w:val="001A7F57"/>
    <w:rsid w:val="001B0F94"/>
    <w:rsid w:val="001B3443"/>
    <w:rsid w:val="001B5589"/>
    <w:rsid w:val="001B5CC1"/>
    <w:rsid w:val="001B6264"/>
    <w:rsid w:val="001B6B02"/>
    <w:rsid w:val="001C0281"/>
    <w:rsid w:val="001C12D6"/>
    <w:rsid w:val="001C3150"/>
    <w:rsid w:val="001C4978"/>
    <w:rsid w:val="001C4A1D"/>
    <w:rsid w:val="001C5766"/>
    <w:rsid w:val="001C6E66"/>
    <w:rsid w:val="001C6E96"/>
    <w:rsid w:val="001D1DF2"/>
    <w:rsid w:val="001D6EF7"/>
    <w:rsid w:val="001E238E"/>
    <w:rsid w:val="001E2B1E"/>
    <w:rsid w:val="001E52EB"/>
    <w:rsid w:val="001E5888"/>
    <w:rsid w:val="001E5EFD"/>
    <w:rsid w:val="001E7304"/>
    <w:rsid w:val="001E740C"/>
    <w:rsid w:val="001E7A89"/>
    <w:rsid w:val="001F1235"/>
    <w:rsid w:val="001F1CB3"/>
    <w:rsid w:val="001F3166"/>
    <w:rsid w:val="001F46AD"/>
    <w:rsid w:val="001F47A3"/>
    <w:rsid w:val="001F5B64"/>
    <w:rsid w:val="001F7361"/>
    <w:rsid w:val="002008FA"/>
    <w:rsid w:val="002015BB"/>
    <w:rsid w:val="00201D16"/>
    <w:rsid w:val="00202D37"/>
    <w:rsid w:val="00203397"/>
    <w:rsid w:val="0020385F"/>
    <w:rsid w:val="00206522"/>
    <w:rsid w:val="00206DB8"/>
    <w:rsid w:val="00207021"/>
    <w:rsid w:val="00207D00"/>
    <w:rsid w:val="002105C1"/>
    <w:rsid w:val="00211318"/>
    <w:rsid w:val="002168BF"/>
    <w:rsid w:val="00221C0C"/>
    <w:rsid w:val="00223B49"/>
    <w:rsid w:val="0022452B"/>
    <w:rsid w:val="00224DD4"/>
    <w:rsid w:val="00227B98"/>
    <w:rsid w:val="002309CC"/>
    <w:rsid w:val="00232D69"/>
    <w:rsid w:val="00235332"/>
    <w:rsid w:val="002373DF"/>
    <w:rsid w:val="002373F2"/>
    <w:rsid w:val="00237DA7"/>
    <w:rsid w:val="00237F8A"/>
    <w:rsid w:val="00242867"/>
    <w:rsid w:val="00243214"/>
    <w:rsid w:val="002439D7"/>
    <w:rsid w:val="002441F0"/>
    <w:rsid w:val="0024655E"/>
    <w:rsid w:val="002479E3"/>
    <w:rsid w:val="002543A5"/>
    <w:rsid w:val="00254DCF"/>
    <w:rsid w:val="0025534B"/>
    <w:rsid w:val="00255BB7"/>
    <w:rsid w:val="002576BD"/>
    <w:rsid w:val="00261D0D"/>
    <w:rsid w:val="0026215E"/>
    <w:rsid w:val="002625E9"/>
    <w:rsid w:val="00262A87"/>
    <w:rsid w:val="00262F04"/>
    <w:rsid w:val="00263B39"/>
    <w:rsid w:val="00267B0E"/>
    <w:rsid w:val="002707BA"/>
    <w:rsid w:val="00270A33"/>
    <w:rsid w:val="00275C5A"/>
    <w:rsid w:val="00275D07"/>
    <w:rsid w:val="002777BD"/>
    <w:rsid w:val="00280C9C"/>
    <w:rsid w:val="00280FD0"/>
    <w:rsid w:val="00281014"/>
    <w:rsid w:val="00283B4F"/>
    <w:rsid w:val="00284734"/>
    <w:rsid w:val="00287784"/>
    <w:rsid w:val="00290D2A"/>
    <w:rsid w:val="002924D5"/>
    <w:rsid w:val="00292597"/>
    <w:rsid w:val="00292A3F"/>
    <w:rsid w:val="0029308A"/>
    <w:rsid w:val="0029479E"/>
    <w:rsid w:val="002952E3"/>
    <w:rsid w:val="00295EC5"/>
    <w:rsid w:val="002A097C"/>
    <w:rsid w:val="002A14AB"/>
    <w:rsid w:val="002A4638"/>
    <w:rsid w:val="002A6A4F"/>
    <w:rsid w:val="002B0696"/>
    <w:rsid w:val="002B19B3"/>
    <w:rsid w:val="002B1C1F"/>
    <w:rsid w:val="002B432F"/>
    <w:rsid w:val="002B6401"/>
    <w:rsid w:val="002B6CCE"/>
    <w:rsid w:val="002B7BB5"/>
    <w:rsid w:val="002C21AE"/>
    <w:rsid w:val="002C2775"/>
    <w:rsid w:val="002C27C1"/>
    <w:rsid w:val="002C344D"/>
    <w:rsid w:val="002C46F2"/>
    <w:rsid w:val="002C7C0D"/>
    <w:rsid w:val="002D014D"/>
    <w:rsid w:val="002D0D2F"/>
    <w:rsid w:val="002D149E"/>
    <w:rsid w:val="002D2005"/>
    <w:rsid w:val="002D5ACB"/>
    <w:rsid w:val="002D6382"/>
    <w:rsid w:val="002D68C6"/>
    <w:rsid w:val="002E0143"/>
    <w:rsid w:val="002E1DA5"/>
    <w:rsid w:val="002E5DA2"/>
    <w:rsid w:val="002E5EF3"/>
    <w:rsid w:val="002F0330"/>
    <w:rsid w:val="00300256"/>
    <w:rsid w:val="00301017"/>
    <w:rsid w:val="003011CF"/>
    <w:rsid w:val="00301CC8"/>
    <w:rsid w:val="0030415B"/>
    <w:rsid w:val="00305ECA"/>
    <w:rsid w:val="00307094"/>
    <w:rsid w:val="0030786C"/>
    <w:rsid w:val="00307DB9"/>
    <w:rsid w:val="0031031A"/>
    <w:rsid w:val="00310981"/>
    <w:rsid w:val="00313C48"/>
    <w:rsid w:val="00315498"/>
    <w:rsid w:val="003201E1"/>
    <w:rsid w:val="00320C3A"/>
    <w:rsid w:val="00321DFF"/>
    <w:rsid w:val="00323384"/>
    <w:rsid w:val="00323521"/>
    <w:rsid w:val="0032521B"/>
    <w:rsid w:val="003302D5"/>
    <w:rsid w:val="003366C9"/>
    <w:rsid w:val="00336D5B"/>
    <w:rsid w:val="0033709F"/>
    <w:rsid w:val="003371B0"/>
    <w:rsid w:val="0034040F"/>
    <w:rsid w:val="00344821"/>
    <w:rsid w:val="0035218B"/>
    <w:rsid w:val="003525A5"/>
    <w:rsid w:val="003529C3"/>
    <w:rsid w:val="00353259"/>
    <w:rsid w:val="003557F8"/>
    <w:rsid w:val="0035620E"/>
    <w:rsid w:val="00357D86"/>
    <w:rsid w:val="0036007C"/>
    <w:rsid w:val="00362DF0"/>
    <w:rsid w:val="0036387A"/>
    <w:rsid w:val="00363E81"/>
    <w:rsid w:val="00365717"/>
    <w:rsid w:val="00365CD8"/>
    <w:rsid w:val="00365FD2"/>
    <w:rsid w:val="003674EA"/>
    <w:rsid w:val="00367F11"/>
    <w:rsid w:val="00371D00"/>
    <w:rsid w:val="00372E7F"/>
    <w:rsid w:val="0037304A"/>
    <w:rsid w:val="003740E3"/>
    <w:rsid w:val="00375EB8"/>
    <w:rsid w:val="003776CE"/>
    <w:rsid w:val="003813E4"/>
    <w:rsid w:val="003819EB"/>
    <w:rsid w:val="00382220"/>
    <w:rsid w:val="0038365C"/>
    <w:rsid w:val="00384C38"/>
    <w:rsid w:val="0039151F"/>
    <w:rsid w:val="00392436"/>
    <w:rsid w:val="00394917"/>
    <w:rsid w:val="003961C2"/>
    <w:rsid w:val="00396FD0"/>
    <w:rsid w:val="003A06D5"/>
    <w:rsid w:val="003A1724"/>
    <w:rsid w:val="003A1A7A"/>
    <w:rsid w:val="003A298D"/>
    <w:rsid w:val="003B1B55"/>
    <w:rsid w:val="003B1E09"/>
    <w:rsid w:val="003B24DB"/>
    <w:rsid w:val="003B2930"/>
    <w:rsid w:val="003B4600"/>
    <w:rsid w:val="003B5C59"/>
    <w:rsid w:val="003B6059"/>
    <w:rsid w:val="003B6C79"/>
    <w:rsid w:val="003B76E9"/>
    <w:rsid w:val="003B7ED1"/>
    <w:rsid w:val="003C29DB"/>
    <w:rsid w:val="003C46B7"/>
    <w:rsid w:val="003C6AFA"/>
    <w:rsid w:val="003C6F26"/>
    <w:rsid w:val="003C7FAA"/>
    <w:rsid w:val="003D1828"/>
    <w:rsid w:val="003D2161"/>
    <w:rsid w:val="003D222B"/>
    <w:rsid w:val="003D2422"/>
    <w:rsid w:val="003D4C32"/>
    <w:rsid w:val="003E0390"/>
    <w:rsid w:val="003E0A19"/>
    <w:rsid w:val="003E0E9F"/>
    <w:rsid w:val="003E26EA"/>
    <w:rsid w:val="003E29E6"/>
    <w:rsid w:val="003E4237"/>
    <w:rsid w:val="003E7C26"/>
    <w:rsid w:val="003F116D"/>
    <w:rsid w:val="003F245B"/>
    <w:rsid w:val="003F4156"/>
    <w:rsid w:val="003F492B"/>
    <w:rsid w:val="003F55BF"/>
    <w:rsid w:val="003F7E3B"/>
    <w:rsid w:val="00403713"/>
    <w:rsid w:val="004040B3"/>
    <w:rsid w:val="0040435F"/>
    <w:rsid w:val="00404AD7"/>
    <w:rsid w:val="0040604B"/>
    <w:rsid w:val="00407F38"/>
    <w:rsid w:val="00410708"/>
    <w:rsid w:val="00410EC7"/>
    <w:rsid w:val="0041154F"/>
    <w:rsid w:val="00413587"/>
    <w:rsid w:val="00414476"/>
    <w:rsid w:val="00415996"/>
    <w:rsid w:val="00415D99"/>
    <w:rsid w:val="004178ED"/>
    <w:rsid w:val="00420B9F"/>
    <w:rsid w:val="004263DB"/>
    <w:rsid w:val="00427170"/>
    <w:rsid w:val="00430971"/>
    <w:rsid w:val="0043139F"/>
    <w:rsid w:val="004319F8"/>
    <w:rsid w:val="00431D2E"/>
    <w:rsid w:val="004322AC"/>
    <w:rsid w:val="00433044"/>
    <w:rsid w:val="00434B5D"/>
    <w:rsid w:val="0043556A"/>
    <w:rsid w:val="00435FE4"/>
    <w:rsid w:val="00436F01"/>
    <w:rsid w:val="004379C8"/>
    <w:rsid w:val="00440042"/>
    <w:rsid w:val="0044068A"/>
    <w:rsid w:val="00441B88"/>
    <w:rsid w:val="00442B48"/>
    <w:rsid w:val="00443045"/>
    <w:rsid w:val="004443A7"/>
    <w:rsid w:val="004449F3"/>
    <w:rsid w:val="004464EB"/>
    <w:rsid w:val="00452583"/>
    <w:rsid w:val="004528BD"/>
    <w:rsid w:val="004547C4"/>
    <w:rsid w:val="00455D45"/>
    <w:rsid w:val="0045789F"/>
    <w:rsid w:val="00460BCB"/>
    <w:rsid w:val="0046248E"/>
    <w:rsid w:val="004625A1"/>
    <w:rsid w:val="00463FDA"/>
    <w:rsid w:val="004640D3"/>
    <w:rsid w:val="00464595"/>
    <w:rsid w:val="00465CB1"/>
    <w:rsid w:val="00466EF9"/>
    <w:rsid w:val="0047036A"/>
    <w:rsid w:val="00471D9E"/>
    <w:rsid w:val="00475A92"/>
    <w:rsid w:val="004764D9"/>
    <w:rsid w:val="00476ED1"/>
    <w:rsid w:val="00477F3A"/>
    <w:rsid w:val="00480459"/>
    <w:rsid w:val="00480C21"/>
    <w:rsid w:val="00480EEF"/>
    <w:rsid w:val="00482A8B"/>
    <w:rsid w:val="00483ACF"/>
    <w:rsid w:val="004845EB"/>
    <w:rsid w:val="00484DB7"/>
    <w:rsid w:val="0048549F"/>
    <w:rsid w:val="00485FCB"/>
    <w:rsid w:val="004867E2"/>
    <w:rsid w:val="00486DD9"/>
    <w:rsid w:val="004901E2"/>
    <w:rsid w:val="00490BEB"/>
    <w:rsid w:val="00490DA4"/>
    <w:rsid w:val="00490F52"/>
    <w:rsid w:val="00491B3A"/>
    <w:rsid w:val="00491B66"/>
    <w:rsid w:val="00492CFD"/>
    <w:rsid w:val="004962D2"/>
    <w:rsid w:val="00496BDC"/>
    <w:rsid w:val="00496F33"/>
    <w:rsid w:val="004A0DA1"/>
    <w:rsid w:val="004A203F"/>
    <w:rsid w:val="004A34D9"/>
    <w:rsid w:val="004A35D2"/>
    <w:rsid w:val="004A6597"/>
    <w:rsid w:val="004A6D91"/>
    <w:rsid w:val="004B032B"/>
    <w:rsid w:val="004B10DF"/>
    <w:rsid w:val="004B1CB4"/>
    <w:rsid w:val="004B2DD0"/>
    <w:rsid w:val="004B2F18"/>
    <w:rsid w:val="004B3DDB"/>
    <w:rsid w:val="004B44FD"/>
    <w:rsid w:val="004B489D"/>
    <w:rsid w:val="004B5CFC"/>
    <w:rsid w:val="004B6529"/>
    <w:rsid w:val="004B7C84"/>
    <w:rsid w:val="004C10D0"/>
    <w:rsid w:val="004C15B9"/>
    <w:rsid w:val="004C17D2"/>
    <w:rsid w:val="004C3326"/>
    <w:rsid w:val="004C4AED"/>
    <w:rsid w:val="004C54DD"/>
    <w:rsid w:val="004D6BF6"/>
    <w:rsid w:val="004E0EB8"/>
    <w:rsid w:val="004E13C5"/>
    <w:rsid w:val="004E1B5E"/>
    <w:rsid w:val="004E2ADC"/>
    <w:rsid w:val="004E3ACD"/>
    <w:rsid w:val="004E43B2"/>
    <w:rsid w:val="004E50D9"/>
    <w:rsid w:val="004E5FA2"/>
    <w:rsid w:val="004E603D"/>
    <w:rsid w:val="004E61AC"/>
    <w:rsid w:val="004E671F"/>
    <w:rsid w:val="004E72C3"/>
    <w:rsid w:val="004E743B"/>
    <w:rsid w:val="004E7EBC"/>
    <w:rsid w:val="004F1D02"/>
    <w:rsid w:val="004F2679"/>
    <w:rsid w:val="004F39BA"/>
    <w:rsid w:val="004F49F0"/>
    <w:rsid w:val="004F4D58"/>
    <w:rsid w:val="004F774F"/>
    <w:rsid w:val="004F7865"/>
    <w:rsid w:val="00500C1C"/>
    <w:rsid w:val="005016A8"/>
    <w:rsid w:val="00503CF7"/>
    <w:rsid w:val="00506928"/>
    <w:rsid w:val="00507CF1"/>
    <w:rsid w:val="00507DBA"/>
    <w:rsid w:val="0051002A"/>
    <w:rsid w:val="0051139A"/>
    <w:rsid w:val="005152B5"/>
    <w:rsid w:val="0051679B"/>
    <w:rsid w:val="005177E4"/>
    <w:rsid w:val="005178FE"/>
    <w:rsid w:val="00521319"/>
    <w:rsid w:val="00521936"/>
    <w:rsid w:val="00521EF6"/>
    <w:rsid w:val="00523C28"/>
    <w:rsid w:val="00524841"/>
    <w:rsid w:val="00527087"/>
    <w:rsid w:val="00530811"/>
    <w:rsid w:val="00537406"/>
    <w:rsid w:val="00540028"/>
    <w:rsid w:val="0054050C"/>
    <w:rsid w:val="00540F03"/>
    <w:rsid w:val="005417BD"/>
    <w:rsid w:val="00543FDD"/>
    <w:rsid w:val="0054474A"/>
    <w:rsid w:val="0054502D"/>
    <w:rsid w:val="005502E7"/>
    <w:rsid w:val="00551632"/>
    <w:rsid w:val="00552BD3"/>
    <w:rsid w:val="00555109"/>
    <w:rsid w:val="00560C8D"/>
    <w:rsid w:val="005615A8"/>
    <w:rsid w:val="0056696F"/>
    <w:rsid w:val="00566E56"/>
    <w:rsid w:val="005670F8"/>
    <w:rsid w:val="00567A58"/>
    <w:rsid w:val="00571FE0"/>
    <w:rsid w:val="00572CBB"/>
    <w:rsid w:val="00574B9E"/>
    <w:rsid w:val="00575651"/>
    <w:rsid w:val="00575D8D"/>
    <w:rsid w:val="0057696D"/>
    <w:rsid w:val="00576972"/>
    <w:rsid w:val="00576C77"/>
    <w:rsid w:val="005812E1"/>
    <w:rsid w:val="00581A8E"/>
    <w:rsid w:val="0058229B"/>
    <w:rsid w:val="00582D2E"/>
    <w:rsid w:val="005830EC"/>
    <w:rsid w:val="00583699"/>
    <w:rsid w:val="005846A3"/>
    <w:rsid w:val="00586073"/>
    <w:rsid w:val="00586286"/>
    <w:rsid w:val="005870C5"/>
    <w:rsid w:val="00591971"/>
    <w:rsid w:val="00591DF9"/>
    <w:rsid w:val="00593409"/>
    <w:rsid w:val="00594D80"/>
    <w:rsid w:val="00595824"/>
    <w:rsid w:val="005A2B82"/>
    <w:rsid w:val="005A5BC4"/>
    <w:rsid w:val="005B5857"/>
    <w:rsid w:val="005B6BBE"/>
    <w:rsid w:val="005C0F14"/>
    <w:rsid w:val="005C116A"/>
    <w:rsid w:val="005C1B83"/>
    <w:rsid w:val="005C255A"/>
    <w:rsid w:val="005C2C29"/>
    <w:rsid w:val="005C346B"/>
    <w:rsid w:val="005C4A02"/>
    <w:rsid w:val="005C5010"/>
    <w:rsid w:val="005C5151"/>
    <w:rsid w:val="005C5C64"/>
    <w:rsid w:val="005D044D"/>
    <w:rsid w:val="005D1843"/>
    <w:rsid w:val="005D18AD"/>
    <w:rsid w:val="005D35E5"/>
    <w:rsid w:val="005D7099"/>
    <w:rsid w:val="005E1E79"/>
    <w:rsid w:val="005E22C2"/>
    <w:rsid w:val="005E616D"/>
    <w:rsid w:val="005E73C0"/>
    <w:rsid w:val="005F2706"/>
    <w:rsid w:val="005F3254"/>
    <w:rsid w:val="005F3D5B"/>
    <w:rsid w:val="005F4AE9"/>
    <w:rsid w:val="005F4D8E"/>
    <w:rsid w:val="005F57D8"/>
    <w:rsid w:val="005F5D5C"/>
    <w:rsid w:val="005F6968"/>
    <w:rsid w:val="005F6A8F"/>
    <w:rsid w:val="00604F21"/>
    <w:rsid w:val="006052C9"/>
    <w:rsid w:val="00607669"/>
    <w:rsid w:val="00612F97"/>
    <w:rsid w:val="006145A7"/>
    <w:rsid w:val="00616802"/>
    <w:rsid w:val="006179A1"/>
    <w:rsid w:val="00617E12"/>
    <w:rsid w:val="00620DDC"/>
    <w:rsid w:val="00621245"/>
    <w:rsid w:val="00621477"/>
    <w:rsid w:val="0062409A"/>
    <w:rsid w:val="006245E6"/>
    <w:rsid w:val="0062686F"/>
    <w:rsid w:val="00626A20"/>
    <w:rsid w:val="00627608"/>
    <w:rsid w:val="00630BAC"/>
    <w:rsid w:val="00631D6B"/>
    <w:rsid w:val="00633864"/>
    <w:rsid w:val="0063479F"/>
    <w:rsid w:val="006364A1"/>
    <w:rsid w:val="00636A03"/>
    <w:rsid w:val="00637BFD"/>
    <w:rsid w:val="00643954"/>
    <w:rsid w:val="006455D4"/>
    <w:rsid w:val="006471CC"/>
    <w:rsid w:val="00647274"/>
    <w:rsid w:val="0065079F"/>
    <w:rsid w:val="006507CB"/>
    <w:rsid w:val="00650D65"/>
    <w:rsid w:val="00651EC8"/>
    <w:rsid w:val="00653033"/>
    <w:rsid w:val="00653192"/>
    <w:rsid w:val="00655867"/>
    <w:rsid w:val="00660AF4"/>
    <w:rsid w:val="00664036"/>
    <w:rsid w:val="00665661"/>
    <w:rsid w:val="006663A4"/>
    <w:rsid w:val="006667CE"/>
    <w:rsid w:val="006677ED"/>
    <w:rsid w:val="00673C92"/>
    <w:rsid w:val="00673F7E"/>
    <w:rsid w:val="00674E42"/>
    <w:rsid w:val="0067691A"/>
    <w:rsid w:val="00680DFE"/>
    <w:rsid w:val="00682112"/>
    <w:rsid w:val="006825D0"/>
    <w:rsid w:val="006843B0"/>
    <w:rsid w:val="00685008"/>
    <w:rsid w:val="006851AA"/>
    <w:rsid w:val="00687061"/>
    <w:rsid w:val="006870B2"/>
    <w:rsid w:val="006872BA"/>
    <w:rsid w:val="00691290"/>
    <w:rsid w:val="006917D7"/>
    <w:rsid w:val="00694601"/>
    <w:rsid w:val="00694F44"/>
    <w:rsid w:val="00697351"/>
    <w:rsid w:val="006A0F18"/>
    <w:rsid w:val="006A21D2"/>
    <w:rsid w:val="006A3E36"/>
    <w:rsid w:val="006A3FD0"/>
    <w:rsid w:val="006A4BBE"/>
    <w:rsid w:val="006B060D"/>
    <w:rsid w:val="006B0BCD"/>
    <w:rsid w:val="006B4649"/>
    <w:rsid w:val="006B5B5C"/>
    <w:rsid w:val="006B5F86"/>
    <w:rsid w:val="006C2A8E"/>
    <w:rsid w:val="006C5D61"/>
    <w:rsid w:val="006D0E0E"/>
    <w:rsid w:val="006D243D"/>
    <w:rsid w:val="006D37C5"/>
    <w:rsid w:val="006D3C7D"/>
    <w:rsid w:val="006D5D5F"/>
    <w:rsid w:val="006D5D8B"/>
    <w:rsid w:val="006D5E22"/>
    <w:rsid w:val="006D7C95"/>
    <w:rsid w:val="006E173C"/>
    <w:rsid w:val="006E2478"/>
    <w:rsid w:val="006E3E72"/>
    <w:rsid w:val="006E71C8"/>
    <w:rsid w:val="006E7CE3"/>
    <w:rsid w:val="006F1E94"/>
    <w:rsid w:val="006F3735"/>
    <w:rsid w:val="006F44A9"/>
    <w:rsid w:val="006F63A5"/>
    <w:rsid w:val="006F7329"/>
    <w:rsid w:val="00700563"/>
    <w:rsid w:val="007012A2"/>
    <w:rsid w:val="0070276E"/>
    <w:rsid w:val="00702F8F"/>
    <w:rsid w:val="00704A6A"/>
    <w:rsid w:val="00711A36"/>
    <w:rsid w:val="00711E32"/>
    <w:rsid w:val="00713836"/>
    <w:rsid w:val="007141DB"/>
    <w:rsid w:val="00714526"/>
    <w:rsid w:val="007145BE"/>
    <w:rsid w:val="00715F37"/>
    <w:rsid w:val="007172AD"/>
    <w:rsid w:val="00721236"/>
    <w:rsid w:val="007236FC"/>
    <w:rsid w:val="0072416F"/>
    <w:rsid w:val="00724197"/>
    <w:rsid w:val="00724C82"/>
    <w:rsid w:val="00725E11"/>
    <w:rsid w:val="00727201"/>
    <w:rsid w:val="007279B5"/>
    <w:rsid w:val="00732F30"/>
    <w:rsid w:val="00734FE1"/>
    <w:rsid w:val="00735024"/>
    <w:rsid w:val="00735328"/>
    <w:rsid w:val="0073685B"/>
    <w:rsid w:val="00737BAB"/>
    <w:rsid w:val="00740535"/>
    <w:rsid w:val="00742883"/>
    <w:rsid w:val="007438F8"/>
    <w:rsid w:val="00743D41"/>
    <w:rsid w:val="00743E78"/>
    <w:rsid w:val="00744C79"/>
    <w:rsid w:val="007463F1"/>
    <w:rsid w:val="00747B69"/>
    <w:rsid w:val="007504FC"/>
    <w:rsid w:val="007508F9"/>
    <w:rsid w:val="00754982"/>
    <w:rsid w:val="00761764"/>
    <w:rsid w:val="0076563A"/>
    <w:rsid w:val="00765BDD"/>
    <w:rsid w:val="00766139"/>
    <w:rsid w:val="007676E1"/>
    <w:rsid w:val="007719B6"/>
    <w:rsid w:val="00772D9D"/>
    <w:rsid w:val="00775647"/>
    <w:rsid w:val="00775DBA"/>
    <w:rsid w:val="00777422"/>
    <w:rsid w:val="00777F59"/>
    <w:rsid w:val="007814FD"/>
    <w:rsid w:val="00782BD6"/>
    <w:rsid w:val="00783751"/>
    <w:rsid w:val="00786EC1"/>
    <w:rsid w:val="00790949"/>
    <w:rsid w:val="00792B22"/>
    <w:rsid w:val="00793BFF"/>
    <w:rsid w:val="00793C16"/>
    <w:rsid w:val="00795ACC"/>
    <w:rsid w:val="00795C1D"/>
    <w:rsid w:val="007A0A12"/>
    <w:rsid w:val="007A25B7"/>
    <w:rsid w:val="007A2E0D"/>
    <w:rsid w:val="007A3277"/>
    <w:rsid w:val="007A655C"/>
    <w:rsid w:val="007B0170"/>
    <w:rsid w:val="007B0F09"/>
    <w:rsid w:val="007B2365"/>
    <w:rsid w:val="007B251D"/>
    <w:rsid w:val="007B2A59"/>
    <w:rsid w:val="007B57B2"/>
    <w:rsid w:val="007B5C6C"/>
    <w:rsid w:val="007B77D1"/>
    <w:rsid w:val="007B7BE3"/>
    <w:rsid w:val="007C080B"/>
    <w:rsid w:val="007C361D"/>
    <w:rsid w:val="007C3E6E"/>
    <w:rsid w:val="007C4E7D"/>
    <w:rsid w:val="007C7C43"/>
    <w:rsid w:val="007D091A"/>
    <w:rsid w:val="007D0B38"/>
    <w:rsid w:val="007D2B74"/>
    <w:rsid w:val="007D5123"/>
    <w:rsid w:val="007D5623"/>
    <w:rsid w:val="007D5DD5"/>
    <w:rsid w:val="007D6441"/>
    <w:rsid w:val="007D7239"/>
    <w:rsid w:val="007E10AD"/>
    <w:rsid w:val="007E3624"/>
    <w:rsid w:val="007E3E20"/>
    <w:rsid w:val="007E50C2"/>
    <w:rsid w:val="007E5BDC"/>
    <w:rsid w:val="007F1017"/>
    <w:rsid w:val="007F18B2"/>
    <w:rsid w:val="007F1D91"/>
    <w:rsid w:val="007F4A3F"/>
    <w:rsid w:val="007F5338"/>
    <w:rsid w:val="00805142"/>
    <w:rsid w:val="00806C1E"/>
    <w:rsid w:val="0080706A"/>
    <w:rsid w:val="00807A8B"/>
    <w:rsid w:val="00807FFA"/>
    <w:rsid w:val="00811B2C"/>
    <w:rsid w:val="00812149"/>
    <w:rsid w:val="00814200"/>
    <w:rsid w:val="008142A5"/>
    <w:rsid w:val="008151B9"/>
    <w:rsid w:val="008152D4"/>
    <w:rsid w:val="008166EF"/>
    <w:rsid w:val="00817A03"/>
    <w:rsid w:val="00817CE8"/>
    <w:rsid w:val="008200C2"/>
    <w:rsid w:val="00821840"/>
    <w:rsid w:val="008238C9"/>
    <w:rsid w:val="00824CBE"/>
    <w:rsid w:val="00826271"/>
    <w:rsid w:val="008264EB"/>
    <w:rsid w:val="008275AF"/>
    <w:rsid w:val="00831031"/>
    <w:rsid w:val="00831B55"/>
    <w:rsid w:val="00833B05"/>
    <w:rsid w:val="00834B85"/>
    <w:rsid w:val="00836478"/>
    <w:rsid w:val="0083703D"/>
    <w:rsid w:val="00840104"/>
    <w:rsid w:val="0084024D"/>
    <w:rsid w:val="00840498"/>
    <w:rsid w:val="00840CA2"/>
    <w:rsid w:val="00853789"/>
    <w:rsid w:val="00856DA1"/>
    <w:rsid w:val="00856E9A"/>
    <w:rsid w:val="00856F3C"/>
    <w:rsid w:val="00860F63"/>
    <w:rsid w:val="00862502"/>
    <w:rsid w:val="0086322E"/>
    <w:rsid w:val="00863DA3"/>
    <w:rsid w:val="008672AB"/>
    <w:rsid w:val="00870E84"/>
    <w:rsid w:val="00872EA3"/>
    <w:rsid w:val="00873E6C"/>
    <w:rsid w:val="00882874"/>
    <w:rsid w:val="00883787"/>
    <w:rsid w:val="008849C4"/>
    <w:rsid w:val="00885A5C"/>
    <w:rsid w:val="00886433"/>
    <w:rsid w:val="00886766"/>
    <w:rsid w:val="0088748D"/>
    <w:rsid w:val="00890CB8"/>
    <w:rsid w:val="00890E75"/>
    <w:rsid w:val="00894489"/>
    <w:rsid w:val="008963A5"/>
    <w:rsid w:val="008A394D"/>
    <w:rsid w:val="008A3C3E"/>
    <w:rsid w:val="008A4567"/>
    <w:rsid w:val="008A54AB"/>
    <w:rsid w:val="008A68D7"/>
    <w:rsid w:val="008A79DE"/>
    <w:rsid w:val="008B06B7"/>
    <w:rsid w:val="008B7D7E"/>
    <w:rsid w:val="008C0A62"/>
    <w:rsid w:val="008C2249"/>
    <w:rsid w:val="008C444B"/>
    <w:rsid w:val="008C4551"/>
    <w:rsid w:val="008C51B1"/>
    <w:rsid w:val="008C7ECB"/>
    <w:rsid w:val="008E1B9E"/>
    <w:rsid w:val="008E2154"/>
    <w:rsid w:val="008E3B2B"/>
    <w:rsid w:val="008E4B21"/>
    <w:rsid w:val="008F08CA"/>
    <w:rsid w:val="008F120A"/>
    <w:rsid w:val="008F1764"/>
    <w:rsid w:val="008F48EB"/>
    <w:rsid w:val="008F4F0B"/>
    <w:rsid w:val="00901BA2"/>
    <w:rsid w:val="00902C8F"/>
    <w:rsid w:val="00904883"/>
    <w:rsid w:val="00905153"/>
    <w:rsid w:val="009062A5"/>
    <w:rsid w:val="00906CBB"/>
    <w:rsid w:val="009103F6"/>
    <w:rsid w:val="00910433"/>
    <w:rsid w:val="00911272"/>
    <w:rsid w:val="009115FD"/>
    <w:rsid w:val="00911F3D"/>
    <w:rsid w:val="0091280C"/>
    <w:rsid w:val="009146FD"/>
    <w:rsid w:val="00914BB1"/>
    <w:rsid w:val="00916362"/>
    <w:rsid w:val="009246B0"/>
    <w:rsid w:val="00927D24"/>
    <w:rsid w:val="009324BC"/>
    <w:rsid w:val="0093287F"/>
    <w:rsid w:val="00936397"/>
    <w:rsid w:val="00936B3A"/>
    <w:rsid w:val="0094150C"/>
    <w:rsid w:val="00941534"/>
    <w:rsid w:val="009425CE"/>
    <w:rsid w:val="0094672F"/>
    <w:rsid w:val="00950B42"/>
    <w:rsid w:val="00950CC1"/>
    <w:rsid w:val="00951DA7"/>
    <w:rsid w:val="00952236"/>
    <w:rsid w:val="009544BC"/>
    <w:rsid w:val="00955104"/>
    <w:rsid w:val="009614B8"/>
    <w:rsid w:val="009629B0"/>
    <w:rsid w:val="00962CB9"/>
    <w:rsid w:val="00964312"/>
    <w:rsid w:val="00965A1B"/>
    <w:rsid w:val="00966633"/>
    <w:rsid w:val="00970E57"/>
    <w:rsid w:val="009720F6"/>
    <w:rsid w:val="00972A06"/>
    <w:rsid w:val="00976AF5"/>
    <w:rsid w:val="009815B3"/>
    <w:rsid w:val="00981B8C"/>
    <w:rsid w:val="009823DD"/>
    <w:rsid w:val="0098334F"/>
    <w:rsid w:val="00983E57"/>
    <w:rsid w:val="00984694"/>
    <w:rsid w:val="00985FFC"/>
    <w:rsid w:val="00987B59"/>
    <w:rsid w:val="009900D8"/>
    <w:rsid w:val="009908F9"/>
    <w:rsid w:val="00990D9F"/>
    <w:rsid w:val="00990FB4"/>
    <w:rsid w:val="00992892"/>
    <w:rsid w:val="00992D73"/>
    <w:rsid w:val="00993E15"/>
    <w:rsid w:val="00995611"/>
    <w:rsid w:val="00995C83"/>
    <w:rsid w:val="00996B1A"/>
    <w:rsid w:val="0099777A"/>
    <w:rsid w:val="009A1582"/>
    <w:rsid w:val="009A1598"/>
    <w:rsid w:val="009A2A86"/>
    <w:rsid w:val="009A52E9"/>
    <w:rsid w:val="009A7B46"/>
    <w:rsid w:val="009B0AE6"/>
    <w:rsid w:val="009B19DE"/>
    <w:rsid w:val="009B1F76"/>
    <w:rsid w:val="009B27EA"/>
    <w:rsid w:val="009B2FAF"/>
    <w:rsid w:val="009B3E26"/>
    <w:rsid w:val="009B47DB"/>
    <w:rsid w:val="009B573D"/>
    <w:rsid w:val="009B752A"/>
    <w:rsid w:val="009C0813"/>
    <w:rsid w:val="009C2B6E"/>
    <w:rsid w:val="009C693F"/>
    <w:rsid w:val="009D0681"/>
    <w:rsid w:val="009D0FD9"/>
    <w:rsid w:val="009D2807"/>
    <w:rsid w:val="009D2A0C"/>
    <w:rsid w:val="009D5B91"/>
    <w:rsid w:val="009D6591"/>
    <w:rsid w:val="009D773B"/>
    <w:rsid w:val="009E115D"/>
    <w:rsid w:val="009E23A8"/>
    <w:rsid w:val="009E24E5"/>
    <w:rsid w:val="009E2914"/>
    <w:rsid w:val="009E4C07"/>
    <w:rsid w:val="009E6B65"/>
    <w:rsid w:val="009F0123"/>
    <w:rsid w:val="009F3FB7"/>
    <w:rsid w:val="009F48A7"/>
    <w:rsid w:val="009F52EC"/>
    <w:rsid w:val="009F7B89"/>
    <w:rsid w:val="00A00A48"/>
    <w:rsid w:val="00A02155"/>
    <w:rsid w:val="00A032AB"/>
    <w:rsid w:val="00A03D43"/>
    <w:rsid w:val="00A04380"/>
    <w:rsid w:val="00A04F6D"/>
    <w:rsid w:val="00A05F4A"/>
    <w:rsid w:val="00A0647B"/>
    <w:rsid w:val="00A1012D"/>
    <w:rsid w:val="00A138B4"/>
    <w:rsid w:val="00A13948"/>
    <w:rsid w:val="00A22A23"/>
    <w:rsid w:val="00A23136"/>
    <w:rsid w:val="00A23979"/>
    <w:rsid w:val="00A24949"/>
    <w:rsid w:val="00A26F55"/>
    <w:rsid w:val="00A2702D"/>
    <w:rsid w:val="00A279B6"/>
    <w:rsid w:val="00A27AEC"/>
    <w:rsid w:val="00A30DC7"/>
    <w:rsid w:val="00A31DE0"/>
    <w:rsid w:val="00A3228A"/>
    <w:rsid w:val="00A32345"/>
    <w:rsid w:val="00A345FB"/>
    <w:rsid w:val="00A35824"/>
    <w:rsid w:val="00A35D16"/>
    <w:rsid w:val="00A36186"/>
    <w:rsid w:val="00A36A71"/>
    <w:rsid w:val="00A40FFE"/>
    <w:rsid w:val="00A43C59"/>
    <w:rsid w:val="00A451F5"/>
    <w:rsid w:val="00A45EFE"/>
    <w:rsid w:val="00A46BC5"/>
    <w:rsid w:val="00A47445"/>
    <w:rsid w:val="00A4786F"/>
    <w:rsid w:val="00A50ECD"/>
    <w:rsid w:val="00A5182B"/>
    <w:rsid w:val="00A52729"/>
    <w:rsid w:val="00A53675"/>
    <w:rsid w:val="00A56B6A"/>
    <w:rsid w:val="00A578A9"/>
    <w:rsid w:val="00A578DC"/>
    <w:rsid w:val="00A637DF"/>
    <w:rsid w:val="00A64CE8"/>
    <w:rsid w:val="00A6725B"/>
    <w:rsid w:val="00A734D5"/>
    <w:rsid w:val="00A73B0A"/>
    <w:rsid w:val="00A75B24"/>
    <w:rsid w:val="00A83661"/>
    <w:rsid w:val="00A8388F"/>
    <w:rsid w:val="00A853B9"/>
    <w:rsid w:val="00A857A5"/>
    <w:rsid w:val="00A86486"/>
    <w:rsid w:val="00A86E8B"/>
    <w:rsid w:val="00A902AC"/>
    <w:rsid w:val="00A90CE0"/>
    <w:rsid w:val="00A90D1E"/>
    <w:rsid w:val="00A912B4"/>
    <w:rsid w:val="00A93072"/>
    <w:rsid w:val="00A951CB"/>
    <w:rsid w:val="00A959D8"/>
    <w:rsid w:val="00A96CFB"/>
    <w:rsid w:val="00A96E4C"/>
    <w:rsid w:val="00AA2ACE"/>
    <w:rsid w:val="00AA34D3"/>
    <w:rsid w:val="00AA3A34"/>
    <w:rsid w:val="00AA47D0"/>
    <w:rsid w:val="00AA5EB2"/>
    <w:rsid w:val="00AB042A"/>
    <w:rsid w:val="00AB25D5"/>
    <w:rsid w:val="00AB2D34"/>
    <w:rsid w:val="00AB3430"/>
    <w:rsid w:val="00AB429D"/>
    <w:rsid w:val="00AB57FB"/>
    <w:rsid w:val="00AB6009"/>
    <w:rsid w:val="00AB7CFA"/>
    <w:rsid w:val="00AC2861"/>
    <w:rsid w:val="00AC2900"/>
    <w:rsid w:val="00AC3070"/>
    <w:rsid w:val="00AC3AC1"/>
    <w:rsid w:val="00AC5E42"/>
    <w:rsid w:val="00AD3B77"/>
    <w:rsid w:val="00AD464E"/>
    <w:rsid w:val="00AD52E9"/>
    <w:rsid w:val="00AD633C"/>
    <w:rsid w:val="00AD685B"/>
    <w:rsid w:val="00AD6A94"/>
    <w:rsid w:val="00AE37B9"/>
    <w:rsid w:val="00AE4381"/>
    <w:rsid w:val="00AE6747"/>
    <w:rsid w:val="00AE7705"/>
    <w:rsid w:val="00AF6351"/>
    <w:rsid w:val="00B0024A"/>
    <w:rsid w:val="00B0138B"/>
    <w:rsid w:val="00B10B27"/>
    <w:rsid w:val="00B14043"/>
    <w:rsid w:val="00B1430C"/>
    <w:rsid w:val="00B15412"/>
    <w:rsid w:val="00B174BD"/>
    <w:rsid w:val="00B20767"/>
    <w:rsid w:val="00B2442C"/>
    <w:rsid w:val="00B25288"/>
    <w:rsid w:val="00B25B46"/>
    <w:rsid w:val="00B27485"/>
    <w:rsid w:val="00B34019"/>
    <w:rsid w:val="00B358BA"/>
    <w:rsid w:val="00B3752F"/>
    <w:rsid w:val="00B3755B"/>
    <w:rsid w:val="00B40658"/>
    <w:rsid w:val="00B40A32"/>
    <w:rsid w:val="00B425D1"/>
    <w:rsid w:val="00B42851"/>
    <w:rsid w:val="00B44C32"/>
    <w:rsid w:val="00B460E6"/>
    <w:rsid w:val="00B505C9"/>
    <w:rsid w:val="00B50DB8"/>
    <w:rsid w:val="00B50FCE"/>
    <w:rsid w:val="00B51371"/>
    <w:rsid w:val="00B524CC"/>
    <w:rsid w:val="00B53905"/>
    <w:rsid w:val="00B53FB0"/>
    <w:rsid w:val="00B54B5B"/>
    <w:rsid w:val="00B5562E"/>
    <w:rsid w:val="00B57000"/>
    <w:rsid w:val="00B57A46"/>
    <w:rsid w:val="00B60939"/>
    <w:rsid w:val="00B60AFD"/>
    <w:rsid w:val="00B60BD9"/>
    <w:rsid w:val="00B61541"/>
    <w:rsid w:val="00B61A8C"/>
    <w:rsid w:val="00B6221C"/>
    <w:rsid w:val="00B62715"/>
    <w:rsid w:val="00B642FF"/>
    <w:rsid w:val="00B66794"/>
    <w:rsid w:val="00B7007A"/>
    <w:rsid w:val="00B70504"/>
    <w:rsid w:val="00B7198C"/>
    <w:rsid w:val="00B72E37"/>
    <w:rsid w:val="00B775E6"/>
    <w:rsid w:val="00B800D6"/>
    <w:rsid w:val="00B818A4"/>
    <w:rsid w:val="00B8649C"/>
    <w:rsid w:val="00B86FAE"/>
    <w:rsid w:val="00B92D0B"/>
    <w:rsid w:val="00B92F98"/>
    <w:rsid w:val="00B9452B"/>
    <w:rsid w:val="00B94945"/>
    <w:rsid w:val="00B9631D"/>
    <w:rsid w:val="00BA0FE5"/>
    <w:rsid w:val="00BA18AD"/>
    <w:rsid w:val="00BA240D"/>
    <w:rsid w:val="00BA645F"/>
    <w:rsid w:val="00BB014C"/>
    <w:rsid w:val="00BB5F3B"/>
    <w:rsid w:val="00BB6045"/>
    <w:rsid w:val="00BB72A3"/>
    <w:rsid w:val="00BB7405"/>
    <w:rsid w:val="00BC00E3"/>
    <w:rsid w:val="00BC0492"/>
    <w:rsid w:val="00BC1F24"/>
    <w:rsid w:val="00BC450A"/>
    <w:rsid w:val="00BD1A91"/>
    <w:rsid w:val="00BD3812"/>
    <w:rsid w:val="00BD3AF1"/>
    <w:rsid w:val="00BD5815"/>
    <w:rsid w:val="00BD6CF3"/>
    <w:rsid w:val="00BE0558"/>
    <w:rsid w:val="00BE0CD7"/>
    <w:rsid w:val="00BE2180"/>
    <w:rsid w:val="00BE28A1"/>
    <w:rsid w:val="00BE30A0"/>
    <w:rsid w:val="00BE3BDF"/>
    <w:rsid w:val="00BE4275"/>
    <w:rsid w:val="00BE43F1"/>
    <w:rsid w:val="00BE4B3C"/>
    <w:rsid w:val="00BE4FAC"/>
    <w:rsid w:val="00BE620C"/>
    <w:rsid w:val="00BE6863"/>
    <w:rsid w:val="00BE79A3"/>
    <w:rsid w:val="00BF20EA"/>
    <w:rsid w:val="00BF2433"/>
    <w:rsid w:val="00BF5975"/>
    <w:rsid w:val="00BF61C9"/>
    <w:rsid w:val="00C0021A"/>
    <w:rsid w:val="00C00DDC"/>
    <w:rsid w:val="00C01B2B"/>
    <w:rsid w:val="00C0313B"/>
    <w:rsid w:val="00C04071"/>
    <w:rsid w:val="00C04316"/>
    <w:rsid w:val="00C07BFD"/>
    <w:rsid w:val="00C14771"/>
    <w:rsid w:val="00C14887"/>
    <w:rsid w:val="00C15EA9"/>
    <w:rsid w:val="00C179EF"/>
    <w:rsid w:val="00C21AB2"/>
    <w:rsid w:val="00C23532"/>
    <w:rsid w:val="00C23ADF"/>
    <w:rsid w:val="00C24E92"/>
    <w:rsid w:val="00C25418"/>
    <w:rsid w:val="00C25591"/>
    <w:rsid w:val="00C25D9C"/>
    <w:rsid w:val="00C25E98"/>
    <w:rsid w:val="00C25F3A"/>
    <w:rsid w:val="00C27E36"/>
    <w:rsid w:val="00C3052D"/>
    <w:rsid w:val="00C31649"/>
    <w:rsid w:val="00C31C41"/>
    <w:rsid w:val="00C32F2D"/>
    <w:rsid w:val="00C34205"/>
    <w:rsid w:val="00C34F05"/>
    <w:rsid w:val="00C37605"/>
    <w:rsid w:val="00C40385"/>
    <w:rsid w:val="00C43792"/>
    <w:rsid w:val="00C4456C"/>
    <w:rsid w:val="00C45C30"/>
    <w:rsid w:val="00C4624C"/>
    <w:rsid w:val="00C46772"/>
    <w:rsid w:val="00C46805"/>
    <w:rsid w:val="00C56D44"/>
    <w:rsid w:val="00C57B72"/>
    <w:rsid w:val="00C61ED2"/>
    <w:rsid w:val="00C65576"/>
    <w:rsid w:val="00C66165"/>
    <w:rsid w:val="00C663C0"/>
    <w:rsid w:val="00C70A44"/>
    <w:rsid w:val="00C7219A"/>
    <w:rsid w:val="00C73B9A"/>
    <w:rsid w:val="00C740CE"/>
    <w:rsid w:val="00C750C8"/>
    <w:rsid w:val="00C7773F"/>
    <w:rsid w:val="00C8082B"/>
    <w:rsid w:val="00C81063"/>
    <w:rsid w:val="00C812B6"/>
    <w:rsid w:val="00C8213F"/>
    <w:rsid w:val="00C83106"/>
    <w:rsid w:val="00C85599"/>
    <w:rsid w:val="00C85701"/>
    <w:rsid w:val="00C85AB1"/>
    <w:rsid w:val="00C86ECD"/>
    <w:rsid w:val="00C8797A"/>
    <w:rsid w:val="00C879AB"/>
    <w:rsid w:val="00C90CA5"/>
    <w:rsid w:val="00C910D0"/>
    <w:rsid w:val="00C9133A"/>
    <w:rsid w:val="00C926B8"/>
    <w:rsid w:val="00C92AD1"/>
    <w:rsid w:val="00C92D4F"/>
    <w:rsid w:val="00C938CF"/>
    <w:rsid w:val="00C95057"/>
    <w:rsid w:val="00C9552A"/>
    <w:rsid w:val="00C968DA"/>
    <w:rsid w:val="00CA2D8A"/>
    <w:rsid w:val="00CA31BB"/>
    <w:rsid w:val="00CA34A4"/>
    <w:rsid w:val="00CA3FBD"/>
    <w:rsid w:val="00CA5245"/>
    <w:rsid w:val="00CA6809"/>
    <w:rsid w:val="00CA7234"/>
    <w:rsid w:val="00CA7B09"/>
    <w:rsid w:val="00CB1A4D"/>
    <w:rsid w:val="00CB3FF6"/>
    <w:rsid w:val="00CB57F8"/>
    <w:rsid w:val="00CB5B1A"/>
    <w:rsid w:val="00CC304C"/>
    <w:rsid w:val="00CC6AC4"/>
    <w:rsid w:val="00CC74FE"/>
    <w:rsid w:val="00CD2EF9"/>
    <w:rsid w:val="00CD6416"/>
    <w:rsid w:val="00CD6ADC"/>
    <w:rsid w:val="00CE2558"/>
    <w:rsid w:val="00CE3B33"/>
    <w:rsid w:val="00CE4139"/>
    <w:rsid w:val="00CE6274"/>
    <w:rsid w:val="00CE7058"/>
    <w:rsid w:val="00CF06A4"/>
    <w:rsid w:val="00CF1606"/>
    <w:rsid w:val="00CF422B"/>
    <w:rsid w:val="00CF456B"/>
    <w:rsid w:val="00CF5820"/>
    <w:rsid w:val="00CF5A22"/>
    <w:rsid w:val="00CF62B0"/>
    <w:rsid w:val="00CF72AD"/>
    <w:rsid w:val="00D017C0"/>
    <w:rsid w:val="00D02611"/>
    <w:rsid w:val="00D0262E"/>
    <w:rsid w:val="00D041F7"/>
    <w:rsid w:val="00D0432E"/>
    <w:rsid w:val="00D046CB"/>
    <w:rsid w:val="00D106A9"/>
    <w:rsid w:val="00D10CD2"/>
    <w:rsid w:val="00D11060"/>
    <w:rsid w:val="00D110BD"/>
    <w:rsid w:val="00D1184C"/>
    <w:rsid w:val="00D16282"/>
    <w:rsid w:val="00D1651C"/>
    <w:rsid w:val="00D16AE7"/>
    <w:rsid w:val="00D17D6C"/>
    <w:rsid w:val="00D2272A"/>
    <w:rsid w:val="00D236F6"/>
    <w:rsid w:val="00D3256C"/>
    <w:rsid w:val="00D32B53"/>
    <w:rsid w:val="00D334B6"/>
    <w:rsid w:val="00D34809"/>
    <w:rsid w:val="00D357FF"/>
    <w:rsid w:val="00D37771"/>
    <w:rsid w:val="00D4428B"/>
    <w:rsid w:val="00D45380"/>
    <w:rsid w:val="00D4713F"/>
    <w:rsid w:val="00D50976"/>
    <w:rsid w:val="00D515CE"/>
    <w:rsid w:val="00D51C6A"/>
    <w:rsid w:val="00D560F5"/>
    <w:rsid w:val="00D5664C"/>
    <w:rsid w:val="00D5791F"/>
    <w:rsid w:val="00D57B75"/>
    <w:rsid w:val="00D62A96"/>
    <w:rsid w:val="00D62B96"/>
    <w:rsid w:val="00D6387B"/>
    <w:rsid w:val="00D63DD2"/>
    <w:rsid w:val="00D64000"/>
    <w:rsid w:val="00D667D0"/>
    <w:rsid w:val="00D718FA"/>
    <w:rsid w:val="00D7538A"/>
    <w:rsid w:val="00D75928"/>
    <w:rsid w:val="00D76A44"/>
    <w:rsid w:val="00D818BA"/>
    <w:rsid w:val="00D82287"/>
    <w:rsid w:val="00D82C1C"/>
    <w:rsid w:val="00D87785"/>
    <w:rsid w:val="00D93753"/>
    <w:rsid w:val="00D9428D"/>
    <w:rsid w:val="00D96592"/>
    <w:rsid w:val="00D96B49"/>
    <w:rsid w:val="00D97387"/>
    <w:rsid w:val="00D978C2"/>
    <w:rsid w:val="00DA0AFE"/>
    <w:rsid w:val="00DA2BED"/>
    <w:rsid w:val="00DA6FA1"/>
    <w:rsid w:val="00DA7119"/>
    <w:rsid w:val="00DA77A5"/>
    <w:rsid w:val="00DB1909"/>
    <w:rsid w:val="00DB1A0B"/>
    <w:rsid w:val="00DB2155"/>
    <w:rsid w:val="00DB65F7"/>
    <w:rsid w:val="00DC113B"/>
    <w:rsid w:val="00DC17CB"/>
    <w:rsid w:val="00DC1E35"/>
    <w:rsid w:val="00DC5501"/>
    <w:rsid w:val="00DC555A"/>
    <w:rsid w:val="00DC6058"/>
    <w:rsid w:val="00DD0C23"/>
    <w:rsid w:val="00DD3F28"/>
    <w:rsid w:val="00DD4537"/>
    <w:rsid w:val="00DD4E15"/>
    <w:rsid w:val="00DD705C"/>
    <w:rsid w:val="00DD73A1"/>
    <w:rsid w:val="00DE20B1"/>
    <w:rsid w:val="00DE3050"/>
    <w:rsid w:val="00DE434D"/>
    <w:rsid w:val="00DE4FCB"/>
    <w:rsid w:val="00DE7D6D"/>
    <w:rsid w:val="00DF22E4"/>
    <w:rsid w:val="00DF3095"/>
    <w:rsid w:val="00DF31BF"/>
    <w:rsid w:val="00DF36FE"/>
    <w:rsid w:val="00DF5B5F"/>
    <w:rsid w:val="00DF5D2B"/>
    <w:rsid w:val="00E00DCD"/>
    <w:rsid w:val="00E032F9"/>
    <w:rsid w:val="00E03F38"/>
    <w:rsid w:val="00E05337"/>
    <w:rsid w:val="00E079CE"/>
    <w:rsid w:val="00E10149"/>
    <w:rsid w:val="00E10925"/>
    <w:rsid w:val="00E113F0"/>
    <w:rsid w:val="00E11F62"/>
    <w:rsid w:val="00E148C4"/>
    <w:rsid w:val="00E16372"/>
    <w:rsid w:val="00E16D50"/>
    <w:rsid w:val="00E172A9"/>
    <w:rsid w:val="00E2014B"/>
    <w:rsid w:val="00E20ED6"/>
    <w:rsid w:val="00E21022"/>
    <w:rsid w:val="00E21358"/>
    <w:rsid w:val="00E2249B"/>
    <w:rsid w:val="00E22A0D"/>
    <w:rsid w:val="00E23CF2"/>
    <w:rsid w:val="00E24B72"/>
    <w:rsid w:val="00E2509E"/>
    <w:rsid w:val="00E25F75"/>
    <w:rsid w:val="00E274A5"/>
    <w:rsid w:val="00E2771E"/>
    <w:rsid w:val="00E3254A"/>
    <w:rsid w:val="00E34237"/>
    <w:rsid w:val="00E3605E"/>
    <w:rsid w:val="00E36257"/>
    <w:rsid w:val="00E3676A"/>
    <w:rsid w:val="00E3690D"/>
    <w:rsid w:val="00E37569"/>
    <w:rsid w:val="00E40369"/>
    <w:rsid w:val="00E41E30"/>
    <w:rsid w:val="00E43D70"/>
    <w:rsid w:val="00E45630"/>
    <w:rsid w:val="00E4716A"/>
    <w:rsid w:val="00E47B2C"/>
    <w:rsid w:val="00E511FF"/>
    <w:rsid w:val="00E51560"/>
    <w:rsid w:val="00E55424"/>
    <w:rsid w:val="00E555A5"/>
    <w:rsid w:val="00E55BB5"/>
    <w:rsid w:val="00E61096"/>
    <w:rsid w:val="00E62CEA"/>
    <w:rsid w:val="00E63EA6"/>
    <w:rsid w:val="00E63F23"/>
    <w:rsid w:val="00E649FA"/>
    <w:rsid w:val="00E64B63"/>
    <w:rsid w:val="00E65E79"/>
    <w:rsid w:val="00E673A8"/>
    <w:rsid w:val="00E67416"/>
    <w:rsid w:val="00E674CA"/>
    <w:rsid w:val="00E701F5"/>
    <w:rsid w:val="00E718B6"/>
    <w:rsid w:val="00E73581"/>
    <w:rsid w:val="00E740F8"/>
    <w:rsid w:val="00E7443E"/>
    <w:rsid w:val="00E77285"/>
    <w:rsid w:val="00E77381"/>
    <w:rsid w:val="00E77B40"/>
    <w:rsid w:val="00E81768"/>
    <w:rsid w:val="00E828A2"/>
    <w:rsid w:val="00E83BDF"/>
    <w:rsid w:val="00E83E89"/>
    <w:rsid w:val="00E8421E"/>
    <w:rsid w:val="00E90681"/>
    <w:rsid w:val="00E9186E"/>
    <w:rsid w:val="00E9295E"/>
    <w:rsid w:val="00E94CB6"/>
    <w:rsid w:val="00E95F1B"/>
    <w:rsid w:val="00E96066"/>
    <w:rsid w:val="00E97C4A"/>
    <w:rsid w:val="00EA3864"/>
    <w:rsid w:val="00EA7894"/>
    <w:rsid w:val="00EA78D6"/>
    <w:rsid w:val="00EA7AEC"/>
    <w:rsid w:val="00EB0055"/>
    <w:rsid w:val="00EB15B6"/>
    <w:rsid w:val="00EB15E5"/>
    <w:rsid w:val="00EB30F4"/>
    <w:rsid w:val="00EB4916"/>
    <w:rsid w:val="00EB5DFD"/>
    <w:rsid w:val="00EB7586"/>
    <w:rsid w:val="00EB7856"/>
    <w:rsid w:val="00EC00C9"/>
    <w:rsid w:val="00EC46E1"/>
    <w:rsid w:val="00EC6E10"/>
    <w:rsid w:val="00EC7A06"/>
    <w:rsid w:val="00ED05C2"/>
    <w:rsid w:val="00ED0F1E"/>
    <w:rsid w:val="00ED2BBC"/>
    <w:rsid w:val="00ED6105"/>
    <w:rsid w:val="00EE0652"/>
    <w:rsid w:val="00EE07D3"/>
    <w:rsid w:val="00EE30B1"/>
    <w:rsid w:val="00EE3994"/>
    <w:rsid w:val="00EE4574"/>
    <w:rsid w:val="00EE537F"/>
    <w:rsid w:val="00EE5CB5"/>
    <w:rsid w:val="00EE7DEB"/>
    <w:rsid w:val="00EF0298"/>
    <w:rsid w:val="00EF136F"/>
    <w:rsid w:val="00EF14C4"/>
    <w:rsid w:val="00EF3657"/>
    <w:rsid w:val="00EF393F"/>
    <w:rsid w:val="00EF4280"/>
    <w:rsid w:val="00EF6557"/>
    <w:rsid w:val="00F00BEB"/>
    <w:rsid w:val="00F02C5C"/>
    <w:rsid w:val="00F03AAC"/>
    <w:rsid w:val="00F04FC2"/>
    <w:rsid w:val="00F067A2"/>
    <w:rsid w:val="00F07734"/>
    <w:rsid w:val="00F10147"/>
    <w:rsid w:val="00F101BD"/>
    <w:rsid w:val="00F111AE"/>
    <w:rsid w:val="00F15434"/>
    <w:rsid w:val="00F20A1E"/>
    <w:rsid w:val="00F20F69"/>
    <w:rsid w:val="00F24837"/>
    <w:rsid w:val="00F2575F"/>
    <w:rsid w:val="00F33DE9"/>
    <w:rsid w:val="00F3440A"/>
    <w:rsid w:val="00F34E87"/>
    <w:rsid w:val="00F3619A"/>
    <w:rsid w:val="00F411B5"/>
    <w:rsid w:val="00F4209F"/>
    <w:rsid w:val="00F42997"/>
    <w:rsid w:val="00F442A8"/>
    <w:rsid w:val="00F44811"/>
    <w:rsid w:val="00F4489E"/>
    <w:rsid w:val="00F44A20"/>
    <w:rsid w:val="00F456EC"/>
    <w:rsid w:val="00F45E95"/>
    <w:rsid w:val="00F46CB6"/>
    <w:rsid w:val="00F47569"/>
    <w:rsid w:val="00F475CF"/>
    <w:rsid w:val="00F543D6"/>
    <w:rsid w:val="00F55B5C"/>
    <w:rsid w:val="00F55E73"/>
    <w:rsid w:val="00F57519"/>
    <w:rsid w:val="00F60092"/>
    <w:rsid w:val="00F61C0E"/>
    <w:rsid w:val="00F6453D"/>
    <w:rsid w:val="00F64B8A"/>
    <w:rsid w:val="00F66E08"/>
    <w:rsid w:val="00F671DB"/>
    <w:rsid w:val="00F67C5F"/>
    <w:rsid w:val="00F67FAC"/>
    <w:rsid w:val="00F74374"/>
    <w:rsid w:val="00F7485C"/>
    <w:rsid w:val="00F768EF"/>
    <w:rsid w:val="00F76A26"/>
    <w:rsid w:val="00F775C4"/>
    <w:rsid w:val="00F80E5D"/>
    <w:rsid w:val="00F82B6A"/>
    <w:rsid w:val="00F83420"/>
    <w:rsid w:val="00F835DC"/>
    <w:rsid w:val="00F851CE"/>
    <w:rsid w:val="00F85FA5"/>
    <w:rsid w:val="00F870A4"/>
    <w:rsid w:val="00F901FC"/>
    <w:rsid w:val="00F923AF"/>
    <w:rsid w:val="00F92766"/>
    <w:rsid w:val="00F943E4"/>
    <w:rsid w:val="00F95D7D"/>
    <w:rsid w:val="00F97A78"/>
    <w:rsid w:val="00FA24E7"/>
    <w:rsid w:val="00FB2FCB"/>
    <w:rsid w:val="00FB42B2"/>
    <w:rsid w:val="00FB4996"/>
    <w:rsid w:val="00FB5E3B"/>
    <w:rsid w:val="00FB6AC1"/>
    <w:rsid w:val="00FB7A90"/>
    <w:rsid w:val="00FC1074"/>
    <w:rsid w:val="00FC1884"/>
    <w:rsid w:val="00FC1FAC"/>
    <w:rsid w:val="00FC2371"/>
    <w:rsid w:val="00FC5539"/>
    <w:rsid w:val="00FC72D5"/>
    <w:rsid w:val="00FC753B"/>
    <w:rsid w:val="00FC77C9"/>
    <w:rsid w:val="00FD2100"/>
    <w:rsid w:val="00FD2A97"/>
    <w:rsid w:val="00FD2CF0"/>
    <w:rsid w:val="00FD446D"/>
    <w:rsid w:val="00FD614B"/>
    <w:rsid w:val="00FD6E31"/>
    <w:rsid w:val="00FD761B"/>
    <w:rsid w:val="00FE16BF"/>
    <w:rsid w:val="00FE4DE2"/>
    <w:rsid w:val="00FE565D"/>
    <w:rsid w:val="00FE6F5A"/>
    <w:rsid w:val="00FE75CE"/>
    <w:rsid w:val="00FF004B"/>
    <w:rsid w:val="00FF08B7"/>
    <w:rsid w:val="00FF112E"/>
    <w:rsid w:val="00FF17BF"/>
    <w:rsid w:val="00FF2301"/>
    <w:rsid w:val="00FF37A5"/>
    <w:rsid w:val="00FF3DCF"/>
    <w:rsid w:val="00FF5AA3"/>
    <w:rsid w:val="00FF66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1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E20B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22452B"/>
    <w:pPr>
      <w:ind w:left="720" w:hanging="720"/>
      <w:outlineLvl w:val="0"/>
    </w:pPr>
    <w:rPr>
      <w:rFonts w:ascii="Arial Bold" w:hAnsi="Arial Bold"/>
      <w:b/>
      <w:caps/>
    </w:rPr>
  </w:style>
  <w:style w:type="paragraph" w:styleId="Heading2">
    <w:name w:val="heading 2"/>
    <w:aliases w:val="2*,Überschrift 2CTD"/>
    <w:basedOn w:val="Normal"/>
    <w:next w:val="Normal"/>
    <w:link w:val="Heading2Char"/>
    <w:qFormat/>
    <w:rsid w:val="0022452B"/>
    <w:pPr>
      <w:outlineLvl w:val="1"/>
    </w:pPr>
    <w:rPr>
      <w:b/>
    </w:rPr>
  </w:style>
  <w:style w:type="paragraph" w:styleId="Heading3">
    <w:name w:val="heading 3"/>
    <w:basedOn w:val="Normal"/>
    <w:next w:val="Normal"/>
    <w:link w:val="Heading3Char"/>
    <w:qFormat/>
    <w:rsid w:val="0022452B"/>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aliases w:val="Table heading"/>
    <w:basedOn w:val="Normal"/>
    <w:next w:val="Normal"/>
    <w:link w:val="Heading5Char"/>
    <w:qFormat/>
    <w:rsid w:val="009A7B46"/>
    <w:pPr>
      <w:outlineLvl w:val="4"/>
    </w:pPr>
    <w:rPr>
      <w:rFonts w:ascii="Arial Narrow" w:hAnsi="Arial Narrow"/>
      <w:b/>
      <w:bCs/>
      <w:iCs/>
      <w:sz w:val="20"/>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uiPriority w:val="9"/>
    <w:rsid w:val="00124A51"/>
    <w:pPr>
      <w:keepNext/>
      <w:jc w:val="center"/>
      <w:outlineLvl w:val="6"/>
    </w:pPr>
    <w:rPr>
      <w:b/>
      <w:sz w:val="20"/>
    </w:rPr>
  </w:style>
  <w:style w:type="paragraph" w:styleId="Heading8">
    <w:name w:val="heading 8"/>
    <w:basedOn w:val="Normal"/>
    <w:next w:val="Normal"/>
    <w:link w:val="Heading8Char"/>
    <w:uiPriority w:val="9"/>
    <w:rsid w:val="00124A51"/>
    <w:pPr>
      <w:keepNext/>
      <w:jc w:val="right"/>
      <w:outlineLvl w:val="7"/>
    </w:pPr>
    <w:rPr>
      <w:b/>
    </w:rPr>
  </w:style>
  <w:style w:type="paragraph" w:styleId="Heading9">
    <w:name w:val="heading 9"/>
    <w:basedOn w:val="Normal"/>
    <w:next w:val="Normal"/>
    <w:link w:val="Heading9Char"/>
    <w:uiPriority w:val="9"/>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22452B"/>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2* Char,Überschrift 2CTD Char"/>
    <w:link w:val="Heading2"/>
    <w:uiPriority w:val="9"/>
    <w:rsid w:val="0022452B"/>
    <w:rPr>
      <w:rFonts w:ascii="Arial" w:hAnsi="Arial" w:cs="Arial"/>
      <w:b/>
      <w:snapToGrid w:val="0"/>
      <w:sz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styleId="Caption">
    <w:name w:val="caption"/>
    <w:aliases w:val="OxTableCaption,Char,Caption for Appendix,IB Caption,Medical Caption,Caption Char1 Char Char,Caption Char Char Char Char,Caption Char1 Char,Caption Char Char Char Char Char,Caption Char Char,Caption Char Char Char Char1,Caption Char1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OxTableCaption Char,Char Char,Caption for Appendix Char,IB Caption Char,Medical Caption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10"/>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qFormat/>
    <w:rsid w:val="0022452B"/>
    <w:pPr>
      <w:jc w:val="left"/>
    </w:pPr>
  </w:style>
  <w:style w:type="character" w:customStyle="1" w:styleId="BodyTextChar">
    <w:name w:val="Body Text Char"/>
    <w:basedOn w:val="DefaultParagraphFont"/>
    <w:link w:val="BodyText"/>
    <w:rsid w:val="0022452B"/>
    <w:rPr>
      <w:rFonts w:ascii="Arial" w:hAnsi="Arial" w:cs="Arial"/>
      <w:snapToGrid w:val="0"/>
      <w:sz w:val="22"/>
      <w:lang w:eastAsia="en-US"/>
    </w:rPr>
  </w:style>
  <w:style w:type="paragraph" w:styleId="ListParagraph">
    <w:name w:val="List Paragraph"/>
    <w:basedOn w:val="Normal"/>
    <w:link w:val="ListParagraphChar"/>
    <w:uiPriority w:val="34"/>
    <w:qFormat/>
    <w:rsid w:val="0022452B"/>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22452B"/>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C43792"/>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AD633C"/>
    <w:pPr>
      <w:jc w:val="left"/>
    </w:pPr>
    <w:rPr>
      <w:rFonts w:ascii="Arial Narrow" w:hAnsi="Arial Narrow"/>
      <w:i/>
      <w:sz w:val="20"/>
      <w:szCs w:val="18"/>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qFormat/>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character" w:customStyle="1" w:styleId="apple-converted-space">
    <w:name w:val="apple-converted-space"/>
    <w:basedOn w:val="DefaultParagraphFont"/>
    <w:rsid w:val="00A90CE0"/>
  </w:style>
  <w:style w:type="paragraph" w:styleId="BodyTextIndent2">
    <w:name w:val="Body Text Indent 2"/>
    <w:basedOn w:val="Normal"/>
    <w:link w:val="BodyTextIndent2Char"/>
    <w:rsid w:val="00AE4381"/>
    <w:pPr>
      <w:widowControl/>
      <w:ind w:left="1440"/>
      <w:jc w:val="left"/>
    </w:pPr>
    <w:rPr>
      <w:rFonts w:cs="Times New Roman"/>
      <w:snapToGrid/>
      <w:lang w:val="en-GB"/>
    </w:rPr>
  </w:style>
  <w:style w:type="character" w:customStyle="1" w:styleId="BodyTextIndent2Char">
    <w:name w:val="Body Text Indent 2 Char"/>
    <w:basedOn w:val="DefaultParagraphFont"/>
    <w:link w:val="BodyTextIndent2"/>
    <w:rsid w:val="00AE4381"/>
    <w:rPr>
      <w:rFonts w:ascii="Arial" w:hAnsi="Arial"/>
      <w:sz w:val="22"/>
      <w:lang w:val="en-GB" w:eastAsia="en-US"/>
    </w:rPr>
  </w:style>
  <w:style w:type="character" w:styleId="PageNumber">
    <w:name w:val="page number"/>
    <w:basedOn w:val="DefaultParagraphFont"/>
    <w:rsid w:val="00AE4381"/>
  </w:style>
  <w:style w:type="paragraph" w:customStyle="1" w:styleId="TableText1">
    <w:name w:val="Table Text"/>
    <w:basedOn w:val="Normal"/>
    <w:qFormat/>
    <w:rsid w:val="00E079CE"/>
    <w:pPr>
      <w:widowControl/>
      <w:jc w:val="left"/>
    </w:pPr>
    <w:rPr>
      <w:rFonts w:ascii="Arial Narrow" w:hAnsi="Arial Narrow" w:cs="Times New Roman"/>
      <w:snapToGrid/>
      <w:sz w:val="20"/>
      <w:szCs w:val="22"/>
      <w:lang w:val="en-GB" w:eastAsia="en-AU"/>
    </w:rPr>
  </w:style>
  <w:style w:type="character" w:customStyle="1" w:styleId="Heading1Char">
    <w:name w:val="Heading 1 Char"/>
    <w:link w:val="Heading1"/>
    <w:rsid w:val="00AE4381"/>
    <w:rPr>
      <w:rFonts w:ascii="Arial Bold" w:hAnsi="Arial Bold" w:cs="Arial"/>
      <w:b/>
      <w:caps/>
      <w:snapToGrid w:val="0"/>
      <w:sz w:val="22"/>
      <w:lang w:eastAsia="en-US"/>
    </w:rPr>
  </w:style>
  <w:style w:type="character" w:customStyle="1" w:styleId="Heading3Char">
    <w:name w:val="Heading 3 Char"/>
    <w:link w:val="Heading3"/>
    <w:rsid w:val="00AE4381"/>
    <w:rPr>
      <w:rFonts w:ascii="Arial" w:hAnsi="Arial" w:cs="Arial"/>
      <w:snapToGrid w:val="0"/>
      <w:sz w:val="22"/>
      <w:u w:val="single"/>
      <w:lang w:eastAsia="en-US"/>
    </w:rPr>
  </w:style>
  <w:style w:type="character" w:customStyle="1" w:styleId="Heading4Char">
    <w:name w:val="Heading 4 Char"/>
    <w:link w:val="Heading4"/>
    <w:rsid w:val="00AE4381"/>
    <w:rPr>
      <w:rFonts w:ascii="Arial" w:hAnsi="Arial" w:cs="Arial"/>
      <w:b/>
      <w:bCs/>
      <w:i/>
      <w:snapToGrid w:val="0"/>
      <w:sz w:val="26"/>
      <w:szCs w:val="28"/>
      <w:lang w:eastAsia="en-US"/>
    </w:rPr>
  </w:style>
  <w:style w:type="character" w:customStyle="1" w:styleId="Heading5Char">
    <w:name w:val="Heading 5 Char"/>
    <w:aliases w:val="Table heading Char"/>
    <w:link w:val="Heading5"/>
    <w:rsid w:val="009A7B46"/>
    <w:rPr>
      <w:rFonts w:ascii="Arial Narrow" w:hAnsi="Arial Narrow" w:cs="Arial"/>
      <w:b/>
      <w:bCs/>
      <w:iCs/>
      <w:snapToGrid w:val="0"/>
      <w:szCs w:val="26"/>
      <w:lang w:eastAsia="en-US"/>
    </w:rPr>
  </w:style>
  <w:style w:type="character" w:customStyle="1" w:styleId="Heading6Char">
    <w:name w:val="Heading 6 Char"/>
    <w:link w:val="Heading6"/>
    <w:rsid w:val="00AE4381"/>
    <w:rPr>
      <w:rFonts w:ascii="Arial" w:hAnsi="Arial" w:cs="Arial"/>
      <w:b/>
      <w:bCs/>
      <w:i/>
      <w:snapToGrid w:val="0"/>
      <w:sz w:val="22"/>
      <w:szCs w:val="22"/>
      <w:lang w:eastAsia="en-US"/>
    </w:rPr>
  </w:style>
  <w:style w:type="character" w:styleId="Strong">
    <w:name w:val="Strong"/>
    <w:uiPriority w:val="22"/>
    <w:rsid w:val="00AE4381"/>
    <w:rPr>
      <w:b/>
      <w:bCs/>
    </w:rPr>
  </w:style>
  <w:style w:type="character" w:styleId="Emphasis">
    <w:name w:val="Emphasis"/>
    <w:uiPriority w:val="20"/>
    <w:rsid w:val="00AE4381"/>
    <w:rPr>
      <w:i/>
      <w:iCs/>
    </w:rPr>
  </w:style>
  <w:style w:type="paragraph" w:styleId="Quote">
    <w:name w:val="Quote"/>
    <w:basedOn w:val="Normal"/>
    <w:next w:val="Normal"/>
    <w:link w:val="QuoteChar"/>
    <w:uiPriority w:val="29"/>
    <w:rsid w:val="00AE4381"/>
    <w:pPr>
      <w:widowControl/>
      <w:spacing w:after="200" w:line="276" w:lineRule="auto"/>
      <w:jc w:val="left"/>
    </w:pPr>
    <w:rPr>
      <w:rFonts w:eastAsia="MS Mincho" w:cs="Times New Roman"/>
      <w:iCs/>
      <w:snapToGrid/>
      <w:color w:val="000000"/>
      <w:sz w:val="20"/>
      <w:szCs w:val="22"/>
      <w:lang w:val="en-US"/>
    </w:rPr>
  </w:style>
  <w:style w:type="character" w:customStyle="1" w:styleId="QuoteChar">
    <w:name w:val="Quote Char"/>
    <w:basedOn w:val="DefaultParagraphFont"/>
    <w:link w:val="Quote"/>
    <w:uiPriority w:val="29"/>
    <w:rsid w:val="00AE4381"/>
    <w:rPr>
      <w:rFonts w:ascii="Arial" w:eastAsia="MS Mincho" w:hAnsi="Arial"/>
      <w:iCs/>
      <w:color w:val="000000"/>
      <w:szCs w:val="22"/>
      <w:lang w:val="en-US" w:eastAsia="en-US"/>
    </w:rPr>
  </w:style>
  <w:style w:type="paragraph" w:styleId="IntenseQuote">
    <w:name w:val="Intense Quote"/>
    <w:basedOn w:val="Normal"/>
    <w:next w:val="Normal"/>
    <w:link w:val="IntenseQuoteChar"/>
    <w:uiPriority w:val="30"/>
    <w:rsid w:val="00AE4381"/>
    <w:pPr>
      <w:widowControl/>
      <w:pBdr>
        <w:bottom w:val="single" w:sz="4" w:space="4" w:color="4F81BD"/>
      </w:pBdr>
      <w:spacing w:before="200" w:after="280" w:line="276" w:lineRule="auto"/>
      <w:ind w:left="936" w:right="936"/>
      <w:jc w:val="left"/>
    </w:pPr>
    <w:rPr>
      <w:rFonts w:ascii="Cambria" w:eastAsia="MS Mincho" w:hAnsi="Cambria" w:cs="Times New Roman"/>
      <w:b/>
      <w:bCs/>
      <w:i/>
      <w:iCs/>
      <w:snapToGrid/>
      <w:color w:val="4F81BD"/>
      <w:szCs w:val="22"/>
      <w:lang w:val="en-US"/>
    </w:rPr>
  </w:style>
  <w:style w:type="character" w:customStyle="1" w:styleId="IntenseQuoteChar">
    <w:name w:val="Intense Quote Char"/>
    <w:basedOn w:val="DefaultParagraphFont"/>
    <w:link w:val="IntenseQuote"/>
    <w:uiPriority w:val="30"/>
    <w:rsid w:val="00AE4381"/>
    <w:rPr>
      <w:rFonts w:ascii="Cambria" w:eastAsia="MS Mincho" w:hAnsi="Cambria"/>
      <w:b/>
      <w:bCs/>
      <w:i/>
      <w:iCs/>
      <w:color w:val="4F81BD"/>
      <w:sz w:val="22"/>
      <w:szCs w:val="22"/>
      <w:lang w:val="en-US" w:eastAsia="en-US"/>
    </w:rPr>
  </w:style>
  <w:style w:type="character" w:styleId="SubtleEmphasis">
    <w:name w:val="Subtle Emphasis"/>
    <w:uiPriority w:val="19"/>
    <w:rsid w:val="00AE4381"/>
    <w:rPr>
      <w:i/>
      <w:iCs/>
      <w:color w:val="808080"/>
    </w:rPr>
  </w:style>
  <w:style w:type="character" w:styleId="IntenseEmphasis">
    <w:name w:val="Intense Emphasis"/>
    <w:uiPriority w:val="21"/>
    <w:rsid w:val="00AE4381"/>
    <w:rPr>
      <w:b/>
      <w:bCs/>
      <w:i/>
      <w:iCs/>
      <w:color w:val="4F81BD"/>
    </w:rPr>
  </w:style>
  <w:style w:type="character" w:styleId="SubtleReference">
    <w:name w:val="Subtle Reference"/>
    <w:uiPriority w:val="31"/>
    <w:rsid w:val="00AE4381"/>
    <w:rPr>
      <w:smallCaps/>
      <w:color w:val="C0504D"/>
      <w:u w:val="single"/>
    </w:rPr>
  </w:style>
  <w:style w:type="character" w:styleId="IntenseReference">
    <w:name w:val="Intense Reference"/>
    <w:uiPriority w:val="32"/>
    <w:rsid w:val="00AE4381"/>
    <w:rPr>
      <w:b/>
      <w:bCs/>
      <w:smallCaps/>
      <w:color w:val="C0504D"/>
      <w:spacing w:val="5"/>
      <w:u w:val="single"/>
    </w:rPr>
  </w:style>
  <w:style w:type="character" w:styleId="BookTitle">
    <w:name w:val="Book Title"/>
    <w:uiPriority w:val="33"/>
    <w:rsid w:val="00AE4381"/>
    <w:rPr>
      <w:b/>
      <w:bCs/>
      <w:smallCaps/>
      <w:spacing w:val="5"/>
    </w:rPr>
  </w:style>
  <w:style w:type="character" w:customStyle="1" w:styleId="NoSpacingChar">
    <w:name w:val="No Spacing Char"/>
    <w:link w:val="NoSpacing"/>
    <w:uiPriority w:val="1"/>
    <w:rsid w:val="00AE4381"/>
    <w:rPr>
      <w:rFonts w:ascii="Arial" w:hAnsi="Arial" w:cs="Arial"/>
      <w:snapToGrid w:val="0"/>
      <w:sz w:val="22"/>
      <w:lang w:eastAsia="en-US"/>
    </w:rPr>
  </w:style>
  <w:style w:type="paragraph" w:customStyle="1" w:styleId="PersonalName">
    <w:name w:val="Personal Name"/>
    <w:basedOn w:val="Title"/>
    <w:rsid w:val="00AE4381"/>
    <w:pPr>
      <w:widowControl/>
      <w:pBdr>
        <w:bottom w:val="single" w:sz="8" w:space="4" w:color="4F81BD"/>
      </w:pBdr>
      <w:spacing w:before="0" w:after="300"/>
      <w:contextualSpacing/>
      <w:jc w:val="left"/>
      <w:outlineLvl w:val="9"/>
    </w:pPr>
    <w:rPr>
      <w:rFonts w:ascii="Calibri" w:eastAsia="MS Gothic" w:hAnsi="Calibri" w:cs="Times New Roman"/>
      <w:bCs w:val="0"/>
      <w:caps/>
      <w:snapToGrid/>
      <w:color w:val="000000"/>
      <w:spacing w:val="5"/>
      <w:sz w:val="28"/>
      <w:szCs w:val="28"/>
      <w:lang w:val="en-US"/>
    </w:rPr>
  </w:style>
  <w:style w:type="paragraph" w:customStyle="1" w:styleId="tablenote">
    <w:name w:val="table note"/>
    <w:basedOn w:val="TableText1"/>
    <w:rsid w:val="00AE4381"/>
    <w:pPr>
      <w:keepNext/>
      <w:jc w:val="both"/>
    </w:pPr>
    <w:rPr>
      <w:rFonts w:cs="Arial"/>
      <w:color w:val="000000"/>
      <w:szCs w:val="20"/>
    </w:rPr>
  </w:style>
  <w:style w:type="paragraph" w:customStyle="1" w:styleId="Attachment">
    <w:name w:val="Attachment"/>
    <w:basedOn w:val="Heading1"/>
    <w:rsid w:val="00AE4381"/>
    <w:pPr>
      <w:keepNext/>
      <w:ind w:left="0" w:firstLine="0"/>
      <w:jc w:val="right"/>
    </w:pPr>
    <w:rPr>
      <w:rFonts w:ascii="Arial" w:hAnsi="Arial" w:cs="Times New Roman"/>
      <w:sz w:val="24"/>
      <w:lang w:val="en-GB"/>
    </w:rPr>
  </w:style>
  <w:style w:type="paragraph" w:customStyle="1" w:styleId="Default">
    <w:name w:val="Default"/>
    <w:rsid w:val="00AE4381"/>
    <w:pPr>
      <w:autoSpaceDE w:val="0"/>
      <w:autoSpaceDN w:val="0"/>
      <w:adjustRightInd w:val="0"/>
    </w:pPr>
    <w:rPr>
      <w:rFonts w:eastAsia="SimSun"/>
      <w:color w:val="000000"/>
      <w:sz w:val="24"/>
      <w:szCs w:val="24"/>
      <w:lang w:eastAsia="en-GB"/>
    </w:rPr>
  </w:style>
  <w:style w:type="table" w:customStyle="1" w:styleId="TableGrid1">
    <w:name w:val="Table Grid1"/>
    <w:basedOn w:val="TableNormal"/>
    <w:next w:val="TableGrid"/>
    <w:uiPriority w:val="59"/>
    <w:rsid w:val="00AE4381"/>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BodyText2"/>
    <w:qFormat/>
    <w:rsid w:val="00AE4381"/>
    <w:pPr>
      <w:spacing w:after="0" w:line="240" w:lineRule="auto"/>
    </w:pPr>
    <w:rPr>
      <w:rFonts w:cs="Times New Roman"/>
      <w:sz w:val="20"/>
      <w:lang w:val="en-GB"/>
    </w:rPr>
  </w:style>
  <w:style w:type="character" w:customStyle="1" w:styleId="ListParagraphChar">
    <w:name w:val="List Paragraph Char"/>
    <w:basedOn w:val="DefaultParagraphFont"/>
    <w:link w:val="ListParagraph"/>
    <w:uiPriority w:val="99"/>
    <w:rsid w:val="00AE4381"/>
    <w:rPr>
      <w:rFonts w:ascii="Arial" w:hAnsi="Arial" w:cs="Arial"/>
      <w:snapToGrid w:val="0"/>
      <w:sz w:val="22"/>
      <w:lang w:eastAsia="en-US"/>
    </w:rPr>
  </w:style>
  <w:style w:type="paragraph" w:customStyle="1" w:styleId="Bulletlist">
    <w:name w:val="Bullet list"/>
    <w:basedOn w:val="ListParagraph"/>
    <w:link w:val="BulletlistChar"/>
    <w:rsid w:val="00AE4381"/>
    <w:pPr>
      <w:widowControl/>
      <w:numPr>
        <w:numId w:val="4"/>
      </w:numPr>
    </w:pPr>
    <w:rPr>
      <w:rFonts w:eastAsia="MS Mincho"/>
      <w:i/>
      <w:snapToGrid/>
      <w:szCs w:val="22"/>
      <w:lang w:val="en-US"/>
    </w:rPr>
  </w:style>
  <w:style w:type="character" w:customStyle="1" w:styleId="BulletlistChar">
    <w:name w:val="Bullet list Char"/>
    <w:basedOn w:val="ListParagraphChar"/>
    <w:link w:val="Bulletlist"/>
    <w:rsid w:val="00AE4381"/>
    <w:rPr>
      <w:rFonts w:ascii="Arial" w:eastAsia="MS Mincho" w:hAnsi="Arial" w:cs="Arial"/>
      <w:i/>
      <w:snapToGrid/>
      <w:sz w:val="22"/>
      <w:szCs w:val="22"/>
      <w:lang w:val="en-US" w:eastAsia="en-US"/>
    </w:rPr>
  </w:style>
  <w:style w:type="paragraph" w:customStyle="1" w:styleId="C-TableHeader">
    <w:name w:val="C-Table Header"/>
    <w:next w:val="C-TableText"/>
    <w:link w:val="C-TableHeaderChar"/>
    <w:rsid w:val="00AE4381"/>
    <w:pPr>
      <w:spacing w:before="60" w:after="60"/>
    </w:pPr>
    <w:rPr>
      <w:rFonts w:ascii="Arial Narrow" w:eastAsia="Cambria" w:hAnsi="Arial Narrow"/>
      <w:b/>
      <w:lang w:val="en-US" w:eastAsia="en-US"/>
    </w:rPr>
  </w:style>
  <w:style w:type="paragraph" w:customStyle="1" w:styleId="C-TableText">
    <w:name w:val="C-Table Text"/>
    <w:link w:val="C-TableTextChar"/>
    <w:rsid w:val="00AE4381"/>
    <w:pPr>
      <w:spacing w:before="60" w:after="60"/>
    </w:pPr>
    <w:rPr>
      <w:rFonts w:ascii="Arial Narrow" w:eastAsia="Cambria" w:hAnsi="Arial Narrow"/>
      <w:lang w:val="en-US" w:eastAsia="en-US"/>
    </w:rPr>
  </w:style>
  <w:style w:type="character" w:customStyle="1" w:styleId="C-TableTextChar">
    <w:name w:val="C-Table Text Char"/>
    <w:link w:val="C-TableText"/>
    <w:locked/>
    <w:rsid w:val="00AE4381"/>
    <w:rPr>
      <w:rFonts w:ascii="Arial Narrow" w:eastAsia="Cambria" w:hAnsi="Arial Narrow"/>
      <w:lang w:val="en-US" w:eastAsia="en-US"/>
    </w:rPr>
  </w:style>
  <w:style w:type="character" w:customStyle="1" w:styleId="C-TableHeaderChar">
    <w:name w:val="C-Table Header Char"/>
    <w:link w:val="C-TableHeader"/>
    <w:locked/>
    <w:rsid w:val="00AE4381"/>
    <w:rPr>
      <w:rFonts w:ascii="Arial Narrow" w:eastAsia="Cambria" w:hAnsi="Arial Narrow"/>
      <w:b/>
      <w:lang w:val="en-US" w:eastAsia="en-US"/>
    </w:rPr>
  </w:style>
  <w:style w:type="paragraph" w:customStyle="1" w:styleId="tabletext2">
    <w:name w:val="table text"/>
    <w:basedOn w:val="TableText1"/>
    <w:qFormat/>
    <w:rsid w:val="00AE4381"/>
    <w:pPr>
      <w:keepNext/>
    </w:pPr>
    <w:rPr>
      <w:rFonts w:cs="Arial"/>
      <w:color w:val="000000"/>
      <w:szCs w:val="20"/>
      <w:lang w:val="en-AU"/>
    </w:rPr>
  </w:style>
  <w:style w:type="paragraph" w:customStyle="1" w:styleId="Heading1a">
    <w:name w:val="Heading 1a"/>
    <w:basedOn w:val="Heading1"/>
    <w:rsid w:val="00AE4381"/>
    <w:pPr>
      <w:keepNext/>
      <w:widowControl/>
      <w:tabs>
        <w:tab w:val="num" w:pos="2232"/>
      </w:tabs>
      <w:spacing w:after="240" w:line="360" w:lineRule="auto"/>
      <w:jc w:val="left"/>
      <w:outlineLvl w:val="9"/>
    </w:pPr>
    <w:rPr>
      <w:rFonts w:cs="Times New Roman"/>
      <w:snapToGrid/>
      <w:color w:val="1F497D" w:themeColor="text2"/>
      <w:spacing w:val="40"/>
      <w:kern w:val="28"/>
      <w:sz w:val="36"/>
      <w:u w:val="single"/>
    </w:rPr>
  </w:style>
  <w:style w:type="numbering" w:customStyle="1" w:styleId="SectionStyle1">
    <w:name w:val="Section Style 1"/>
    <w:uiPriority w:val="99"/>
    <w:rsid w:val="00AE4381"/>
    <w:pPr>
      <w:numPr>
        <w:numId w:val="5"/>
      </w:numPr>
    </w:pPr>
  </w:style>
  <w:style w:type="table" w:customStyle="1" w:styleId="TableGrid5">
    <w:name w:val="Table Grid5"/>
    <w:basedOn w:val="TableNormal"/>
    <w:next w:val="TableGrid"/>
    <w:uiPriority w:val="59"/>
    <w:rsid w:val="00AE43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E4381"/>
    <w:pPr>
      <w:widowControl/>
      <w:spacing w:line="360" w:lineRule="auto"/>
    </w:pPr>
    <w:rPr>
      <w:rFonts w:ascii="Times New Roman" w:hAnsi="Times New Roman" w:cs="Times New Roman"/>
      <w:snapToGrid/>
    </w:rPr>
  </w:style>
  <w:style w:type="character" w:customStyle="1" w:styleId="FootnoteTextChar">
    <w:name w:val="Footnote Text Char"/>
    <w:basedOn w:val="DefaultParagraphFont"/>
    <w:link w:val="FootnoteText"/>
    <w:rsid w:val="00AE4381"/>
    <w:rPr>
      <w:sz w:val="22"/>
      <w:lang w:eastAsia="en-US"/>
    </w:rPr>
  </w:style>
  <w:style w:type="character" w:styleId="FootnoteReference">
    <w:name w:val="footnote reference"/>
    <w:rsid w:val="00AE4381"/>
    <w:rPr>
      <w:vertAlign w:val="superscript"/>
    </w:rPr>
  </w:style>
  <w:style w:type="table" w:customStyle="1" w:styleId="TableGrid4">
    <w:name w:val="Table Grid4"/>
    <w:basedOn w:val="TableNormal"/>
    <w:next w:val="TableGrid"/>
    <w:uiPriority w:val="59"/>
    <w:rsid w:val="00AE438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tyle">
    <w:name w:val="bullet point style"/>
    <w:basedOn w:val="Normal"/>
    <w:link w:val="bulletpointstyleChar"/>
    <w:rsid w:val="00AE4381"/>
    <w:pPr>
      <w:widowControl/>
      <w:numPr>
        <w:numId w:val="6"/>
      </w:numPr>
      <w:ind w:left="360"/>
    </w:pPr>
    <w:rPr>
      <w:rFonts w:cs="Times New Roman"/>
      <w:snapToGrid/>
      <w:szCs w:val="24"/>
    </w:rPr>
  </w:style>
  <w:style w:type="character" w:customStyle="1" w:styleId="bulletpointstyleChar">
    <w:name w:val="bullet point style Char"/>
    <w:basedOn w:val="DefaultParagraphFont"/>
    <w:link w:val="bulletpointstyle"/>
    <w:rsid w:val="00AE4381"/>
    <w:rPr>
      <w:rFonts w:ascii="Arial" w:hAnsi="Arial"/>
      <w:sz w:val="22"/>
      <w:szCs w:val="24"/>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E4381"/>
    <w:pPr>
      <w:widowControl/>
      <w:spacing w:after="160" w:line="240" w:lineRule="exact"/>
      <w:jc w:val="left"/>
    </w:pPr>
    <w:rPr>
      <w:rFonts w:ascii="Verdana" w:eastAsia="MS Mincho" w:hAnsi="Verdana" w:cs="Verdana"/>
      <w:snapToGrid/>
      <w:sz w:val="20"/>
      <w:lang w:val="en-US"/>
    </w:rPr>
  </w:style>
  <w:style w:type="table" w:customStyle="1" w:styleId="Summarybox1">
    <w:name w:val="Summary box1"/>
    <w:basedOn w:val="TableNormal"/>
    <w:next w:val="TableGrid"/>
    <w:uiPriority w:val="59"/>
    <w:rsid w:val="009823DD"/>
    <w:pPr>
      <w:spacing w:before="20" w:after="20"/>
    </w:pPr>
    <w:rPr>
      <w:rFonts w:ascii="Garamond" w:hAnsi="Garamond"/>
      <w:sz w:val="18"/>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table" w:customStyle="1" w:styleId="Summarybox2">
    <w:name w:val="Summary box2"/>
    <w:basedOn w:val="TableNormal"/>
    <w:next w:val="TableGrid"/>
    <w:rsid w:val="00A36A71"/>
    <w:pPr>
      <w:spacing w:before="20" w:after="20"/>
    </w:pPr>
    <w:rPr>
      <w:rFonts w:ascii="Garamond" w:hAnsi="Garamond"/>
      <w:sz w:val="18"/>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paragraph" w:customStyle="1" w:styleId="Bulletedbodytext">
    <w:name w:val="Bulleted body text"/>
    <w:basedOn w:val="BodyText"/>
    <w:link w:val="BulletedbodytextChar"/>
    <w:qFormat/>
    <w:rsid w:val="00604F21"/>
    <w:pPr>
      <w:numPr>
        <w:numId w:val="7"/>
      </w:numPr>
      <w:spacing w:after="120" w:line="360" w:lineRule="auto"/>
      <w:ind w:left="714" w:hanging="357"/>
    </w:pPr>
    <w:rPr>
      <w:snapToGrid/>
      <w:szCs w:val="24"/>
      <w:lang w:val="en-US"/>
    </w:rPr>
  </w:style>
  <w:style w:type="character" w:customStyle="1" w:styleId="BulletedbodytextChar">
    <w:name w:val="Bulleted body text Char"/>
    <w:basedOn w:val="DefaultParagraphFont"/>
    <w:link w:val="Bulletedbodytext"/>
    <w:rsid w:val="00604F21"/>
    <w:rPr>
      <w:rFonts w:ascii="Arial" w:hAnsi="Arial" w:cs="Arial"/>
      <w:sz w:val="22"/>
      <w:szCs w:val="24"/>
      <w:lang w:val="en-US" w:eastAsia="en-US"/>
    </w:rPr>
  </w:style>
  <w:style w:type="character" w:customStyle="1" w:styleId="Normalfont">
    <w:name w:val="Normal font"/>
    <w:basedOn w:val="DefaultParagraphFont"/>
    <w:uiPriority w:val="1"/>
    <w:qFormat/>
    <w:rsid w:val="00E511FF"/>
    <w:rPr>
      <w:rFonts w:ascii="Candara" w:hAnsi="Candar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1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E20B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22452B"/>
    <w:pPr>
      <w:ind w:left="720" w:hanging="720"/>
      <w:outlineLvl w:val="0"/>
    </w:pPr>
    <w:rPr>
      <w:rFonts w:ascii="Arial Bold" w:hAnsi="Arial Bold"/>
      <w:b/>
      <w:caps/>
    </w:rPr>
  </w:style>
  <w:style w:type="paragraph" w:styleId="Heading2">
    <w:name w:val="heading 2"/>
    <w:aliases w:val="2*,Überschrift 2CTD"/>
    <w:basedOn w:val="Normal"/>
    <w:next w:val="Normal"/>
    <w:link w:val="Heading2Char"/>
    <w:qFormat/>
    <w:rsid w:val="0022452B"/>
    <w:pPr>
      <w:outlineLvl w:val="1"/>
    </w:pPr>
    <w:rPr>
      <w:b/>
    </w:rPr>
  </w:style>
  <w:style w:type="paragraph" w:styleId="Heading3">
    <w:name w:val="heading 3"/>
    <w:basedOn w:val="Normal"/>
    <w:next w:val="Normal"/>
    <w:link w:val="Heading3Char"/>
    <w:qFormat/>
    <w:rsid w:val="0022452B"/>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aliases w:val="Table heading"/>
    <w:basedOn w:val="Normal"/>
    <w:next w:val="Normal"/>
    <w:link w:val="Heading5Char"/>
    <w:qFormat/>
    <w:rsid w:val="009A7B46"/>
    <w:pPr>
      <w:outlineLvl w:val="4"/>
    </w:pPr>
    <w:rPr>
      <w:rFonts w:ascii="Arial Narrow" w:hAnsi="Arial Narrow"/>
      <w:b/>
      <w:bCs/>
      <w:iCs/>
      <w:sz w:val="20"/>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uiPriority w:val="9"/>
    <w:rsid w:val="00124A51"/>
    <w:pPr>
      <w:keepNext/>
      <w:jc w:val="center"/>
      <w:outlineLvl w:val="6"/>
    </w:pPr>
    <w:rPr>
      <w:b/>
      <w:sz w:val="20"/>
    </w:rPr>
  </w:style>
  <w:style w:type="paragraph" w:styleId="Heading8">
    <w:name w:val="heading 8"/>
    <w:basedOn w:val="Normal"/>
    <w:next w:val="Normal"/>
    <w:link w:val="Heading8Char"/>
    <w:uiPriority w:val="9"/>
    <w:rsid w:val="00124A51"/>
    <w:pPr>
      <w:keepNext/>
      <w:jc w:val="right"/>
      <w:outlineLvl w:val="7"/>
    </w:pPr>
    <w:rPr>
      <w:b/>
    </w:rPr>
  </w:style>
  <w:style w:type="paragraph" w:styleId="Heading9">
    <w:name w:val="heading 9"/>
    <w:basedOn w:val="Normal"/>
    <w:next w:val="Normal"/>
    <w:link w:val="Heading9Char"/>
    <w:uiPriority w:val="9"/>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22452B"/>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2* Char,Überschrift 2CTD Char"/>
    <w:link w:val="Heading2"/>
    <w:uiPriority w:val="9"/>
    <w:rsid w:val="0022452B"/>
    <w:rPr>
      <w:rFonts w:ascii="Arial" w:hAnsi="Arial" w:cs="Arial"/>
      <w:b/>
      <w:snapToGrid w:val="0"/>
      <w:sz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styleId="Caption">
    <w:name w:val="caption"/>
    <w:aliases w:val="OxTableCaption,Char,Caption for Appendix,IB Caption,Medical Caption,Caption Char1 Char Char,Caption Char Char Char Char,Caption Char1 Char,Caption Char Char Char Char Char,Caption Char Char,Caption Char Char Char Char1,Caption Char1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OxTableCaption Char,Char Char,Caption for Appendix Char,IB Caption Char,Medical Caption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10"/>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qFormat/>
    <w:rsid w:val="0022452B"/>
    <w:pPr>
      <w:jc w:val="left"/>
    </w:pPr>
  </w:style>
  <w:style w:type="character" w:customStyle="1" w:styleId="BodyTextChar">
    <w:name w:val="Body Text Char"/>
    <w:basedOn w:val="DefaultParagraphFont"/>
    <w:link w:val="BodyText"/>
    <w:rsid w:val="0022452B"/>
    <w:rPr>
      <w:rFonts w:ascii="Arial" w:hAnsi="Arial" w:cs="Arial"/>
      <w:snapToGrid w:val="0"/>
      <w:sz w:val="22"/>
      <w:lang w:eastAsia="en-US"/>
    </w:rPr>
  </w:style>
  <w:style w:type="paragraph" w:styleId="ListParagraph">
    <w:name w:val="List Paragraph"/>
    <w:basedOn w:val="Normal"/>
    <w:link w:val="ListParagraphChar"/>
    <w:uiPriority w:val="34"/>
    <w:qFormat/>
    <w:rsid w:val="0022452B"/>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22452B"/>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C43792"/>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AD633C"/>
    <w:pPr>
      <w:jc w:val="left"/>
    </w:pPr>
    <w:rPr>
      <w:rFonts w:ascii="Arial Narrow" w:hAnsi="Arial Narrow"/>
      <w:i/>
      <w:sz w:val="20"/>
      <w:szCs w:val="18"/>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qFormat/>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character" w:customStyle="1" w:styleId="apple-converted-space">
    <w:name w:val="apple-converted-space"/>
    <w:basedOn w:val="DefaultParagraphFont"/>
    <w:rsid w:val="00A90CE0"/>
  </w:style>
  <w:style w:type="paragraph" w:styleId="BodyTextIndent2">
    <w:name w:val="Body Text Indent 2"/>
    <w:basedOn w:val="Normal"/>
    <w:link w:val="BodyTextIndent2Char"/>
    <w:rsid w:val="00AE4381"/>
    <w:pPr>
      <w:widowControl/>
      <w:ind w:left="1440"/>
      <w:jc w:val="left"/>
    </w:pPr>
    <w:rPr>
      <w:rFonts w:cs="Times New Roman"/>
      <w:snapToGrid/>
      <w:lang w:val="en-GB"/>
    </w:rPr>
  </w:style>
  <w:style w:type="character" w:customStyle="1" w:styleId="BodyTextIndent2Char">
    <w:name w:val="Body Text Indent 2 Char"/>
    <w:basedOn w:val="DefaultParagraphFont"/>
    <w:link w:val="BodyTextIndent2"/>
    <w:rsid w:val="00AE4381"/>
    <w:rPr>
      <w:rFonts w:ascii="Arial" w:hAnsi="Arial"/>
      <w:sz w:val="22"/>
      <w:lang w:val="en-GB" w:eastAsia="en-US"/>
    </w:rPr>
  </w:style>
  <w:style w:type="character" w:styleId="PageNumber">
    <w:name w:val="page number"/>
    <w:basedOn w:val="DefaultParagraphFont"/>
    <w:rsid w:val="00AE4381"/>
  </w:style>
  <w:style w:type="paragraph" w:customStyle="1" w:styleId="TableText1">
    <w:name w:val="Table Text"/>
    <w:basedOn w:val="Normal"/>
    <w:qFormat/>
    <w:rsid w:val="00E079CE"/>
    <w:pPr>
      <w:widowControl/>
      <w:jc w:val="left"/>
    </w:pPr>
    <w:rPr>
      <w:rFonts w:ascii="Arial Narrow" w:hAnsi="Arial Narrow" w:cs="Times New Roman"/>
      <w:snapToGrid/>
      <w:sz w:val="20"/>
      <w:szCs w:val="22"/>
      <w:lang w:val="en-GB" w:eastAsia="en-AU"/>
    </w:rPr>
  </w:style>
  <w:style w:type="character" w:customStyle="1" w:styleId="Heading1Char">
    <w:name w:val="Heading 1 Char"/>
    <w:link w:val="Heading1"/>
    <w:rsid w:val="00AE4381"/>
    <w:rPr>
      <w:rFonts w:ascii="Arial Bold" w:hAnsi="Arial Bold" w:cs="Arial"/>
      <w:b/>
      <w:caps/>
      <w:snapToGrid w:val="0"/>
      <w:sz w:val="22"/>
      <w:lang w:eastAsia="en-US"/>
    </w:rPr>
  </w:style>
  <w:style w:type="character" w:customStyle="1" w:styleId="Heading3Char">
    <w:name w:val="Heading 3 Char"/>
    <w:link w:val="Heading3"/>
    <w:rsid w:val="00AE4381"/>
    <w:rPr>
      <w:rFonts w:ascii="Arial" w:hAnsi="Arial" w:cs="Arial"/>
      <w:snapToGrid w:val="0"/>
      <w:sz w:val="22"/>
      <w:u w:val="single"/>
      <w:lang w:eastAsia="en-US"/>
    </w:rPr>
  </w:style>
  <w:style w:type="character" w:customStyle="1" w:styleId="Heading4Char">
    <w:name w:val="Heading 4 Char"/>
    <w:link w:val="Heading4"/>
    <w:rsid w:val="00AE4381"/>
    <w:rPr>
      <w:rFonts w:ascii="Arial" w:hAnsi="Arial" w:cs="Arial"/>
      <w:b/>
      <w:bCs/>
      <w:i/>
      <w:snapToGrid w:val="0"/>
      <w:sz w:val="26"/>
      <w:szCs w:val="28"/>
      <w:lang w:eastAsia="en-US"/>
    </w:rPr>
  </w:style>
  <w:style w:type="character" w:customStyle="1" w:styleId="Heading5Char">
    <w:name w:val="Heading 5 Char"/>
    <w:aliases w:val="Table heading Char"/>
    <w:link w:val="Heading5"/>
    <w:rsid w:val="009A7B46"/>
    <w:rPr>
      <w:rFonts w:ascii="Arial Narrow" w:hAnsi="Arial Narrow" w:cs="Arial"/>
      <w:b/>
      <w:bCs/>
      <w:iCs/>
      <w:snapToGrid w:val="0"/>
      <w:szCs w:val="26"/>
      <w:lang w:eastAsia="en-US"/>
    </w:rPr>
  </w:style>
  <w:style w:type="character" w:customStyle="1" w:styleId="Heading6Char">
    <w:name w:val="Heading 6 Char"/>
    <w:link w:val="Heading6"/>
    <w:rsid w:val="00AE4381"/>
    <w:rPr>
      <w:rFonts w:ascii="Arial" w:hAnsi="Arial" w:cs="Arial"/>
      <w:b/>
      <w:bCs/>
      <w:i/>
      <w:snapToGrid w:val="0"/>
      <w:sz w:val="22"/>
      <w:szCs w:val="22"/>
      <w:lang w:eastAsia="en-US"/>
    </w:rPr>
  </w:style>
  <w:style w:type="character" w:styleId="Strong">
    <w:name w:val="Strong"/>
    <w:uiPriority w:val="22"/>
    <w:rsid w:val="00AE4381"/>
    <w:rPr>
      <w:b/>
      <w:bCs/>
    </w:rPr>
  </w:style>
  <w:style w:type="character" w:styleId="Emphasis">
    <w:name w:val="Emphasis"/>
    <w:uiPriority w:val="20"/>
    <w:rsid w:val="00AE4381"/>
    <w:rPr>
      <w:i/>
      <w:iCs/>
    </w:rPr>
  </w:style>
  <w:style w:type="paragraph" w:styleId="Quote">
    <w:name w:val="Quote"/>
    <w:basedOn w:val="Normal"/>
    <w:next w:val="Normal"/>
    <w:link w:val="QuoteChar"/>
    <w:uiPriority w:val="29"/>
    <w:rsid w:val="00AE4381"/>
    <w:pPr>
      <w:widowControl/>
      <w:spacing w:after="200" w:line="276" w:lineRule="auto"/>
      <w:jc w:val="left"/>
    </w:pPr>
    <w:rPr>
      <w:rFonts w:eastAsia="MS Mincho" w:cs="Times New Roman"/>
      <w:iCs/>
      <w:snapToGrid/>
      <w:color w:val="000000"/>
      <w:sz w:val="20"/>
      <w:szCs w:val="22"/>
      <w:lang w:val="en-US"/>
    </w:rPr>
  </w:style>
  <w:style w:type="character" w:customStyle="1" w:styleId="QuoteChar">
    <w:name w:val="Quote Char"/>
    <w:basedOn w:val="DefaultParagraphFont"/>
    <w:link w:val="Quote"/>
    <w:uiPriority w:val="29"/>
    <w:rsid w:val="00AE4381"/>
    <w:rPr>
      <w:rFonts w:ascii="Arial" w:eastAsia="MS Mincho" w:hAnsi="Arial"/>
      <w:iCs/>
      <w:color w:val="000000"/>
      <w:szCs w:val="22"/>
      <w:lang w:val="en-US" w:eastAsia="en-US"/>
    </w:rPr>
  </w:style>
  <w:style w:type="paragraph" w:styleId="IntenseQuote">
    <w:name w:val="Intense Quote"/>
    <w:basedOn w:val="Normal"/>
    <w:next w:val="Normal"/>
    <w:link w:val="IntenseQuoteChar"/>
    <w:uiPriority w:val="30"/>
    <w:rsid w:val="00AE4381"/>
    <w:pPr>
      <w:widowControl/>
      <w:pBdr>
        <w:bottom w:val="single" w:sz="4" w:space="4" w:color="4F81BD"/>
      </w:pBdr>
      <w:spacing w:before="200" w:after="280" w:line="276" w:lineRule="auto"/>
      <w:ind w:left="936" w:right="936"/>
      <w:jc w:val="left"/>
    </w:pPr>
    <w:rPr>
      <w:rFonts w:ascii="Cambria" w:eastAsia="MS Mincho" w:hAnsi="Cambria" w:cs="Times New Roman"/>
      <w:b/>
      <w:bCs/>
      <w:i/>
      <w:iCs/>
      <w:snapToGrid/>
      <w:color w:val="4F81BD"/>
      <w:szCs w:val="22"/>
      <w:lang w:val="en-US"/>
    </w:rPr>
  </w:style>
  <w:style w:type="character" w:customStyle="1" w:styleId="IntenseQuoteChar">
    <w:name w:val="Intense Quote Char"/>
    <w:basedOn w:val="DefaultParagraphFont"/>
    <w:link w:val="IntenseQuote"/>
    <w:uiPriority w:val="30"/>
    <w:rsid w:val="00AE4381"/>
    <w:rPr>
      <w:rFonts w:ascii="Cambria" w:eastAsia="MS Mincho" w:hAnsi="Cambria"/>
      <w:b/>
      <w:bCs/>
      <w:i/>
      <w:iCs/>
      <w:color w:val="4F81BD"/>
      <w:sz w:val="22"/>
      <w:szCs w:val="22"/>
      <w:lang w:val="en-US" w:eastAsia="en-US"/>
    </w:rPr>
  </w:style>
  <w:style w:type="character" w:styleId="SubtleEmphasis">
    <w:name w:val="Subtle Emphasis"/>
    <w:uiPriority w:val="19"/>
    <w:rsid w:val="00AE4381"/>
    <w:rPr>
      <w:i/>
      <w:iCs/>
      <w:color w:val="808080"/>
    </w:rPr>
  </w:style>
  <w:style w:type="character" w:styleId="IntenseEmphasis">
    <w:name w:val="Intense Emphasis"/>
    <w:uiPriority w:val="21"/>
    <w:rsid w:val="00AE4381"/>
    <w:rPr>
      <w:b/>
      <w:bCs/>
      <w:i/>
      <w:iCs/>
      <w:color w:val="4F81BD"/>
    </w:rPr>
  </w:style>
  <w:style w:type="character" w:styleId="SubtleReference">
    <w:name w:val="Subtle Reference"/>
    <w:uiPriority w:val="31"/>
    <w:rsid w:val="00AE4381"/>
    <w:rPr>
      <w:smallCaps/>
      <w:color w:val="C0504D"/>
      <w:u w:val="single"/>
    </w:rPr>
  </w:style>
  <w:style w:type="character" w:styleId="IntenseReference">
    <w:name w:val="Intense Reference"/>
    <w:uiPriority w:val="32"/>
    <w:rsid w:val="00AE4381"/>
    <w:rPr>
      <w:b/>
      <w:bCs/>
      <w:smallCaps/>
      <w:color w:val="C0504D"/>
      <w:spacing w:val="5"/>
      <w:u w:val="single"/>
    </w:rPr>
  </w:style>
  <w:style w:type="character" w:styleId="BookTitle">
    <w:name w:val="Book Title"/>
    <w:uiPriority w:val="33"/>
    <w:rsid w:val="00AE4381"/>
    <w:rPr>
      <w:b/>
      <w:bCs/>
      <w:smallCaps/>
      <w:spacing w:val="5"/>
    </w:rPr>
  </w:style>
  <w:style w:type="character" w:customStyle="1" w:styleId="NoSpacingChar">
    <w:name w:val="No Spacing Char"/>
    <w:link w:val="NoSpacing"/>
    <w:uiPriority w:val="1"/>
    <w:rsid w:val="00AE4381"/>
    <w:rPr>
      <w:rFonts w:ascii="Arial" w:hAnsi="Arial" w:cs="Arial"/>
      <w:snapToGrid w:val="0"/>
      <w:sz w:val="22"/>
      <w:lang w:eastAsia="en-US"/>
    </w:rPr>
  </w:style>
  <w:style w:type="paragraph" w:customStyle="1" w:styleId="PersonalName">
    <w:name w:val="Personal Name"/>
    <w:basedOn w:val="Title"/>
    <w:rsid w:val="00AE4381"/>
    <w:pPr>
      <w:widowControl/>
      <w:pBdr>
        <w:bottom w:val="single" w:sz="8" w:space="4" w:color="4F81BD"/>
      </w:pBdr>
      <w:spacing w:before="0" w:after="300"/>
      <w:contextualSpacing/>
      <w:jc w:val="left"/>
      <w:outlineLvl w:val="9"/>
    </w:pPr>
    <w:rPr>
      <w:rFonts w:ascii="Calibri" w:eastAsia="MS Gothic" w:hAnsi="Calibri" w:cs="Times New Roman"/>
      <w:bCs w:val="0"/>
      <w:caps/>
      <w:snapToGrid/>
      <w:color w:val="000000"/>
      <w:spacing w:val="5"/>
      <w:sz w:val="28"/>
      <w:szCs w:val="28"/>
      <w:lang w:val="en-US"/>
    </w:rPr>
  </w:style>
  <w:style w:type="paragraph" w:customStyle="1" w:styleId="tablenote">
    <w:name w:val="table note"/>
    <w:basedOn w:val="TableText1"/>
    <w:rsid w:val="00AE4381"/>
    <w:pPr>
      <w:keepNext/>
      <w:jc w:val="both"/>
    </w:pPr>
    <w:rPr>
      <w:rFonts w:cs="Arial"/>
      <w:color w:val="000000"/>
      <w:szCs w:val="20"/>
    </w:rPr>
  </w:style>
  <w:style w:type="paragraph" w:customStyle="1" w:styleId="Attachment">
    <w:name w:val="Attachment"/>
    <w:basedOn w:val="Heading1"/>
    <w:rsid w:val="00AE4381"/>
    <w:pPr>
      <w:keepNext/>
      <w:ind w:left="0" w:firstLine="0"/>
      <w:jc w:val="right"/>
    </w:pPr>
    <w:rPr>
      <w:rFonts w:ascii="Arial" w:hAnsi="Arial" w:cs="Times New Roman"/>
      <w:sz w:val="24"/>
      <w:lang w:val="en-GB"/>
    </w:rPr>
  </w:style>
  <w:style w:type="paragraph" w:customStyle="1" w:styleId="Default">
    <w:name w:val="Default"/>
    <w:rsid w:val="00AE4381"/>
    <w:pPr>
      <w:autoSpaceDE w:val="0"/>
      <w:autoSpaceDN w:val="0"/>
      <w:adjustRightInd w:val="0"/>
    </w:pPr>
    <w:rPr>
      <w:rFonts w:eastAsia="SimSun"/>
      <w:color w:val="000000"/>
      <w:sz w:val="24"/>
      <w:szCs w:val="24"/>
      <w:lang w:eastAsia="en-GB"/>
    </w:rPr>
  </w:style>
  <w:style w:type="table" w:customStyle="1" w:styleId="TableGrid1">
    <w:name w:val="Table Grid1"/>
    <w:basedOn w:val="TableNormal"/>
    <w:next w:val="TableGrid"/>
    <w:uiPriority w:val="59"/>
    <w:rsid w:val="00AE4381"/>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BodyText2"/>
    <w:qFormat/>
    <w:rsid w:val="00AE4381"/>
    <w:pPr>
      <w:spacing w:after="0" w:line="240" w:lineRule="auto"/>
    </w:pPr>
    <w:rPr>
      <w:rFonts w:cs="Times New Roman"/>
      <w:sz w:val="20"/>
      <w:lang w:val="en-GB"/>
    </w:rPr>
  </w:style>
  <w:style w:type="character" w:customStyle="1" w:styleId="ListParagraphChar">
    <w:name w:val="List Paragraph Char"/>
    <w:basedOn w:val="DefaultParagraphFont"/>
    <w:link w:val="ListParagraph"/>
    <w:uiPriority w:val="99"/>
    <w:rsid w:val="00AE4381"/>
    <w:rPr>
      <w:rFonts w:ascii="Arial" w:hAnsi="Arial" w:cs="Arial"/>
      <w:snapToGrid w:val="0"/>
      <w:sz w:val="22"/>
      <w:lang w:eastAsia="en-US"/>
    </w:rPr>
  </w:style>
  <w:style w:type="paragraph" w:customStyle="1" w:styleId="Bulletlist">
    <w:name w:val="Bullet list"/>
    <w:basedOn w:val="ListParagraph"/>
    <w:link w:val="BulletlistChar"/>
    <w:rsid w:val="00AE4381"/>
    <w:pPr>
      <w:widowControl/>
      <w:numPr>
        <w:numId w:val="4"/>
      </w:numPr>
    </w:pPr>
    <w:rPr>
      <w:rFonts w:eastAsia="MS Mincho"/>
      <w:i/>
      <w:snapToGrid/>
      <w:szCs w:val="22"/>
      <w:lang w:val="en-US"/>
    </w:rPr>
  </w:style>
  <w:style w:type="character" w:customStyle="1" w:styleId="BulletlistChar">
    <w:name w:val="Bullet list Char"/>
    <w:basedOn w:val="ListParagraphChar"/>
    <w:link w:val="Bulletlist"/>
    <w:rsid w:val="00AE4381"/>
    <w:rPr>
      <w:rFonts w:ascii="Arial" w:eastAsia="MS Mincho" w:hAnsi="Arial" w:cs="Arial"/>
      <w:i/>
      <w:snapToGrid/>
      <w:sz w:val="22"/>
      <w:szCs w:val="22"/>
      <w:lang w:val="en-US" w:eastAsia="en-US"/>
    </w:rPr>
  </w:style>
  <w:style w:type="paragraph" w:customStyle="1" w:styleId="C-TableHeader">
    <w:name w:val="C-Table Header"/>
    <w:next w:val="C-TableText"/>
    <w:link w:val="C-TableHeaderChar"/>
    <w:rsid w:val="00AE4381"/>
    <w:pPr>
      <w:spacing w:before="60" w:after="60"/>
    </w:pPr>
    <w:rPr>
      <w:rFonts w:ascii="Arial Narrow" w:eastAsia="Cambria" w:hAnsi="Arial Narrow"/>
      <w:b/>
      <w:lang w:val="en-US" w:eastAsia="en-US"/>
    </w:rPr>
  </w:style>
  <w:style w:type="paragraph" w:customStyle="1" w:styleId="C-TableText">
    <w:name w:val="C-Table Text"/>
    <w:link w:val="C-TableTextChar"/>
    <w:rsid w:val="00AE4381"/>
    <w:pPr>
      <w:spacing w:before="60" w:after="60"/>
    </w:pPr>
    <w:rPr>
      <w:rFonts w:ascii="Arial Narrow" w:eastAsia="Cambria" w:hAnsi="Arial Narrow"/>
      <w:lang w:val="en-US" w:eastAsia="en-US"/>
    </w:rPr>
  </w:style>
  <w:style w:type="character" w:customStyle="1" w:styleId="C-TableTextChar">
    <w:name w:val="C-Table Text Char"/>
    <w:link w:val="C-TableText"/>
    <w:locked/>
    <w:rsid w:val="00AE4381"/>
    <w:rPr>
      <w:rFonts w:ascii="Arial Narrow" w:eastAsia="Cambria" w:hAnsi="Arial Narrow"/>
      <w:lang w:val="en-US" w:eastAsia="en-US"/>
    </w:rPr>
  </w:style>
  <w:style w:type="character" w:customStyle="1" w:styleId="C-TableHeaderChar">
    <w:name w:val="C-Table Header Char"/>
    <w:link w:val="C-TableHeader"/>
    <w:locked/>
    <w:rsid w:val="00AE4381"/>
    <w:rPr>
      <w:rFonts w:ascii="Arial Narrow" w:eastAsia="Cambria" w:hAnsi="Arial Narrow"/>
      <w:b/>
      <w:lang w:val="en-US" w:eastAsia="en-US"/>
    </w:rPr>
  </w:style>
  <w:style w:type="paragraph" w:customStyle="1" w:styleId="tabletext2">
    <w:name w:val="table text"/>
    <w:basedOn w:val="TableText1"/>
    <w:qFormat/>
    <w:rsid w:val="00AE4381"/>
    <w:pPr>
      <w:keepNext/>
    </w:pPr>
    <w:rPr>
      <w:rFonts w:cs="Arial"/>
      <w:color w:val="000000"/>
      <w:szCs w:val="20"/>
      <w:lang w:val="en-AU"/>
    </w:rPr>
  </w:style>
  <w:style w:type="paragraph" w:customStyle="1" w:styleId="Heading1a">
    <w:name w:val="Heading 1a"/>
    <w:basedOn w:val="Heading1"/>
    <w:rsid w:val="00AE4381"/>
    <w:pPr>
      <w:keepNext/>
      <w:widowControl/>
      <w:tabs>
        <w:tab w:val="num" w:pos="2232"/>
      </w:tabs>
      <w:spacing w:after="240" w:line="360" w:lineRule="auto"/>
      <w:jc w:val="left"/>
      <w:outlineLvl w:val="9"/>
    </w:pPr>
    <w:rPr>
      <w:rFonts w:cs="Times New Roman"/>
      <w:snapToGrid/>
      <w:color w:val="1F497D" w:themeColor="text2"/>
      <w:spacing w:val="40"/>
      <w:kern w:val="28"/>
      <w:sz w:val="36"/>
      <w:u w:val="single"/>
    </w:rPr>
  </w:style>
  <w:style w:type="numbering" w:customStyle="1" w:styleId="SectionStyle1">
    <w:name w:val="Section Style 1"/>
    <w:uiPriority w:val="99"/>
    <w:rsid w:val="00AE4381"/>
    <w:pPr>
      <w:numPr>
        <w:numId w:val="5"/>
      </w:numPr>
    </w:pPr>
  </w:style>
  <w:style w:type="table" w:customStyle="1" w:styleId="TableGrid5">
    <w:name w:val="Table Grid5"/>
    <w:basedOn w:val="TableNormal"/>
    <w:next w:val="TableGrid"/>
    <w:uiPriority w:val="59"/>
    <w:rsid w:val="00AE43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E4381"/>
    <w:pPr>
      <w:widowControl/>
      <w:spacing w:line="360" w:lineRule="auto"/>
    </w:pPr>
    <w:rPr>
      <w:rFonts w:ascii="Times New Roman" w:hAnsi="Times New Roman" w:cs="Times New Roman"/>
      <w:snapToGrid/>
    </w:rPr>
  </w:style>
  <w:style w:type="character" w:customStyle="1" w:styleId="FootnoteTextChar">
    <w:name w:val="Footnote Text Char"/>
    <w:basedOn w:val="DefaultParagraphFont"/>
    <w:link w:val="FootnoteText"/>
    <w:rsid w:val="00AE4381"/>
    <w:rPr>
      <w:sz w:val="22"/>
      <w:lang w:eastAsia="en-US"/>
    </w:rPr>
  </w:style>
  <w:style w:type="character" w:styleId="FootnoteReference">
    <w:name w:val="footnote reference"/>
    <w:rsid w:val="00AE4381"/>
    <w:rPr>
      <w:vertAlign w:val="superscript"/>
    </w:rPr>
  </w:style>
  <w:style w:type="table" w:customStyle="1" w:styleId="TableGrid4">
    <w:name w:val="Table Grid4"/>
    <w:basedOn w:val="TableNormal"/>
    <w:next w:val="TableGrid"/>
    <w:uiPriority w:val="59"/>
    <w:rsid w:val="00AE438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tyle">
    <w:name w:val="bullet point style"/>
    <w:basedOn w:val="Normal"/>
    <w:link w:val="bulletpointstyleChar"/>
    <w:rsid w:val="00AE4381"/>
    <w:pPr>
      <w:widowControl/>
      <w:numPr>
        <w:numId w:val="6"/>
      </w:numPr>
      <w:ind w:left="360"/>
    </w:pPr>
    <w:rPr>
      <w:rFonts w:cs="Times New Roman"/>
      <w:snapToGrid/>
      <w:szCs w:val="24"/>
    </w:rPr>
  </w:style>
  <w:style w:type="character" w:customStyle="1" w:styleId="bulletpointstyleChar">
    <w:name w:val="bullet point style Char"/>
    <w:basedOn w:val="DefaultParagraphFont"/>
    <w:link w:val="bulletpointstyle"/>
    <w:rsid w:val="00AE4381"/>
    <w:rPr>
      <w:rFonts w:ascii="Arial" w:hAnsi="Arial"/>
      <w:sz w:val="22"/>
      <w:szCs w:val="24"/>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E4381"/>
    <w:pPr>
      <w:widowControl/>
      <w:spacing w:after="160" w:line="240" w:lineRule="exact"/>
      <w:jc w:val="left"/>
    </w:pPr>
    <w:rPr>
      <w:rFonts w:ascii="Verdana" w:eastAsia="MS Mincho" w:hAnsi="Verdana" w:cs="Verdana"/>
      <w:snapToGrid/>
      <w:sz w:val="20"/>
      <w:lang w:val="en-US"/>
    </w:rPr>
  </w:style>
  <w:style w:type="table" w:customStyle="1" w:styleId="Summarybox1">
    <w:name w:val="Summary box1"/>
    <w:basedOn w:val="TableNormal"/>
    <w:next w:val="TableGrid"/>
    <w:uiPriority w:val="59"/>
    <w:rsid w:val="009823DD"/>
    <w:pPr>
      <w:spacing w:before="20" w:after="20"/>
    </w:pPr>
    <w:rPr>
      <w:rFonts w:ascii="Garamond" w:hAnsi="Garamond"/>
      <w:sz w:val="18"/>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table" w:customStyle="1" w:styleId="Summarybox2">
    <w:name w:val="Summary box2"/>
    <w:basedOn w:val="TableNormal"/>
    <w:next w:val="TableGrid"/>
    <w:rsid w:val="00A36A71"/>
    <w:pPr>
      <w:spacing w:before="20" w:after="20"/>
    </w:pPr>
    <w:rPr>
      <w:rFonts w:ascii="Garamond" w:hAnsi="Garamond"/>
      <w:sz w:val="18"/>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paragraph" w:customStyle="1" w:styleId="Bulletedbodytext">
    <w:name w:val="Bulleted body text"/>
    <w:basedOn w:val="BodyText"/>
    <w:link w:val="BulletedbodytextChar"/>
    <w:qFormat/>
    <w:rsid w:val="00604F21"/>
    <w:pPr>
      <w:numPr>
        <w:numId w:val="7"/>
      </w:numPr>
      <w:spacing w:after="120" w:line="360" w:lineRule="auto"/>
      <w:ind w:left="714" w:hanging="357"/>
    </w:pPr>
    <w:rPr>
      <w:snapToGrid/>
      <w:szCs w:val="24"/>
      <w:lang w:val="en-US"/>
    </w:rPr>
  </w:style>
  <w:style w:type="character" w:customStyle="1" w:styleId="BulletedbodytextChar">
    <w:name w:val="Bulleted body text Char"/>
    <w:basedOn w:val="DefaultParagraphFont"/>
    <w:link w:val="Bulletedbodytext"/>
    <w:rsid w:val="00604F21"/>
    <w:rPr>
      <w:rFonts w:ascii="Arial" w:hAnsi="Arial" w:cs="Arial"/>
      <w:sz w:val="22"/>
      <w:szCs w:val="24"/>
      <w:lang w:val="en-US" w:eastAsia="en-US"/>
    </w:rPr>
  </w:style>
  <w:style w:type="character" w:customStyle="1" w:styleId="Normalfont">
    <w:name w:val="Normal font"/>
    <w:basedOn w:val="DefaultParagraphFont"/>
    <w:uiPriority w:val="1"/>
    <w:qFormat/>
    <w:rsid w:val="00E511FF"/>
    <w:rPr>
      <w:rFonts w:ascii="Candara" w:hAnsi="Canda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53">
      <w:bodyDiv w:val="1"/>
      <w:marLeft w:val="0"/>
      <w:marRight w:val="0"/>
      <w:marTop w:val="0"/>
      <w:marBottom w:val="0"/>
      <w:divBdr>
        <w:top w:val="none" w:sz="0" w:space="0" w:color="auto"/>
        <w:left w:val="none" w:sz="0" w:space="0" w:color="auto"/>
        <w:bottom w:val="none" w:sz="0" w:space="0" w:color="auto"/>
        <w:right w:val="none" w:sz="0" w:space="0" w:color="auto"/>
      </w:divBdr>
    </w:div>
    <w:div w:id="224604537">
      <w:bodyDiv w:val="1"/>
      <w:marLeft w:val="0"/>
      <w:marRight w:val="0"/>
      <w:marTop w:val="0"/>
      <w:marBottom w:val="0"/>
      <w:divBdr>
        <w:top w:val="none" w:sz="0" w:space="0" w:color="auto"/>
        <w:left w:val="none" w:sz="0" w:space="0" w:color="auto"/>
        <w:bottom w:val="none" w:sz="0" w:space="0" w:color="auto"/>
        <w:right w:val="none" w:sz="0" w:space="0" w:color="auto"/>
      </w:divBdr>
    </w:div>
    <w:div w:id="331105253">
      <w:bodyDiv w:val="1"/>
      <w:marLeft w:val="0"/>
      <w:marRight w:val="0"/>
      <w:marTop w:val="0"/>
      <w:marBottom w:val="0"/>
      <w:divBdr>
        <w:top w:val="none" w:sz="0" w:space="0" w:color="auto"/>
        <w:left w:val="none" w:sz="0" w:space="0" w:color="auto"/>
        <w:bottom w:val="none" w:sz="0" w:space="0" w:color="auto"/>
        <w:right w:val="none" w:sz="0" w:space="0" w:color="auto"/>
      </w:divBdr>
      <w:divsChild>
        <w:div w:id="1519004979">
          <w:marLeft w:val="547"/>
          <w:marRight w:val="0"/>
          <w:marTop w:val="86"/>
          <w:marBottom w:val="0"/>
          <w:divBdr>
            <w:top w:val="none" w:sz="0" w:space="0" w:color="auto"/>
            <w:left w:val="none" w:sz="0" w:space="0" w:color="auto"/>
            <w:bottom w:val="none" w:sz="0" w:space="0" w:color="auto"/>
            <w:right w:val="none" w:sz="0" w:space="0" w:color="auto"/>
          </w:divBdr>
        </w:div>
      </w:divsChild>
    </w:div>
    <w:div w:id="399405509">
      <w:bodyDiv w:val="1"/>
      <w:marLeft w:val="0"/>
      <w:marRight w:val="0"/>
      <w:marTop w:val="0"/>
      <w:marBottom w:val="0"/>
      <w:divBdr>
        <w:top w:val="none" w:sz="0" w:space="0" w:color="auto"/>
        <w:left w:val="none" w:sz="0" w:space="0" w:color="auto"/>
        <w:bottom w:val="none" w:sz="0" w:space="0" w:color="auto"/>
        <w:right w:val="none" w:sz="0" w:space="0" w:color="auto"/>
      </w:divBdr>
    </w:div>
    <w:div w:id="435490941">
      <w:bodyDiv w:val="1"/>
      <w:marLeft w:val="0"/>
      <w:marRight w:val="0"/>
      <w:marTop w:val="0"/>
      <w:marBottom w:val="0"/>
      <w:divBdr>
        <w:top w:val="none" w:sz="0" w:space="0" w:color="auto"/>
        <w:left w:val="none" w:sz="0" w:space="0" w:color="auto"/>
        <w:bottom w:val="none" w:sz="0" w:space="0" w:color="auto"/>
        <w:right w:val="none" w:sz="0" w:space="0" w:color="auto"/>
      </w:divBdr>
    </w:div>
    <w:div w:id="472790832">
      <w:bodyDiv w:val="1"/>
      <w:marLeft w:val="0"/>
      <w:marRight w:val="0"/>
      <w:marTop w:val="0"/>
      <w:marBottom w:val="0"/>
      <w:divBdr>
        <w:top w:val="none" w:sz="0" w:space="0" w:color="auto"/>
        <w:left w:val="none" w:sz="0" w:space="0" w:color="auto"/>
        <w:bottom w:val="none" w:sz="0" w:space="0" w:color="auto"/>
        <w:right w:val="none" w:sz="0" w:space="0" w:color="auto"/>
      </w:divBdr>
    </w:div>
    <w:div w:id="766537189">
      <w:bodyDiv w:val="1"/>
      <w:marLeft w:val="0"/>
      <w:marRight w:val="0"/>
      <w:marTop w:val="0"/>
      <w:marBottom w:val="0"/>
      <w:divBdr>
        <w:top w:val="none" w:sz="0" w:space="0" w:color="auto"/>
        <w:left w:val="none" w:sz="0" w:space="0" w:color="auto"/>
        <w:bottom w:val="none" w:sz="0" w:space="0" w:color="auto"/>
        <w:right w:val="none" w:sz="0" w:space="0" w:color="auto"/>
      </w:divBdr>
    </w:div>
    <w:div w:id="846946676">
      <w:bodyDiv w:val="1"/>
      <w:marLeft w:val="0"/>
      <w:marRight w:val="0"/>
      <w:marTop w:val="0"/>
      <w:marBottom w:val="0"/>
      <w:divBdr>
        <w:top w:val="none" w:sz="0" w:space="0" w:color="auto"/>
        <w:left w:val="none" w:sz="0" w:space="0" w:color="auto"/>
        <w:bottom w:val="none" w:sz="0" w:space="0" w:color="auto"/>
        <w:right w:val="none" w:sz="0" w:space="0" w:color="auto"/>
      </w:divBdr>
    </w:div>
    <w:div w:id="939604477">
      <w:bodyDiv w:val="1"/>
      <w:marLeft w:val="0"/>
      <w:marRight w:val="0"/>
      <w:marTop w:val="0"/>
      <w:marBottom w:val="0"/>
      <w:divBdr>
        <w:top w:val="none" w:sz="0" w:space="0" w:color="auto"/>
        <w:left w:val="none" w:sz="0" w:space="0" w:color="auto"/>
        <w:bottom w:val="none" w:sz="0" w:space="0" w:color="auto"/>
        <w:right w:val="none" w:sz="0" w:space="0" w:color="auto"/>
      </w:divBdr>
    </w:div>
    <w:div w:id="1212495789">
      <w:bodyDiv w:val="1"/>
      <w:marLeft w:val="0"/>
      <w:marRight w:val="0"/>
      <w:marTop w:val="0"/>
      <w:marBottom w:val="0"/>
      <w:divBdr>
        <w:top w:val="none" w:sz="0" w:space="0" w:color="auto"/>
        <w:left w:val="none" w:sz="0" w:space="0" w:color="auto"/>
        <w:bottom w:val="none" w:sz="0" w:space="0" w:color="auto"/>
        <w:right w:val="none" w:sz="0" w:space="0" w:color="auto"/>
      </w:divBdr>
    </w:div>
    <w:div w:id="1289316705">
      <w:bodyDiv w:val="1"/>
      <w:marLeft w:val="0"/>
      <w:marRight w:val="0"/>
      <w:marTop w:val="0"/>
      <w:marBottom w:val="0"/>
      <w:divBdr>
        <w:top w:val="none" w:sz="0" w:space="0" w:color="auto"/>
        <w:left w:val="none" w:sz="0" w:space="0" w:color="auto"/>
        <w:bottom w:val="none" w:sz="0" w:space="0" w:color="auto"/>
        <w:right w:val="none" w:sz="0" w:space="0" w:color="auto"/>
      </w:divBdr>
    </w:div>
    <w:div w:id="1583291538">
      <w:bodyDiv w:val="1"/>
      <w:marLeft w:val="0"/>
      <w:marRight w:val="0"/>
      <w:marTop w:val="0"/>
      <w:marBottom w:val="0"/>
      <w:divBdr>
        <w:top w:val="none" w:sz="0" w:space="0" w:color="auto"/>
        <w:left w:val="none" w:sz="0" w:space="0" w:color="auto"/>
        <w:bottom w:val="none" w:sz="0" w:space="0" w:color="auto"/>
        <w:right w:val="none" w:sz="0" w:space="0" w:color="auto"/>
      </w:divBdr>
    </w:div>
    <w:div w:id="1593584895">
      <w:bodyDiv w:val="1"/>
      <w:marLeft w:val="0"/>
      <w:marRight w:val="0"/>
      <w:marTop w:val="0"/>
      <w:marBottom w:val="0"/>
      <w:divBdr>
        <w:top w:val="none" w:sz="0" w:space="0" w:color="auto"/>
        <w:left w:val="none" w:sz="0" w:space="0" w:color="auto"/>
        <w:bottom w:val="none" w:sz="0" w:space="0" w:color="auto"/>
        <w:right w:val="none" w:sz="0" w:space="0" w:color="auto"/>
      </w:divBdr>
      <w:divsChild>
        <w:div w:id="467288951">
          <w:marLeft w:val="806"/>
          <w:marRight w:val="0"/>
          <w:marTop w:val="106"/>
          <w:marBottom w:val="0"/>
          <w:divBdr>
            <w:top w:val="none" w:sz="0" w:space="0" w:color="auto"/>
            <w:left w:val="none" w:sz="0" w:space="0" w:color="auto"/>
            <w:bottom w:val="none" w:sz="0" w:space="0" w:color="auto"/>
            <w:right w:val="none" w:sz="0" w:space="0" w:color="auto"/>
          </w:divBdr>
        </w:div>
        <w:div w:id="477383185">
          <w:marLeft w:val="1440"/>
          <w:marRight w:val="0"/>
          <w:marTop w:val="96"/>
          <w:marBottom w:val="0"/>
          <w:divBdr>
            <w:top w:val="none" w:sz="0" w:space="0" w:color="auto"/>
            <w:left w:val="none" w:sz="0" w:space="0" w:color="auto"/>
            <w:bottom w:val="none" w:sz="0" w:space="0" w:color="auto"/>
            <w:right w:val="none" w:sz="0" w:space="0" w:color="auto"/>
          </w:divBdr>
        </w:div>
        <w:div w:id="1311445963">
          <w:marLeft w:val="806"/>
          <w:marRight w:val="0"/>
          <w:marTop w:val="106"/>
          <w:marBottom w:val="0"/>
          <w:divBdr>
            <w:top w:val="none" w:sz="0" w:space="0" w:color="auto"/>
            <w:left w:val="none" w:sz="0" w:space="0" w:color="auto"/>
            <w:bottom w:val="none" w:sz="0" w:space="0" w:color="auto"/>
            <w:right w:val="none" w:sz="0" w:space="0" w:color="auto"/>
          </w:divBdr>
        </w:div>
        <w:div w:id="1332756554">
          <w:marLeft w:val="547"/>
          <w:marRight w:val="0"/>
          <w:marTop w:val="106"/>
          <w:marBottom w:val="0"/>
          <w:divBdr>
            <w:top w:val="none" w:sz="0" w:space="0" w:color="auto"/>
            <w:left w:val="none" w:sz="0" w:space="0" w:color="auto"/>
            <w:bottom w:val="none" w:sz="0" w:space="0" w:color="auto"/>
            <w:right w:val="none" w:sz="0" w:space="0" w:color="auto"/>
          </w:divBdr>
        </w:div>
      </w:divsChild>
    </w:div>
    <w:div w:id="1603761526">
      <w:bodyDiv w:val="1"/>
      <w:marLeft w:val="0"/>
      <w:marRight w:val="0"/>
      <w:marTop w:val="0"/>
      <w:marBottom w:val="0"/>
      <w:divBdr>
        <w:top w:val="none" w:sz="0" w:space="0" w:color="auto"/>
        <w:left w:val="none" w:sz="0" w:space="0" w:color="auto"/>
        <w:bottom w:val="none" w:sz="0" w:space="0" w:color="auto"/>
        <w:right w:val="none" w:sz="0" w:space="0" w:color="auto"/>
      </w:divBdr>
    </w:div>
    <w:div w:id="1628315386">
      <w:bodyDiv w:val="1"/>
      <w:marLeft w:val="0"/>
      <w:marRight w:val="0"/>
      <w:marTop w:val="0"/>
      <w:marBottom w:val="0"/>
      <w:divBdr>
        <w:top w:val="none" w:sz="0" w:space="0" w:color="auto"/>
        <w:left w:val="none" w:sz="0" w:space="0" w:color="auto"/>
        <w:bottom w:val="none" w:sz="0" w:space="0" w:color="auto"/>
        <w:right w:val="none" w:sz="0" w:space="0" w:color="auto"/>
      </w:divBdr>
    </w:div>
    <w:div w:id="1750418257">
      <w:bodyDiv w:val="1"/>
      <w:marLeft w:val="0"/>
      <w:marRight w:val="0"/>
      <w:marTop w:val="0"/>
      <w:marBottom w:val="0"/>
      <w:divBdr>
        <w:top w:val="none" w:sz="0" w:space="0" w:color="auto"/>
        <w:left w:val="none" w:sz="0" w:space="0" w:color="auto"/>
        <w:bottom w:val="none" w:sz="0" w:space="0" w:color="auto"/>
        <w:right w:val="none" w:sz="0" w:space="0" w:color="auto"/>
      </w:divBdr>
    </w:div>
    <w:div w:id="1815482355">
      <w:bodyDiv w:val="1"/>
      <w:marLeft w:val="0"/>
      <w:marRight w:val="0"/>
      <w:marTop w:val="0"/>
      <w:marBottom w:val="0"/>
      <w:divBdr>
        <w:top w:val="none" w:sz="0" w:space="0" w:color="auto"/>
        <w:left w:val="none" w:sz="0" w:space="0" w:color="auto"/>
        <w:bottom w:val="none" w:sz="0" w:space="0" w:color="auto"/>
        <w:right w:val="none" w:sz="0" w:space="0" w:color="auto"/>
      </w:divBdr>
    </w:div>
    <w:div w:id="1823615283">
      <w:bodyDiv w:val="1"/>
      <w:marLeft w:val="0"/>
      <w:marRight w:val="0"/>
      <w:marTop w:val="0"/>
      <w:marBottom w:val="0"/>
      <w:divBdr>
        <w:top w:val="none" w:sz="0" w:space="0" w:color="auto"/>
        <w:left w:val="none" w:sz="0" w:space="0" w:color="auto"/>
        <w:bottom w:val="none" w:sz="0" w:space="0" w:color="auto"/>
        <w:right w:val="none" w:sz="0" w:space="0" w:color="auto"/>
      </w:divBdr>
    </w:div>
    <w:div w:id="1862237521">
      <w:bodyDiv w:val="1"/>
      <w:marLeft w:val="0"/>
      <w:marRight w:val="0"/>
      <w:marTop w:val="0"/>
      <w:marBottom w:val="0"/>
      <w:divBdr>
        <w:top w:val="none" w:sz="0" w:space="0" w:color="auto"/>
        <w:left w:val="none" w:sz="0" w:space="0" w:color="auto"/>
        <w:bottom w:val="none" w:sz="0" w:space="0" w:color="auto"/>
        <w:right w:val="none" w:sz="0" w:space="0" w:color="auto"/>
      </w:divBdr>
    </w:div>
    <w:div w:id="1890648456">
      <w:bodyDiv w:val="1"/>
      <w:marLeft w:val="0"/>
      <w:marRight w:val="0"/>
      <w:marTop w:val="0"/>
      <w:marBottom w:val="0"/>
      <w:divBdr>
        <w:top w:val="none" w:sz="0" w:space="0" w:color="auto"/>
        <w:left w:val="none" w:sz="0" w:space="0" w:color="auto"/>
        <w:bottom w:val="none" w:sz="0" w:space="0" w:color="auto"/>
        <w:right w:val="none" w:sz="0" w:space="0" w:color="auto"/>
      </w:divBdr>
      <w:divsChild>
        <w:div w:id="893584370">
          <w:marLeft w:val="547"/>
          <w:marRight w:val="0"/>
          <w:marTop w:val="154"/>
          <w:marBottom w:val="0"/>
          <w:divBdr>
            <w:top w:val="none" w:sz="0" w:space="0" w:color="auto"/>
            <w:left w:val="none" w:sz="0" w:space="0" w:color="auto"/>
            <w:bottom w:val="none" w:sz="0" w:space="0" w:color="auto"/>
            <w:right w:val="none" w:sz="0" w:space="0" w:color="auto"/>
          </w:divBdr>
        </w:div>
        <w:div w:id="1612516794">
          <w:marLeft w:val="547"/>
          <w:marRight w:val="0"/>
          <w:marTop w:val="154"/>
          <w:marBottom w:val="0"/>
          <w:divBdr>
            <w:top w:val="none" w:sz="0" w:space="0" w:color="auto"/>
            <w:left w:val="none" w:sz="0" w:space="0" w:color="auto"/>
            <w:bottom w:val="none" w:sz="0" w:space="0" w:color="auto"/>
            <w:right w:val="none" w:sz="0" w:space="0" w:color="auto"/>
          </w:divBdr>
        </w:div>
        <w:div w:id="1684626927">
          <w:marLeft w:val="1166"/>
          <w:marRight w:val="0"/>
          <w:marTop w:val="134"/>
          <w:marBottom w:val="0"/>
          <w:divBdr>
            <w:top w:val="none" w:sz="0" w:space="0" w:color="auto"/>
            <w:left w:val="none" w:sz="0" w:space="0" w:color="auto"/>
            <w:bottom w:val="none" w:sz="0" w:space="0" w:color="auto"/>
            <w:right w:val="none" w:sz="0" w:space="0" w:color="auto"/>
          </w:divBdr>
        </w:div>
        <w:div w:id="805437999">
          <w:marLeft w:val="1166"/>
          <w:marRight w:val="0"/>
          <w:marTop w:val="134"/>
          <w:marBottom w:val="0"/>
          <w:divBdr>
            <w:top w:val="none" w:sz="0" w:space="0" w:color="auto"/>
            <w:left w:val="none" w:sz="0" w:space="0" w:color="auto"/>
            <w:bottom w:val="none" w:sz="0" w:space="0" w:color="auto"/>
            <w:right w:val="none" w:sz="0" w:space="0" w:color="auto"/>
          </w:divBdr>
        </w:div>
        <w:div w:id="889923277">
          <w:marLeft w:val="1166"/>
          <w:marRight w:val="0"/>
          <w:marTop w:val="134"/>
          <w:marBottom w:val="0"/>
          <w:divBdr>
            <w:top w:val="none" w:sz="0" w:space="0" w:color="auto"/>
            <w:left w:val="none" w:sz="0" w:space="0" w:color="auto"/>
            <w:bottom w:val="none" w:sz="0" w:space="0" w:color="auto"/>
            <w:right w:val="none" w:sz="0" w:space="0" w:color="auto"/>
          </w:divBdr>
        </w:div>
        <w:div w:id="263196075">
          <w:marLeft w:val="547"/>
          <w:marRight w:val="0"/>
          <w:marTop w:val="154"/>
          <w:marBottom w:val="0"/>
          <w:divBdr>
            <w:top w:val="none" w:sz="0" w:space="0" w:color="auto"/>
            <w:left w:val="none" w:sz="0" w:space="0" w:color="auto"/>
            <w:bottom w:val="none" w:sz="0" w:space="0" w:color="auto"/>
            <w:right w:val="none" w:sz="0" w:space="0" w:color="auto"/>
          </w:divBdr>
        </w:div>
        <w:div w:id="67971178">
          <w:marLeft w:val="1166"/>
          <w:marRight w:val="0"/>
          <w:marTop w:val="134"/>
          <w:marBottom w:val="0"/>
          <w:divBdr>
            <w:top w:val="none" w:sz="0" w:space="0" w:color="auto"/>
            <w:left w:val="none" w:sz="0" w:space="0" w:color="auto"/>
            <w:bottom w:val="none" w:sz="0" w:space="0" w:color="auto"/>
            <w:right w:val="none" w:sz="0" w:space="0" w:color="auto"/>
          </w:divBdr>
        </w:div>
      </w:divsChild>
    </w:div>
    <w:div w:id="1921328949">
      <w:bodyDiv w:val="1"/>
      <w:marLeft w:val="0"/>
      <w:marRight w:val="0"/>
      <w:marTop w:val="0"/>
      <w:marBottom w:val="0"/>
      <w:divBdr>
        <w:top w:val="none" w:sz="0" w:space="0" w:color="auto"/>
        <w:left w:val="none" w:sz="0" w:space="0" w:color="auto"/>
        <w:bottom w:val="none" w:sz="0" w:space="0" w:color="auto"/>
        <w:right w:val="none" w:sz="0" w:space="0" w:color="auto"/>
      </w:divBdr>
    </w:div>
    <w:div w:id="1949920595">
      <w:bodyDiv w:val="1"/>
      <w:marLeft w:val="0"/>
      <w:marRight w:val="0"/>
      <w:marTop w:val="0"/>
      <w:marBottom w:val="0"/>
      <w:divBdr>
        <w:top w:val="none" w:sz="0" w:space="0" w:color="auto"/>
        <w:left w:val="none" w:sz="0" w:space="0" w:color="auto"/>
        <w:bottom w:val="none" w:sz="0" w:space="0" w:color="auto"/>
        <w:right w:val="none" w:sz="0" w:space="0" w:color="auto"/>
      </w:divBdr>
    </w:div>
    <w:div w:id="20853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63"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2959299\Documents\MATLAB\new_submission\output\test_serocases_and_notifications_by_ag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Sheet1!$G$15</c:f>
              <c:strCache>
                <c:ptCount val="1"/>
                <c:pt idx="0">
                  <c:v>Model</c:v>
                </c:pt>
              </c:strCache>
            </c:strRef>
          </c:tx>
          <c:invertIfNegative val="0"/>
          <c:cat>
            <c:strRef>
              <c:f>Sheet1!$F$16:$F$20</c:f>
              <c:strCache>
                <c:ptCount val="5"/>
                <c:pt idx="0">
                  <c:v>0 to 4</c:v>
                </c:pt>
                <c:pt idx="1">
                  <c:v>5 to 9</c:v>
                </c:pt>
                <c:pt idx="2">
                  <c:v>10 to 19</c:v>
                </c:pt>
                <c:pt idx="3">
                  <c:v>20 to 59</c:v>
                </c:pt>
                <c:pt idx="4">
                  <c:v>60+</c:v>
                </c:pt>
              </c:strCache>
            </c:strRef>
          </c:cat>
          <c:val>
            <c:numRef>
              <c:f>Sheet1!$G$16:$G$20</c:f>
              <c:numCache>
                <c:formatCode>_-* #,##0_-;\-* #,##0_-;_-* "-"??_-;_-@_-</c:formatCode>
                <c:ptCount val="5"/>
                <c:pt idx="0">
                  <c:v>221.74460506712549</c:v>
                </c:pt>
                <c:pt idx="1">
                  <c:v>225.53415466503739</c:v>
                </c:pt>
                <c:pt idx="2">
                  <c:v>504.8762479231915</c:v>
                </c:pt>
                <c:pt idx="3">
                  <c:v>5488.1479005757501</c:v>
                </c:pt>
                <c:pt idx="4">
                  <c:v>1356.219648238158</c:v>
                </c:pt>
              </c:numCache>
            </c:numRef>
          </c:val>
        </c:ser>
        <c:ser>
          <c:idx val="1"/>
          <c:order val="1"/>
          <c:tx>
            <c:strRef>
              <c:f>Sheet1!$H$15</c:f>
              <c:strCache>
                <c:ptCount val="1"/>
                <c:pt idx="0">
                  <c:v>NNDSS</c:v>
                </c:pt>
              </c:strCache>
            </c:strRef>
          </c:tx>
          <c:invertIfNegative val="0"/>
          <c:cat>
            <c:strRef>
              <c:f>Sheet1!$F$16:$F$20</c:f>
              <c:strCache>
                <c:ptCount val="5"/>
                <c:pt idx="0">
                  <c:v>0 to 4</c:v>
                </c:pt>
                <c:pt idx="1">
                  <c:v>5 to 9</c:v>
                </c:pt>
                <c:pt idx="2">
                  <c:v>10 to 19</c:v>
                </c:pt>
                <c:pt idx="3">
                  <c:v>20 to 59</c:v>
                </c:pt>
                <c:pt idx="4">
                  <c:v>60+</c:v>
                </c:pt>
              </c:strCache>
            </c:strRef>
          </c:cat>
          <c:val>
            <c:numRef>
              <c:f>Sheet1!$H$16:$H$20</c:f>
              <c:numCache>
                <c:formatCode>_-* #,##0_-;\-* #,##0_-;_-* "-"??_-;_-@_-</c:formatCode>
                <c:ptCount val="5"/>
                <c:pt idx="0">
                  <c:v>292</c:v>
                </c:pt>
                <c:pt idx="1">
                  <c:v>181</c:v>
                </c:pt>
                <c:pt idx="2">
                  <c:v>461</c:v>
                </c:pt>
                <c:pt idx="3">
                  <c:v>2619</c:v>
                </c:pt>
                <c:pt idx="4">
                  <c:v>982</c:v>
                </c:pt>
              </c:numCache>
            </c:numRef>
          </c:val>
        </c:ser>
        <c:dLbls>
          <c:showLegendKey val="0"/>
          <c:showVal val="0"/>
          <c:showCatName val="0"/>
          <c:showSerName val="0"/>
          <c:showPercent val="0"/>
          <c:showBubbleSize val="0"/>
        </c:dLbls>
        <c:gapWidth val="150"/>
        <c:axId val="171037824"/>
        <c:axId val="171039360"/>
      </c:barChart>
      <c:catAx>
        <c:axId val="171037824"/>
        <c:scaling>
          <c:orientation val="minMax"/>
        </c:scaling>
        <c:delete val="0"/>
        <c:axPos val="b"/>
        <c:numFmt formatCode="General" sourceLinked="1"/>
        <c:majorTickMark val="out"/>
        <c:minorTickMark val="none"/>
        <c:tickLblPos val="nextTo"/>
        <c:crossAx val="171039360"/>
        <c:crosses val="autoZero"/>
        <c:auto val="1"/>
        <c:lblAlgn val="ctr"/>
        <c:lblOffset val="100"/>
        <c:noMultiLvlLbl val="0"/>
      </c:catAx>
      <c:valAx>
        <c:axId val="171039360"/>
        <c:scaling>
          <c:orientation val="minMax"/>
        </c:scaling>
        <c:delete val="0"/>
        <c:axPos val="l"/>
        <c:majorGridlines/>
        <c:numFmt formatCode="_-* #,##0_-;\-* #,##0_-;_-* &quot;-&quot;??_-;_-@_-" sourceLinked="1"/>
        <c:majorTickMark val="out"/>
        <c:minorTickMark val="none"/>
        <c:tickLblPos val="nextTo"/>
        <c:crossAx val="17103782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56D2-D55A-42CB-9BBC-F1976B47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7210</Words>
  <Characters>41668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2015-02-26T00:41:00Z</dcterms:created>
  <dcterms:modified xsi:type="dcterms:W3CDTF">2015-03-03T03:32:00Z</dcterms:modified>
</cp:coreProperties>
</file>