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68C" w:rsidRPr="00003FBA" w:rsidRDefault="0007776B" w:rsidP="0007776B">
      <w:pPr>
        <w:spacing w:after="0"/>
        <w:rPr>
          <w:rFonts w:ascii="Arial" w:hAnsi="Arial" w:cs="Arial"/>
          <w:b/>
          <w:sz w:val="28"/>
          <w:szCs w:val="32"/>
        </w:rPr>
      </w:pPr>
      <w:r>
        <w:rPr>
          <w:rFonts w:ascii="Arial" w:hAnsi="Arial" w:cs="Arial"/>
          <w:b/>
          <w:sz w:val="28"/>
          <w:szCs w:val="32"/>
        </w:rPr>
        <w:t>3.1</w:t>
      </w:r>
      <w:r>
        <w:rPr>
          <w:rFonts w:ascii="Arial" w:hAnsi="Arial" w:cs="Arial"/>
          <w:b/>
          <w:sz w:val="28"/>
          <w:szCs w:val="32"/>
        </w:rPr>
        <w:tab/>
      </w:r>
      <w:r w:rsidR="00FC268C" w:rsidRPr="00003FBA">
        <w:rPr>
          <w:rFonts w:ascii="Arial" w:hAnsi="Arial" w:cs="Arial"/>
          <w:b/>
          <w:sz w:val="28"/>
          <w:szCs w:val="32"/>
        </w:rPr>
        <w:t>IRON CHELATING AGENTS</w:t>
      </w:r>
    </w:p>
    <w:p w:rsidR="00255E05" w:rsidRDefault="00255E05" w:rsidP="00EA335C">
      <w:pPr>
        <w:spacing w:after="0"/>
        <w:jc w:val="both"/>
        <w:rPr>
          <w:rFonts w:ascii="Arial" w:hAnsi="Arial" w:cs="Arial"/>
          <w:b/>
          <w:sz w:val="28"/>
          <w:szCs w:val="32"/>
        </w:rPr>
      </w:pPr>
    </w:p>
    <w:p w:rsidR="00255E05" w:rsidRDefault="00257B11" w:rsidP="00EA335C">
      <w:pPr>
        <w:spacing w:after="0"/>
        <w:jc w:val="both"/>
        <w:rPr>
          <w:rFonts w:ascii="Arial" w:hAnsi="Arial" w:cs="Arial"/>
          <w:b/>
          <w:sz w:val="28"/>
          <w:szCs w:val="32"/>
        </w:rPr>
      </w:pPr>
      <w:r w:rsidRPr="00003FBA">
        <w:rPr>
          <w:rFonts w:ascii="Arial" w:hAnsi="Arial" w:cs="Arial"/>
          <w:b/>
          <w:sz w:val="28"/>
          <w:szCs w:val="32"/>
        </w:rPr>
        <w:t xml:space="preserve">DEFERASIROX, tablets, 125 mg, 250 mg, 500 mg, </w:t>
      </w:r>
    </w:p>
    <w:p w:rsidR="00255E05" w:rsidRDefault="00257B11" w:rsidP="00EA335C">
      <w:pPr>
        <w:spacing w:after="0"/>
        <w:jc w:val="both"/>
        <w:rPr>
          <w:rFonts w:ascii="Arial" w:hAnsi="Arial" w:cs="Arial"/>
          <w:b/>
          <w:sz w:val="28"/>
          <w:szCs w:val="32"/>
        </w:rPr>
      </w:pPr>
      <w:r w:rsidRPr="00003FBA">
        <w:rPr>
          <w:rFonts w:ascii="Arial" w:hAnsi="Arial" w:cs="Arial"/>
          <w:b/>
          <w:sz w:val="28"/>
          <w:szCs w:val="32"/>
        </w:rPr>
        <w:t>Exjade</w:t>
      </w:r>
      <w:r w:rsidRPr="00003FBA">
        <w:rPr>
          <w:rFonts w:ascii="Arial" w:hAnsi="Arial" w:cs="Arial"/>
          <w:b/>
          <w:sz w:val="28"/>
          <w:szCs w:val="32"/>
          <w:vertAlign w:val="superscript"/>
        </w:rPr>
        <w:t>®</w:t>
      </w:r>
      <w:r w:rsidRPr="00003FBA">
        <w:rPr>
          <w:rFonts w:ascii="Arial" w:hAnsi="Arial" w:cs="Arial"/>
          <w:b/>
          <w:sz w:val="28"/>
          <w:szCs w:val="32"/>
        </w:rPr>
        <w:t>, Novartis Pharmaceuticals Australia Pty Ltd</w:t>
      </w:r>
      <w:r w:rsidR="00EA335C">
        <w:rPr>
          <w:rFonts w:ascii="Arial" w:hAnsi="Arial" w:cs="Arial"/>
          <w:b/>
          <w:sz w:val="28"/>
          <w:szCs w:val="32"/>
        </w:rPr>
        <w:t xml:space="preserve">, </w:t>
      </w:r>
    </w:p>
    <w:p w:rsidR="00255E05" w:rsidRDefault="00255E05" w:rsidP="00EA335C">
      <w:pPr>
        <w:spacing w:after="0"/>
        <w:jc w:val="both"/>
        <w:rPr>
          <w:rFonts w:ascii="Arial" w:hAnsi="Arial" w:cs="Arial"/>
          <w:b/>
          <w:sz w:val="28"/>
          <w:szCs w:val="32"/>
        </w:rPr>
      </w:pPr>
    </w:p>
    <w:p w:rsidR="00255E05" w:rsidRDefault="00257B11" w:rsidP="00EA335C">
      <w:pPr>
        <w:spacing w:after="0"/>
        <w:jc w:val="both"/>
        <w:rPr>
          <w:rFonts w:ascii="Arial" w:hAnsi="Arial" w:cs="Arial"/>
          <w:b/>
          <w:sz w:val="28"/>
          <w:szCs w:val="32"/>
        </w:rPr>
      </w:pPr>
      <w:r w:rsidRPr="00003FBA">
        <w:rPr>
          <w:rFonts w:ascii="Arial" w:hAnsi="Arial" w:cs="Arial"/>
          <w:b/>
          <w:sz w:val="28"/>
          <w:szCs w:val="32"/>
        </w:rPr>
        <w:t>DEFERIPRON</w:t>
      </w:r>
      <w:r w:rsidR="00284C1F">
        <w:rPr>
          <w:rFonts w:ascii="Arial" w:hAnsi="Arial" w:cs="Arial"/>
          <w:b/>
          <w:sz w:val="28"/>
          <w:szCs w:val="32"/>
        </w:rPr>
        <w:t xml:space="preserve">E, oral liquid, 100 mg/mL, 250 </w:t>
      </w:r>
      <w:r w:rsidRPr="00003FBA">
        <w:rPr>
          <w:rFonts w:ascii="Arial" w:hAnsi="Arial" w:cs="Arial"/>
          <w:b/>
          <w:sz w:val="28"/>
          <w:szCs w:val="32"/>
        </w:rPr>
        <w:t>mL, tablet, 500 mg, Ferriprox</w:t>
      </w:r>
      <w:r w:rsidRPr="00003FBA">
        <w:rPr>
          <w:rFonts w:ascii="Arial" w:hAnsi="Arial" w:cs="Arial"/>
          <w:b/>
          <w:sz w:val="28"/>
          <w:szCs w:val="32"/>
          <w:vertAlign w:val="superscript"/>
        </w:rPr>
        <w:t>®</w:t>
      </w:r>
      <w:r w:rsidRPr="00003FBA">
        <w:rPr>
          <w:rFonts w:ascii="Arial" w:hAnsi="Arial" w:cs="Arial"/>
          <w:b/>
          <w:sz w:val="28"/>
          <w:szCs w:val="32"/>
        </w:rPr>
        <w:t xml:space="preserve">, </w:t>
      </w:r>
      <w:r w:rsidR="00A32CEF" w:rsidRPr="00003FBA">
        <w:rPr>
          <w:rFonts w:ascii="Arial" w:hAnsi="Arial" w:cs="Arial"/>
          <w:b/>
          <w:sz w:val="28"/>
          <w:szCs w:val="32"/>
        </w:rPr>
        <w:t>Orphan</w:t>
      </w:r>
      <w:r w:rsidRPr="00003FBA">
        <w:rPr>
          <w:rFonts w:ascii="Arial" w:hAnsi="Arial" w:cs="Arial"/>
          <w:b/>
          <w:sz w:val="28"/>
          <w:szCs w:val="32"/>
        </w:rPr>
        <w:t xml:space="preserve"> </w:t>
      </w:r>
      <w:r w:rsidR="00A32CEF" w:rsidRPr="00003FBA">
        <w:rPr>
          <w:rFonts w:ascii="Arial" w:hAnsi="Arial" w:cs="Arial"/>
          <w:b/>
          <w:sz w:val="28"/>
          <w:szCs w:val="32"/>
        </w:rPr>
        <w:t>Australia</w:t>
      </w:r>
      <w:r w:rsidRPr="00003FBA">
        <w:rPr>
          <w:rFonts w:ascii="Arial" w:hAnsi="Arial" w:cs="Arial"/>
          <w:b/>
          <w:sz w:val="28"/>
          <w:szCs w:val="32"/>
        </w:rPr>
        <w:t xml:space="preserve"> Pty Ltd</w:t>
      </w:r>
      <w:r w:rsidR="00EA335C">
        <w:rPr>
          <w:rFonts w:ascii="Arial" w:hAnsi="Arial" w:cs="Arial"/>
          <w:b/>
          <w:sz w:val="28"/>
          <w:szCs w:val="32"/>
        </w:rPr>
        <w:t xml:space="preserve">, </w:t>
      </w:r>
    </w:p>
    <w:p w:rsidR="00255E05" w:rsidRDefault="00255E05" w:rsidP="00EA335C">
      <w:pPr>
        <w:spacing w:after="0"/>
        <w:jc w:val="both"/>
        <w:rPr>
          <w:rFonts w:ascii="Arial" w:hAnsi="Arial" w:cs="Arial"/>
          <w:b/>
          <w:sz w:val="28"/>
          <w:szCs w:val="32"/>
        </w:rPr>
      </w:pPr>
    </w:p>
    <w:p w:rsidR="00257B11" w:rsidRPr="00003FBA" w:rsidRDefault="00257B11" w:rsidP="00EA335C">
      <w:pPr>
        <w:spacing w:after="0"/>
        <w:jc w:val="both"/>
        <w:rPr>
          <w:rFonts w:ascii="Arial" w:hAnsi="Arial" w:cs="Arial"/>
          <w:b/>
          <w:sz w:val="28"/>
          <w:szCs w:val="32"/>
        </w:rPr>
      </w:pPr>
      <w:r w:rsidRPr="00003FBA">
        <w:rPr>
          <w:rFonts w:ascii="Arial" w:hAnsi="Arial" w:cs="Arial"/>
          <w:b/>
          <w:sz w:val="28"/>
          <w:szCs w:val="32"/>
        </w:rPr>
        <w:t>DESFERRIOXAMINE, injections, 2 g vial and 500 mg vials, Desferal</w:t>
      </w:r>
      <w:r w:rsidRPr="00003FBA">
        <w:rPr>
          <w:rFonts w:ascii="Arial" w:hAnsi="Arial" w:cs="Arial"/>
          <w:b/>
          <w:sz w:val="28"/>
          <w:szCs w:val="32"/>
          <w:vertAlign w:val="superscript"/>
        </w:rPr>
        <w:t>®</w:t>
      </w:r>
      <w:r w:rsidRPr="00003FBA">
        <w:rPr>
          <w:rFonts w:ascii="Arial" w:hAnsi="Arial" w:cs="Arial"/>
          <w:b/>
          <w:sz w:val="28"/>
          <w:szCs w:val="32"/>
        </w:rPr>
        <w:t xml:space="preserve">, Novartis Pharmaceuticals, Hospira brand product, Hospira Pty Ltd </w:t>
      </w:r>
    </w:p>
    <w:p w:rsidR="009D54A8" w:rsidRDefault="009D54A8" w:rsidP="009D54A8">
      <w:pPr>
        <w:spacing w:after="0"/>
        <w:rPr>
          <w:rFonts w:ascii="Arial" w:hAnsi="Arial" w:cs="Arial"/>
          <w:szCs w:val="24"/>
        </w:rPr>
      </w:pPr>
    </w:p>
    <w:p w:rsidR="00255E05" w:rsidRDefault="00255E05" w:rsidP="009D54A8">
      <w:pPr>
        <w:spacing w:after="0"/>
        <w:rPr>
          <w:rFonts w:ascii="Arial" w:hAnsi="Arial" w:cs="Arial"/>
          <w:szCs w:val="24"/>
        </w:rPr>
      </w:pPr>
    </w:p>
    <w:p w:rsidR="00CC561D" w:rsidRDefault="00CC561D" w:rsidP="00CC561D">
      <w:pPr>
        <w:pStyle w:val="ListParagraph"/>
        <w:numPr>
          <w:ilvl w:val="0"/>
          <w:numId w:val="9"/>
        </w:numPr>
        <w:spacing w:after="0" w:line="240" w:lineRule="auto"/>
        <w:jc w:val="both"/>
        <w:rPr>
          <w:rFonts w:ascii="Arial" w:hAnsi="Arial"/>
          <w:b/>
          <w:sz w:val="22"/>
        </w:rPr>
      </w:pPr>
      <w:r w:rsidRPr="00407F2D">
        <w:rPr>
          <w:rFonts w:ascii="Arial" w:hAnsi="Arial"/>
          <w:b/>
          <w:sz w:val="22"/>
        </w:rPr>
        <w:t>Purpose of Application</w:t>
      </w:r>
    </w:p>
    <w:p w:rsidR="00CC561D" w:rsidRDefault="00CC561D" w:rsidP="00CC561D">
      <w:pPr>
        <w:spacing w:after="0" w:line="240" w:lineRule="auto"/>
        <w:jc w:val="both"/>
        <w:rPr>
          <w:rFonts w:ascii="Arial" w:hAnsi="Arial"/>
          <w:b/>
          <w:sz w:val="22"/>
        </w:rPr>
      </w:pPr>
    </w:p>
    <w:p w:rsidR="001A5A71" w:rsidRPr="00CC561D" w:rsidRDefault="001A5A71" w:rsidP="00A3615C">
      <w:pPr>
        <w:pStyle w:val="ListParagraph"/>
        <w:numPr>
          <w:ilvl w:val="1"/>
          <w:numId w:val="9"/>
        </w:numPr>
        <w:spacing w:after="0" w:line="240" w:lineRule="auto"/>
        <w:jc w:val="both"/>
        <w:rPr>
          <w:rFonts w:ascii="Arial" w:hAnsi="Arial"/>
          <w:sz w:val="22"/>
        </w:rPr>
      </w:pPr>
      <w:r w:rsidRPr="00CC561D">
        <w:rPr>
          <w:rFonts w:ascii="Arial" w:hAnsi="Arial" w:cs="Arial"/>
          <w:sz w:val="22"/>
        </w:rPr>
        <w:t xml:space="preserve">To consider if further review of </w:t>
      </w:r>
      <w:r w:rsidR="00F3210B" w:rsidRPr="00CC561D">
        <w:rPr>
          <w:rFonts w:ascii="Arial" w:hAnsi="Arial" w:cs="Arial"/>
          <w:sz w:val="22"/>
        </w:rPr>
        <w:t xml:space="preserve">the </w:t>
      </w:r>
      <w:r w:rsidRPr="00CC561D">
        <w:rPr>
          <w:rFonts w:ascii="Arial" w:hAnsi="Arial" w:cs="Arial"/>
          <w:sz w:val="22"/>
        </w:rPr>
        <w:t>iron chelating agents is required.</w:t>
      </w:r>
    </w:p>
    <w:p w:rsidR="001A5A71" w:rsidRPr="002F46BF" w:rsidRDefault="001A5A71" w:rsidP="00A3615C">
      <w:pPr>
        <w:spacing w:after="0"/>
        <w:jc w:val="both"/>
        <w:rPr>
          <w:rFonts w:ascii="Arial" w:hAnsi="Arial" w:cs="Arial"/>
          <w:sz w:val="22"/>
        </w:rPr>
      </w:pPr>
    </w:p>
    <w:p w:rsidR="001A5A71" w:rsidRPr="002F46BF" w:rsidRDefault="001A5A71" w:rsidP="00CC561D">
      <w:pPr>
        <w:pStyle w:val="ListParagraph"/>
        <w:numPr>
          <w:ilvl w:val="1"/>
          <w:numId w:val="9"/>
        </w:numPr>
        <w:spacing w:after="0" w:line="240" w:lineRule="auto"/>
        <w:jc w:val="both"/>
        <w:rPr>
          <w:rFonts w:ascii="Arial" w:hAnsi="Arial" w:cs="Arial"/>
          <w:sz w:val="22"/>
        </w:rPr>
      </w:pPr>
      <w:r w:rsidRPr="002F46BF">
        <w:rPr>
          <w:rFonts w:ascii="Arial" w:hAnsi="Arial" w:cs="Arial"/>
          <w:sz w:val="22"/>
        </w:rPr>
        <w:t xml:space="preserve">Following the update given to the PBAC at its March 2014 meeting on the results of the DUSC analysis on iron chelating agents in February 2014, </w:t>
      </w:r>
      <w:r w:rsidR="002602EB" w:rsidRPr="002F46BF">
        <w:rPr>
          <w:rFonts w:ascii="Arial" w:hAnsi="Arial" w:cs="Arial"/>
          <w:sz w:val="22"/>
        </w:rPr>
        <w:t>the PBAC requested further information to inform this decision.</w:t>
      </w:r>
    </w:p>
    <w:p w:rsidR="00344BE9" w:rsidRDefault="00344BE9" w:rsidP="00A3615C">
      <w:pPr>
        <w:spacing w:after="0"/>
        <w:jc w:val="both"/>
        <w:rPr>
          <w:rFonts w:ascii="Arial" w:hAnsi="Arial" w:cs="Arial"/>
          <w:sz w:val="22"/>
        </w:rPr>
      </w:pPr>
    </w:p>
    <w:p w:rsidR="00255E05" w:rsidRPr="002F46BF" w:rsidRDefault="00255E05" w:rsidP="00A3615C">
      <w:pPr>
        <w:spacing w:after="0"/>
        <w:jc w:val="both"/>
        <w:rPr>
          <w:rFonts w:ascii="Arial" w:hAnsi="Arial" w:cs="Arial"/>
          <w:sz w:val="22"/>
        </w:rPr>
      </w:pPr>
    </w:p>
    <w:p w:rsidR="004E2790" w:rsidRPr="002F46BF" w:rsidRDefault="00943490" w:rsidP="00CC561D">
      <w:pPr>
        <w:pStyle w:val="ListParagraph"/>
        <w:numPr>
          <w:ilvl w:val="0"/>
          <w:numId w:val="9"/>
        </w:numPr>
        <w:spacing w:after="0" w:line="240" w:lineRule="auto"/>
        <w:jc w:val="both"/>
        <w:rPr>
          <w:rFonts w:ascii="Arial" w:hAnsi="Arial" w:cs="Arial"/>
          <w:b/>
          <w:sz w:val="22"/>
        </w:rPr>
      </w:pPr>
      <w:r w:rsidRPr="002F46BF">
        <w:rPr>
          <w:rFonts w:ascii="Arial" w:hAnsi="Arial" w:cs="Arial"/>
          <w:b/>
          <w:sz w:val="22"/>
        </w:rPr>
        <w:t>Background</w:t>
      </w:r>
    </w:p>
    <w:p w:rsidR="0093226A" w:rsidRDefault="0093226A" w:rsidP="00A3615C">
      <w:pPr>
        <w:spacing w:after="0"/>
        <w:jc w:val="both"/>
        <w:rPr>
          <w:rFonts w:ascii="Arial" w:hAnsi="Arial" w:cs="Arial"/>
          <w:sz w:val="22"/>
        </w:rPr>
      </w:pPr>
    </w:p>
    <w:p w:rsidR="004E2790" w:rsidRPr="002F46BF" w:rsidRDefault="009E40FE" w:rsidP="00CC561D">
      <w:pPr>
        <w:pStyle w:val="ListParagraph"/>
        <w:numPr>
          <w:ilvl w:val="1"/>
          <w:numId w:val="9"/>
        </w:numPr>
        <w:spacing w:after="0" w:line="240" w:lineRule="auto"/>
        <w:jc w:val="both"/>
        <w:rPr>
          <w:rFonts w:ascii="Arial" w:hAnsi="Arial" w:cs="Arial"/>
          <w:sz w:val="22"/>
        </w:rPr>
      </w:pPr>
      <w:r w:rsidRPr="002F46BF">
        <w:rPr>
          <w:rFonts w:ascii="Arial" w:hAnsi="Arial" w:cs="Arial"/>
          <w:sz w:val="22"/>
        </w:rPr>
        <w:t>At its March 2014 meeting the PBAC was provided with a verbal update of the results of the utilisation analysis on iron chelating agents undertaken by the DUSC at its February 2014 meeting.</w:t>
      </w:r>
    </w:p>
    <w:p w:rsidR="00721286" w:rsidRPr="002F46BF" w:rsidRDefault="00721286" w:rsidP="00A3615C">
      <w:pPr>
        <w:spacing w:after="0"/>
        <w:jc w:val="both"/>
        <w:rPr>
          <w:rFonts w:ascii="Arial" w:hAnsi="Arial" w:cs="Arial"/>
          <w:sz w:val="22"/>
        </w:rPr>
      </w:pPr>
    </w:p>
    <w:p w:rsidR="00721286" w:rsidRPr="002F46BF" w:rsidRDefault="00721286" w:rsidP="00CC561D">
      <w:pPr>
        <w:pStyle w:val="ListParagraph"/>
        <w:numPr>
          <w:ilvl w:val="1"/>
          <w:numId w:val="9"/>
        </w:numPr>
        <w:spacing w:after="0" w:line="240" w:lineRule="auto"/>
        <w:jc w:val="both"/>
        <w:rPr>
          <w:rFonts w:ascii="Arial" w:hAnsi="Arial" w:cs="Arial"/>
          <w:sz w:val="22"/>
        </w:rPr>
      </w:pPr>
      <w:r w:rsidRPr="002F46BF">
        <w:rPr>
          <w:rFonts w:ascii="Arial" w:hAnsi="Arial" w:cs="Arial"/>
          <w:sz w:val="22"/>
        </w:rPr>
        <w:t>Key findings of the analysis included:</w:t>
      </w:r>
    </w:p>
    <w:p w:rsidR="00721286" w:rsidRPr="002F46BF" w:rsidRDefault="00721286" w:rsidP="00A3615C">
      <w:pPr>
        <w:pStyle w:val="ListParagraph"/>
        <w:numPr>
          <w:ilvl w:val="0"/>
          <w:numId w:val="1"/>
        </w:numPr>
        <w:spacing w:after="0"/>
        <w:jc w:val="both"/>
        <w:rPr>
          <w:rFonts w:ascii="Arial" w:hAnsi="Arial" w:cs="Arial"/>
          <w:sz w:val="22"/>
        </w:rPr>
      </w:pPr>
      <w:r w:rsidRPr="002F46BF">
        <w:rPr>
          <w:rFonts w:ascii="Arial" w:hAnsi="Arial" w:cs="Arial"/>
          <w:sz w:val="22"/>
        </w:rPr>
        <w:t xml:space="preserve">Use of desferrioxamine and deferiprone is declining, while use of deferasirox, particularly the 500mg strength, is increasing. </w:t>
      </w:r>
    </w:p>
    <w:p w:rsidR="00721286" w:rsidRPr="002F46BF" w:rsidRDefault="00F3210B" w:rsidP="00A3615C">
      <w:pPr>
        <w:pStyle w:val="ListParagraph"/>
        <w:numPr>
          <w:ilvl w:val="0"/>
          <w:numId w:val="1"/>
        </w:numPr>
        <w:spacing w:after="0"/>
        <w:jc w:val="both"/>
        <w:rPr>
          <w:rFonts w:ascii="Arial" w:hAnsi="Arial" w:cs="Arial"/>
          <w:sz w:val="22"/>
        </w:rPr>
      </w:pPr>
      <w:r w:rsidRPr="002F46BF">
        <w:rPr>
          <w:rFonts w:ascii="Arial" w:hAnsi="Arial" w:cs="Arial"/>
          <w:sz w:val="22"/>
        </w:rPr>
        <w:t xml:space="preserve">The </w:t>
      </w:r>
      <w:r w:rsidR="00721286" w:rsidRPr="002F46BF">
        <w:rPr>
          <w:rFonts w:ascii="Arial" w:hAnsi="Arial" w:cs="Arial"/>
          <w:sz w:val="22"/>
        </w:rPr>
        <w:t>DUSC considered that utilisation of deferasirox for myelodysplastic syndrome</w:t>
      </w:r>
      <w:r w:rsidR="00621854">
        <w:rPr>
          <w:rFonts w:ascii="Arial" w:hAnsi="Arial" w:cs="Arial"/>
          <w:sz w:val="22"/>
        </w:rPr>
        <w:t>s</w:t>
      </w:r>
      <w:r w:rsidR="00721286" w:rsidRPr="002F46BF">
        <w:rPr>
          <w:rFonts w:ascii="Arial" w:hAnsi="Arial" w:cs="Arial"/>
          <w:sz w:val="22"/>
        </w:rPr>
        <w:t xml:space="preserve"> (MDS) may be higher than expected at the time of PBS listing. Most of the patients on deferasirox treatment are over 55 years of age indicating use for MDS rather than thalassaemia due to the high level of childhood mortality from thalassaemia prior to the 1960s.</w:t>
      </w:r>
    </w:p>
    <w:p w:rsidR="009E40FE" w:rsidRPr="002F46BF" w:rsidRDefault="009E40FE" w:rsidP="00A3615C">
      <w:pPr>
        <w:spacing w:after="0"/>
        <w:jc w:val="both"/>
        <w:rPr>
          <w:rFonts w:ascii="Arial" w:hAnsi="Arial" w:cs="Arial"/>
          <w:sz w:val="22"/>
        </w:rPr>
      </w:pPr>
    </w:p>
    <w:p w:rsidR="00D619D6" w:rsidRPr="002F46BF" w:rsidRDefault="00D619D6" w:rsidP="00CC561D">
      <w:pPr>
        <w:pStyle w:val="ListParagraph"/>
        <w:numPr>
          <w:ilvl w:val="1"/>
          <w:numId w:val="9"/>
        </w:numPr>
        <w:spacing w:after="0" w:line="240" w:lineRule="auto"/>
        <w:jc w:val="both"/>
        <w:rPr>
          <w:rFonts w:ascii="Arial" w:hAnsi="Arial" w:cs="Arial"/>
          <w:sz w:val="22"/>
        </w:rPr>
      </w:pPr>
      <w:r w:rsidRPr="002F46BF">
        <w:rPr>
          <w:rFonts w:ascii="Arial" w:hAnsi="Arial" w:cs="Arial"/>
          <w:sz w:val="22"/>
        </w:rPr>
        <w:t>The PBAC requested that the clinical and economic basis for the PBAC recommendation to list deferasirox be provided to the committee along with the full DUSC analysis to allow the committee to recommend if further review is required.</w:t>
      </w:r>
    </w:p>
    <w:p w:rsidR="00344BE9" w:rsidRDefault="00344BE9" w:rsidP="00A3615C">
      <w:pPr>
        <w:spacing w:after="0"/>
        <w:jc w:val="both"/>
        <w:rPr>
          <w:rFonts w:ascii="Arial" w:hAnsi="Arial" w:cs="Arial"/>
          <w:sz w:val="22"/>
        </w:rPr>
      </w:pPr>
    </w:p>
    <w:p w:rsidR="0020160D" w:rsidRDefault="00280E00" w:rsidP="00CC561D">
      <w:pPr>
        <w:pStyle w:val="ListParagraph"/>
        <w:numPr>
          <w:ilvl w:val="1"/>
          <w:numId w:val="9"/>
        </w:numPr>
        <w:spacing w:after="0" w:line="240" w:lineRule="auto"/>
        <w:jc w:val="both"/>
        <w:rPr>
          <w:rFonts w:ascii="Arial" w:hAnsi="Arial" w:cs="Arial"/>
          <w:sz w:val="22"/>
        </w:rPr>
      </w:pPr>
      <w:r>
        <w:rPr>
          <w:rFonts w:ascii="Arial" w:hAnsi="Arial" w:cs="Arial"/>
          <w:sz w:val="22"/>
        </w:rPr>
        <w:t xml:space="preserve">A copy of the Public Release Document for iron chelating agents from the February 2014 DUSC meeting is available at </w:t>
      </w:r>
      <w:r w:rsidR="0020160D" w:rsidRPr="00255E05">
        <w:rPr>
          <w:rFonts w:ascii="Arial" w:hAnsi="Arial" w:cs="Arial"/>
          <w:sz w:val="22"/>
        </w:rPr>
        <w:lastRenderedPageBreak/>
        <w:t>http://www.pbs.gov.au/info/industry/listing/participants/public-release-docs/iron-chelating-agents-2014</w:t>
      </w:r>
      <w:r w:rsidR="0020160D">
        <w:rPr>
          <w:rFonts w:ascii="Arial" w:hAnsi="Arial" w:cs="Arial"/>
          <w:sz w:val="22"/>
        </w:rPr>
        <w:t>.</w:t>
      </w:r>
    </w:p>
    <w:p w:rsidR="0020160D" w:rsidRDefault="0020160D" w:rsidP="00A3615C">
      <w:pPr>
        <w:spacing w:after="0"/>
        <w:jc w:val="both"/>
        <w:rPr>
          <w:rFonts w:ascii="Arial" w:hAnsi="Arial" w:cs="Arial"/>
          <w:sz w:val="22"/>
        </w:rPr>
      </w:pPr>
    </w:p>
    <w:p w:rsidR="004F5BE0" w:rsidRPr="002F46BF" w:rsidRDefault="003C42C0" w:rsidP="00CC561D">
      <w:pPr>
        <w:pStyle w:val="ListParagraph"/>
        <w:numPr>
          <w:ilvl w:val="1"/>
          <w:numId w:val="9"/>
        </w:numPr>
        <w:spacing w:after="0" w:line="240" w:lineRule="auto"/>
        <w:jc w:val="both"/>
        <w:rPr>
          <w:rFonts w:ascii="Arial" w:hAnsi="Arial" w:cs="Arial"/>
          <w:sz w:val="22"/>
        </w:rPr>
      </w:pPr>
      <w:r>
        <w:rPr>
          <w:rFonts w:ascii="Arial" w:hAnsi="Arial" w:cs="Arial"/>
          <w:sz w:val="22"/>
        </w:rPr>
        <w:t>At its July 2006 meeting, t</w:t>
      </w:r>
      <w:r w:rsidR="004F5BE0" w:rsidRPr="002F46BF">
        <w:rPr>
          <w:rFonts w:ascii="Arial" w:hAnsi="Arial" w:cs="Arial"/>
          <w:sz w:val="22"/>
        </w:rPr>
        <w:t xml:space="preserve">he PBAC recommended the listing of deferasirox on a cost effectiveness basis versus the comparator, desferrioxamine. </w:t>
      </w:r>
      <w:r w:rsidR="00863BA0" w:rsidRPr="002F46BF">
        <w:rPr>
          <w:rFonts w:ascii="Arial" w:hAnsi="Arial" w:cs="Arial"/>
          <w:sz w:val="22"/>
        </w:rPr>
        <w:t xml:space="preserve"> </w:t>
      </w:r>
      <w:r w:rsidR="004F5BE0" w:rsidRPr="002F46BF">
        <w:rPr>
          <w:rFonts w:ascii="Arial" w:hAnsi="Arial" w:cs="Arial"/>
          <w:sz w:val="22"/>
        </w:rPr>
        <w:t>The PBAC noted that the incremental cost-effectiveness ra</w:t>
      </w:r>
      <w:r w:rsidR="00F35E16" w:rsidRPr="002F46BF">
        <w:rPr>
          <w:rFonts w:ascii="Arial" w:hAnsi="Arial" w:cs="Arial"/>
          <w:sz w:val="22"/>
        </w:rPr>
        <w:t>tio was somewhat uncertain and wa</w:t>
      </w:r>
      <w:r w:rsidR="004F5BE0" w:rsidRPr="002F46BF">
        <w:rPr>
          <w:rFonts w:ascii="Arial" w:hAnsi="Arial" w:cs="Arial"/>
          <w:sz w:val="22"/>
        </w:rPr>
        <w:t>s likely to be high.</w:t>
      </w:r>
      <w:r w:rsidR="00863BA0" w:rsidRPr="002F46BF">
        <w:rPr>
          <w:rFonts w:ascii="Arial" w:hAnsi="Arial" w:cs="Arial"/>
          <w:sz w:val="22"/>
        </w:rPr>
        <w:t xml:space="preserve"> </w:t>
      </w:r>
      <w:r w:rsidR="004F5BE0" w:rsidRPr="002F46BF">
        <w:rPr>
          <w:rFonts w:ascii="Arial" w:hAnsi="Arial" w:cs="Arial"/>
          <w:sz w:val="22"/>
        </w:rPr>
        <w:t xml:space="preserve"> It was noted that the average age at baseline of the modelled cohort and the extent of the utility gain were </w:t>
      </w:r>
      <w:r w:rsidR="006F22BD" w:rsidRPr="002F46BF">
        <w:rPr>
          <w:rFonts w:ascii="Arial" w:hAnsi="Arial" w:cs="Arial"/>
          <w:sz w:val="22"/>
        </w:rPr>
        <w:t xml:space="preserve">the </w:t>
      </w:r>
      <w:r w:rsidR="004F5BE0" w:rsidRPr="002F46BF">
        <w:rPr>
          <w:rFonts w:ascii="Arial" w:hAnsi="Arial" w:cs="Arial"/>
          <w:sz w:val="22"/>
        </w:rPr>
        <w:t xml:space="preserve">two </w:t>
      </w:r>
      <w:r w:rsidR="006F22BD" w:rsidRPr="002F46BF">
        <w:rPr>
          <w:rFonts w:ascii="Arial" w:hAnsi="Arial" w:cs="Arial"/>
          <w:sz w:val="22"/>
        </w:rPr>
        <w:t xml:space="preserve">critical </w:t>
      </w:r>
      <w:r w:rsidR="004F5BE0" w:rsidRPr="002F46BF">
        <w:rPr>
          <w:rFonts w:ascii="Arial" w:hAnsi="Arial" w:cs="Arial"/>
          <w:sz w:val="22"/>
        </w:rPr>
        <w:t xml:space="preserve">areas of uncertainty in the modelled economic evaluation of deferasirox. </w:t>
      </w:r>
      <w:r w:rsidR="00863BA0" w:rsidRPr="002F46BF">
        <w:rPr>
          <w:rFonts w:ascii="Arial" w:hAnsi="Arial" w:cs="Arial"/>
          <w:sz w:val="22"/>
        </w:rPr>
        <w:t xml:space="preserve"> </w:t>
      </w:r>
      <w:r w:rsidR="004F5BE0" w:rsidRPr="002F46BF">
        <w:rPr>
          <w:rFonts w:ascii="Arial" w:hAnsi="Arial" w:cs="Arial"/>
          <w:sz w:val="22"/>
        </w:rPr>
        <w:t xml:space="preserve">The base case, with an average starting age of 5 years, had in incremental cost-effectiveness ratio (ICER) of $36,420 per quality adjusted life year (QALY). </w:t>
      </w:r>
      <w:r w:rsidR="00863BA0" w:rsidRPr="002F46BF">
        <w:rPr>
          <w:rFonts w:ascii="Arial" w:hAnsi="Arial" w:cs="Arial"/>
          <w:sz w:val="22"/>
        </w:rPr>
        <w:t xml:space="preserve"> </w:t>
      </w:r>
      <w:r w:rsidR="004F5BE0" w:rsidRPr="002F46BF">
        <w:rPr>
          <w:rFonts w:ascii="Arial" w:hAnsi="Arial" w:cs="Arial"/>
          <w:sz w:val="22"/>
        </w:rPr>
        <w:t>This increased to around $60,000/QALY if the starting age was increased to 17 or the utility gain was lower.</w:t>
      </w:r>
      <w:r w:rsidR="008E4E3B" w:rsidRPr="002F46BF">
        <w:rPr>
          <w:rFonts w:ascii="Arial" w:hAnsi="Arial" w:cs="Arial"/>
          <w:sz w:val="22"/>
        </w:rPr>
        <w:t xml:space="preserve">  The PBAC therefore acknowledged there was some uncertainty about the base-case ICER.</w:t>
      </w:r>
    </w:p>
    <w:p w:rsidR="00CE5083" w:rsidRPr="002F46BF" w:rsidRDefault="00CE5083" w:rsidP="004F5BE0">
      <w:pPr>
        <w:spacing w:after="0"/>
        <w:jc w:val="both"/>
        <w:rPr>
          <w:rFonts w:ascii="Arial" w:hAnsi="Arial" w:cs="Arial"/>
          <w:sz w:val="22"/>
        </w:rPr>
      </w:pPr>
    </w:p>
    <w:p w:rsidR="004F5BE0" w:rsidRPr="002F46BF" w:rsidRDefault="004F5BE0" w:rsidP="00CC561D">
      <w:pPr>
        <w:pStyle w:val="ListParagraph"/>
        <w:numPr>
          <w:ilvl w:val="1"/>
          <w:numId w:val="9"/>
        </w:numPr>
        <w:spacing w:after="0" w:line="240" w:lineRule="auto"/>
        <w:jc w:val="both"/>
        <w:rPr>
          <w:rFonts w:ascii="Arial" w:hAnsi="Arial" w:cs="Arial"/>
          <w:sz w:val="22"/>
        </w:rPr>
      </w:pPr>
      <w:r w:rsidRPr="002F46BF">
        <w:rPr>
          <w:rFonts w:ascii="Arial" w:hAnsi="Arial" w:cs="Arial"/>
          <w:sz w:val="22"/>
        </w:rPr>
        <w:t>The Committee agreed that there was a clinical need for a safe and effective oral agent for the management of iron overload and predicted that the quality of life for these patients would be significantly enhanced by the availability of an oral agent.</w:t>
      </w:r>
    </w:p>
    <w:p w:rsidR="00CE5083" w:rsidRPr="002F46BF" w:rsidRDefault="00CE5083" w:rsidP="004F5BE0">
      <w:pPr>
        <w:spacing w:after="0"/>
        <w:jc w:val="both"/>
        <w:rPr>
          <w:rFonts w:ascii="Arial" w:hAnsi="Arial" w:cs="Arial"/>
          <w:sz w:val="22"/>
        </w:rPr>
      </w:pPr>
    </w:p>
    <w:p w:rsidR="004F5BE0" w:rsidRPr="002F46BF" w:rsidRDefault="004F5BE0" w:rsidP="00CC561D">
      <w:pPr>
        <w:pStyle w:val="ListParagraph"/>
        <w:numPr>
          <w:ilvl w:val="1"/>
          <w:numId w:val="9"/>
        </w:numPr>
        <w:spacing w:after="0" w:line="240" w:lineRule="auto"/>
        <w:jc w:val="both"/>
        <w:rPr>
          <w:rFonts w:ascii="Arial" w:hAnsi="Arial" w:cs="Arial"/>
          <w:sz w:val="22"/>
        </w:rPr>
      </w:pPr>
      <w:r w:rsidRPr="002F46BF">
        <w:rPr>
          <w:rFonts w:ascii="Arial" w:hAnsi="Arial" w:cs="Arial"/>
          <w:sz w:val="22"/>
        </w:rPr>
        <w:t xml:space="preserve">A copy of the Public Summary Document from the July 2006 PBAC meeting is available at: </w:t>
      </w:r>
      <w:r w:rsidR="00844F48" w:rsidRPr="00255E05">
        <w:rPr>
          <w:rFonts w:ascii="Arial" w:hAnsi="Arial" w:cs="Arial"/>
          <w:sz w:val="22"/>
        </w:rPr>
        <w:t>http://www.pbs.gov.au/info/industry/listing/elements/pbac-meetings/psd/2006-07/deferasirox</w:t>
      </w:r>
      <w:r w:rsidR="00844F48" w:rsidRPr="002F46BF">
        <w:rPr>
          <w:rFonts w:ascii="Arial" w:hAnsi="Arial" w:cs="Arial"/>
          <w:sz w:val="22"/>
        </w:rPr>
        <w:t>.</w:t>
      </w:r>
    </w:p>
    <w:p w:rsidR="00CE5083" w:rsidRPr="002F46BF" w:rsidRDefault="00CE5083" w:rsidP="004F5BE0">
      <w:pPr>
        <w:spacing w:after="0"/>
        <w:jc w:val="both"/>
        <w:rPr>
          <w:rFonts w:ascii="Arial" w:hAnsi="Arial" w:cs="Arial"/>
          <w:sz w:val="22"/>
        </w:rPr>
      </w:pPr>
    </w:p>
    <w:p w:rsidR="00DD44C6" w:rsidRPr="002F46BF" w:rsidRDefault="00DD44C6" w:rsidP="00CC561D">
      <w:pPr>
        <w:pStyle w:val="ListParagraph"/>
        <w:numPr>
          <w:ilvl w:val="1"/>
          <w:numId w:val="9"/>
        </w:numPr>
        <w:spacing w:after="0" w:line="240" w:lineRule="auto"/>
        <w:jc w:val="both"/>
        <w:rPr>
          <w:rFonts w:ascii="Arial" w:hAnsi="Arial" w:cs="Arial"/>
          <w:sz w:val="22"/>
        </w:rPr>
      </w:pPr>
      <w:r w:rsidRPr="002F46BF">
        <w:rPr>
          <w:rFonts w:ascii="Arial" w:hAnsi="Arial" w:cs="Arial"/>
          <w:sz w:val="22"/>
        </w:rPr>
        <w:t xml:space="preserve">The </w:t>
      </w:r>
      <w:r w:rsidR="00A12C5A">
        <w:rPr>
          <w:rFonts w:ascii="Arial" w:hAnsi="Arial" w:cs="Arial"/>
          <w:sz w:val="22"/>
        </w:rPr>
        <w:t xml:space="preserve">July 2006 PBAC </w:t>
      </w:r>
      <w:r w:rsidRPr="002F46BF">
        <w:rPr>
          <w:rFonts w:ascii="Arial" w:hAnsi="Arial" w:cs="Arial"/>
          <w:sz w:val="22"/>
        </w:rPr>
        <w:t>submission presented three head-to-head randomised comparative trials comparing deferasirox and desferrioxamine:</w:t>
      </w:r>
    </w:p>
    <w:p w:rsidR="00DD44C6" w:rsidRPr="002F46BF" w:rsidRDefault="00DD44C6" w:rsidP="00DD44C6">
      <w:pPr>
        <w:spacing w:after="0"/>
        <w:jc w:val="both"/>
        <w:rPr>
          <w:rFonts w:ascii="Arial" w:hAnsi="Arial" w:cs="Arial"/>
          <w:sz w:val="22"/>
        </w:rPr>
      </w:pPr>
    </w:p>
    <w:p w:rsidR="00AF0573" w:rsidRPr="002F46BF" w:rsidRDefault="00DD44C6" w:rsidP="00A12C5A">
      <w:pPr>
        <w:pStyle w:val="ListParagraph"/>
        <w:numPr>
          <w:ilvl w:val="0"/>
          <w:numId w:val="4"/>
        </w:numPr>
        <w:spacing w:after="0"/>
        <w:ind w:left="1106" w:hanging="426"/>
        <w:jc w:val="both"/>
        <w:rPr>
          <w:rFonts w:ascii="Arial" w:hAnsi="Arial" w:cs="Arial"/>
          <w:sz w:val="22"/>
        </w:rPr>
      </w:pPr>
      <w:r w:rsidRPr="002F46BF">
        <w:rPr>
          <w:rFonts w:ascii="Arial" w:hAnsi="Arial" w:cs="Arial"/>
          <w:sz w:val="22"/>
        </w:rPr>
        <w:t>Trial 107 – a randomised, comparative, open label phase III, non-inferiority trial of efficacy and safety of long-term treatment with deferasirox (5 to 40mg/kg/day) in comparison with desferri</w:t>
      </w:r>
      <w:r w:rsidR="00272B31" w:rsidRPr="002F46BF">
        <w:rPr>
          <w:rFonts w:ascii="Arial" w:hAnsi="Arial" w:cs="Arial"/>
          <w:sz w:val="22"/>
        </w:rPr>
        <w:t>oxamine (20 to 60mg/kg/day) in beta</w:t>
      </w:r>
      <w:r w:rsidRPr="002F46BF">
        <w:rPr>
          <w:rFonts w:ascii="Arial" w:hAnsi="Arial" w:cs="Arial"/>
          <w:sz w:val="22"/>
        </w:rPr>
        <w:t>-thalassemia patients with trans</w:t>
      </w:r>
      <w:r w:rsidR="00272B31" w:rsidRPr="002F46BF">
        <w:rPr>
          <w:rFonts w:ascii="Arial" w:hAnsi="Arial" w:cs="Arial"/>
          <w:sz w:val="22"/>
        </w:rPr>
        <w:t>fusional hemosiderosis.</w:t>
      </w:r>
    </w:p>
    <w:p w:rsidR="00AF0573" w:rsidRPr="002F46BF" w:rsidRDefault="00DD44C6" w:rsidP="00A12C5A">
      <w:pPr>
        <w:pStyle w:val="ListParagraph"/>
        <w:numPr>
          <w:ilvl w:val="0"/>
          <w:numId w:val="4"/>
        </w:numPr>
        <w:spacing w:after="0"/>
        <w:ind w:left="1106" w:hanging="426"/>
        <w:jc w:val="both"/>
        <w:rPr>
          <w:rFonts w:ascii="Arial" w:hAnsi="Arial" w:cs="Arial"/>
          <w:sz w:val="22"/>
        </w:rPr>
      </w:pPr>
      <w:r w:rsidRPr="002F46BF">
        <w:rPr>
          <w:rFonts w:ascii="Arial" w:hAnsi="Arial" w:cs="Arial"/>
          <w:sz w:val="22"/>
        </w:rPr>
        <w:t xml:space="preserve">Trial 109 – a randomised, multicentre, open label, phase II study evaluating the safety, tolerability, pharmacokinetics and the effects on liver iron concentration (LIC) of repeated doses of 10mg/kg/day of deferasirox relative to desferrioxamine in patients with sickle cell disease and transfusional haemosiderosis </w:t>
      </w:r>
    </w:p>
    <w:p w:rsidR="00DD44C6" w:rsidRPr="002F46BF" w:rsidRDefault="00DD44C6" w:rsidP="00A12C5A">
      <w:pPr>
        <w:pStyle w:val="ListParagraph"/>
        <w:numPr>
          <w:ilvl w:val="0"/>
          <w:numId w:val="4"/>
        </w:numPr>
        <w:spacing w:after="0"/>
        <w:ind w:left="1106" w:hanging="426"/>
        <w:jc w:val="both"/>
        <w:rPr>
          <w:rFonts w:ascii="Arial" w:hAnsi="Arial" w:cs="Arial"/>
          <w:sz w:val="22"/>
        </w:rPr>
      </w:pPr>
      <w:r w:rsidRPr="002F46BF">
        <w:rPr>
          <w:rFonts w:ascii="Arial" w:hAnsi="Arial" w:cs="Arial"/>
          <w:sz w:val="22"/>
        </w:rPr>
        <w:t>Trial 105 – a randomised, open label, phase IIa study evaluating the safety, tolerability and the effects on liver iron concentration of repeated doses of 10 and 20mg/kg/day of deferasirox in comparison with 40mg/kg/day desferrioxamine in patients with thalassaemia and transfusion dependent iron overload.</w:t>
      </w:r>
    </w:p>
    <w:p w:rsidR="00272B31" w:rsidRPr="002F46BF" w:rsidRDefault="00272B31" w:rsidP="00272B31">
      <w:pPr>
        <w:spacing w:after="0"/>
        <w:jc w:val="both"/>
        <w:rPr>
          <w:rFonts w:ascii="Arial" w:hAnsi="Arial" w:cs="Arial"/>
          <w:i/>
          <w:sz w:val="22"/>
        </w:rPr>
      </w:pPr>
    </w:p>
    <w:p w:rsidR="00272B31" w:rsidRPr="002F46BF" w:rsidRDefault="00272B31" w:rsidP="00CC561D">
      <w:pPr>
        <w:pStyle w:val="ListParagraph"/>
        <w:numPr>
          <w:ilvl w:val="1"/>
          <w:numId w:val="9"/>
        </w:numPr>
        <w:spacing w:after="0" w:line="240" w:lineRule="auto"/>
        <w:jc w:val="both"/>
        <w:rPr>
          <w:rFonts w:ascii="Arial" w:hAnsi="Arial" w:cs="Arial"/>
          <w:sz w:val="22"/>
        </w:rPr>
      </w:pPr>
      <w:r w:rsidRPr="002F46BF">
        <w:rPr>
          <w:rFonts w:ascii="Arial" w:hAnsi="Arial" w:cs="Arial"/>
          <w:sz w:val="22"/>
        </w:rPr>
        <w:t>The results showed that based on the overall assessment, treatment with deferasirox did not meet the pre-specified non-inferiority criterion. Deferasirox was significantly less effective than desferrioxamine in the overall intention-to-treat (ITT) population. However, in the subgroup of patients with a baseline liver iron concentration (LIC) ≥7mg/Fe/g dw (that is, those receiving 20mg/kg to 30mg/kg deferasirox), comprising 68% of the trial population, the pre-specified non-inferiority criteria were met.</w:t>
      </w:r>
    </w:p>
    <w:p w:rsidR="00272B31" w:rsidRPr="002F46BF" w:rsidRDefault="00272B31" w:rsidP="00272B31">
      <w:pPr>
        <w:spacing w:after="0"/>
        <w:jc w:val="both"/>
        <w:rPr>
          <w:rFonts w:ascii="Arial" w:hAnsi="Arial" w:cs="Arial"/>
          <w:sz w:val="22"/>
        </w:rPr>
      </w:pPr>
    </w:p>
    <w:p w:rsidR="00272B31" w:rsidRPr="002F46BF" w:rsidRDefault="00272B31" w:rsidP="00CC561D">
      <w:pPr>
        <w:pStyle w:val="ListParagraph"/>
        <w:numPr>
          <w:ilvl w:val="1"/>
          <w:numId w:val="9"/>
        </w:numPr>
        <w:spacing w:after="0" w:line="240" w:lineRule="auto"/>
        <w:jc w:val="both"/>
        <w:rPr>
          <w:rFonts w:ascii="Arial" w:hAnsi="Arial" w:cs="Arial"/>
          <w:sz w:val="22"/>
        </w:rPr>
      </w:pPr>
      <w:r w:rsidRPr="002F46BF">
        <w:rPr>
          <w:rFonts w:ascii="Arial" w:hAnsi="Arial" w:cs="Arial"/>
          <w:sz w:val="22"/>
        </w:rPr>
        <w:t xml:space="preserve">The results for the secondary efficacy outcome for patients in the LIC &lt;7mg Fe/g dw group were significantly different between deferasirox and desferrioxamine. In this patient group with LIC &lt;7mg Fe/g dw, both primary (success rate) and secondary </w:t>
      </w:r>
      <w:r w:rsidRPr="002F46BF">
        <w:rPr>
          <w:rFonts w:ascii="Arial" w:hAnsi="Arial" w:cs="Arial"/>
          <w:sz w:val="22"/>
        </w:rPr>
        <w:lastRenderedPageBreak/>
        <w:t>(changes in LIC) outcomes showed that desferrioxamine was better. However,</w:t>
      </w:r>
      <w:r w:rsidR="00252987" w:rsidRPr="002F46BF">
        <w:rPr>
          <w:rFonts w:ascii="Arial" w:hAnsi="Arial" w:cs="Arial"/>
          <w:sz w:val="22"/>
        </w:rPr>
        <w:t xml:space="preserve"> for the overall population (i.e. </w:t>
      </w:r>
      <w:r w:rsidRPr="002F46BF">
        <w:rPr>
          <w:rFonts w:ascii="Arial" w:hAnsi="Arial" w:cs="Arial"/>
          <w:sz w:val="22"/>
        </w:rPr>
        <w:t>both LIC &lt;7 and LIC &gt;7 mg Fe/g dw), the secondary outcome (changes in LIC) showed no significant difference between desferrioxamine and deferasirox.</w:t>
      </w:r>
    </w:p>
    <w:p w:rsidR="002441A0" w:rsidRPr="00091809" w:rsidRDefault="002441A0" w:rsidP="00272B31">
      <w:pPr>
        <w:spacing w:after="0"/>
        <w:jc w:val="both"/>
        <w:rPr>
          <w:rFonts w:ascii="Arial" w:hAnsi="Arial" w:cs="Arial"/>
          <w:sz w:val="22"/>
        </w:rPr>
      </w:pPr>
    </w:p>
    <w:p w:rsidR="00720C28" w:rsidRPr="002F46BF" w:rsidRDefault="00091809" w:rsidP="00CC561D">
      <w:pPr>
        <w:pStyle w:val="ListParagraph"/>
        <w:numPr>
          <w:ilvl w:val="1"/>
          <w:numId w:val="9"/>
        </w:numPr>
        <w:spacing w:after="0" w:line="240" w:lineRule="auto"/>
        <w:jc w:val="both"/>
        <w:rPr>
          <w:rFonts w:ascii="Arial" w:hAnsi="Arial" w:cs="Arial"/>
          <w:sz w:val="22"/>
        </w:rPr>
      </w:pPr>
      <w:r>
        <w:rPr>
          <w:rFonts w:ascii="Arial" w:hAnsi="Arial" w:cs="Arial"/>
          <w:sz w:val="22"/>
        </w:rPr>
        <w:t>The July 2006 PBAC submission presented a</w:t>
      </w:r>
      <w:r w:rsidR="000B2F8F" w:rsidRPr="002F46BF">
        <w:rPr>
          <w:rFonts w:ascii="Arial" w:hAnsi="Arial" w:cs="Arial"/>
          <w:sz w:val="22"/>
        </w:rPr>
        <w:t xml:space="preserve"> m</w:t>
      </w:r>
      <w:r w:rsidR="00877C1D">
        <w:rPr>
          <w:rFonts w:ascii="Arial" w:hAnsi="Arial" w:cs="Arial"/>
          <w:sz w:val="22"/>
        </w:rPr>
        <w:t xml:space="preserve">odelled economic evaluation </w:t>
      </w:r>
      <w:r w:rsidR="000B2F8F" w:rsidRPr="002F46BF">
        <w:rPr>
          <w:rFonts w:ascii="Arial" w:hAnsi="Arial" w:cs="Arial"/>
          <w:sz w:val="22"/>
        </w:rPr>
        <w:t xml:space="preserve">to incorporate benefits of deferasirox not captured by the trials.  </w:t>
      </w:r>
      <w:r w:rsidR="00C16CD4" w:rsidRPr="002F46BF">
        <w:rPr>
          <w:rFonts w:ascii="Arial" w:hAnsi="Arial" w:cs="Arial"/>
          <w:sz w:val="22"/>
        </w:rPr>
        <w:t xml:space="preserve">This approach </w:t>
      </w:r>
      <w:r w:rsidR="001D3D70" w:rsidRPr="002F46BF">
        <w:rPr>
          <w:rFonts w:ascii="Arial" w:hAnsi="Arial" w:cs="Arial"/>
          <w:sz w:val="22"/>
        </w:rPr>
        <w:t>wa</w:t>
      </w:r>
      <w:r w:rsidR="000B2F8F" w:rsidRPr="002F46BF">
        <w:rPr>
          <w:rFonts w:ascii="Arial" w:hAnsi="Arial" w:cs="Arial"/>
          <w:sz w:val="22"/>
        </w:rPr>
        <w:t xml:space="preserve">s </w:t>
      </w:r>
      <w:r w:rsidR="00070DAC" w:rsidRPr="002F46BF">
        <w:rPr>
          <w:rFonts w:ascii="Arial" w:hAnsi="Arial" w:cs="Arial"/>
          <w:sz w:val="22"/>
        </w:rPr>
        <w:t xml:space="preserve">based on accepting </w:t>
      </w:r>
      <w:r w:rsidR="000B2F8F" w:rsidRPr="002F46BF">
        <w:rPr>
          <w:rFonts w:ascii="Arial" w:hAnsi="Arial" w:cs="Arial"/>
          <w:sz w:val="22"/>
        </w:rPr>
        <w:t xml:space="preserve">that Trial 107 demonstrated that deferasirox had similar efficacy and safety to desferrioxamine, </w:t>
      </w:r>
      <w:r w:rsidR="00DC38DA" w:rsidRPr="002F46BF">
        <w:rPr>
          <w:rFonts w:ascii="Arial" w:hAnsi="Arial" w:cs="Arial"/>
          <w:sz w:val="22"/>
        </w:rPr>
        <w:t xml:space="preserve">and that </w:t>
      </w:r>
      <w:r w:rsidR="000B2F8F" w:rsidRPr="002F46BF">
        <w:rPr>
          <w:rFonts w:ascii="Arial" w:hAnsi="Arial" w:cs="Arial"/>
          <w:sz w:val="22"/>
        </w:rPr>
        <w:t>the use of deferasirox is associated with additi</w:t>
      </w:r>
      <w:r w:rsidR="00DC38DA" w:rsidRPr="002F46BF">
        <w:rPr>
          <w:rFonts w:ascii="Arial" w:hAnsi="Arial" w:cs="Arial"/>
          <w:sz w:val="22"/>
        </w:rPr>
        <w:t>onal benefits that were not</w:t>
      </w:r>
      <w:r w:rsidR="00720C28">
        <w:rPr>
          <w:rFonts w:ascii="Arial" w:hAnsi="Arial" w:cs="Arial"/>
          <w:sz w:val="22"/>
        </w:rPr>
        <w:t xml:space="preserve"> captured in the trials.  </w:t>
      </w:r>
      <w:r w:rsidR="00720C28" w:rsidRPr="00134286">
        <w:rPr>
          <w:rFonts w:ascii="Arial" w:hAnsi="Arial" w:cs="Arial"/>
          <w:sz w:val="22"/>
        </w:rPr>
        <w:t>These include:</w:t>
      </w:r>
    </w:p>
    <w:p w:rsidR="000B2F8F" w:rsidRPr="00477EC1" w:rsidRDefault="00477EC1" w:rsidP="00477EC1">
      <w:pPr>
        <w:spacing w:after="0"/>
        <w:ind w:left="1040" w:hanging="360"/>
        <w:jc w:val="both"/>
        <w:rPr>
          <w:rFonts w:ascii="Arial" w:hAnsi="Arial" w:cs="Arial"/>
          <w:sz w:val="22"/>
          <w:highlight w:val="black"/>
        </w:rPr>
      </w:pP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p>
    <w:p w:rsidR="000B2F8F" w:rsidRPr="00477EC1" w:rsidRDefault="00477EC1" w:rsidP="00477EC1">
      <w:pPr>
        <w:spacing w:after="0"/>
        <w:ind w:left="1040" w:hanging="360"/>
        <w:jc w:val="both"/>
        <w:rPr>
          <w:rFonts w:ascii="Arial" w:hAnsi="Arial" w:cs="Arial"/>
          <w:sz w:val="22"/>
          <w:highlight w:val="black"/>
        </w:rPr>
      </w:pP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r>
        <w:rPr>
          <w:rFonts w:ascii="Symbol" w:hAnsi="Symbol" w:cs="Arial"/>
          <w:noProof/>
          <w:color w:val="000000"/>
          <w:sz w:val="22"/>
          <w:highlight w:val="black"/>
        </w:rPr>
        <w:t></w:t>
      </w:r>
    </w:p>
    <w:p w:rsidR="000B2F8F" w:rsidRPr="001F41AD" w:rsidRDefault="000B2F8F" w:rsidP="00272B31">
      <w:pPr>
        <w:spacing w:after="0"/>
        <w:jc w:val="both"/>
        <w:rPr>
          <w:rFonts w:ascii="Arial" w:hAnsi="Arial" w:cs="Arial"/>
          <w:sz w:val="22"/>
        </w:rPr>
      </w:pPr>
    </w:p>
    <w:p w:rsidR="00651319" w:rsidRPr="00477EC1" w:rsidRDefault="000B2F8F" w:rsidP="00CC561D">
      <w:pPr>
        <w:pStyle w:val="ListParagraph"/>
        <w:numPr>
          <w:ilvl w:val="1"/>
          <w:numId w:val="9"/>
        </w:numPr>
        <w:spacing w:after="0" w:line="240" w:lineRule="auto"/>
        <w:jc w:val="both"/>
        <w:rPr>
          <w:rFonts w:ascii="Arial" w:hAnsi="Arial" w:cs="Arial"/>
          <w:sz w:val="22"/>
        </w:rPr>
      </w:pPr>
      <w:r w:rsidRPr="001F41AD">
        <w:rPr>
          <w:rFonts w:ascii="Arial" w:hAnsi="Arial" w:cs="Arial"/>
          <w:sz w:val="22"/>
        </w:rPr>
        <w:t xml:space="preserve">The </w:t>
      </w:r>
      <w:r w:rsidR="001D3D70" w:rsidRPr="001F41AD">
        <w:rPr>
          <w:rFonts w:ascii="Arial" w:hAnsi="Arial" w:cs="Arial"/>
          <w:sz w:val="22"/>
        </w:rPr>
        <w:t xml:space="preserve">ESC noted that the </w:t>
      </w:r>
      <w:r w:rsidR="00F15F5F" w:rsidRPr="001F41AD">
        <w:rPr>
          <w:rFonts w:ascii="Arial" w:hAnsi="Arial" w:cs="Arial"/>
          <w:sz w:val="22"/>
        </w:rPr>
        <w:t>choice of the cost-</w:t>
      </w:r>
      <w:r w:rsidRPr="001F41AD">
        <w:rPr>
          <w:rFonts w:ascii="Arial" w:hAnsi="Arial" w:cs="Arial"/>
          <w:sz w:val="22"/>
        </w:rPr>
        <w:t>utility approach was valid only if</w:t>
      </w:r>
      <w:r w:rsidR="001D3D70" w:rsidRPr="001F41AD">
        <w:rPr>
          <w:rFonts w:ascii="Arial" w:hAnsi="Arial" w:cs="Arial"/>
          <w:sz w:val="22"/>
        </w:rPr>
        <w:t xml:space="preserve"> it was accepted that deferasirox had</w:t>
      </w:r>
      <w:r w:rsidRPr="001F41AD">
        <w:rPr>
          <w:rFonts w:ascii="Arial" w:hAnsi="Arial" w:cs="Arial"/>
          <w:sz w:val="22"/>
        </w:rPr>
        <w:t xml:space="preserve"> advantages over desferrioxamine in terms of qualit</w:t>
      </w:r>
      <w:r w:rsidR="00227164" w:rsidRPr="001F41AD">
        <w:rPr>
          <w:rFonts w:ascii="Arial" w:hAnsi="Arial" w:cs="Arial"/>
          <w:sz w:val="22"/>
        </w:rPr>
        <w:t>y of life and that deferasirox wa</w:t>
      </w:r>
      <w:r w:rsidRPr="001F41AD">
        <w:rPr>
          <w:rFonts w:ascii="Arial" w:hAnsi="Arial" w:cs="Arial"/>
          <w:sz w:val="22"/>
        </w:rPr>
        <w:t xml:space="preserve">s no worse in terms of efficacy and safety than desferrioxamine.  </w:t>
      </w:r>
      <w:r w:rsidR="00477EC1">
        <w:rPr>
          <w:rFonts w:ascii="Arial" w:hAnsi="Arial" w:cs="Arial"/>
          <w:noProof/>
          <w:color w:val="000000"/>
          <w:sz w:val="22"/>
          <w:highlight w:val="black"/>
        </w:rPr>
        <w:t xml:space="preserve">'''''''' ''''''' ''''''''''''''' '''''''''''''''''''''''' '''''''''''''''''''' '''' '''''''''' '''''''''' '''''''''''''''''''''''''' ''''''''' '''''''''''''''''''''''''' '''''''''' ''''''''''''''''''''' ''''''''''' '''''''''''''''''''''''''''''''''''''''  </w:t>
      </w:r>
    </w:p>
    <w:p w:rsidR="00227164" w:rsidRPr="001F41AD" w:rsidRDefault="00227164" w:rsidP="004F5BE0">
      <w:pPr>
        <w:spacing w:after="0"/>
        <w:jc w:val="both"/>
        <w:rPr>
          <w:rFonts w:ascii="Arial" w:hAnsi="Arial" w:cs="Arial"/>
          <w:sz w:val="22"/>
        </w:rPr>
      </w:pPr>
    </w:p>
    <w:p w:rsidR="00227164" w:rsidRPr="001F41AD" w:rsidRDefault="00227164" w:rsidP="00CC561D">
      <w:pPr>
        <w:pStyle w:val="ListParagraph"/>
        <w:numPr>
          <w:ilvl w:val="1"/>
          <w:numId w:val="9"/>
        </w:numPr>
        <w:spacing w:after="0" w:line="240" w:lineRule="auto"/>
        <w:jc w:val="both"/>
        <w:rPr>
          <w:rFonts w:ascii="Arial" w:hAnsi="Arial" w:cs="Arial"/>
          <w:sz w:val="22"/>
        </w:rPr>
      </w:pPr>
      <w:r w:rsidRPr="001F41AD">
        <w:rPr>
          <w:rFonts w:ascii="Arial" w:hAnsi="Arial" w:cs="Arial"/>
          <w:sz w:val="22"/>
        </w:rPr>
        <w:t>The resources included were drug costs and costs of treating complications of chronic iron overload.  The overall comparative costs and outcomes for each alternative and the incremental costs and outcomes are summarised below.</w:t>
      </w:r>
    </w:p>
    <w:p w:rsidR="00227164" w:rsidRPr="001F41AD" w:rsidRDefault="00227164" w:rsidP="00227164">
      <w:pPr>
        <w:spacing w:after="0"/>
        <w:jc w:val="both"/>
        <w:rPr>
          <w:rFonts w:ascii="Arial" w:hAnsi="Arial" w:cs="Arial"/>
          <w:sz w:val="22"/>
        </w:rPr>
      </w:pPr>
    </w:p>
    <w:p w:rsidR="00227164" w:rsidRPr="001F41AD" w:rsidRDefault="00227164" w:rsidP="00EF53E2">
      <w:pPr>
        <w:spacing w:after="0"/>
        <w:ind w:firstLine="720"/>
        <w:jc w:val="both"/>
        <w:rPr>
          <w:rFonts w:ascii="Arial" w:hAnsi="Arial" w:cs="Arial"/>
          <w:sz w:val="22"/>
        </w:rPr>
      </w:pPr>
      <w:r w:rsidRPr="001F41AD">
        <w:rPr>
          <w:rFonts w:ascii="Arial" w:hAnsi="Arial" w:cs="Arial"/>
          <w:sz w:val="22"/>
        </w:rPr>
        <w:t>Base case results of the modelled incremental analysis</w:t>
      </w:r>
    </w:p>
    <w:tbl>
      <w:tblPr>
        <w:tblStyle w:val="TableGrid"/>
        <w:tblW w:w="0" w:type="auto"/>
        <w:tblInd w:w="817" w:type="dxa"/>
        <w:tblLook w:val="01E0" w:firstRow="1" w:lastRow="1" w:firstColumn="1" w:lastColumn="1" w:noHBand="0" w:noVBand="0"/>
      </w:tblPr>
      <w:tblGrid>
        <w:gridCol w:w="2929"/>
        <w:gridCol w:w="1540"/>
        <w:gridCol w:w="1916"/>
        <w:gridCol w:w="2040"/>
      </w:tblGrid>
      <w:tr w:rsidR="00227164" w:rsidRPr="001F41AD" w:rsidTr="00EF53E2">
        <w:tc>
          <w:tcPr>
            <w:tcW w:w="2929" w:type="dxa"/>
            <w:vMerge w:val="restart"/>
            <w:tcBorders>
              <w:top w:val="single" w:sz="4" w:space="0" w:color="auto"/>
              <w:left w:val="single" w:sz="4" w:space="0" w:color="auto"/>
              <w:bottom w:val="single" w:sz="4" w:space="0" w:color="auto"/>
              <w:right w:val="single" w:sz="4" w:space="0" w:color="auto"/>
            </w:tcBorders>
          </w:tcPr>
          <w:p w:rsidR="00227164" w:rsidRPr="001F41AD" w:rsidRDefault="00227164" w:rsidP="009A731D">
            <w:pPr>
              <w:rPr>
                <w:rFonts w:ascii="Arial" w:hAnsi="Arial" w:cs="Arial"/>
                <w:sz w:val="22"/>
                <w:szCs w:val="22"/>
              </w:rPr>
            </w:pPr>
          </w:p>
        </w:tc>
        <w:tc>
          <w:tcPr>
            <w:tcW w:w="3456" w:type="dxa"/>
            <w:gridSpan w:val="2"/>
            <w:tcBorders>
              <w:top w:val="single" w:sz="4" w:space="0" w:color="auto"/>
              <w:left w:val="single" w:sz="4" w:space="0" w:color="auto"/>
              <w:bottom w:val="single" w:sz="4" w:space="0" w:color="auto"/>
              <w:right w:val="single" w:sz="4" w:space="0" w:color="auto"/>
            </w:tcBorders>
          </w:tcPr>
          <w:p w:rsidR="00227164" w:rsidRPr="001F41AD" w:rsidRDefault="00227164" w:rsidP="009A731D">
            <w:pPr>
              <w:jc w:val="center"/>
              <w:rPr>
                <w:rFonts w:ascii="Arial" w:hAnsi="Arial" w:cs="Arial"/>
                <w:b/>
                <w:bCs/>
                <w:sz w:val="22"/>
                <w:szCs w:val="22"/>
              </w:rPr>
            </w:pPr>
            <w:r w:rsidRPr="001F41AD">
              <w:rPr>
                <w:rFonts w:ascii="Arial" w:hAnsi="Arial" w:cs="Arial"/>
                <w:b/>
                <w:bCs/>
                <w:sz w:val="22"/>
                <w:szCs w:val="22"/>
              </w:rPr>
              <w:t>Outcomes over 100 years</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227164" w:rsidRPr="001F41AD" w:rsidRDefault="00227164" w:rsidP="009A731D">
            <w:pPr>
              <w:jc w:val="center"/>
              <w:rPr>
                <w:rFonts w:ascii="Arial" w:hAnsi="Arial" w:cs="Arial"/>
                <w:b/>
                <w:bCs/>
                <w:sz w:val="22"/>
                <w:szCs w:val="22"/>
              </w:rPr>
            </w:pPr>
            <w:r w:rsidRPr="001F41AD">
              <w:rPr>
                <w:rFonts w:ascii="Arial" w:hAnsi="Arial" w:cs="Arial"/>
                <w:b/>
                <w:bCs/>
                <w:sz w:val="22"/>
                <w:szCs w:val="22"/>
              </w:rPr>
              <w:t>Diff. deferasirox vs desferrioxamine</w:t>
            </w:r>
          </w:p>
        </w:tc>
      </w:tr>
      <w:tr w:rsidR="00227164" w:rsidRPr="001F41AD" w:rsidTr="00EF53E2">
        <w:tc>
          <w:tcPr>
            <w:tcW w:w="2929" w:type="dxa"/>
            <w:vMerge/>
            <w:tcBorders>
              <w:top w:val="single" w:sz="4" w:space="0" w:color="auto"/>
              <w:left w:val="single" w:sz="4" w:space="0" w:color="auto"/>
              <w:bottom w:val="single" w:sz="4" w:space="0" w:color="auto"/>
              <w:right w:val="single" w:sz="4" w:space="0" w:color="auto"/>
            </w:tcBorders>
          </w:tcPr>
          <w:p w:rsidR="00227164" w:rsidRPr="00477EC1" w:rsidRDefault="00227164" w:rsidP="009A731D">
            <w:pP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227164" w:rsidRPr="00477EC1" w:rsidRDefault="00227164" w:rsidP="009A731D">
            <w:pPr>
              <w:jc w:val="center"/>
              <w:rPr>
                <w:rFonts w:ascii="Arial" w:hAnsi="Arial" w:cs="Arial"/>
                <w:b/>
                <w:bCs/>
                <w:sz w:val="22"/>
                <w:szCs w:val="22"/>
              </w:rPr>
            </w:pPr>
            <w:r w:rsidRPr="001F41AD">
              <w:rPr>
                <w:rFonts w:ascii="Arial" w:hAnsi="Arial" w:cs="Arial"/>
                <w:b/>
                <w:bCs/>
                <w:sz w:val="22"/>
                <w:szCs w:val="22"/>
              </w:rPr>
              <w:t>deferasirox</w:t>
            </w:r>
          </w:p>
        </w:tc>
        <w:tc>
          <w:tcPr>
            <w:tcW w:w="1916" w:type="dxa"/>
            <w:tcBorders>
              <w:top w:val="single" w:sz="4" w:space="0" w:color="auto"/>
              <w:left w:val="single" w:sz="4" w:space="0" w:color="auto"/>
              <w:bottom w:val="single" w:sz="4" w:space="0" w:color="auto"/>
              <w:right w:val="single" w:sz="4" w:space="0" w:color="auto"/>
            </w:tcBorders>
          </w:tcPr>
          <w:p w:rsidR="00227164" w:rsidRPr="00477EC1" w:rsidRDefault="00227164" w:rsidP="009A731D">
            <w:pPr>
              <w:jc w:val="center"/>
              <w:rPr>
                <w:rFonts w:ascii="Arial" w:hAnsi="Arial" w:cs="Arial"/>
                <w:b/>
                <w:bCs/>
                <w:sz w:val="22"/>
                <w:szCs w:val="22"/>
              </w:rPr>
            </w:pPr>
            <w:r w:rsidRPr="001F41AD">
              <w:rPr>
                <w:rFonts w:ascii="Arial" w:hAnsi="Arial" w:cs="Arial"/>
                <w:b/>
                <w:bCs/>
                <w:sz w:val="22"/>
                <w:szCs w:val="22"/>
              </w:rPr>
              <w:t>desferrioxamine</w:t>
            </w:r>
          </w:p>
        </w:tc>
        <w:tc>
          <w:tcPr>
            <w:tcW w:w="2040" w:type="dxa"/>
            <w:vMerge/>
            <w:tcBorders>
              <w:top w:val="single" w:sz="4" w:space="0" w:color="auto"/>
              <w:left w:val="single" w:sz="4" w:space="0" w:color="auto"/>
              <w:bottom w:val="single" w:sz="4" w:space="0" w:color="auto"/>
              <w:right w:val="single" w:sz="4" w:space="0" w:color="auto"/>
            </w:tcBorders>
          </w:tcPr>
          <w:p w:rsidR="00227164" w:rsidRPr="00477EC1" w:rsidRDefault="00227164" w:rsidP="009A731D">
            <w:pPr>
              <w:rPr>
                <w:rFonts w:ascii="Arial" w:hAnsi="Arial" w:cs="Arial"/>
                <w:sz w:val="22"/>
                <w:szCs w:val="22"/>
              </w:rPr>
            </w:pPr>
          </w:p>
        </w:tc>
      </w:tr>
      <w:tr w:rsidR="00227164" w:rsidRPr="001F41AD" w:rsidTr="00EF53E2">
        <w:tc>
          <w:tcPr>
            <w:tcW w:w="2929" w:type="dxa"/>
            <w:tcBorders>
              <w:top w:val="single" w:sz="4" w:space="0" w:color="auto"/>
              <w:left w:val="single" w:sz="4" w:space="0" w:color="auto"/>
              <w:bottom w:val="single" w:sz="4" w:space="0" w:color="auto"/>
              <w:right w:val="single" w:sz="4" w:space="0" w:color="auto"/>
            </w:tcBorders>
          </w:tcPr>
          <w:p w:rsidR="00227164" w:rsidRPr="00477EC1" w:rsidRDefault="00227164" w:rsidP="009A731D">
            <w:pPr>
              <w:rPr>
                <w:rFonts w:ascii="Arial" w:hAnsi="Arial" w:cs="Arial"/>
                <w:sz w:val="22"/>
                <w:szCs w:val="22"/>
              </w:rPr>
            </w:pPr>
            <w:r w:rsidRPr="001F41AD">
              <w:rPr>
                <w:rFonts w:ascii="Arial" w:hAnsi="Arial" w:cs="Arial"/>
                <w:sz w:val="22"/>
                <w:szCs w:val="22"/>
              </w:rPr>
              <w:t>Total Costs, disc</w:t>
            </w:r>
          </w:p>
        </w:tc>
        <w:tc>
          <w:tcPr>
            <w:tcW w:w="1540" w:type="dxa"/>
            <w:tcBorders>
              <w:top w:val="single" w:sz="4" w:space="0" w:color="auto"/>
              <w:left w:val="single" w:sz="4" w:space="0" w:color="auto"/>
              <w:bottom w:val="single" w:sz="4" w:space="0" w:color="auto"/>
              <w:right w:val="single" w:sz="4" w:space="0" w:color="auto"/>
            </w:tcBorders>
          </w:tcPr>
          <w:p w:rsidR="00227164" w:rsidRPr="00477EC1" w:rsidRDefault="00477EC1" w:rsidP="009A731D">
            <w:pPr>
              <w:jc w:val="center"/>
              <w:rPr>
                <w:rFonts w:ascii="Arial" w:hAnsi="Arial" w:cs="Arial"/>
                <w:sz w:val="22"/>
                <w:szCs w:val="22"/>
                <w:highlight w:val="black"/>
              </w:rPr>
            </w:pPr>
            <w:r>
              <w:rPr>
                <w:rFonts w:ascii="Arial" w:hAnsi="Arial" w:cs="Arial"/>
                <w:noProof/>
                <w:color w:val="000000"/>
                <w:sz w:val="22"/>
                <w:szCs w:val="22"/>
                <w:highlight w:val="black"/>
              </w:rPr>
              <w:t>'''''''''''''''''''''</w:t>
            </w:r>
          </w:p>
        </w:tc>
        <w:tc>
          <w:tcPr>
            <w:tcW w:w="1916" w:type="dxa"/>
            <w:tcBorders>
              <w:top w:val="single" w:sz="4" w:space="0" w:color="auto"/>
              <w:left w:val="single" w:sz="4" w:space="0" w:color="auto"/>
              <w:bottom w:val="single" w:sz="4" w:space="0" w:color="auto"/>
              <w:right w:val="single" w:sz="4" w:space="0" w:color="auto"/>
            </w:tcBorders>
          </w:tcPr>
          <w:p w:rsidR="00227164" w:rsidRPr="00477EC1" w:rsidRDefault="00477EC1" w:rsidP="009A731D">
            <w:pPr>
              <w:jc w:val="center"/>
              <w:rPr>
                <w:rFonts w:ascii="Arial" w:hAnsi="Arial" w:cs="Arial"/>
                <w:sz w:val="22"/>
                <w:szCs w:val="22"/>
                <w:highlight w:val="black"/>
              </w:rPr>
            </w:pPr>
            <w:r>
              <w:rPr>
                <w:rFonts w:ascii="Arial" w:hAnsi="Arial" w:cs="Arial"/>
                <w:noProof/>
                <w:color w:val="000000"/>
                <w:sz w:val="22"/>
                <w:szCs w:val="22"/>
                <w:highlight w:val="black"/>
              </w:rPr>
              <w:t>''''''''''''''''''''''''</w:t>
            </w:r>
          </w:p>
        </w:tc>
        <w:tc>
          <w:tcPr>
            <w:tcW w:w="2040" w:type="dxa"/>
            <w:tcBorders>
              <w:top w:val="single" w:sz="4" w:space="0" w:color="auto"/>
              <w:left w:val="single" w:sz="4" w:space="0" w:color="auto"/>
              <w:bottom w:val="single" w:sz="4" w:space="0" w:color="auto"/>
              <w:right w:val="single" w:sz="4" w:space="0" w:color="auto"/>
            </w:tcBorders>
          </w:tcPr>
          <w:p w:rsidR="00227164" w:rsidRPr="00477EC1" w:rsidRDefault="00477EC1" w:rsidP="009A731D">
            <w:pPr>
              <w:jc w:val="center"/>
              <w:rPr>
                <w:rFonts w:ascii="Arial" w:hAnsi="Arial" w:cs="Arial"/>
                <w:sz w:val="22"/>
                <w:szCs w:val="22"/>
                <w:highlight w:val="black"/>
              </w:rPr>
            </w:pPr>
            <w:r>
              <w:rPr>
                <w:rFonts w:ascii="Arial" w:hAnsi="Arial" w:cs="Arial"/>
                <w:noProof/>
                <w:color w:val="000000"/>
                <w:sz w:val="22"/>
                <w:szCs w:val="22"/>
                <w:highlight w:val="black"/>
              </w:rPr>
              <w:t>''''''''''''''''</w:t>
            </w:r>
          </w:p>
        </w:tc>
      </w:tr>
      <w:tr w:rsidR="00227164" w:rsidRPr="001F41AD" w:rsidTr="00EF53E2">
        <w:tc>
          <w:tcPr>
            <w:tcW w:w="2929" w:type="dxa"/>
            <w:tcBorders>
              <w:top w:val="single" w:sz="4" w:space="0" w:color="auto"/>
              <w:left w:val="single" w:sz="4" w:space="0" w:color="auto"/>
              <w:bottom w:val="single" w:sz="4" w:space="0" w:color="auto"/>
              <w:right w:val="single" w:sz="4" w:space="0" w:color="auto"/>
            </w:tcBorders>
          </w:tcPr>
          <w:p w:rsidR="00227164" w:rsidRPr="00477EC1" w:rsidRDefault="00227164" w:rsidP="009A731D">
            <w:pPr>
              <w:rPr>
                <w:rFonts w:ascii="Arial" w:hAnsi="Arial" w:cs="Arial"/>
                <w:sz w:val="22"/>
                <w:szCs w:val="22"/>
              </w:rPr>
            </w:pPr>
            <w:r w:rsidRPr="001F41AD">
              <w:rPr>
                <w:rFonts w:ascii="Arial" w:hAnsi="Arial" w:cs="Arial"/>
                <w:sz w:val="22"/>
                <w:szCs w:val="22"/>
              </w:rPr>
              <w:t>Life years, disc.</w:t>
            </w:r>
          </w:p>
        </w:tc>
        <w:tc>
          <w:tcPr>
            <w:tcW w:w="1540" w:type="dxa"/>
            <w:tcBorders>
              <w:top w:val="single" w:sz="4" w:space="0" w:color="auto"/>
              <w:left w:val="single" w:sz="4" w:space="0" w:color="auto"/>
              <w:bottom w:val="single" w:sz="4" w:space="0" w:color="auto"/>
              <w:right w:val="single" w:sz="4" w:space="0" w:color="auto"/>
            </w:tcBorders>
          </w:tcPr>
          <w:p w:rsidR="00227164" w:rsidRPr="00477EC1" w:rsidRDefault="00477EC1" w:rsidP="009A731D">
            <w:pPr>
              <w:jc w:val="center"/>
              <w:rPr>
                <w:rFonts w:ascii="Arial" w:hAnsi="Arial" w:cs="Arial"/>
                <w:sz w:val="22"/>
                <w:szCs w:val="22"/>
                <w:highlight w:val="black"/>
              </w:rPr>
            </w:pPr>
            <w:r>
              <w:rPr>
                <w:rFonts w:ascii="Arial" w:hAnsi="Arial" w:cs="Arial"/>
                <w:noProof/>
                <w:color w:val="000000"/>
                <w:sz w:val="22"/>
                <w:szCs w:val="22"/>
                <w:highlight w:val="black"/>
              </w:rPr>
              <w:t>''''''''''''''''''</w:t>
            </w:r>
          </w:p>
        </w:tc>
        <w:tc>
          <w:tcPr>
            <w:tcW w:w="1916" w:type="dxa"/>
            <w:tcBorders>
              <w:top w:val="single" w:sz="4" w:space="0" w:color="auto"/>
              <w:left w:val="single" w:sz="4" w:space="0" w:color="auto"/>
              <w:bottom w:val="single" w:sz="4" w:space="0" w:color="auto"/>
              <w:right w:val="single" w:sz="4" w:space="0" w:color="auto"/>
            </w:tcBorders>
          </w:tcPr>
          <w:p w:rsidR="00227164" w:rsidRPr="00477EC1" w:rsidRDefault="00477EC1" w:rsidP="009A731D">
            <w:pPr>
              <w:jc w:val="center"/>
              <w:rPr>
                <w:rFonts w:ascii="Arial" w:hAnsi="Arial" w:cs="Arial"/>
                <w:sz w:val="22"/>
                <w:szCs w:val="22"/>
                <w:highlight w:val="black"/>
              </w:rPr>
            </w:pPr>
            <w:r>
              <w:rPr>
                <w:rFonts w:ascii="Arial" w:hAnsi="Arial" w:cs="Arial"/>
                <w:noProof/>
                <w:color w:val="000000"/>
                <w:sz w:val="22"/>
                <w:szCs w:val="22"/>
                <w:highlight w:val="black"/>
              </w:rPr>
              <w:t>''''''''''''''''</w:t>
            </w:r>
          </w:p>
        </w:tc>
        <w:tc>
          <w:tcPr>
            <w:tcW w:w="2040" w:type="dxa"/>
            <w:tcBorders>
              <w:top w:val="single" w:sz="4" w:space="0" w:color="auto"/>
              <w:left w:val="single" w:sz="4" w:space="0" w:color="auto"/>
              <w:bottom w:val="single" w:sz="4" w:space="0" w:color="auto"/>
              <w:right w:val="single" w:sz="4" w:space="0" w:color="auto"/>
            </w:tcBorders>
          </w:tcPr>
          <w:p w:rsidR="00227164" w:rsidRPr="00477EC1" w:rsidRDefault="00477EC1" w:rsidP="009A731D">
            <w:pPr>
              <w:jc w:val="center"/>
              <w:rPr>
                <w:rFonts w:ascii="Arial" w:hAnsi="Arial" w:cs="Arial"/>
                <w:sz w:val="22"/>
                <w:szCs w:val="22"/>
                <w:highlight w:val="black"/>
              </w:rPr>
            </w:pPr>
            <w:r>
              <w:rPr>
                <w:rFonts w:ascii="Arial" w:hAnsi="Arial" w:cs="Arial"/>
                <w:noProof/>
                <w:color w:val="000000"/>
                <w:sz w:val="22"/>
                <w:szCs w:val="22"/>
                <w:highlight w:val="black"/>
              </w:rPr>
              <w:t>'''''''''''''''</w:t>
            </w:r>
          </w:p>
        </w:tc>
      </w:tr>
      <w:tr w:rsidR="00227164" w:rsidRPr="001F41AD" w:rsidTr="00EF53E2">
        <w:tc>
          <w:tcPr>
            <w:tcW w:w="2929" w:type="dxa"/>
            <w:tcBorders>
              <w:top w:val="single" w:sz="4" w:space="0" w:color="auto"/>
              <w:left w:val="single" w:sz="4" w:space="0" w:color="auto"/>
              <w:bottom w:val="single" w:sz="4" w:space="0" w:color="auto"/>
              <w:right w:val="single" w:sz="4" w:space="0" w:color="auto"/>
            </w:tcBorders>
          </w:tcPr>
          <w:p w:rsidR="00227164" w:rsidRPr="00477EC1" w:rsidRDefault="00227164" w:rsidP="009A731D">
            <w:pPr>
              <w:rPr>
                <w:rFonts w:ascii="Arial" w:hAnsi="Arial" w:cs="Arial"/>
                <w:sz w:val="22"/>
                <w:szCs w:val="22"/>
              </w:rPr>
            </w:pPr>
            <w:r w:rsidRPr="001F41AD">
              <w:rPr>
                <w:rFonts w:ascii="Arial" w:hAnsi="Arial" w:cs="Arial"/>
                <w:sz w:val="22"/>
                <w:szCs w:val="22"/>
              </w:rPr>
              <w:t>QALYs, disc.</w:t>
            </w:r>
          </w:p>
        </w:tc>
        <w:tc>
          <w:tcPr>
            <w:tcW w:w="1540" w:type="dxa"/>
            <w:tcBorders>
              <w:top w:val="single" w:sz="4" w:space="0" w:color="auto"/>
              <w:left w:val="single" w:sz="4" w:space="0" w:color="auto"/>
              <w:bottom w:val="single" w:sz="4" w:space="0" w:color="auto"/>
              <w:right w:val="single" w:sz="4" w:space="0" w:color="auto"/>
            </w:tcBorders>
          </w:tcPr>
          <w:p w:rsidR="00227164" w:rsidRPr="00477EC1" w:rsidRDefault="00477EC1" w:rsidP="009A731D">
            <w:pPr>
              <w:jc w:val="center"/>
              <w:rPr>
                <w:rFonts w:ascii="Arial" w:hAnsi="Arial" w:cs="Arial"/>
                <w:sz w:val="22"/>
                <w:szCs w:val="22"/>
                <w:highlight w:val="black"/>
              </w:rPr>
            </w:pPr>
            <w:r>
              <w:rPr>
                <w:rFonts w:ascii="Arial" w:hAnsi="Arial" w:cs="Arial"/>
                <w:noProof/>
                <w:color w:val="000000"/>
                <w:sz w:val="22"/>
                <w:szCs w:val="22"/>
                <w:highlight w:val="black"/>
              </w:rPr>
              <w:t>''''''''''''''''</w:t>
            </w:r>
          </w:p>
        </w:tc>
        <w:tc>
          <w:tcPr>
            <w:tcW w:w="1916" w:type="dxa"/>
            <w:tcBorders>
              <w:top w:val="single" w:sz="4" w:space="0" w:color="auto"/>
              <w:left w:val="single" w:sz="4" w:space="0" w:color="auto"/>
              <w:bottom w:val="single" w:sz="4" w:space="0" w:color="auto"/>
              <w:right w:val="single" w:sz="4" w:space="0" w:color="auto"/>
            </w:tcBorders>
          </w:tcPr>
          <w:p w:rsidR="00227164" w:rsidRPr="00477EC1" w:rsidRDefault="00477EC1" w:rsidP="009A731D">
            <w:pPr>
              <w:jc w:val="center"/>
              <w:rPr>
                <w:rFonts w:ascii="Arial" w:hAnsi="Arial" w:cs="Arial"/>
                <w:sz w:val="22"/>
                <w:szCs w:val="22"/>
                <w:highlight w:val="black"/>
              </w:rPr>
            </w:pPr>
            <w:r>
              <w:rPr>
                <w:rFonts w:ascii="Arial" w:hAnsi="Arial" w:cs="Arial"/>
                <w:noProof/>
                <w:color w:val="000000"/>
                <w:sz w:val="22"/>
                <w:szCs w:val="22"/>
                <w:highlight w:val="black"/>
              </w:rPr>
              <w:t>''''''''''''</w:t>
            </w:r>
          </w:p>
        </w:tc>
        <w:tc>
          <w:tcPr>
            <w:tcW w:w="2040" w:type="dxa"/>
            <w:tcBorders>
              <w:top w:val="single" w:sz="4" w:space="0" w:color="auto"/>
              <w:left w:val="single" w:sz="4" w:space="0" w:color="auto"/>
              <w:bottom w:val="single" w:sz="4" w:space="0" w:color="auto"/>
              <w:right w:val="single" w:sz="4" w:space="0" w:color="auto"/>
            </w:tcBorders>
          </w:tcPr>
          <w:p w:rsidR="00227164" w:rsidRPr="00477EC1" w:rsidRDefault="00477EC1" w:rsidP="009A731D">
            <w:pPr>
              <w:jc w:val="center"/>
              <w:rPr>
                <w:rFonts w:ascii="Arial" w:hAnsi="Arial" w:cs="Arial"/>
                <w:sz w:val="22"/>
                <w:szCs w:val="22"/>
                <w:highlight w:val="black"/>
              </w:rPr>
            </w:pPr>
            <w:r>
              <w:rPr>
                <w:rFonts w:ascii="Arial" w:hAnsi="Arial" w:cs="Arial"/>
                <w:noProof/>
                <w:color w:val="000000"/>
                <w:sz w:val="22"/>
                <w:szCs w:val="22"/>
                <w:highlight w:val="black"/>
              </w:rPr>
              <w:t>'''''''''''''</w:t>
            </w:r>
          </w:p>
        </w:tc>
      </w:tr>
    </w:tbl>
    <w:p w:rsidR="00227164" w:rsidRPr="001F41AD" w:rsidRDefault="00227164" w:rsidP="00227164">
      <w:pPr>
        <w:spacing w:after="0"/>
        <w:jc w:val="both"/>
        <w:rPr>
          <w:rFonts w:ascii="Arial" w:hAnsi="Arial" w:cs="Arial"/>
          <w:sz w:val="22"/>
        </w:rPr>
      </w:pPr>
    </w:p>
    <w:p w:rsidR="00227164" w:rsidRPr="001F41AD" w:rsidRDefault="00227164" w:rsidP="001F41AD">
      <w:pPr>
        <w:pStyle w:val="ListParagraph"/>
        <w:numPr>
          <w:ilvl w:val="1"/>
          <w:numId w:val="9"/>
        </w:numPr>
        <w:spacing w:after="0" w:line="240" w:lineRule="auto"/>
        <w:jc w:val="both"/>
        <w:rPr>
          <w:rFonts w:ascii="Arial" w:hAnsi="Arial" w:cs="Arial"/>
          <w:sz w:val="22"/>
        </w:rPr>
      </w:pPr>
      <w:r w:rsidRPr="001F41AD">
        <w:rPr>
          <w:rFonts w:ascii="Arial" w:hAnsi="Arial" w:cs="Arial"/>
          <w:sz w:val="22"/>
        </w:rPr>
        <w:t>The base case modelled incremental discounted cost per extra QALY ga</w:t>
      </w:r>
      <w:r w:rsidR="0066329B" w:rsidRPr="001F41AD">
        <w:rPr>
          <w:rFonts w:ascii="Arial" w:hAnsi="Arial" w:cs="Arial"/>
          <w:sz w:val="22"/>
        </w:rPr>
        <w:t xml:space="preserve">ined over 100 years was </w:t>
      </w:r>
      <w:r w:rsidR="001F41AD" w:rsidRPr="001F41AD">
        <w:rPr>
          <w:rFonts w:ascii="Arial" w:hAnsi="Arial" w:cs="Arial"/>
          <w:sz w:val="22"/>
        </w:rPr>
        <w:t>in the range of $15,000 – $45,000</w:t>
      </w:r>
      <w:r w:rsidR="0066329B" w:rsidRPr="001F41AD">
        <w:rPr>
          <w:rFonts w:ascii="Arial" w:hAnsi="Arial" w:cs="Arial"/>
          <w:sz w:val="22"/>
        </w:rPr>
        <w:t>.</w:t>
      </w:r>
    </w:p>
    <w:p w:rsidR="0066329B" w:rsidRPr="001F41AD" w:rsidRDefault="0066329B" w:rsidP="00227164">
      <w:pPr>
        <w:spacing w:after="0"/>
        <w:jc w:val="both"/>
        <w:rPr>
          <w:rFonts w:ascii="Arial" w:hAnsi="Arial" w:cs="Arial"/>
          <w:sz w:val="22"/>
        </w:rPr>
      </w:pPr>
    </w:p>
    <w:p w:rsidR="00227164" w:rsidRPr="002F46BF" w:rsidRDefault="00227164" w:rsidP="00CC561D">
      <w:pPr>
        <w:pStyle w:val="ListParagraph"/>
        <w:numPr>
          <w:ilvl w:val="1"/>
          <w:numId w:val="9"/>
        </w:numPr>
        <w:spacing w:after="0" w:line="240" w:lineRule="auto"/>
        <w:jc w:val="both"/>
        <w:rPr>
          <w:rFonts w:ascii="Arial" w:hAnsi="Arial" w:cs="Arial"/>
          <w:sz w:val="22"/>
        </w:rPr>
      </w:pPr>
      <w:r w:rsidRPr="001F41AD">
        <w:rPr>
          <w:rFonts w:ascii="Arial" w:hAnsi="Arial" w:cs="Arial"/>
          <w:sz w:val="22"/>
        </w:rPr>
        <w:lastRenderedPageBreak/>
        <w:t>The ESC advised of uncertainty in the modelled economic evaluation associated with the assumption of the average age of patients at baseline, and the estimate of a 28</w:t>
      </w:r>
      <w:r w:rsidRPr="002B0D9C">
        <w:rPr>
          <w:rFonts w:ascii="Arial" w:hAnsi="Arial" w:cs="Arial"/>
          <w:sz w:val="22"/>
        </w:rPr>
        <w:t>%</w:t>
      </w:r>
      <w:r w:rsidRPr="002F46BF">
        <w:rPr>
          <w:rFonts w:ascii="Arial" w:hAnsi="Arial" w:cs="Arial"/>
          <w:sz w:val="22"/>
        </w:rPr>
        <w:t xml:space="preserve"> reduction in utility for iron chelation via subcutaneous infusion compared with oral therapy.</w:t>
      </w:r>
    </w:p>
    <w:p w:rsidR="00070DAC" w:rsidRDefault="00070DAC" w:rsidP="00227164">
      <w:pPr>
        <w:spacing w:after="0"/>
        <w:jc w:val="both"/>
        <w:rPr>
          <w:rFonts w:ascii="Arial" w:hAnsi="Arial" w:cs="Arial"/>
          <w:sz w:val="22"/>
        </w:rPr>
      </w:pPr>
    </w:p>
    <w:p w:rsidR="00255E05" w:rsidRDefault="00255E05">
      <w:pPr>
        <w:rPr>
          <w:rFonts w:ascii="Arial" w:hAnsi="Arial" w:cs="Arial"/>
          <w:sz w:val="22"/>
        </w:rPr>
      </w:pPr>
      <w:r>
        <w:rPr>
          <w:rFonts w:ascii="Arial" w:hAnsi="Arial" w:cs="Arial"/>
          <w:sz w:val="22"/>
        </w:rPr>
        <w:br w:type="page"/>
      </w:r>
    </w:p>
    <w:p w:rsidR="00255E05" w:rsidRPr="002F46BF" w:rsidRDefault="00255E05" w:rsidP="00227164">
      <w:pPr>
        <w:spacing w:after="0"/>
        <w:jc w:val="both"/>
        <w:rPr>
          <w:rFonts w:ascii="Arial" w:hAnsi="Arial" w:cs="Arial"/>
          <w:sz w:val="22"/>
        </w:rPr>
      </w:pPr>
    </w:p>
    <w:p w:rsidR="00CB1565" w:rsidRPr="002F46BF" w:rsidRDefault="00CB1565" w:rsidP="00CC561D">
      <w:pPr>
        <w:pStyle w:val="ListParagraph"/>
        <w:numPr>
          <w:ilvl w:val="0"/>
          <w:numId w:val="9"/>
        </w:numPr>
        <w:spacing w:after="0" w:line="240" w:lineRule="auto"/>
        <w:jc w:val="both"/>
        <w:rPr>
          <w:rFonts w:ascii="Arial" w:hAnsi="Arial" w:cs="Arial"/>
          <w:b/>
          <w:sz w:val="22"/>
        </w:rPr>
      </w:pPr>
      <w:r w:rsidRPr="002F46BF">
        <w:rPr>
          <w:rFonts w:ascii="Arial" w:hAnsi="Arial" w:cs="Arial"/>
          <w:b/>
          <w:sz w:val="22"/>
        </w:rPr>
        <w:t>PBAC Outcome</w:t>
      </w:r>
    </w:p>
    <w:p w:rsidR="001103D0" w:rsidRDefault="001103D0" w:rsidP="00A3615C">
      <w:pPr>
        <w:spacing w:after="0"/>
        <w:jc w:val="both"/>
        <w:rPr>
          <w:rFonts w:ascii="Arial" w:hAnsi="Arial" w:cs="Arial"/>
          <w:sz w:val="22"/>
        </w:rPr>
      </w:pPr>
    </w:p>
    <w:p w:rsidR="00731BD2" w:rsidRDefault="00731BD2" w:rsidP="00CC561D">
      <w:pPr>
        <w:pStyle w:val="ListParagraph"/>
        <w:numPr>
          <w:ilvl w:val="1"/>
          <w:numId w:val="9"/>
        </w:numPr>
        <w:spacing w:after="0" w:line="240" w:lineRule="auto"/>
        <w:jc w:val="both"/>
        <w:rPr>
          <w:rFonts w:ascii="Arial" w:hAnsi="Arial" w:cs="Arial"/>
          <w:sz w:val="22"/>
        </w:rPr>
      </w:pPr>
      <w:r>
        <w:rPr>
          <w:rFonts w:ascii="Arial" w:hAnsi="Arial" w:cs="Arial"/>
          <w:sz w:val="22"/>
        </w:rPr>
        <w:t>The PBAC considered the findings of the DUSC review of iron chelating agents</w:t>
      </w:r>
      <w:r w:rsidR="00424D13">
        <w:rPr>
          <w:rFonts w:ascii="Arial" w:hAnsi="Arial" w:cs="Arial"/>
          <w:sz w:val="22"/>
        </w:rPr>
        <w:t>, noting that the use of defer</w:t>
      </w:r>
      <w:r w:rsidR="0050615C">
        <w:rPr>
          <w:rFonts w:ascii="Arial" w:hAnsi="Arial" w:cs="Arial"/>
          <w:sz w:val="22"/>
        </w:rPr>
        <w:t>a</w:t>
      </w:r>
      <w:r w:rsidR="00424D13">
        <w:rPr>
          <w:rFonts w:ascii="Arial" w:hAnsi="Arial" w:cs="Arial"/>
          <w:sz w:val="22"/>
        </w:rPr>
        <w:t>sirox</w:t>
      </w:r>
      <w:r w:rsidR="00EE1107">
        <w:rPr>
          <w:rFonts w:ascii="Arial" w:hAnsi="Arial" w:cs="Arial"/>
          <w:sz w:val="22"/>
        </w:rPr>
        <w:t>, in particular 500 mg deferasirox, is much high</w:t>
      </w:r>
      <w:r w:rsidR="00925278">
        <w:rPr>
          <w:rFonts w:ascii="Arial" w:hAnsi="Arial" w:cs="Arial"/>
          <w:sz w:val="22"/>
        </w:rPr>
        <w:t xml:space="preserve">er than that estimated at the time of </w:t>
      </w:r>
      <w:r w:rsidR="00EE1107">
        <w:rPr>
          <w:rFonts w:ascii="Arial" w:hAnsi="Arial" w:cs="Arial"/>
          <w:sz w:val="22"/>
        </w:rPr>
        <w:t>PBS listing.</w:t>
      </w:r>
      <w:r w:rsidR="00925278">
        <w:rPr>
          <w:rFonts w:ascii="Arial" w:hAnsi="Arial" w:cs="Arial"/>
          <w:sz w:val="22"/>
        </w:rPr>
        <w:t xml:space="preserve">  The PBAC also</w:t>
      </w:r>
      <w:r w:rsidR="0005474E">
        <w:rPr>
          <w:rFonts w:ascii="Arial" w:hAnsi="Arial" w:cs="Arial"/>
          <w:sz w:val="22"/>
        </w:rPr>
        <w:t xml:space="preserve"> noted that 59 % of patients receiving an iron chelating agent in the second quarter of 2013 were over 55 years of age.  The PBAC a</w:t>
      </w:r>
      <w:r>
        <w:rPr>
          <w:rFonts w:ascii="Arial" w:hAnsi="Arial" w:cs="Arial"/>
          <w:sz w:val="22"/>
        </w:rPr>
        <w:t xml:space="preserve">greed with the DUSC that a considerable proportion of the PBS utilisation of deferasirox is likely to be </w:t>
      </w:r>
      <w:r w:rsidR="0005474E">
        <w:rPr>
          <w:rFonts w:ascii="Arial" w:hAnsi="Arial" w:cs="Arial"/>
          <w:sz w:val="22"/>
        </w:rPr>
        <w:t>for myelodysplastic syndrome</w:t>
      </w:r>
      <w:r w:rsidR="00621854">
        <w:rPr>
          <w:rFonts w:ascii="Arial" w:hAnsi="Arial" w:cs="Arial"/>
          <w:sz w:val="22"/>
        </w:rPr>
        <w:t>s</w:t>
      </w:r>
      <w:r w:rsidR="005E5B2F">
        <w:rPr>
          <w:rFonts w:ascii="Arial" w:hAnsi="Arial" w:cs="Arial"/>
          <w:sz w:val="22"/>
        </w:rPr>
        <w:t xml:space="preserve"> (MDS)</w:t>
      </w:r>
      <w:r w:rsidR="0005474E">
        <w:rPr>
          <w:rFonts w:ascii="Arial" w:hAnsi="Arial" w:cs="Arial"/>
          <w:sz w:val="22"/>
        </w:rPr>
        <w:t>, rather than for thalass</w:t>
      </w:r>
      <w:r w:rsidR="006618D1">
        <w:rPr>
          <w:rFonts w:ascii="Arial" w:hAnsi="Arial" w:cs="Arial"/>
          <w:sz w:val="22"/>
        </w:rPr>
        <w:t>a</w:t>
      </w:r>
      <w:r w:rsidR="0005474E">
        <w:rPr>
          <w:rFonts w:ascii="Arial" w:hAnsi="Arial" w:cs="Arial"/>
          <w:sz w:val="22"/>
        </w:rPr>
        <w:t xml:space="preserve">emia, </w:t>
      </w:r>
      <w:r w:rsidR="00537579">
        <w:rPr>
          <w:rFonts w:ascii="Arial" w:hAnsi="Arial" w:cs="Arial"/>
          <w:sz w:val="22"/>
        </w:rPr>
        <w:t xml:space="preserve">given the proportion of use </w:t>
      </w:r>
      <w:r w:rsidR="0050615C">
        <w:rPr>
          <w:rFonts w:ascii="Arial" w:hAnsi="Arial" w:cs="Arial"/>
          <w:sz w:val="22"/>
        </w:rPr>
        <w:t xml:space="preserve">in patients over the age of </w:t>
      </w:r>
      <w:r w:rsidR="006D753B">
        <w:rPr>
          <w:rFonts w:ascii="Arial" w:hAnsi="Arial" w:cs="Arial"/>
          <w:sz w:val="22"/>
        </w:rPr>
        <w:t>55, and the high proportion of use in</w:t>
      </w:r>
      <w:r w:rsidR="00537579">
        <w:rPr>
          <w:rFonts w:ascii="Arial" w:hAnsi="Arial" w:cs="Arial"/>
          <w:sz w:val="22"/>
        </w:rPr>
        <w:t xml:space="preserve"> males over the age of 55.</w:t>
      </w:r>
    </w:p>
    <w:p w:rsidR="00C23C24" w:rsidRDefault="00C23C24" w:rsidP="00A3615C">
      <w:pPr>
        <w:spacing w:after="0"/>
        <w:jc w:val="both"/>
        <w:rPr>
          <w:rFonts w:ascii="Arial" w:hAnsi="Arial" w:cs="Arial"/>
          <w:sz w:val="22"/>
        </w:rPr>
      </w:pPr>
    </w:p>
    <w:p w:rsidR="0059471D" w:rsidRDefault="00621854" w:rsidP="00CC561D">
      <w:pPr>
        <w:pStyle w:val="ListParagraph"/>
        <w:numPr>
          <w:ilvl w:val="1"/>
          <w:numId w:val="9"/>
        </w:numPr>
        <w:spacing w:after="0" w:line="240" w:lineRule="auto"/>
        <w:jc w:val="both"/>
        <w:rPr>
          <w:rFonts w:ascii="Arial" w:hAnsi="Arial" w:cs="Arial"/>
          <w:sz w:val="22"/>
        </w:rPr>
      </w:pPr>
      <w:r>
        <w:rPr>
          <w:rFonts w:ascii="Arial" w:hAnsi="Arial" w:cs="Arial"/>
          <w:sz w:val="22"/>
        </w:rPr>
        <w:t>The PBAC considered that the use of deferas</w:t>
      </w:r>
      <w:r w:rsidR="0059471D">
        <w:rPr>
          <w:rFonts w:ascii="Arial" w:hAnsi="Arial" w:cs="Arial"/>
          <w:sz w:val="22"/>
        </w:rPr>
        <w:t xml:space="preserve">irox in MDS is controversial and its clinical place in MDS is unclear.  </w:t>
      </w:r>
      <w:r w:rsidR="009A731D">
        <w:rPr>
          <w:rFonts w:ascii="Arial" w:hAnsi="Arial" w:cs="Arial"/>
          <w:sz w:val="22"/>
        </w:rPr>
        <w:t>Noting that it has never received an application for PBS-listing of deferasirox for this indication, t</w:t>
      </w:r>
      <w:r w:rsidR="0059471D" w:rsidRPr="002F46BF">
        <w:rPr>
          <w:rFonts w:ascii="Arial" w:hAnsi="Arial" w:cs="Arial"/>
          <w:sz w:val="22"/>
        </w:rPr>
        <w:t xml:space="preserve">he PBAC </w:t>
      </w:r>
      <w:r w:rsidR="0059471D">
        <w:rPr>
          <w:rFonts w:ascii="Arial" w:hAnsi="Arial" w:cs="Arial"/>
          <w:sz w:val="22"/>
        </w:rPr>
        <w:t>requested that clinical advice be sought on the use of iron chelating agents, in particular deferasirox, in MDS</w:t>
      </w:r>
      <w:r w:rsidR="009A731D">
        <w:rPr>
          <w:rFonts w:ascii="Arial" w:hAnsi="Arial" w:cs="Arial"/>
          <w:sz w:val="22"/>
        </w:rPr>
        <w:t xml:space="preserve"> and other malignant haematological diseases associated with chronic transfusions</w:t>
      </w:r>
      <w:r w:rsidR="0059471D">
        <w:rPr>
          <w:rFonts w:ascii="Arial" w:hAnsi="Arial" w:cs="Arial"/>
          <w:sz w:val="22"/>
        </w:rPr>
        <w:t xml:space="preserve"> from relevant professional bodies including the Haematological Society of Australia and New Zealand, the Australian and New Zealand Childrens </w:t>
      </w:r>
      <w:r w:rsidR="00ED06DA">
        <w:rPr>
          <w:rFonts w:ascii="Arial" w:hAnsi="Arial" w:cs="Arial"/>
          <w:sz w:val="22"/>
        </w:rPr>
        <w:t>Haematology</w:t>
      </w:r>
      <w:r w:rsidR="0059471D">
        <w:rPr>
          <w:rFonts w:ascii="Arial" w:hAnsi="Arial" w:cs="Arial"/>
          <w:sz w:val="22"/>
        </w:rPr>
        <w:t>/ Oncology Group and the Royal College of Pathologists of Australasia.</w:t>
      </w:r>
      <w:r w:rsidR="009A731D">
        <w:rPr>
          <w:rFonts w:ascii="Arial" w:hAnsi="Arial" w:cs="Arial"/>
          <w:sz w:val="22"/>
        </w:rPr>
        <w:t xml:space="preserve"> Key information requested from these organisations includes (i) definition of which patients may benefit; (ii) what the benefits are and the evidence for these benefits; and (iii) the utility of standard tests such as serum iron studies and serum ferritin to inform treatment decisions about iron chelation. </w:t>
      </w:r>
    </w:p>
    <w:p w:rsidR="0059471D" w:rsidRDefault="0059471D" w:rsidP="00A3615C">
      <w:pPr>
        <w:spacing w:after="0"/>
        <w:jc w:val="both"/>
        <w:rPr>
          <w:rFonts w:ascii="Arial" w:hAnsi="Arial" w:cs="Arial"/>
          <w:sz w:val="22"/>
        </w:rPr>
      </w:pPr>
    </w:p>
    <w:p w:rsidR="005100EB" w:rsidRDefault="0059471D" w:rsidP="00CC561D">
      <w:pPr>
        <w:pStyle w:val="ListParagraph"/>
        <w:numPr>
          <w:ilvl w:val="1"/>
          <w:numId w:val="9"/>
        </w:numPr>
        <w:spacing w:after="0" w:line="240" w:lineRule="auto"/>
        <w:jc w:val="both"/>
        <w:rPr>
          <w:rFonts w:ascii="Arial" w:hAnsi="Arial" w:cs="Arial"/>
          <w:sz w:val="22"/>
        </w:rPr>
      </w:pPr>
      <w:r w:rsidRPr="0050615C">
        <w:rPr>
          <w:rFonts w:ascii="Arial" w:hAnsi="Arial" w:cs="Arial"/>
          <w:sz w:val="22"/>
        </w:rPr>
        <w:t>The PBAC</w:t>
      </w:r>
      <w:r>
        <w:rPr>
          <w:rFonts w:ascii="Arial" w:hAnsi="Arial" w:cs="Arial"/>
          <w:sz w:val="22"/>
        </w:rPr>
        <w:t xml:space="preserve"> recalled that its decision to recommend the listing of deferasirox in July 2006 was based on evidence predominantly of use in thalassaemia.  </w:t>
      </w:r>
      <w:r w:rsidR="002E273E">
        <w:rPr>
          <w:rFonts w:ascii="Arial" w:hAnsi="Arial" w:cs="Arial"/>
          <w:sz w:val="22"/>
        </w:rPr>
        <w:t>The PBAC also noted that the cost effectiveness of deferasirox was great</w:t>
      </w:r>
      <w:r w:rsidR="004D5350">
        <w:rPr>
          <w:rFonts w:ascii="Arial" w:hAnsi="Arial" w:cs="Arial"/>
          <w:sz w:val="22"/>
        </w:rPr>
        <w:t xml:space="preserve">ly affected by the age of onset and the </w:t>
      </w:r>
      <w:r w:rsidR="009A731D">
        <w:rPr>
          <w:rFonts w:ascii="Arial" w:hAnsi="Arial" w:cs="Arial"/>
          <w:sz w:val="22"/>
        </w:rPr>
        <w:t xml:space="preserve">100 year </w:t>
      </w:r>
      <w:r w:rsidR="004D5350">
        <w:rPr>
          <w:rFonts w:ascii="Arial" w:hAnsi="Arial" w:cs="Arial"/>
          <w:sz w:val="22"/>
        </w:rPr>
        <w:t>time horizon used in the economic modelling.</w:t>
      </w:r>
      <w:r w:rsidR="002E273E">
        <w:rPr>
          <w:rFonts w:ascii="Arial" w:hAnsi="Arial" w:cs="Arial"/>
          <w:sz w:val="22"/>
        </w:rPr>
        <w:t xml:space="preserve">  </w:t>
      </w:r>
      <w:r w:rsidR="009A731D">
        <w:rPr>
          <w:rFonts w:ascii="Arial" w:hAnsi="Arial" w:cs="Arial"/>
          <w:sz w:val="22"/>
        </w:rPr>
        <w:t>As the age of onset and the time horizon for patients with MDS</w:t>
      </w:r>
      <w:r w:rsidR="0027359E">
        <w:rPr>
          <w:rFonts w:ascii="Arial" w:hAnsi="Arial" w:cs="Arial"/>
          <w:sz w:val="22"/>
        </w:rPr>
        <w:t xml:space="preserve"> are substantially different to those of patients with thalassemia used in the original economic model, and that the direction of change must increase the incremental cost effectiveness ratio,</w:t>
      </w:r>
      <w:r w:rsidR="009A731D">
        <w:rPr>
          <w:rFonts w:ascii="Arial" w:hAnsi="Arial" w:cs="Arial"/>
          <w:sz w:val="22"/>
        </w:rPr>
        <w:t xml:space="preserve"> </w:t>
      </w:r>
      <w:r w:rsidR="0027359E">
        <w:rPr>
          <w:rFonts w:ascii="Arial" w:hAnsi="Arial" w:cs="Arial"/>
          <w:sz w:val="22"/>
        </w:rPr>
        <w:t xml:space="preserve">the </w:t>
      </w:r>
      <w:r>
        <w:rPr>
          <w:rFonts w:ascii="Arial" w:hAnsi="Arial" w:cs="Arial"/>
          <w:sz w:val="22"/>
        </w:rPr>
        <w:t xml:space="preserve">PBAC considered that the use of deferasirox </w:t>
      </w:r>
      <w:r w:rsidR="00AE1918">
        <w:rPr>
          <w:rFonts w:ascii="Arial" w:hAnsi="Arial" w:cs="Arial"/>
          <w:sz w:val="22"/>
        </w:rPr>
        <w:t xml:space="preserve">in MDS </w:t>
      </w:r>
      <w:r>
        <w:rPr>
          <w:rFonts w:ascii="Arial" w:hAnsi="Arial" w:cs="Arial"/>
          <w:sz w:val="22"/>
        </w:rPr>
        <w:t xml:space="preserve">has not been shown </w:t>
      </w:r>
      <w:r w:rsidR="00AE1918">
        <w:rPr>
          <w:rFonts w:ascii="Arial" w:hAnsi="Arial" w:cs="Arial"/>
          <w:sz w:val="22"/>
        </w:rPr>
        <w:t>to be cost effective</w:t>
      </w:r>
      <w:r>
        <w:rPr>
          <w:rFonts w:ascii="Arial" w:hAnsi="Arial" w:cs="Arial"/>
          <w:sz w:val="22"/>
        </w:rPr>
        <w:t>.</w:t>
      </w:r>
      <w:r w:rsidR="002D0FEF">
        <w:rPr>
          <w:rFonts w:ascii="Arial" w:hAnsi="Arial" w:cs="Arial"/>
          <w:sz w:val="22"/>
        </w:rPr>
        <w:t xml:space="preserve">  The PBAC hence recommended that the PBS restri</w:t>
      </w:r>
      <w:r w:rsidR="00AE1918">
        <w:rPr>
          <w:rFonts w:ascii="Arial" w:hAnsi="Arial" w:cs="Arial"/>
          <w:sz w:val="22"/>
        </w:rPr>
        <w:t xml:space="preserve">ction for deferasirox be amended </w:t>
      </w:r>
      <w:r w:rsidR="00AE1918" w:rsidRPr="002B0D9C">
        <w:rPr>
          <w:rFonts w:ascii="Arial" w:hAnsi="Arial" w:cs="Arial"/>
          <w:sz w:val="22"/>
        </w:rPr>
        <w:t>to</w:t>
      </w:r>
      <w:r w:rsidR="0027359E" w:rsidRPr="002B0D9C">
        <w:rPr>
          <w:rFonts w:ascii="Arial" w:hAnsi="Arial" w:cs="Arial"/>
          <w:sz w:val="22"/>
        </w:rPr>
        <w:t>: Chronic iron overload in patients with non-malignant disorders of erythropoiesis. Given the apparent widespread use beyond the intended original restriction, the PBAC</w:t>
      </w:r>
      <w:r w:rsidR="00E07F93" w:rsidRPr="002B0D9C">
        <w:rPr>
          <w:rFonts w:ascii="Arial" w:hAnsi="Arial" w:cs="Arial"/>
          <w:sz w:val="22"/>
        </w:rPr>
        <w:t xml:space="preserve"> recommended that the restriction category for deferasirox be changed to a</w:t>
      </w:r>
      <w:r w:rsidR="007F2DA4" w:rsidRPr="002B0D9C">
        <w:rPr>
          <w:rFonts w:ascii="Arial" w:hAnsi="Arial" w:cs="Arial"/>
          <w:sz w:val="22"/>
        </w:rPr>
        <w:t xml:space="preserve"> written </w:t>
      </w:r>
      <w:r w:rsidR="0027359E" w:rsidRPr="002B0D9C">
        <w:rPr>
          <w:rFonts w:ascii="Arial" w:hAnsi="Arial" w:cs="Arial"/>
          <w:sz w:val="22"/>
        </w:rPr>
        <w:t xml:space="preserve">authority for the initial use, with </w:t>
      </w:r>
      <w:r w:rsidR="00E07F93" w:rsidRPr="002B0D9C">
        <w:rPr>
          <w:rFonts w:ascii="Arial" w:hAnsi="Arial" w:cs="Arial"/>
          <w:sz w:val="22"/>
        </w:rPr>
        <w:t>a telephone</w:t>
      </w:r>
      <w:r w:rsidR="007F2DA4" w:rsidRPr="002B0D9C">
        <w:rPr>
          <w:rFonts w:ascii="Arial" w:hAnsi="Arial" w:cs="Arial"/>
          <w:sz w:val="22"/>
        </w:rPr>
        <w:t xml:space="preserve"> </w:t>
      </w:r>
      <w:r w:rsidR="0027359E" w:rsidRPr="002B0D9C">
        <w:rPr>
          <w:rFonts w:ascii="Arial" w:hAnsi="Arial" w:cs="Arial"/>
          <w:sz w:val="22"/>
        </w:rPr>
        <w:t xml:space="preserve">authority </w:t>
      </w:r>
      <w:r w:rsidR="007F2DA4" w:rsidRPr="002B0D9C">
        <w:rPr>
          <w:rFonts w:ascii="Arial" w:hAnsi="Arial" w:cs="Arial"/>
          <w:sz w:val="22"/>
        </w:rPr>
        <w:t xml:space="preserve">required listing </w:t>
      </w:r>
      <w:r w:rsidR="00E07F93" w:rsidRPr="002B0D9C">
        <w:rPr>
          <w:rFonts w:ascii="Arial" w:hAnsi="Arial" w:cs="Arial"/>
          <w:sz w:val="22"/>
        </w:rPr>
        <w:t>for continuing</w:t>
      </w:r>
      <w:r w:rsidR="0027359E" w:rsidRPr="002B0D9C">
        <w:rPr>
          <w:rFonts w:ascii="Arial" w:hAnsi="Arial" w:cs="Arial"/>
          <w:sz w:val="22"/>
        </w:rPr>
        <w:t xml:space="preserve"> use.</w:t>
      </w:r>
      <w:r w:rsidR="00AE1918" w:rsidRPr="003851F6">
        <w:rPr>
          <w:rFonts w:ascii="Arial" w:hAnsi="Arial" w:cs="Arial"/>
          <w:sz w:val="22"/>
        </w:rPr>
        <w:t xml:space="preserve"> </w:t>
      </w:r>
    </w:p>
    <w:p w:rsidR="0059471D" w:rsidRDefault="0059471D" w:rsidP="00A3615C">
      <w:pPr>
        <w:spacing w:after="0"/>
        <w:jc w:val="both"/>
        <w:rPr>
          <w:rFonts w:ascii="Arial" w:hAnsi="Arial" w:cs="Arial"/>
          <w:sz w:val="22"/>
        </w:rPr>
      </w:pPr>
    </w:p>
    <w:p w:rsidR="00C8446C" w:rsidRDefault="002D0FEF" w:rsidP="00CC561D">
      <w:pPr>
        <w:pStyle w:val="ListParagraph"/>
        <w:numPr>
          <w:ilvl w:val="1"/>
          <w:numId w:val="9"/>
        </w:numPr>
        <w:spacing w:after="0" w:line="240" w:lineRule="auto"/>
        <w:jc w:val="both"/>
        <w:rPr>
          <w:rFonts w:ascii="Arial" w:hAnsi="Arial" w:cs="Arial"/>
          <w:sz w:val="22"/>
        </w:rPr>
      </w:pPr>
      <w:r>
        <w:rPr>
          <w:rFonts w:ascii="Arial" w:hAnsi="Arial" w:cs="Arial"/>
          <w:sz w:val="22"/>
        </w:rPr>
        <w:t>The PBAC noted tha</w:t>
      </w:r>
      <w:r w:rsidR="002E2E3F">
        <w:rPr>
          <w:rFonts w:ascii="Arial" w:hAnsi="Arial" w:cs="Arial"/>
          <w:sz w:val="22"/>
        </w:rPr>
        <w:t xml:space="preserve">t the sponsor may submit an </w:t>
      </w:r>
      <w:r>
        <w:rPr>
          <w:rFonts w:ascii="Arial" w:hAnsi="Arial" w:cs="Arial"/>
          <w:sz w:val="22"/>
        </w:rPr>
        <w:t xml:space="preserve">application </w:t>
      </w:r>
      <w:r w:rsidR="002E2E3F">
        <w:rPr>
          <w:rFonts w:ascii="Arial" w:hAnsi="Arial" w:cs="Arial"/>
          <w:sz w:val="22"/>
        </w:rPr>
        <w:t xml:space="preserve">to the PBAC </w:t>
      </w:r>
      <w:r>
        <w:rPr>
          <w:rFonts w:ascii="Arial" w:hAnsi="Arial" w:cs="Arial"/>
          <w:sz w:val="22"/>
        </w:rPr>
        <w:t xml:space="preserve">to extend the listing of deferasirox to include MDS </w:t>
      </w:r>
      <w:r w:rsidR="00E054D4">
        <w:rPr>
          <w:rFonts w:ascii="Arial" w:hAnsi="Arial" w:cs="Arial"/>
          <w:sz w:val="22"/>
        </w:rPr>
        <w:t xml:space="preserve">and other malignant haematological diseases associated with chronic transfusions </w:t>
      </w:r>
      <w:r>
        <w:rPr>
          <w:rFonts w:ascii="Arial" w:hAnsi="Arial" w:cs="Arial"/>
          <w:sz w:val="22"/>
        </w:rPr>
        <w:t xml:space="preserve">with evidence to support </w:t>
      </w:r>
      <w:r w:rsidR="00FF1F40">
        <w:rPr>
          <w:rFonts w:ascii="Arial" w:hAnsi="Arial" w:cs="Arial"/>
          <w:sz w:val="22"/>
        </w:rPr>
        <w:t xml:space="preserve">the </w:t>
      </w:r>
      <w:r>
        <w:rPr>
          <w:rFonts w:ascii="Arial" w:hAnsi="Arial" w:cs="Arial"/>
          <w:sz w:val="22"/>
        </w:rPr>
        <w:t>clinical efficacy and safety and cost effectiveness in this indication.</w:t>
      </w:r>
    </w:p>
    <w:p w:rsidR="00EC040B" w:rsidRDefault="00EC040B" w:rsidP="00A3615C">
      <w:pPr>
        <w:spacing w:after="0"/>
        <w:jc w:val="both"/>
        <w:rPr>
          <w:rFonts w:ascii="Arial" w:hAnsi="Arial" w:cs="Arial"/>
          <w:sz w:val="22"/>
        </w:rPr>
      </w:pPr>
    </w:p>
    <w:p w:rsidR="00255E05" w:rsidRDefault="00255E05" w:rsidP="00A3615C">
      <w:pPr>
        <w:spacing w:after="0"/>
        <w:jc w:val="both"/>
        <w:rPr>
          <w:rFonts w:ascii="Arial" w:hAnsi="Arial" w:cs="Arial"/>
          <w:sz w:val="22"/>
        </w:rPr>
      </w:pPr>
    </w:p>
    <w:p w:rsidR="00FF1F40" w:rsidRDefault="00FF1F40" w:rsidP="00D97C1B">
      <w:pPr>
        <w:spacing w:after="0"/>
        <w:rPr>
          <w:rFonts w:ascii="Arial" w:hAnsi="Arial" w:cs="Arial"/>
          <w:b/>
          <w:sz w:val="22"/>
        </w:rPr>
      </w:pPr>
      <w:r>
        <w:rPr>
          <w:rFonts w:ascii="Arial" w:hAnsi="Arial" w:cs="Arial"/>
          <w:b/>
          <w:sz w:val="22"/>
        </w:rPr>
        <w:t>Outcome</w:t>
      </w:r>
    </w:p>
    <w:p w:rsidR="00B210A4" w:rsidRDefault="000842B2" w:rsidP="00D97C1B">
      <w:pPr>
        <w:spacing w:after="0"/>
        <w:rPr>
          <w:rFonts w:ascii="Arial" w:hAnsi="Arial" w:cs="Arial"/>
          <w:sz w:val="22"/>
        </w:rPr>
      </w:pPr>
      <w:r>
        <w:rPr>
          <w:rFonts w:ascii="Arial" w:hAnsi="Arial" w:cs="Arial"/>
          <w:sz w:val="22"/>
        </w:rPr>
        <w:t>Recommend.</w:t>
      </w:r>
    </w:p>
    <w:p w:rsidR="001B7D3B" w:rsidRDefault="001B7D3B" w:rsidP="00D97C1B">
      <w:pPr>
        <w:spacing w:after="0"/>
        <w:rPr>
          <w:rFonts w:ascii="Arial" w:hAnsi="Arial" w:cs="Arial"/>
          <w:sz w:val="22"/>
        </w:rPr>
      </w:pPr>
    </w:p>
    <w:p w:rsidR="00255E05" w:rsidRPr="006741A5" w:rsidRDefault="00255E05" w:rsidP="00D97C1B">
      <w:pPr>
        <w:spacing w:after="0"/>
        <w:rPr>
          <w:rFonts w:ascii="Arial" w:hAnsi="Arial" w:cs="Arial"/>
          <w:sz w:val="22"/>
        </w:rPr>
      </w:pPr>
    </w:p>
    <w:p w:rsidR="000842B2" w:rsidRDefault="000842B2" w:rsidP="00CC561D">
      <w:pPr>
        <w:pStyle w:val="ListParagraph"/>
        <w:numPr>
          <w:ilvl w:val="0"/>
          <w:numId w:val="9"/>
        </w:numPr>
        <w:spacing w:after="0" w:line="240" w:lineRule="auto"/>
        <w:jc w:val="both"/>
        <w:rPr>
          <w:rFonts w:ascii="Arial" w:hAnsi="Arial" w:cs="Arial"/>
          <w:b/>
          <w:sz w:val="22"/>
        </w:rPr>
      </w:pPr>
      <w:r>
        <w:rPr>
          <w:rFonts w:ascii="Arial" w:hAnsi="Arial" w:cs="Arial"/>
          <w:b/>
          <w:sz w:val="22"/>
        </w:rPr>
        <w:t>Recommended listing</w:t>
      </w:r>
    </w:p>
    <w:p w:rsidR="00E93564" w:rsidRDefault="00E93564" w:rsidP="00E93564">
      <w:pPr>
        <w:spacing w:after="0"/>
        <w:rPr>
          <w:rFonts w:ascii="Arial" w:hAnsi="Arial" w:cs="Arial"/>
          <w:sz w:val="22"/>
        </w:rPr>
      </w:pPr>
    </w:p>
    <w:p w:rsidR="003A6116" w:rsidRDefault="00E93564" w:rsidP="00CC561D">
      <w:pPr>
        <w:pStyle w:val="ListParagraph"/>
        <w:numPr>
          <w:ilvl w:val="1"/>
          <w:numId w:val="9"/>
        </w:numPr>
        <w:spacing w:after="0" w:line="240" w:lineRule="auto"/>
        <w:jc w:val="both"/>
        <w:rPr>
          <w:rFonts w:ascii="Arial" w:hAnsi="Arial" w:cs="Arial"/>
          <w:sz w:val="22"/>
        </w:rPr>
      </w:pPr>
      <w:r>
        <w:rPr>
          <w:rFonts w:ascii="Arial" w:hAnsi="Arial" w:cs="Arial"/>
          <w:sz w:val="22"/>
        </w:rPr>
        <w:t>Amend the existing listing of deferasirox as follows:</w:t>
      </w:r>
    </w:p>
    <w:p w:rsidR="004F2369" w:rsidRDefault="004F2369" w:rsidP="00D97C1B">
      <w:pPr>
        <w:spacing w:after="0"/>
        <w:rPr>
          <w:rFonts w:ascii="Arial" w:hAnsi="Arial" w:cs="Arial"/>
          <w:sz w:val="22"/>
        </w:rPr>
      </w:pPr>
    </w:p>
    <w:tbl>
      <w:tblPr>
        <w:tblW w:w="8363" w:type="dxa"/>
        <w:tblInd w:w="817" w:type="dxa"/>
        <w:tblLayout w:type="fixed"/>
        <w:tblLook w:val="0000" w:firstRow="0" w:lastRow="0" w:firstColumn="0" w:lastColumn="0" w:noHBand="0" w:noVBand="0"/>
      </w:tblPr>
      <w:tblGrid>
        <w:gridCol w:w="3544"/>
        <w:gridCol w:w="709"/>
        <w:gridCol w:w="708"/>
        <w:gridCol w:w="709"/>
        <w:gridCol w:w="1559"/>
        <w:gridCol w:w="1134"/>
      </w:tblGrid>
      <w:tr w:rsidR="00093A17" w:rsidTr="00732D5E">
        <w:trPr>
          <w:cantSplit/>
          <w:trHeight w:val="471"/>
        </w:trPr>
        <w:tc>
          <w:tcPr>
            <w:tcW w:w="3544" w:type="dxa"/>
            <w:tcBorders>
              <w:bottom w:val="single" w:sz="4" w:space="0" w:color="auto"/>
            </w:tcBorders>
          </w:tcPr>
          <w:p w:rsidR="00093A17" w:rsidRDefault="00093A17" w:rsidP="009A731D">
            <w:pPr>
              <w:keepNext/>
              <w:ind w:left="-108"/>
              <w:jc w:val="both"/>
              <w:rPr>
                <w:rFonts w:ascii="Arial" w:hAnsi="Arial"/>
                <w:sz w:val="20"/>
              </w:rPr>
            </w:pPr>
            <w:r>
              <w:rPr>
                <w:rFonts w:ascii="Arial" w:hAnsi="Arial"/>
                <w:sz w:val="20"/>
              </w:rPr>
              <w:t>Name, Restriction,</w:t>
            </w:r>
          </w:p>
          <w:p w:rsidR="00093A17" w:rsidRDefault="00093A17" w:rsidP="009A731D">
            <w:pPr>
              <w:keepNext/>
              <w:ind w:left="-108"/>
              <w:jc w:val="both"/>
              <w:rPr>
                <w:rFonts w:ascii="Arial" w:hAnsi="Arial"/>
                <w:sz w:val="20"/>
              </w:rPr>
            </w:pPr>
            <w:r>
              <w:rPr>
                <w:rFonts w:ascii="Arial" w:hAnsi="Arial"/>
                <w:sz w:val="20"/>
              </w:rPr>
              <w:t>Manner of administration and form</w:t>
            </w:r>
          </w:p>
        </w:tc>
        <w:tc>
          <w:tcPr>
            <w:tcW w:w="709" w:type="dxa"/>
            <w:tcBorders>
              <w:bottom w:val="single" w:sz="4" w:space="0" w:color="auto"/>
            </w:tcBorders>
          </w:tcPr>
          <w:p w:rsidR="00093A17" w:rsidRDefault="00093A17" w:rsidP="009A731D">
            <w:pPr>
              <w:keepNext/>
              <w:ind w:left="-108"/>
              <w:jc w:val="both"/>
              <w:rPr>
                <w:rFonts w:ascii="Arial" w:hAnsi="Arial"/>
                <w:sz w:val="20"/>
              </w:rPr>
            </w:pPr>
            <w:r>
              <w:rPr>
                <w:rFonts w:ascii="Arial" w:hAnsi="Arial"/>
                <w:sz w:val="20"/>
              </w:rPr>
              <w:t>Max.</w:t>
            </w:r>
          </w:p>
          <w:p w:rsidR="00093A17" w:rsidRDefault="00093A17" w:rsidP="009A731D">
            <w:pPr>
              <w:keepNext/>
              <w:ind w:left="-108"/>
              <w:jc w:val="both"/>
              <w:rPr>
                <w:rFonts w:ascii="Arial" w:hAnsi="Arial"/>
                <w:sz w:val="20"/>
              </w:rPr>
            </w:pPr>
            <w:r>
              <w:rPr>
                <w:rFonts w:ascii="Arial" w:hAnsi="Arial"/>
                <w:sz w:val="20"/>
              </w:rPr>
              <w:t>Qty</w:t>
            </w:r>
          </w:p>
          <w:p w:rsidR="00E454A5" w:rsidRDefault="00E454A5" w:rsidP="009A731D">
            <w:pPr>
              <w:keepNext/>
              <w:ind w:left="-108"/>
              <w:jc w:val="both"/>
              <w:rPr>
                <w:rFonts w:ascii="Arial" w:hAnsi="Arial"/>
                <w:sz w:val="20"/>
              </w:rPr>
            </w:pPr>
            <w:r>
              <w:rPr>
                <w:rFonts w:ascii="Arial" w:hAnsi="Arial"/>
                <w:sz w:val="20"/>
              </w:rPr>
              <w:t>packs</w:t>
            </w:r>
          </w:p>
        </w:tc>
        <w:tc>
          <w:tcPr>
            <w:tcW w:w="708" w:type="dxa"/>
            <w:tcBorders>
              <w:bottom w:val="single" w:sz="4" w:space="0" w:color="auto"/>
            </w:tcBorders>
          </w:tcPr>
          <w:p w:rsidR="00093A17" w:rsidRDefault="00E454A5" w:rsidP="009A731D">
            <w:pPr>
              <w:keepNext/>
              <w:ind w:left="-108"/>
              <w:jc w:val="both"/>
              <w:rPr>
                <w:rFonts w:ascii="Arial" w:hAnsi="Arial"/>
                <w:sz w:val="20"/>
              </w:rPr>
            </w:pPr>
            <w:r>
              <w:rPr>
                <w:rFonts w:ascii="Arial" w:hAnsi="Arial"/>
                <w:sz w:val="20"/>
              </w:rPr>
              <w:t>Max.</w:t>
            </w:r>
          </w:p>
          <w:p w:rsidR="00E454A5" w:rsidRDefault="00E454A5" w:rsidP="009A731D">
            <w:pPr>
              <w:keepNext/>
              <w:ind w:left="-108"/>
              <w:jc w:val="both"/>
              <w:rPr>
                <w:rFonts w:ascii="Arial" w:hAnsi="Arial"/>
                <w:sz w:val="20"/>
              </w:rPr>
            </w:pPr>
            <w:r>
              <w:rPr>
                <w:rFonts w:ascii="Arial" w:hAnsi="Arial"/>
                <w:sz w:val="20"/>
              </w:rPr>
              <w:t>Qty</w:t>
            </w:r>
          </w:p>
          <w:p w:rsidR="00E454A5" w:rsidRDefault="00E454A5" w:rsidP="009A731D">
            <w:pPr>
              <w:keepNext/>
              <w:ind w:left="-108"/>
              <w:jc w:val="both"/>
              <w:rPr>
                <w:rFonts w:ascii="Arial" w:hAnsi="Arial"/>
                <w:sz w:val="20"/>
              </w:rPr>
            </w:pPr>
            <w:r>
              <w:rPr>
                <w:rFonts w:ascii="Arial" w:hAnsi="Arial"/>
                <w:sz w:val="20"/>
              </w:rPr>
              <w:t>Units</w:t>
            </w:r>
          </w:p>
        </w:tc>
        <w:tc>
          <w:tcPr>
            <w:tcW w:w="709" w:type="dxa"/>
            <w:tcBorders>
              <w:bottom w:val="single" w:sz="4" w:space="0" w:color="auto"/>
            </w:tcBorders>
          </w:tcPr>
          <w:p w:rsidR="00E454A5" w:rsidRDefault="00E454A5" w:rsidP="00E454A5">
            <w:pPr>
              <w:keepNext/>
              <w:ind w:left="-108"/>
              <w:jc w:val="both"/>
              <w:rPr>
                <w:rFonts w:ascii="Arial" w:hAnsi="Arial"/>
                <w:sz w:val="20"/>
              </w:rPr>
            </w:pPr>
            <w:r>
              <w:rPr>
                <w:rFonts w:ascii="Arial" w:hAnsi="Arial"/>
                <w:sz w:val="20"/>
              </w:rPr>
              <w:t>№.of</w:t>
            </w:r>
          </w:p>
          <w:p w:rsidR="00093A17" w:rsidRDefault="00E454A5" w:rsidP="00E454A5">
            <w:pPr>
              <w:keepNext/>
              <w:ind w:left="-108"/>
              <w:jc w:val="both"/>
              <w:rPr>
                <w:rFonts w:ascii="Arial" w:hAnsi="Arial"/>
                <w:sz w:val="20"/>
              </w:rPr>
            </w:pPr>
            <w:r>
              <w:rPr>
                <w:rFonts w:ascii="Arial" w:hAnsi="Arial"/>
                <w:sz w:val="20"/>
              </w:rPr>
              <w:t>Rpts</w:t>
            </w:r>
          </w:p>
        </w:tc>
        <w:tc>
          <w:tcPr>
            <w:tcW w:w="2693" w:type="dxa"/>
            <w:gridSpan w:val="2"/>
            <w:tcBorders>
              <w:bottom w:val="single" w:sz="4" w:space="0" w:color="auto"/>
            </w:tcBorders>
          </w:tcPr>
          <w:p w:rsidR="00093A17" w:rsidRDefault="00093A17" w:rsidP="009A731D">
            <w:pPr>
              <w:keepNext/>
              <w:jc w:val="both"/>
              <w:rPr>
                <w:rFonts w:ascii="Arial" w:hAnsi="Arial"/>
                <w:sz w:val="20"/>
                <w:lang w:val="fr-FR"/>
              </w:rPr>
            </w:pPr>
            <w:r>
              <w:rPr>
                <w:rFonts w:ascii="Arial" w:hAnsi="Arial"/>
                <w:sz w:val="20"/>
              </w:rPr>
              <w:t>Proprietary Name and Manufacturer</w:t>
            </w:r>
          </w:p>
        </w:tc>
      </w:tr>
      <w:tr w:rsidR="00093A17" w:rsidTr="00732D5E">
        <w:trPr>
          <w:cantSplit/>
          <w:trHeight w:val="577"/>
        </w:trPr>
        <w:tc>
          <w:tcPr>
            <w:tcW w:w="3544" w:type="dxa"/>
          </w:tcPr>
          <w:p w:rsidR="00093A17" w:rsidRPr="000B6940" w:rsidRDefault="008557A6" w:rsidP="009A731D">
            <w:pPr>
              <w:keepNext/>
              <w:ind w:left="-108"/>
              <w:jc w:val="both"/>
              <w:rPr>
                <w:rFonts w:ascii="Arial" w:hAnsi="Arial"/>
                <w:sz w:val="20"/>
                <w:szCs w:val="20"/>
              </w:rPr>
            </w:pPr>
            <w:r>
              <w:rPr>
                <w:rFonts w:ascii="Arial" w:hAnsi="Arial"/>
                <w:smallCaps/>
                <w:sz w:val="20"/>
                <w:szCs w:val="20"/>
              </w:rPr>
              <w:t>Deferasirox</w:t>
            </w:r>
          </w:p>
          <w:p w:rsidR="00093A17" w:rsidRDefault="00B24611" w:rsidP="00B24611">
            <w:pPr>
              <w:keepNext/>
              <w:ind w:left="-108"/>
              <w:jc w:val="both"/>
              <w:rPr>
                <w:rFonts w:ascii="Arial" w:hAnsi="Arial"/>
                <w:sz w:val="20"/>
              </w:rPr>
            </w:pPr>
            <w:r>
              <w:rPr>
                <w:rFonts w:ascii="Arial" w:hAnsi="Arial"/>
                <w:sz w:val="20"/>
              </w:rPr>
              <w:t xml:space="preserve">Deferasirox 125 mg </w:t>
            </w:r>
            <w:r w:rsidR="00913994">
              <w:rPr>
                <w:rFonts w:ascii="Arial" w:hAnsi="Arial"/>
                <w:sz w:val="20"/>
              </w:rPr>
              <w:t>tablet</w:t>
            </w:r>
            <w:r>
              <w:rPr>
                <w:rFonts w:ascii="Arial" w:hAnsi="Arial"/>
                <w:sz w:val="20"/>
              </w:rPr>
              <w:t>: dispersible, 28</w:t>
            </w:r>
          </w:p>
        </w:tc>
        <w:tc>
          <w:tcPr>
            <w:tcW w:w="709" w:type="dxa"/>
            <w:vAlign w:val="bottom"/>
          </w:tcPr>
          <w:p w:rsidR="00093A17" w:rsidRDefault="00FF3180" w:rsidP="009E38D9">
            <w:pPr>
              <w:keepNext/>
              <w:ind w:left="-108"/>
              <w:jc w:val="right"/>
              <w:rPr>
                <w:rFonts w:ascii="Arial" w:hAnsi="Arial"/>
                <w:sz w:val="20"/>
              </w:rPr>
            </w:pPr>
            <w:r>
              <w:rPr>
                <w:rFonts w:ascii="Arial" w:hAnsi="Arial"/>
                <w:sz w:val="20"/>
              </w:rPr>
              <w:t>6</w:t>
            </w:r>
          </w:p>
        </w:tc>
        <w:tc>
          <w:tcPr>
            <w:tcW w:w="708" w:type="dxa"/>
            <w:vAlign w:val="bottom"/>
          </w:tcPr>
          <w:p w:rsidR="00093A17" w:rsidRDefault="00FF3180" w:rsidP="00FF3180">
            <w:pPr>
              <w:keepNext/>
              <w:ind w:left="-108"/>
              <w:jc w:val="right"/>
              <w:rPr>
                <w:rFonts w:ascii="Arial" w:hAnsi="Arial"/>
                <w:sz w:val="20"/>
              </w:rPr>
            </w:pPr>
            <w:r>
              <w:rPr>
                <w:rFonts w:ascii="Arial" w:hAnsi="Arial"/>
                <w:sz w:val="20"/>
              </w:rPr>
              <w:t>168</w:t>
            </w:r>
          </w:p>
        </w:tc>
        <w:tc>
          <w:tcPr>
            <w:tcW w:w="709" w:type="dxa"/>
            <w:vAlign w:val="bottom"/>
          </w:tcPr>
          <w:p w:rsidR="00093A17" w:rsidRDefault="00FF3180" w:rsidP="009E38D9">
            <w:pPr>
              <w:keepNext/>
              <w:ind w:left="-108"/>
              <w:jc w:val="right"/>
              <w:rPr>
                <w:rFonts w:ascii="Arial" w:hAnsi="Arial"/>
                <w:sz w:val="20"/>
              </w:rPr>
            </w:pPr>
            <w:r>
              <w:rPr>
                <w:rFonts w:ascii="Arial" w:hAnsi="Arial"/>
                <w:sz w:val="20"/>
              </w:rPr>
              <w:t>5</w:t>
            </w:r>
          </w:p>
        </w:tc>
        <w:tc>
          <w:tcPr>
            <w:tcW w:w="1559" w:type="dxa"/>
            <w:vAlign w:val="bottom"/>
          </w:tcPr>
          <w:p w:rsidR="00093A17" w:rsidRDefault="00F408E5" w:rsidP="00FF3180">
            <w:pPr>
              <w:keepNext/>
              <w:jc w:val="right"/>
              <w:rPr>
                <w:rFonts w:ascii="Arial" w:hAnsi="Arial"/>
                <w:sz w:val="20"/>
              </w:rPr>
            </w:pPr>
            <w:r>
              <w:rPr>
                <w:rFonts w:ascii="Arial" w:hAnsi="Arial"/>
                <w:sz w:val="20"/>
              </w:rPr>
              <w:t>Exjade</w:t>
            </w:r>
          </w:p>
        </w:tc>
        <w:tc>
          <w:tcPr>
            <w:tcW w:w="1134" w:type="dxa"/>
            <w:vAlign w:val="bottom"/>
          </w:tcPr>
          <w:p w:rsidR="00093A17" w:rsidRDefault="00F408E5" w:rsidP="00FF3180">
            <w:pPr>
              <w:keepNext/>
              <w:jc w:val="right"/>
              <w:rPr>
                <w:rFonts w:ascii="Arial" w:hAnsi="Arial"/>
                <w:sz w:val="20"/>
              </w:rPr>
            </w:pPr>
            <w:r>
              <w:rPr>
                <w:rFonts w:ascii="Arial" w:hAnsi="Arial"/>
                <w:sz w:val="20"/>
              </w:rPr>
              <w:t>NV</w:t>
            </w:r>
          </w:p>
        </w:tc>
      </w:tr>
      <w:tr w:rsidR="00795084" w:rsidTr="00732D5E">
        <w:trPr>
          <w:cantSplit/>
          <w:trHeight w:val="577"/>
        </w:trPr>
        <w:tc>
          <w:tcPr>
            <w:tcW w:w="3544" w:type="dxa"/>
            <w:vAlign w:val="bottom"/>
          </w:tcPr>
          <w:p w:rsidR="00795084" w:rsidRDefault="00795084" w:rsidP="00795084">
            <w:pPr>
              <w:keepNext/>
              <w:ind w:left="-108"/>
              <w:rPr>
                <w:rFonts w:ascii="Arial" w:hAnsi="Arial"/>
                <w:sz w:val="20"/>
              </w:rPr>
            </w:pPr>
            <w:r>
              <w:rPr>
                <w:rFonts w:ascii="Arial" w:hAnsi="Arial"/>
                <w:sz w:val="20"/>
              </w:rPr>
              <w:t xml:space="preserve">Deferasirox </w:t>
            </w:r>
            <w:r w:rsidR="00193498">
              <w:rPr>
                <w:rFonts w:ascii="Arial" w:hAnsi="Arial"/>
                <w:sz w:val="20"/>
              </w:rPr>
              <w:t>250</w:t>
            </w:r>
            <w:r>
              <w:rPr>
                <w:rFonts w:ascii="Arial" w:hAnsi="Arial"/>
                <w:sz w:val="20"/>
              </w:rPr>
              <w:t xml:space="preserve"> mg tablet: dispersible, 28</w:t>
            </w:r>
          </w:p>
        </w:tc>
        <w:tc>
          <w:tcPr>
            <w:tcW w:w="709" w:type="dxa"/>
            <w:vAlign w:val="bottom"/>
          </w:tcPr>
          <w:p w:rsidR="00795084" w:rsidRDefault="00795084" w:rsidP="00795084">
            <w:pPr>
              <w:keepNext/>
              <w:ind w:left="-108"/>
              <w:jc w:val="right"/>
              <w:rPr>
                <w:rFonts w:ascii="Arial" w:hAnsi="Arial"/>
                <w:sz w:val="20"/>
              </w:rPr>
            </w:pPr>
            <w:r>
              <w:rPr>
                <w:rFonts w:ascii="Arial" w:hAnsi="Arial"/>
                <w:sz w:val="20"/>
              </w:rPr>
              <w:t>6</w:t>
            </w:r>
          </w:p>
        </w:tc>
        <w:tc>
          <w:tcPr>
            <w:tcW w:w="708" w:type="dxa"/>
            <w:vAlign w:val="bottom"/>
          </w:tcPr>
          <w:p w:rsidR="00795084" w:rsidRDefault="00795084" w:rsidP="00795084">
            <w:pPr>
              <w:keepNext/>
              <w:ind w:left="-108"/>
              <w:jc w:val="right"/>
              <w:rPr>
                <w:rFonts w:ascii="Arial" w:hAnsi="Arial"/>
                <w:sz w:val="20"/>
              </w:rPr>
            </w:pPr>
            <w:r>
              <w:rPr>
                <w:rFonts w:ascii="Arial" w:hAnsi="Arial"/>
                <w:sz w:val="20"/>
              </w:rPr>
              <w:t>168</w:t>
            </w:r>
          </w:p>
        </w:tc>
        <w:tc>
          <w:tcPr>
            <w:tcW w:w="709" w:type="dxa"/>
            <w:vAlign w:val="bottom"/>
          </w:tcPr>
          <w:p w:rsidR="00795084" w:rsidRDefault="00795084" w:rsidP="00795084">
            <w:pPr>
              <w:keepNext/>
              <w:ind w:left="-108"/>
              <w:jc w:val="right"/>
              <w:rPr>
                <w:rFonts w:ascii="Arial" w:hAnsi="Arial"/>
                <w:sz w:val="20"/>
              </w:rPr>
            </w:pPr>
            <w:r>
              <w:rPr>
                <w:rFonts w:ascii="Arial" w:hAnsi="Arial"/>
                <w:sz w:val="20"/>
              </w:rPr>
              <w:t>5</w:t>
            </w:r>
          </w:p>
        </w:tc>
        <w:tc>
          <w:tcPr>
            <w:tcW w:w="1559" w:type="dxa"/>
            <w:vAlign w:val="bottom"/>
          </w:tcPr>
          <w:p w:rsidR="00795084" w:rsidRDefault="00795084" w:rsidP="00795084">
            <w:pPr>
              <w:keepNext/>
              <w:jc w:val="right"/>
              <w:rPr>
                <w:rFonts w:ascii="Arial" w:hAnsi="Arial"/>
                <w:sz w:val="20"/>
              </w:rPr>
            </w:pPr>
            <w:r>
              <w:rPr>
                <w:rFonts w:ascii="Arial" w:hAnsi="Arial"/>
                <w:sz w:val="20"/>
              </w:rPr>
              <w:t>Exjade</w:t>
            </w:r>
          </w:p>
        </w:tc>
        <w:tc>
          <w:tcPr>
            <w:tcW w:w="1134" w:type="dxa"/>
            <w:vAlign w:val="bottom"/>
          </w:tcPr>
          <w:p w:rsidR="00795084" w:rsidRDefault="00795084" w:rsidP="00795084">
            <w:pPr>
              <w:keepNext/>
              <w:jc w:val="right"/>
              <w:rPr>
                <w:rFonts w:ascii="Arial" w:hAnsi="Arial"/>
                <w:sz w:val="20"/>
              </w:rPr>
            </w:pPr>
            <w:r>
              <w:rPr>
                <w:rFonts w:ascii="Arial" w:hAnsi="Arial"/>
                <w:sz w:val="20"/>
              </w:rPr>
              <w:t>NV</w:t>
            </w:r>
          </w:p>
        </w:tc>
      </w:tr>
      <w:tr w:rsidR="00EA7F29" w:rsidTr="00732D5E">
        <w:trPr>
          <w:cantSplit/>
          <w:trHeight w:val="577"/>
        </w:trPr>
        <w:tc>
          <w:tcPr>
            <w:tcW w:w="3544" w:type="dxa"/>
            <w:vAlign w:val="bottom"/>
          </w:tcPr>
          <w:p w:rsidR="00EA7F29" w:rsidRDefault="00EA7F29" w:rsidP="009A731D">
            <w:pPr>
              <w:keepNext/>
              <w:ind w:left="-108"/>
              <w:rPr>
                <w:rFonts w:ascii="Arial" w:hAnsi="Arial"/>
                <w:sz w:val="20"/>
              </w:rPr>
            </w:pPr>
            <w:r>
              <w:rPr>
                <w:rFonts w:ascii="Arial" w:hAnsi="Arial"/>
                <w:sz w:val="20"/>
              </w:rPr>
              <w:t>Deferasirox 500 mg tablet: dispersible, 28</w:t>
            </w:r>
          </w:p>
        </w:tc>
        <w:tc>
          <w:tcPr>
            <w:tcW w:w="709" w:type="dxa"/>
            <w:vAlign w:val="bottom"/>
          </w:tcPr>
          <w:p w:rsidR="00EA7F29" w:rsidRDefault="00EA7F29" w:rsidP="009A731D">
            <w:pPr>
              <w:keepNext/>
              <w:ind w:left="-108"/>
              <w:jc w:val="right"/>
              <w:rPr>
                <w:rFonts w:ascii="Arial" w:hAnsi="Arial"/>
                <w:sz w:val="20"/>
              </w:rPr>
            </w:pPr>
            <w:r>
              <w:rPr>
                <w:rFonts w:ascii="Arial" w:hAnsi="Arial"/>
                <w:sz w:val="20"/>
              </w:rPr>
              <w:t>6</w:t>
            </w:r>
          </w:p>
        </w:tc>
        <w:tc>
          <w:tcPr>
            <w:tcW w:w="708" w:type="dxa"/>
            <w:vAlign w:val="bottom"/>
          </w:tcPr>
          <w:p w:rsidR="00EA7F29" w:rsidRDefault="00EA7F29" w:rsidP="009A731D">
            <w:pPr>
              <w:keepNext/>
              <w:ind w:left="-108"/>
              <w:jc w:val="right"/>
              <w:rPr>
                <w:rFonts w:ascii="Arial" w:hAnsi="Arial"/>
                <w:sz w:val="20"/>
              </w:rPr>
            </w:pPr>
            <w:r>
              <w:rPr>
                <w:rFonts w:ascii="Arial" w:hAnsi="Arial"/>
                <w:sz w:val="20"/>
              </w:rPr>
              <w:t>168</w:t>
            </w:r>
          </w:p>
        </w:tc>
        <w:tc>
          <w:tcPr>
            <w:tcW w:w="709" w:type="dxa"/>
            <w:vAlign w:val="bottom"/>
          </w:tcPr>
          <w:p w:rsidR="00EA7F29" w:rsidRDefault="00EA7F29" w:rsidP="009A731D">
            <w:pPr>
              <w:keepNext/>
              <w:ind w:left="-108"/>
              <w:jc w:val="right"/>
              <w:rPr>
                <w:rFonts w:ascii="Arial" w:hAnsi="Arial"/>
                <w:sz w:val="20"/>
              </w:rPr>
            </w:pPr>
            <w:r>
              <w:rPr>
                <w:rFonts w:ascii="Arial" w:hAnsi="Arial"/>
                <w:sz w:val="20"/>
              </w:rPr>
              <w:t>5</w:t>
            </w:r>
          </w:p>
        </w:tc>
        <w:tc>
          <w:tcPr>
            <w:tcW w:w="1559" w:type="dxa"/>
            <w:vAlign w:val="bottom"/>
          </w:tcPr>
          <w:p w:rsidR="00EA7F29" w:rsidRDefault="00EA7F29" w:rsidP="009A731D">
            <w:pPr>
              <w:keepNext/>
              <w:jc w:val="right"/>
              <w:rPr>
                <w:rFonts w:ascii="Arial" w:hAnsi="Arial"/>
                <w:sz w:val="20"/>
              </w:rPr>
            </w:pPr>
            <w:r>
              <w:rPr>
                <w:rFonts w:ascii="Arial" w:hAnsi="Arial"/>
                <w:sz w:val="20"/>
              </w:rPr>
              <w:t>Exjade</w:t>
            </w:r>
          </w:p>
        </w:tc>
        <w:tc>
          <w:tcPr>
            <w:tcW w:w="1134" w:type="dxa"/>
            <w:vAlign w:val="bottom"/>
          </w:tcPr>
          <w:p w:rsidR="00EA7F29" w:rsidRDefault="00EA7F29" w:rsidP="009A731D">
            <w:pPr>
              <w:keepNext/>
              <w:jc w:val="right"/>
              <w:rPr>
                <w:rFonts w:ascii="Arial" w:hAnsi="Arial"/>
                <w:sz w:val="20"/>
              </w:rPr>
            </w:pPr>
            <w:r>
              <w:rPr>
                <w:rFonts w:ascii="Arial" w:hAnsi="Arial"/>
                <w:sz w:val="20"/>
              </w:rPr>
              <w:t>NV</w:t>
            </w:r>
          </w:p>
        </w:tc>
      </w:tr>
      <w:tr w:rsidR="00EA7F29" w:rsidTr="00732D5E">
        <w:trPr>
          <w:cantSplit/>
          <w:trHeight w:val="360"/>
        </w:trPr>
        <w:tc>
          <w:tcPr>
            <w:tcW w:w="3544" w:type="dxa"/>
            <w:tcBorders>
              <w:top w:val="single" w:sz="4" w:space="0" w:color="auto"/>
              <w:left w:val="single" w:sz="4" w:space="0" w:color="auto"/>
              <w:bottom w:val="single" w:sz="4" w:space="0" w:color="auto"/>
              <w:right w:val="single" w:sz="4" w:space="0" w:color="auto"/>
            </w:tcBorders>
          </w:tcPr>
          <w:p w:rsidR="00EA7F29" w:rsidRPr="00D53380" w:rsidRDefault="00EA7F29" w:rsidP="005100EB">
            <w:pPr>
              <w:spacing w:after="0"/>
              <w:jc w:val="both"/>
              <w:rPr>
                <w:rFonts w:ascii="Arial" w:hAnsi="Arial" w:cs="Arial"/>
                <w:b/>
                <w:sz w:val="20"/>
                <w:szCs w:val="20"/>
              </w:rPr>
            </w:pPr>
            <w:r>
              <w:rPr>
                <w:rFonts w:ascii="Arial" w:hAnsi="Arial" w:cs="Arial"/>
                <w:b/>
                <w:sz w:val="20"/>
                <w:szCs w:val="20"/>
              </w:rPr>
              <w:t>Condition:</w:t>
            </w:r>
            <w:r>
              <w:rPr>
                <w:rFonts w:ascii="Arial" w:hAnsi="Arial" w:cs="Arial"/>
                <w:b/>
                <w:sz w:val="20"/>
                <w:szCs w:val="20"/>
              </w:rPr>
              <w:tab/>
            </w:r>
          </w:p>
        </w:tc>
        <w:tc>
          <w:tcPr>
            <w:tcW w:w="4819" w:type="dxa"/>
            <w:gridSpan w:val="5"/>
            <w:tcBorders>
              <w:top w:val="single" w:sz="4" w:space="0" w:color="auto"/>
              <w:left w:val="single" w:sz="4" w:space="0" w:color="auto"/>
              <w:bottom w:val="single" w:sz="4" w:space="0" w:color="auto"/>
              <w:right w:val="single" w:sz="4" w:space="0" w:color="auto"/>
            </w:tcBorders>
          </w:tcPr>
          <w:p w:rsidR="00EA7F29" w:rsidRDefault="00EA7F29" w:rsidP="005100EB">
            <w:pPr>
              <w:rPr>
                <w:rFonts w:ascii="Arial" w:hAnsi="Arial"/>
                <w:sz w:val="20"/>
              </w:rPr>
            </w:pPr>
            <w:r>
              <w:rPr>
                <w:rFonts w:ascii="Arial" w:hAnsi="Arial"/>
                <w:sz w:val="20"/>
              </w:rPr>
              <w:t>Chronic iron overload</w:t>
            </w:r>
          </w:p>
        </w:tc>
      </w:tr>
      <w:tr w:rsidR="00EA7F29" w:rsidTr="00732D5E">
        <w:trPr>
          <w:cantSplit/>
          <w:trHeight w:val="360"/>
        </w:trPr>
        <w:tc>
          <w:tcPr>
            <w:tcW w:w="3544" w:type="dxa"/>
            <w:tcBorders>
              <w:top w:val="single" w:sz="4" w:space="0" w:color="auto"/>
              <w:left w:val="single" w:sz="4" w:space="0" w:color="auto"/>
              <w:bottom w:val="single" w:sz="4" w:space="0" w:color="auto"/>
              <w:right w:val="single" w:sz="4" w:space="0" w:color="auto"/>
            </w:tcBorders>
          </w:tcPr>
          <w:p w:rsidR="00EA7F29" w:rsidRDefault="00EA7F29" w:rsidP="005100EB">
            <w:pPr>
              <w:spacing w:after="0"/>
              <w:jc w:val="both"/>
              <w:rPr>
                <w:rFonts w:ascii="Arial" w:hAnsi="Arial" w:cs="Arial"/>
                <w:b/>
                <w:sz w:val="20"/>
                <w:szCs w:val="20"/>
              </w:rPr>
            </w:pPr>
            <w:r>
              <w:rPr>
                <w:rFonts w:ascii="Arial" w:hAnsi="Arial" w:cs="Arial"/>
                <w:b/>
                <w:sz w:val="20"/>
                <w:szCs w:val="20"/>
              </w:rPr>
              <w:t>Restriction:</w:t>
            </w:r>
          </w:p>
          <w:p w:rsidR="00EA7F29" w:rsidRPr="00D53380" w:rsidRDefault="00EA7F29" w:rsidP="001172BC">
            <w:pPr>
              <w:spacing w:after="0"/>
              <w:rPr>
                <w:rFonts w:ascii="Arial" w:hAnsi="Arial" w:cs="Arial"/>
                <w:sz w:val="20"/>
                <w:szCs w:val="20"/>
              </w:rPr>
            </w:pPr>
          </w:p>
        </w:tc>
        <w:tc>
          <w:tcPr>
            <w:tcW w:w="4819" w:type="dxa"/>
            <w:gridSpan w:val="5"/>
            <w:tcBorders>
              <w:top w:val="single" w:sz="4" w:space="0" w:color="auto"/>
              <w:left w:val="single" w:sz="4" w:space="0" w:color="auto"/>
              <w:bottom w:val="single" w:sz="4" w:space="0" w:color="auto"/>
              <w:right w:val="single" w:sz="4" w:space="0" w:color="auto"/>
            </w:tcBorders>
          </w:tcPr>
          <w:p w:rsidR="0042348B" w:rsidRPr="00BD53A1" w:rsidRDefault="00EA7F29" w:rsidP="005100EB">
            <w:pPr>
              <w:rPr>
                <w:rFonts w:ascii="Arial" w:hAnsi="Arial"/>
                <w:i/>
                <w:sz w:val="20"/>
              </w:rPr>
            </w:pPr>
            <w:r>
              <w:rPr>
                <w:rFonts w:ascii="Arial" w:hAnsi="Arial"/>
                <w:sz w:val="20"/>
              </w:rPr>
              <w:t xml:space="preserve">Authority Required </w:t>
            </w:r>
            <w:r w:rsidR="00BD53A1">
              <w:rPr>
                <w:rFonts w:ascii="Arial" w:hAnsi="Arial"/>
                <w:sz w:val="20"/>
              </w:rPr>
              <w:t>– In writing</w:t>
            </w:r>
          </w:p>
        </w:tc>
      </w:tr>
      <w:tr w:rsidR="00BD53A1" w:rsidTr="00732D5E">
        <w:trPr>
          <w:cantSplit/>
          <w:trHeight w:val="360"/>
        </w:trPr>
        <w:tc>
          <w:tcPr>
            <w:tcW w:w="3544" w:type="dxa"/>
            <w:tcBorders>
              <w:top w:val="single" w:sz="4" w:space="0" w:color="auto"/>
              <w:left w:val="single" w:sz="4" w:space="0" w:color="auto"/>
              <w:bottom w:val="single" w:sz="4" w:space="0" w:color="auto"/>
              <w:right w:val="single" w:sz="4" w:space="0" w:color="auto"/>
            </w:tcBorders>
          </w:tcPr>
          <w:p w:rsidR="00BD53A1" w:rsidRPr="00BD53A1" w:rsidRDefault="00BD53A1" w:rsidP="005100EB">
            <w:pPr>
              <w:spacing w:after="0"/>
              <w:jc w:val="both"/>
              <w:rPr>
                <w:rFonts w:ascii="Arial" w:hAnsi="Arial" w:cs="Arial"/>
                <w:b/>
                <w:sz w:val="20"/>
                <w:szCs w:val="20"/>
              </w:rPr>
            </w:pPr>
            <w:r>
              <w:rPr>
                <w:rFonts w:ascii="Arial" w:hAnsi="Arial" w:cs="Arial"/>
                <w:b/>
                <w:sz w:val="20"/>
                <w:szCs w:val="20"/>
              </w:rPr>
              <w:t>Treatment phase:</w:t>
            </w:r>
          </w:p>
        </w:tc>
        <w:tc>
          <w:tcPr>
            <w:tcW w:w="4819" w:type="dxa"/>
            <w:gridSpan w:val="5"/>
            <w:tcBorders>
              <w:top w:val="single" w:sz="4" w:space="0" w:color="auto"/>
              <w:left w:val="single" w:sz="4" w:space="0" w:color="auto"/>
              <w:bottom w:val="single" w:sz="4" w:space="0" w:color="auto"/>
              <w:right w:val="single" w:sz="4" w:space="0" w:color="auto"/>
            </w:tcBorders>
          </w:tcPr>
          <w:p w:rsidR="00BD53A1" w:rsidRDefault="006B4A10" w:rsidP="005100EB">
            <w:pPr>
              <w:rPr>
                <w:rFonts w:ascii="Arial" w:hAnsi="Arial" w:cs="Arial"/>
                <w:sz w:val="20"/>
                <w:szCs w:val="20"/>
              </w:rPr>
            </w:pPr>
            <w:r>
              <w:rPr>
                <w:rFonts w:ascii="Arial" w:hAnsi="Arial" w:cs="Arial"/>
                <w:sz w:val="20"/>
                <w:szCs w:val="20"/>
              </w:rPr>
              <w:t>Initial treatment</w:t>
            </w:r>
          </w:p>
        </w:tc>
      </w:tr>
      <w:tr w:rsidR="00EA7F29" w:rsidTr="00732D5E">
        <w:trPr>
          <w:cantSplit/>
          <w:trHeight w:val="360"/>
        </w:trPr>
        <w:tc>
          <w:tcPr>
            <w:tcW w:w="3544" w:type="dxa"/>
            <w:tcBorders>
              <w:top w:val="single" w:sz="4" w:space="0" w:color="auto"/>
              <w:left w:val="single" w:sz="4" w:space="0" w:color="auto"/>
              <w:bottom w:val="single" w:sz="4" w:space="0" w:color="auto"/>
              <w:right w:val="single" w:sz="4" w:space="0" w:color="auto"/>
            </w:tcBorders>
          </w:tcPr>
          <w:p w:rsidR="00EA7F29" w:rsidRPr="00C31A26" w:rsidRDefault="00EA7F29" w:rsidP="005100EB">
            <w:pPr>
              <w:spacing w:after="0"/>
              <w:jc w:val="both"/>
              <w:rPr>
                <w:rFonts w:ascii="Arial" w:hAnsi="Arial" w:cs="Arial"/>
                <w:b/>
                <w:sz w:val="20"/>
                <w:szCs w:val="20"/>
              </w:rPr>
            </w:pPr>
            <w:r w:rsidRPr="00C31A26">
              <w:rPr>
                <w:rFonts w:ascii="Arial" w:hAnsi="Arial" w:cs="Arial"/>
                <w:b/>
                <w:sz w:val="20"/>
                <w:szCs w:val="20"/>
              </w:rPr>
              <w:t>Clinical criteria:</w:t>
            </w:r>
          </w:p>
          <w:p w:rsidR="00EA7F29" w:rsidRDefault="00EA7F29" w:rsidP="009F598D">
            <w:pPr>
              <w:spacing w:after="0"/>
              <w:jc w:val="both"/>
              <w:rPr>
                <w:rFonts w:ascii="Arial" w:hAnsi="Arial" w:cs="Arial"/>
                <w:sz w:val="20"/>
                <w:szCs w:val="20"/>
              </w:rPr>
            </w:pPr>
          </w:p>
        </w:tc>
        <w:tc>
          <w:tcPr>
            <w:tcW w:w="4819" w:type="dxa"/>
            <w:gridSpan w:val="5"/>
            <w:tcBorders>
              <w:top w:val="single" w:sz="4" w:space="0" w:color="auto"/>
              <w:left w:val="single" w:sz="4" w:space="0" w:color="auto"/>
              <w:bottom w:val="single" w:sz="4" w:space="0" w:color="auto"/>
              <w:right w:val="single" w:sz="4" w:space="0" w:color="auto"/>
            </w:tcBorders>
          </w:tcPr>
          <w:p w:rsidR="00EA7F29" w:rsidRDefault="00EA7F29" w:rsidP="005100EB">
            <w:pPr>
              <w:rPr>
                <w:rFonts w:ascii="Arial" w:hAnsi="Arial" w:cs="Arial"/>
                <w:sz w:val="20"/>
                <w:szCs w:val="20"/>
              </w:rPr>
            </w:pPr>
            <w:r>
              <w:rPr>
                <w:rFonts w:ascii="Arial" w:hAnsi="Arial" w:cs="Arial"/>
                <w:sz w:val="20"/>
                <w:szCs w:val="20"/>
              </w:rPr>
              <w:t>Patient must be transfusion dependent.</w:t>
            </w:r>
          </w:p>
          <w:p w:rsidR="00EA7F29" w:rsidRDefault="00EA7F29" w:rsidP="005100EB">
            <w:pPr>
              <w:rPr>
                <w:rFonts w:ascii="Arial" w:hAnsi="Arial" w:cs="Arial"/>
                <w:sz w:val="20"/>
                <w:szCs w:val="20"/>
              </w:rPr>
            </w:pPr>
            <w:r>
              <w:rPr>
                <w:rFonts w:ascii="Arial" w:hAnsi="Arial" w:cs="Arial"/>
                <w:sz w:val="20"/>
                <w:szCs w:val="20"/>
              </w:rPr>
              <w:t>AND:</w:t>
            </w:r>
          </w:p>
          <w:p w:rsidR="00EA7F29" w:rsidRDefault="00EA7F29" w:rsidP="00FA01A3">
            <w:pPr>
              <w:jc w:val="both"/>
              <w:rPr>
                <w:rFonts w:ascii="Arial" w:hAnsi="Arial" w:cs="Arial"/>
                <w:sz w:val="20"/>
                <w:szCs w:val="20"/>
              </w:rPr>
            </w:pPr>
            <w:r>
              <w:rPr>
                <w:rFonts w:ascii="Arial" w:hAnsi="Arial" w:cs="Arial"/>
                <w:sz w:val="20"/>
                <w:szCs w:val="20"/>
              </w:rPr>
              <w:t>Patient must not have a malignant disease.</w:t>
            </w:r>
          </w:p>
        </w:tc>
      </w:tr>
    </w:tbl>
    <w:p w:rsidR="00EC040B" w:rsidRDefault="00EC040B" w:rsidP="00A3615C">
      <w:pPr>
        <w:spacing w:after="0"/>
        <w:jc w:val="both"/>
        <w:rPr>
          <w:rFonts w:ascii="Arial" w:hAnsi="Arial" w:cs="Arial"/>
          <w:sz w:val="22"/>
        </w:rPr>
      </w:pPr>
    </w:p>
    <w:tbl>
      <w:tblPr>
        <w:tblW w:w="8363" w:type="dxa"/>
        <w:tblInd w:w="817" w:type="dxa"/>
        <w:tblLayout w:type="fixed"/>
        <w:tblLook w:val="0000" w:firstRow="0" w:lastRow="0" w:firstColumn="0" w:lastColumn="0" w:noHBand="0" w:noVBand="0"/>
      </w:tblPr>
      <w:tblGrid>
        <w:gridCol w:w="3544"/>
        <w:gridCol w:w="4819"/>
      </w:tblGrid>
      <w:tr w:rsidR="00A721FE" w:rsidTr="005801F8">
        <w:trPr>
          <w:cantSplit/>
          <w:trHeight w:val="360"/>
        </w:trPr>
        <w:tc>
          <w:tcPr>
            <w:tcW w:w="3544" w:type="dxa"/>
            <w:tcBorders>
              <w:top w:val="single" w:sz="4" w:space="0" w:color="auto"/>
              <w:left w:val="single" w:sz="4" w:space="0" w:color="auto"/>
              <w:bottom w:val="single" w:sz="4" w:space="0" w:color="auto"/>
              <w:right w:val="single" w:sz="4" w:space="0" w:color="auto"/>
            </w:tcBorders>
          </w:tcPr>
          <w:p w:rsidR="00A721FE" w:rsidRPr="00D53380" w:rsidRDefault="00A721FE" w:rsidP="005801F8">
            <w:pPr>
              <w:spacing w:after="0"/>
              <w:jc w:val="both"/>
              <w:rPr>
                <w:rFonts w:ascii="Arial" w:hAnsi="Arial" w:cs="Arial"/>
                <w:b/>
                <w:sz w:val="20"/>
                <w:szCs w:val="20"/>
              </w:rPr>
            </w:pPr>
            <w:r>
              <w:rPr>
                <w:rFonts w:ascii="Arial" w:hAnsi="Arial" w:cs="Arial"/>
                <w:b/>
                <w:sz w:val="20"/>
                <w:szCs w:val="20"/>
              </w:rPr>
              <w:t>Condition:</w:t>
            </w:r>
            <w:r>
              <w:rPr>
                <w:rFonts w:ascii="Arial" w:hAnsi="Arial" w:cs="Arial"/>
                <w:b/>
                <w:sz w:val="20"/>
                <w:szCs w:val="20"/>
              </w:rPr>
              <w:tab/>
            </w:r>
          </w:p>
        </w:tc>
        <w:tc>
          <w:tcPr>
            <w:tcW w:w="4819" w:type="dxa"/>
            <w:tcBorders>
              <w:top w:val="single" w:sz="4" w:space="0" w:color="auto"/>
              <w:left w:val="single" w:sz="4" w:space="0" w:color="auto"/>
              <w:bottom w:val="single" w:sz="4" w:space="0" w:color="auto"/>
              <w:right w:val="single" w:sz="4" w:space="0" w:color="auto"/>
            </w:tcBorders>
          </w:tcPr>
          <w:p w:rsidR="00A721FE" w:rsidRDefault="00A721FE" w:rsidP="005801F8">
            <w:pPr>
              <w:rPr>
                <w:rFonts w:ascii="Arial" w:hAnsi="Arial"/>
                <w:sz w:val="20"/>
              </w:rPr>
            </w:pPr>
            <w:r>
              <w:rPr>
                <w:rFonts w:ascii="Arial" w:hAnsi="Arial"/>
                <w:sz w:val="20"/>
              </w:rPr>
              <w:t>Chronic iron overload</w:t>
            </w:r>
          </w:p>
        </w:tc>
      </w:tr>
      <w:tr w:rsidR="00A721FE" w:rsidRPr="00BD53A1" w:rsidTr="005801F8">
        <w:trPr>
          <w:cantSplit/>
          <w:trHeight w:val="360"/>
        </w:trPr>
        <w:tc>
          <w:tcPr>
            <w:tcW w:w="3544" w:type="dxa"/>
            <w:tcBorders>
              <w:top w:val="single" w:sz="4" w:space="0" w:color="auto"/>
              <w:left w:val="single" w:sz="4" w:space="0" w:color="auto"/>
              <w:bottom w:val="single" w:sz="4" w:space="0" w:color="auto"/>
              <w:right w:val="single" w:sz="4" w:space="0" w:color="auto"/>
            </w:tcBorders>
          </w:tcPr>
          <w:p w:rsidR="00A721FE" w:rsidRDefault="00A721FE" w:rsidP="005801F8">
            <w:pPr>
              <w:spacing w:after="0"/>
              <w:jc w:val="both"/>
              <w:rPr>
                <w:rFonts w:ascii="Arial" w:hAnsi="Arial" w:cs="Arial"/>
                <w:b/>
                <w:sz w:val="20"/>
                <w:szCs w:val="20"/>
              </w:rPr>
            </w:pPr>
            <w:r>
              <w:rPr>
                <w:rFonts w:ascii="Arial" w:hAnsi="Arial" w:cs="Arial"/>
                <w:b/>
                <w:sz w:val="20"/>
                <w:szCs w:val="20"/>
              </w:rPr>
              <w:t>Restriction:</w:t>
            </w:r>
          </w:p>
          <w:p w:rsidR="00A721FE" w:rsidRPr="00D53380" w:rsidRDefault="00A721FE" w:rsidP="005801F8">
            <w:pPr>
              <w:spacing w:after="0"/>
              <w:rPr>
                <w:rFonts w:ascii="Arial" w:hAnsi="Arial" w:cs="Arial"/>
                <w:sz w:val="20"/>
                <w:szCs w:val="20"/>
              </w:rPr>
            </w:pPr>
          </w:p>
        </w:tc>
        <w:tc>
          <w:tcPr>
            <w:tcW w:w="4819" w:type="dxa"/>
            <w:tcBorders>
              <w:top w:val="single" w:sz="4" w:space="0" w:color="auto"/>
              <w:left w:val="single" w:sz="4" w:space="0" w:color="auto"/>
              <w:bottom w:val="single" w:sz="4" w:space="0" w:color="auto"/>
              <w:right w:val="single" w:sz="4" w:space="0" w:color="auto"/>
            </w:tcBorders>
          </w:tcPr>
          <w:p w:rsidR="00A721FE" w:rsidRPr="00BD53A1" w:rsidRDefault="00A721FE" w:rsidP="005801F8">
            <w:pPr>
              <w:rPr>
                <w:rFonts w:ascii="Arial" w:hAnsi="Arial"/>
                <w:i/>
                <w:sz w:val="20"/>
              </w:rPr>
            </w:pPr>
            <w:r>
              <w:rPr>
                <w:rFonts w:ascii="Arial" w:hAnsi="Arial"/>
                <w:sz w:val="20"/>
              </w:rPr>
              <w:t>Authority Required – telephone</w:t>
            </w:r>
          </w:p>
        </w:tc>
      </w:tr>
      <w:tr w:rsidR="00A721FE" w:rsidTr="005801F8">
        <w:trPr>
          <w:cantSplit/>
          <w:trHeight w:val="360"/>
        </w:trPr>
        <w:tc>
          <w:tcPr>
            <w:tcW w:w="3544" w:type="dxa"/>
            <w:tcBorders>
              <w:top w:val="single" w:sz="4" w:space="0" w:color="auto"/>
              <w:left w:val="single" w:sz="4" w:space="0" w:color="auto"/>
              <w:bottom w:val="single" w:sz="4" w:space="0" w:color="auto"/>
              <w:right w:val="single" w:sz="4" w:space="0" w:color="auto"/>
            </w:tcBorders>
          </w:tcPr>
          <w:p w:rsidR="00A721FE" w:rsidRPr="00BD53A1" w:rsidRDefault="00A721FE" w:rsidP="005801F8">
            <w:pPr>
              <w:spacing w:after="0"/>
              <w:jc w:val="both"/>
              <w:rPr>
                <w:rFonts w:ascii="Arial" w:hAnsi="Arial" w:cs="Arial"/>
                <w:b/>
                <w:sz w:val="20"/>
                <w:szCs w:val="20"/>
              </w:rPr>
            </w:pPr>
            <w:r>
              <w:rPr>
                <w:rFonts w:ascii="Arial" w:hAnsi="Arial" w:cs="Arial"/>
                <w:b/>
                <w:sz w:val="20"/>
                <w:szCs w:val="20"/>
              </w:rPr>
              <w:t>Treatment phase:</w:t>
            </w:r>
          </w:p>
        </w:tc>
        <w:tc>
          <w:tcPr>
            <w:tcW w:w="4819" w:type="dxa"/>
            <w:tcBorders>
              <w:top w:val="single" w:sz="4" w:space="0" w:color="auto"/>
              <w:left w:val="single" w:sz="4" w:space="0" w:color="auto"/>
              <w:bottom w:val="single" w:sz="4" w:space="0" w:color="auto"/>
              <w:right w:val="single" w:sz="4" w:space="0" w:color="auto"/>
            </w:tcBorders>
          </w:tcPr>
          <w:p w:rsidR="00A721FE" w:rsidRDefault="00A721FE" w:rsidP="005801F8">
            <w:pPr>
              <w:rPr>
                <w:rFonts w:ascii="Arial" w:hAnsi="Arial" w:cs="Arial"/>
                <w:sz w:val="20"/>
                <w:szCs w:val="20"/>
              </w:rPr>
            </w:pPr>
            <w:r>
              <w:rPr>
                <w:rFonts w:ascii="Arial" w:hAnsi="Arial" w:cs="Arial"/>
                <w:sz w:val="20"/>
                <w:szCs w:val="20"/>
              </w:rPr>
              <w:t>Continuing treatment</w:t>
            </w:r>
          </w:p>
        </w:tc>
      </w:tr>
      <w:tr w:rsidR="00A721FE" w:rsidTr="005801F8">
        <w:trPr>
          <w:cantSplit/>
          <w:trHeight w:val="360"/>
        </w:trPr>
        <w:tc>
          <w:tcPr>
            <w:tcW w:w="3544" w:type="dxa"/>
            <w:tcBorders>
              <w:top w:val="single" w:sz="4" w:space="0" w:color="auto"/>
              <w:left w:val="single" w:sz="4" w:space="0" w:color="auto"/>
              <w:bottom w:val="single" w:sz="4" w:space="0" w:color="auto"/>
              <w:right w:val="single" w:sz="4" w:space="0" w:color="auto"/>
            </w:tcBorders>
          </w:tcPr>
          <w:p w:rsidR="00A721FE" w:rsidRPr="00C31A26" w:rsidRDefault="00A721FE" w:rsidP="005801F8">
            <w:pPr>
              <w:spacing w:after="0"/>
              <w:jc w:val="both"/>
              <w:rPr>
                <w:rFonts w:ascii="Arial" w:hAnsi="Arial" w:cs="Arial"/>
                <w:b/>
                <w:sz w:val="20"/>
                <w:szCs w:val="20"/>
              </w:rPr>
            </w:pPr>
            <w:r w:rsidRPr="00C31A26">
              <w:rPr>
                <w:rFonts w:ascii="Arial" w:hAnsi="Arial" w:cs="Arial"/>
                <w:b/>
                <w:sz w:val="20"/>
                <w:szCs w:val="20"/>
              </w:rPr>
              <w:t>Clinical criteria:</w:t>
            </w:r>
          </w:p>
          <w:p w:rsidR="00A721FE" w:rsidRDefault="00A721FE" w:rsidP="005801F8">
            <w:pPr>
              <w:spacing w:after="0"/>
              <w:jc w:val="both"/>
              <w:rPr>
                <w:rFonts w:ascii="Arial" w:hAnsi="Arial" w:cs="Arial"/>
                <w:sz w:val="20"/>
                <w:szCs w:val="20"/>
              </w:rPr>
            </w:pPr>
          </w:p>
        </w:tc>
        <w:tc>
          <w:tcPr>
            <w:tcW w:w="4819" w:type="dxa"/>
            <w:tcBorders>
              <w:top w:val="single" w:sz="4" w:space="0" w:color="auto"/>
              <w:left w:val="single" w:sz="4" w:space="0" w:color="auto"/>
              <w:bottom w:val="single" w:sz="4" w:space="0" w:color="auto"/>
              <w:right w:val="single" w:sz="4" w:space="0" w:color="auto"/>
            </w:tcBorders>
          </w:tcPr>
          <w:p w:rsidR="00A721FE" w:rsidRDefault="00A721FE" w:rsidP="005801F8">
            <w:pPr>
              <w:rPr>
                <w:rFonts w:ascii="Arial" w:hAnsi="Arial" w:cs="Arial"/>
                <w:sz w:val="20"/>
                <w:szCs w:val="20"/>
              </w:rPr>
            </w:pPr>
            <w:r>
              <w:rPr>
                <w:rFonts w:ascii="Arial" w:hAnsi="Arial" w:cs="Arial"/>
                <w:sz w:val="20"/>
                <w:szCs w:val="20"/>
              </w:rPr>
              <w:t>Patient must be transfusion dependent.</w:t>
            </w:r>
          </w:p>
          <w:p w:rsidR="00A721FE" w:rsidRDefault="00A721FE" w:rsidP="005801F8">
            <w:pPr>
              <w:rPr>
                <w:rFonts w:ascii="Arial" w:hAnsi="Arial" w:cs="Arial"/>
                <w:sz w:val="20"/>
                <w:szCs w:val="20"/>
              </w:rPr>
            </w:pPr>
            <w:r>
              <w:rPr>
                <w:rFonts w:ascii="Arial" w:hAnsi="Arial" w:cs="Arial"/>
                <w:sz w:val="20"/>
                <w:szCs w:val="20"/>
              </w:rPr>
              <w:t>AND:</w:t>
            </w:r>
          </w:p>
          <w:p w:rsidR="00A721FE" w:rsidRDefault="00A721FE" w:rsidP="005801F8">
            <w:pPr>
              <w:jc w:val="both"/>
              <w:rPr>
                <w:rFonts w:ascii="Arial" w:hAnsi="Arial" w:cs="Arial"/>
                <w:sz w:val="20"/>
                <w:szCs w:val="20"/>
              </w:rPr>
            </w:pPr>
            <w:r>
              <w:rPr>
                <w:rFonts w:ascii="Arial" w:hAnsi="Arial" w:cs="Arial"/>
                <w:sz w:val="20"/>
                <w:szCs w:val="20"/>
              </w:rPr>
              <w:t>Patient must not have a malignant disease.</w:t>
            </w:r>
          </w:p>
        </w:tc>
      </w:tr>
    </w:tbl>
    <w:p w:rsidR="00A721FE" w:rsidRDefault="00A721FE" w:rsidP="00A3615C">
      <w:pPr>
        <w:spacing w:after="0"/>
        <w:jc w:val="both"/>
        <w:rPr>
          <w:rFonts w:ascii="Arial" w:hAnsi="Arial" w:cs="Arial"/>
          <w:sz w:val="22"/>
        </w:rPr>
      </w:pPr>
    </w:p>
    <w:p w:rsidR="00255E05" w:rsidRDefault="00255E05">
      <w:pPr>
        <w:rPr>
          <w:rFonts w:ascii="Arial" w:hAnsi="Arial" w:cs="Arial"/>
          <w:sz w:val="22"/>
        </w:rPr>
      </w:pPr>
      <w:r>
        <w:rPr>
          <w:rFonts w:ascii="Arial" w:hAnsi="Arial" w:cs="Arial"/>
          <w:sz w:val="22"/>
        </w:rPr>
        <w:br w:type="page"/>
      </w:r>
    </w:p>
    <w:p w:rsidR="0027602D" w:rsidRDefault="0027602D" w:rsidP="00A3615C">
      <w:pPr>
        <w:spacing w:after="0"/>
        <w:jc w:val="both"/>
        <w:rPr>
          <w:rFonts w:ascii="Arial" w:hAnsi="Arial" w:cs="Arial"/>
          <w:sz w:val="22"/>
        </w:rPr>
      </w:pPr>
    </w:p>
    <w:p w:rsidR="003C4E4E" w:rsidRDefault="003C4E4E" w:rsidP="003C4E4E">
      <w:pPr>
        <w:pStyle w:val="ListParagraph"/>
        <w:numPr>
          <w:ilvl w:val="0"/>
          <w:numId w:val="9"/>
        </w:numPr>
        <w:spacing w:after="0" w:line="240" w:lineRule="auto"/>
        <w:jc w:val="both"/>
        <w:rPr>
          <w:rFonts w:ascii="Arial" w:hAnsi="Arial" w:cs="Arial"/>
          <w:b/>
          <w:sz w:val="22"/>
        </w:rPr>
      </w:pPr>
      <w:r w:rsidRPr="00D4420F">
        <w:rPr>
          <w:rFonts w:ascii="Arial" w:hAnsi="Arial" w:cs="Arial"/>
          <w:b/>
          <w:sz w:val="22"/>
        </w:rPr>
        <w:t>Context for Decision</w:t>
      </w:r>
    </w:p>
    <w:p w:rsidR="003C4E4E" w:rsidRPr="00D4420F" w:rsidRDefault="003C4E4E" w:rsidP="003C4E4E">
      <w:pPr>
        <w:pStyle w:val="ListParagraph"/>
        <w:jc w:val="both"/>
        <w:rPr>
          <w:rFonts w:ascii="Arial" w:hAnsi="Arial" w:cs="Arial"/>
          <w:b/>
          <w:sz w:val="22"/>
        </w:rPr>
      </w:pPr>
    </w:p>
    <w:p w:rsidR="003C4E4E" w:rsidRDefault="003C4E4E" w:rsidP="005F4EC4">
      <w:pPr>
        <w:pStyle w:val="ListParagraph"/>
        <w:spacing w:after="0" w:line="240" w:lineRule="auto"/>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F4EC4" w:rsidRDefault="005F4EC4" w:rsidP="005F4EC4">
      <w:pPr>
        <w:pStyle w:val="ListParagraph"/>
        <w:spacing w:after="0" w:line="240" w:lineRule="auto"/>
        <w:jc w:val="both"/>
        <w:rPr>
          <w:rFonts w:ascii="Arial" w:hAnsi="Arial" w:cs="Arial"/>
          <w:sz w:val="22"/>
        </w:rPr>
      </w:pPr>
    </w:p>
    <w:p w:rsidR="005F4EC4" w:rsidRPr="00D4420F" w:rsidRDefault="005F4EC4" w:rsidP="005F4EC4">
      <w:pPr>
        <w:pStyle w:val="ListParagraph"/>
        <w:spacing w:after="0" w:line="240" w:lineRule="auto"/>
        <w:jc w:val="both"/>
        <w:rPr>
          <w:rFonts w:ascii="Arial" w:hAnsi="Arial" w:cs="Arial"/>
          <w:sz w:val="22"/>
        </w:rPr>
      </w:pPr>
    </w:p>
    <w:p w:rsidR="003C4E4E" w:rsidRDefault="003C4E4E" w:rsidP="003C4E4E">
      <w:pPr>
        <w:pStyle w:val="ListParagraph"/>
        <w:numPr>
          <w:ilvl w:val="0"/>
          <w:numId w:val="9"/>
        </w:numPr>
        <w:spacing w:after="0" w:line="240" w:lineRule="auto"/>
        <w:jc w:val="both"/>
        <w:rPr>
          <w:rFonts w:ascii="Arial" w:hAnsi="Arial" w:cs="Arial"/>
          <w:b/>
          <w:sz w:val="22"/>
        </w:rPr>
      </w:pPr>
      <w:r w:rsidRPr="00D4420F">
        <w:rPr>
          <w:rFonts w:ascii="Arial" w:hAnsi="Arial" w:cs="Arial"/>
          <w:b/>
          <w:sz w:val="22"/>
        </w:rPr>
        <w:t>Sponsor’s Comment</w:t>
      </w:r>
    </w:p>
    <w:p w:rsidR="003C4E4E" w:rsidRDefault="003C4E4E" w:rsidP="00A3615C">
      <w:pPr>
        <w:spacing w:after="0"/>
        <w:jc w:val="both"/>
        <w:rPr>
          <w:rFonts w:ascii="Arial" w:hAnsi="Arial" w:cs="Arial"/>
          <w:sz w:val="22"/>
        </w:rPr>
      </w:pPr>
    </w:p>
    <w:p w:rsidR="001F41AD" w:rsidRDefault="001C2BD0" w:rsidP="001F41AD">
      <w:pPr>
        <w:spacing w:after="0"/>
        <w:ind w:left="720"/>
        <w:jc w:val="both"/>
        <w:rPr>
          <w:rFonts w:ascii="Arial" w:hAnsi="Arial" w:cs="Arial"/>
          <w:sz w:val="22"/>
        </w:rPr>
      </w:pPr>
      <w:r>
        <w:rPr>
          <w:rFonts w:ascii="Arial" w:hAnsi="Arial" w:cs="Arial"/>
          <w:sz w:val="22"/>
        </w:rPr>
        <w:t>Novartis</w:t>
      </w:r>
      <w:r w:rsidR="001F41AD" w:rsidRPr="001F41AD">
        <w:rPr>
          <w:rFonts w:ascii="Arial" w:hAnsi="Arial" w:cs="Arial"/>
          <w:sz w:val="22"/>
        </w:rPr>
        <w:t xml:space="preserve"> intends to submit a cost effectiveness submission to retain reimbursed access to deferasirox for MDS patients to the first available PBAC cut off</w:t>
      </w:r>
      <w:r w:rsidR="001F41AD">
        <w:rPr>
          <w:rFonts w:ascii="Arial" w:hAnsi="Arial" w:cs="Arial"/>
          <w:sz w:val="22"/>
        </w:rPr>
        <w:t>.</w:t>
      </w:r>
    </w:p>
    <w:p w:rsidR="003F48E2" w:rsidRDefault="003F48E2" w:rsidP="001F41AD">
      <w:pPr>
        <w:spacing w:after="0"/>
        <w:ind w:left="720"/>
        <w:jc w:val="both"/>
        <w:rPr>
          <w:rFonts w:ascii="Arial" w:hAnsi="Arial" w:cs="Arial"/>
          <w:sz w:val="22"/>
        </w:rPr>
      </w:pPr>
    </w:p>
    <w:p w:rsidR="003F48E2" w:rsidRDefault="003F48E2" w:rsidP="001F41AD">
      <w:pPr>
        <w:spacing w:after="0"/>
        <w:ind w:left="720"/>
        <w:jc w:val="both"/>
        <w:rPr>
          <w:rFonts w:ascii="Arial" w:hAnsi="Arial" w:cs="Arial"/>
          <w:sz w:val="22"/>
        </w:rPr>
      </w:pPr>
      <w:r>
        <w:rPr>
          <w:rFonts w:ascii="Arial" w:hAnsi="Arial" w:cs="Arial"/>
          <w:sz w:val="22"/>
        </w:rPr>
        <w:t>The other sponsors had no comment.</w:t>
      </w:r>
      <w:bookmarkStart w:id="0" w:name="_GoBack"/>
      <w:bookmarkEnd w:id="0"/>
    </w:p>
    <w:sectPr w:rsidR="003F48E2" w:rsidSect="00255E05">
      <w:headerReference w:type="default" r:id="rId8"/>
      <w:footerReference w:type="default" r:id="rId9"/>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EC1" w:rsidRDefault="00477EC1" w:rsidP="00B060C0">
      <w:pPr>
        <w:spacing w:after="0" w:line="240" w:lineRule="auto"/>
      </w:pPr>
      <w:r>
        <w:separator/>
      </w:r>
    </w:p>
  </w:endnote>
  <w:endnote w:type="continuationSeparator" w:id="0">
    <w:p w:rsidR="00477EC1" w:rsidRDefault="00477EC1" w:rsidP="00B0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E05" w:rsidRDefault="00255E05">
    <w:pPr>
      <w:pStyle w:val="Footer"/>
      <w:jc w:val="center"/>
    </w:pPr>
  </w:p>
  <w:p w:rsidR="00D126FF" w:rsidRPr="00255E05" w:rsidRDefault="003F48E2">
    <w:pPr>
      <w:pStyle w:val="Footer"/>
      <w:jc w:val="center"/>
      <w:rPr>
        <w:rFonts w:ascii="Arial" w:hAnsi="Arial" w:cs="Arial"/>
        <w:sz w:val="22"/>
      </w:rPr>
    </w:pPr>
    <w:sdt>
      <w:sdtPr>
        <w:id w:val="-334688951"/>
        <w:docPartObj>
          <w:docPartGallery w:val="Page Numbers (Bottom of Page)"/>
          <w:docPartUnique/>
        </w:docPartObj>
      </w:sdtPr>
      <w:sdtEndPr>
        <w:rPr>
          <w:rFonts w:ascii="Arial" w:hAnsi="Arial" w:cs="Arial"/>
          <w:noProof/>
          <w:sz w:val="22"/>
        </w:rPr>
      </w:sdtEndPr>
      <w:sdtContent>
        <w:r w:rsidR="00D126FF" w:rsidRPr="00255E05">
          <w:rPr>
            <w:rFonts w:ascii="Arial" w:hAnsi="Arial" w:cs="Arial"/>
            <w:sz w:val="22"/>
          </w:rPr>
          <w:fldChar w:fldCharType="begin"/>
        </w:r>
        <w:r w:rsidR="00D126FF" w:rsidRPr="00255E05">
          <w:rPr>
            <w:rFonts w:ascii="Arial" w:hAnsi="Arial" w:cs="Arial"/>
            <w:sz w:val="22"/>
          </w:rPr>
          <w:instrText xml:space="preserve"> PAGE   \* MERGEFORMAT </w:instrText>
        </w:r>
        <w:r w:rsidR="00D126FF" w:rsidRPr="00255E05">
          <w:rPr>
            <w:rFonts w:ascii="Arial" w:hAnsi="Arial" w:cs="Arial"/>
            <w:sz w:val="22"/>
          </w:rPr>
          <w:fldChar w:fldCharType="separate"/>
        </w:r>
        <w:r>
          <w:rPr>
            <w:rFonts w:ascii="Arial" w:hAnsi="Arial" w:cs="Arial"/>
            <w:noProof/>
            <w:sz w:val="22"/>
          </w:rPr>
          <w:t>7</w:t>
        </w:r>
        <w:r w:rsidR="00D126FF" w:rsidRPr="00255E05">
          <w:rPr>
            <w:rFonts w:ascii="Arial" w:hAnsi="Arial" w:cs="Arial"/>
            <w:noProof/>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EC1" w:rsidRDefault="00477EC1" w:rsidP="00B060C0">
      <w:pPr>
        <w:spacing w:after="0" w:line="240" w:lineRule="auto"/>
      </w:pPr>
      <w:r>
        <w:separator/>
      </w:r>
    </w:p>
  </w:footnote>
  <w:footnote w:type="continuationSeparator" w:id="0">
    <w:p w:rsidR="00477EC1" w:rsidRDefault="00477EC1" w:rsidP="00B06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9E" w:rsidRPr="00B060C0" w:rsidRDefault="00462558" w:rsidP="00B060C0">
    <w:pPr>
      <w:pStyle w:val="Header"/>
      <w:jc w:val="center"/>
      <w:rPr>
        <w:rFonts w:ascii="Arial" w:hAnsi="Arial" w:cs="Arial"/>
        <w:i/>
        <w:sz w:val="22"/>
      </w:rPr>
    </w:pPr>
    <w:r>
      <w:rPr>
        <w:rFonts w:ascii="Arial" w:hAnsi="Arial" w:cs="Arial"/>
        <w:i/>
        <w:sz w:val="22"/>
      </w:rPr>
      <w:t>Public Summary Document- November 2014 PBAC Meeting</w:t>
    </w:r>
  </w:p>
  <w:p w:rsidR="0027359E" w:rsidRDefault="002735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A40C4"/>
    <w:multiLevelType w:val="hybridMultilevel"/>
    <w:tmpl w:val="C72ED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D256ECB"/>
    <w:multiLevelType w:val="hybridMultilevel"/>
    <w:tmpl w:val="4B3249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44C57949"/>
    <w:multiLevelType w:val="hybridMultilevel"/>
    <w:tmpl w:val="542A31A2"/>
    <w:lvl w:ilvl="0" w:tplc="CC94D81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A50238D"/>
    <w:multiLevelType w:val="hybridMultilevel"/>
    <w:tmpl w:val="1D06F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4F46F4E"/>
    <w:multiLevelType w:val="hybridMultilevel"/>
    <w:tmpl w:val="A1A4A756"/>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5">
    <w:nsid w:val="70EF5F1F"/>
    <w:multiLevelType w:val="hybridMultilevel"/>
    <w:tmpl w:val="C3041942"/>
    <w:lvl w:ilvl="0" w:tplc="0C09000F">
      <w:start w:val="1"/>
      <w:numFmt w:val="decimal"/>
      <w:lvlText w:val="%1."/>
      <w:lvlJc w:val="left"/>
      <w:pPr>
        <w:ind w:left="1998" w:hanging="360"/>
      </w:pPr>
    </w:lvl>
    <w:lvl w:ilvl="1" w:tplc="0C090019" w:tentative="1">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6">
    <w:nsid w:val="76C710E9"/>
    <w:multiLevelType w:val="hybridMultilevel"/>
    <w:tmpl w:val="CAAA7DF2"/>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7">
    <w:nsid w:val="784D033C"/>
    <w:multiLevelType w:val="multilevel"/>
    <w:tmpl w:val="6B367D8C"/>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8830070"/>
    <w:multiLevelType w:val="hybridMultilevel"/>
    <w:tmpl w:val="F43C5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8"/>
  </w:num>
  <w:num w:numId="6">
    <w:abstractNumId w:val="4"/>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68C"/>
    <w:rsid w:val="00003FBA"/>
    <w:rsid w:val="00007276"/>
    <w:rsid w:val="0005474E"/>
    <w:rsid w:val="000676A1"/>
    <w:rsid w:val="00070DAC"/>
    <w:rsid w:val="0007776B"/>
    <w:rsid w:val="000842B2"/>
    <w:rsid w:val="00085B8C"/>
    <w:rsid w:val="00091809"/>
    <w:rsid w:val="00093A17"/>
    <w:rsid w:val="000B2F8F"/>
    <w:rsid w:val="000C21C0"/>
    <w:rsid w:val="000D0B49"/>
    <w:rsid w:val="001103D0"/>
    <w:rsid w:val="001172BC"/>
    <w:rsid w:val="00134286"/>
    <w:rsid w:val="0014172A"/>
    <w:rsid w:val="00144660"/>
    <w:rsid w:val="00153B0F"/>
    <w:rsid w:val="00154462"/>
    <w:rsid w:val="00193498"/>
    <w:rsid w:val="0019745E"/>
    <w:rsid w:val="001A213D"/>
    <w:rsid w:val="001A5A71"/>
    <w:rsid w:val="001B7D3B"/>
    <w:rsid w:val="001C2BD0"/>
    <w:rsid w:val="001C4FD2"/>
    <w:rsid w:val="001D3D70"/>
    <w:rsid w:val="001F41AD"/>
    <w:rsid w:val="0020160D"/>
    <w:rsid w:val="002162D5"/>
    <w:rsid w:val="00227164"/>
    <w:rsid w:val="002417EC"/>
    <w:rsid w:val="002441A0"/>
    <w:rsid w:val="00252987"/>
    <w:rsid w:val="0025431E"/>
    <w:rsid w:val="00255E05"/>
    <w:rsid w:val="00257B11"/>
    <w:rsid w:val="002602EB"/>
    <w:rsid w:val="00272B31"/>
    <w:rsid w:val="0027359E"/>
    <w:rsid w:val="002747DC"/>
    <w:rsid w:val="0027602D"/>
    <w:rsid w:val="00276D08"/>
    <w:rsid w:val="00280E00"/>
    <w:rsid w:val="00284C1F"/>
    <w:rsid w:val="0028735E"/>
    <w:rsid w:val="002A397A"/>
    <w:rsid w:val="002A39FA"/>
    <w:rsid w:val="002B0D9C"/>
    <w:rsid w:val="002D0FEF"/>
    <w:rsid w:val="002D4E06"/>
    <w:rsid w:val="002E273E"/>
    <w:rsid w:val="002E2E3F"/>
    <w:rsid w:val="002F46BF"/>
    <w:rsid w:val="00325FEB"/>
    <w:rsid w:val="00335E74"/>
    <w:rsid w:val="00337EAD"/>
    <w:rsid w:val="00344BE9"/>
    <w:rsid w:val="00353ED6"/>
    <w:rsid w:val="003641D3"/>
    <w:rsid w:val="00381D8E"/>
    <w:rsid w:val="003851F6"/>
    <w:rsid w:val="003A3D82"/>
    <w:rsid w:val="003A6116"/>
    <w:rsid w:val="003C42C0"/>
    <w:rsid w:val="003C4E4E"/>
    <w:rsid w:val="003D7CE4"/>
    <w:rsid w:val="003E164F"/>
    <w:rsid w:val="003F48E2"/>
    <w:rsid w:val="004042F6"/>
    <w:rsid w:val="00421966"/>
    <w:rsid w:val="0042348B"/>
    <w:rsid w:val="00424D13"/>
    <w:rsid w:val="00430BFF"/>
    <w:rsid w:val="00437220"/>
    <w:rsid w:val="00447E25"/>
    <w:rsid w:val="00456D20"/>
    <w:rsid w:val="00462558"/>
    <w:rsid w:val="00477EC1"/>
    <w:rsid w:val="00497A12"/>
    <w:rsid w:val="004C3913"/>
    <w:rsid w:val="004D5350"/>
    <w:rsid w:val="004E2790"/>
    <w:rsid w:val="004E77C2"/>
    <w:rsid w:val="004F19B0"/>
    <w:rsid w:val="004F2369"/>
    <w:rsid w:val="004F5BE0"/>
    <w:rsid w:val="0050615C"/>
    <w:rsid w:val="005100EB"/>
    <w:rsid w:val="00537579"/>
    <w:rsid w:val="00580C91"/>
    <w:rsid w:val="0059471D"/>
    <w:rsid w:val="005E00BA"/>
    <w:rsid w:val="005E5B2F"/>
    <w:rsid w:val="005F4EC4"/>
    <w:rsid w:val="00613F38"/>
    <w:rsid w:val="00621854"/>
    <w:rsid w:val="00651319"/>
    <w:rsid w:val="006517C5"/>
    <w:rsid w:val="00652C7D"/>
    <w:rsid w:val="006618D1"/>
    <w:rsid w:val="0066329B"/>
    <w:rsid w:val="00667DEB"/>
    <w:rsid w:val="006741A5"/>
    <w:rsid w:val="00677364"/>
    <w:rsid w:val="006822E1"/>
    <w:rsid w:val="00691FDE"/>
    <w:rsid w:val="006A7EEA"/>
    <w:rsid w:val="006B4A10"/>
    <w:rsid w:val="006C3166"/>
    <w:rsid w:val="006D6376"/>
    <w:rsid w:val="006D753B"/>
    <w:rsid w:val="006F22BD"/>
    <w:rsid w:val="007025C5"/>
    <w:rsid w:val="00707AD2"/>
    <w:rsid w:val="00720C28"/>
    <w:rsid w:val="00721286"/>
    <w:rsid w:val="00731BD2"/>
    <w:rsid w:val="00732D5E"/>
    <w:rsid w:val="0073469C"/>
    <w:rsid w:val="00740768"/>
    <w:rsid w:val="00775749"/>
    <w:rsid w:val="007874C4"/>
    <w:rsid w:val="00795084"/>
    <w:rsid w:val="007A3F84"/>
    <w:rsid w:val="007B7C4D"/>
    <w:rsid w:val="007C3C53"/>
    <w:rsid w:val="007C5A33"/>
    <w:rsid w:val="007F2DA4"/>
    <w:rsid w:val="007F4E20"/>
    <w:rsid w:val="0080381B"/>
    <w:rsid w:val="00844F48"/>
    <w:rsid w:val="00846D48"/>
    <w:rsid w:val="008557A6"/>
    <w:rsid w:val="00863BA0"/>
    <w:rsid w:val="00863EA6"/>
    <w:rsid w:val="00877C1D"/>
    <w:rsid w:val="00884615"/>
    <w:rsid w:val="0088491E"/>
    <w:rsid w:val="008D0644"/>
    <w:rsid w:val="008E4E3B"/>
    <w:rsid w:val="00913994"/>
    <w:rsid w:val="00925278"/>
    <w:rsid w:val="0092537B"/>
    <w:rsid w:val="0093226A"/>
    <w:rsid w:val="00943490"/>
    <w:rsid w:val="00960FBB"/>
    <w:rsid w:val="0096754E"/>
    <w:rsid w:val="00975957"/>
    <w:rsid w:val="00996933"/>
    <w:rsid w:val="009A731D"/>
    <w:rsid w:val="009B026A"/>
    <w:rsid w:val="009C3449"/>
    <w:rsid w:val="009D54A8"/>
    <w:rsid w:val="009E38D9"/>
    <w:rsid w:val="009E40FE"/>
    <w:rsid w:val="009F598D"/>
    <w:rsid w:val="00A12C5A"/>
    <w:rsid w:val="00A23007"/>
    <w:rsid w:val="00A32CEF"/>
    <w:rsid w:val="00A3615C"/>
    <w:rsid w:val="00A403D1"/>
    <w:rsid w:val="00A721FE"/>
    <w:rsid w:val="00A75118"/>
    <w:rsid w:val="00AC4AFE"/>
    <w:rsid w:val="00AC55D5"/>
    <w:rsid w:val="00AD34C5"/>
    <w:rsid w:val="00AE1918"/>
    <w:rsid w:val="00AF0573"/>
    <w:rsid w:val="00B060C0"/>
    <w:rsid w:val="00B210A4"/>
    <w:rsid w:val="00B24611"/>
    <w:rsid w:val="00B42931"/>
    <w:rsid w:val="00B52544"/>
    <w:rsid w:val="00B80563"/>
    <w:rsid w:val="00B80948"/>
    <w:rsid w:val="00B81B44"/>
    <w:rsid w:val="00BD53A1"/>
    <w:rsid w:val="00BF3BB5"/>
    <w:rsid w:val="00C16CD4"/>
    <w:rsid w:val="00C215E3"/>
    <w:rsid w:val="00C23C24"/>
    <w:rsid w:val="00C3027D"/>
    <w:rsid w:val="00C51753"/>
    <w:rsid w:val="00C8446C"/>
    <w:rsid w:val="00CB1565"/>
    <w:rsid w:val="00CC561D"/>
    <w:rsid w:val="00CE5083"/>
    <w:rsid w:val="00D126FF"/>
    <w:rsid w:val="00D46FDA"/>
    <w:rsid w:val="00D608A7"/>
    <w:rsid w:val="00D619D6"/>
    <w:rsid w:val="00D95D86"/>
    <w:rsid w:val="00D97C1B"/>
    <w:rsid w:val="00DB5252"/>
    <w:rsid w:val="00DC38DA"/>
    <w:rsid w:val="00DD44C6"/>
    <w:rsid w:val="00E02E7D"/>
    <w:rsid w:val="00E04696"/>
    <w:rsid w:val="00E054D4"/>
    <w:rsid w:val="00E07F93"/>
    <w:rsid w:val="00E30CE5"/>
    <w:rsid w:val="00E454A5"/>
    <w:rsid w:val="00E93564"/>
    <w:rsid w:val="00EA335C"/>
    <w:rsid w:val="00EA7F29"/>
    <w:rsid w:val="00EC040B"/>
    <w:rsid w:val="00EC138A"/>
    <w:rsid w:val="00EC59D3"/>
    <w:rsid w:val="00ED06DA"/>
    <w:rsid w:val="00EE1107"/>
    <w:rsid w:val="00EF53E2"/>
    <w:rsid w:val="00F15F5F"/>
    <w:rsid w:val="00F3210B"/>
    <w:rsid w:val="00F35E16"/>
    <w:rsid w:val="00F408E5"/>
    <w:rsid w:val="00F57357"/>
    <w:rsid w:val="00F86093"/>
    <w:rsid w:val="00F91A15"/>
    <w:rsid w:val="00FA01A3"/>
    <w:rsid w:val="00FC268C"/>
    <w:rsid w:val="00FF1F40"/>
    <w:rsid w:val="00FF318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72"/>
    <w:qFormat/>
    <w:rsid w:val="007025C5"/>
    <w:pPr>
      <w:ind w:left="720"/>
      <w:contextualSpacing/>
    </w:pPr>
  </w:style>
  <w:style w:type="character" w:styleId="Hyperlink">
    <w:name w:val="Hyperlink"/>
    <w:basedOn w:val="DefaultParagraphFont"/>
    <w:uiPriority w:val="99"/>
    <w:unhideWhenUsed/>
    <w:rsid w:val="00F57357"/>
    <w:rPr>
      <w:color w:val="0000FF" w:themeColor="hyperlink"/>
      <w:u w:val="single"/>
    </w:rPr>
  </w:style>
  <w:style w:type="character" w:styleId="FollowedHyperlink">
    <w:name w:val="FollowedHyperlink"/>
    <w:basedOn w:val="DefaultParagraphFont"/>
    <w:uiPriority w:val="99"/>
    <w:semiHidden/>
    <w:unhideWhenUsed/>
    <w:rsid w:val="00844F48"/>
    <w:rPr>
      <w:color w:val="800080" w:themeColor="followedHyperlink"/>
      <w:u w:val="single"/>
    </w:rPr>
  </w:style>
  <w:style w:type="table" w:styleId="TableGrid">
    <w:name w:val="Table Grid"/>
    <w:basedOn w:val="TableNormal"/>
    <w:rsid w:val="00227164"/>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6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0C0"/>
  </w:style>
  <w:style w:type="paragraph" w:styleId="Footer">
    <w:name w:val="footer"/>
    <w:basedOn w:val="Normal"/>
    <w:link w:val="FooterChar"/>
    <w:uiPriority w:val="99"/>
    <w:unhideWhenUsed/>
    <w:rsid w:val="00B06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0C0"/>
  </w:style>
  <w:style w:type="paragraph" w:styleId="BalloonText">
    <w:name w:val="Balloon Text"/>
    <w:basedOn w:val="Normal"/>
    <w:link w:val="BalloonTextChar"/>
    <w:uiPriority w:val="99"/>
    <w:semiHidden/>
    <w:unhideWhenUsed/>
    <w:rsid w:val="00B06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0C0"/>
    <w:rPr>
      <w:rFonts w:ascii="Tahoma" w:hAnsi="Tahoma" w:cs="Tahoma"/>
      <w:sz w:val="16"/>
      <w:szCs w:val="16"/>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F2369"/>
    <w:pPr>
      <w:spacing w:after="160" w:line="240" w:lineRule="exact"/>
    </w:pPr>
    <w:rPr>
      <w:rFonts w:ascii="Verdana" w:eastAsia="MS Mincho" w:hAnsi="Verdana" w:cs="Verdana"/>
      <w:sz w:val="20"/>
      <w:szCs w:val="20"/>
      <w:lang w:val="en-US"/>
    </w:rPr>
  </w:style>
  <w:style w:type="character" w:styleId="CommentReference">
    <w:name w:val="annotation reference"/>
    <w:basedOn w:val="DefaultParagraphFont"/>
    <w:uiPriority w:val="99"/>
    <w:semiHidden/>
    <w:unhideWhenUsed/>
    <w:rsid w:val="009A731D"/>
    <w:rPr>
      <w:sz w:val="18"/>
      <w:szCs w:val="18"/>
    </w:rPr>
  </w:style>
  <w:style w:type="paragraph" w:styleId="CommentText">
    <w:name w:val="annotation text"/>
    <w:basedOn w:val="Normal"/>
    <w:link w:val="CommentTextChar"/>
    <w:uiPriority w:val="99"/>
    <w:semiHidden/>
    <w:unhideWhenUsed/>
    <w:rsid w:val="009A731D"/>
    <w:pPr>
      <w:spacing w:line="240" w:lineRule="auto"/>
    </w:pPr>
    <w:rPr>
      <w:szCs w:val="24"/>
    </w:rPr>
  </w:style>
  <w:style w:type="character" w:customStyle="1" w:styleId="CommentTextChar">
    <w:name w:val="Comment Text Char"/>
    <w:basedOn w:val="DefaultParagraphFont"/>
    <w:link w:val="CommentText"/>
    <w:uiPriority w:val="99"/>
    <w:semiHidden/>
    <w:rsid w:val="009A731D"/>
    <w:rPr>
      <w:szCs w:val="24"/>
    </w:rPr>
  </w:style>
  <w:style w:type="paragraph" w:styleId="CommentSubject">
    <w:name w:val="annotation subject"/>
    <w:basedOn w:val="CommentText"/>
    <w:next w:val="CommentText"/>
    <w:link w:val="CommentSubjectChar"/>
    <w:uiPriority w:val="99"/>
    <w:semiHidden/>
    <w:unhideWhenUsed/>
    <w:rsid w:val="009A731D"/>
    <w:rPr>
      <w:b/>
      <w:bCs/>
      <w:sz w:val="20"/>
      <w:szCs w:val="20"/>
    </w:rPr>
  </w:style>
  <w:style w:type="character" w:customStyle="1" w:styleId="CommentSubjectChar">
    <w:name w:val="Comment Subject Char"/>
    <w:basedOn w:val="CommentTextChar"/>
    <w:link w:val="CommentSubject"/>
    <w:uiPriority w:val="99"/>
    <w:semiHidden/>
    <w:rsid w:val="009A731D"/>
    <w:rPr>
      <w:b/>
      <w:bCs/>
      <w:sz w:val="20"/>
      <w:szCs w:val="20"/>
    </w:rPr>
  </w:style>
  <w:style w:type="paragraph" w:styleId="Revision">
    <w:name w:val="Revision"/>
    <w:hidden/>
    <w:uiPriority w:val="99"/>
    <w:semiHidden/>
    <w:rsid w:val="00D126FF"/>
    <w:pPr>
      <w:spacing w:after="0" w:line="240" w:lineRule="auto"/>
    </w:pPr>
  </w:style>
  <w:style w:type="character" w:customStyle="1" w:styleId="ListParagraphChar">
    <w:name w:val="List Paragraph Char"/>
    <w:basedOn w:val="DefaultParagraphFont"/>
    <w:link w:val="ListParagraph"/>
    <w:uiPriority w:val="72"/>
    <w:rsid w:val="003C4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72"/>
    <w:qFormat/>
    <w:rsid w:val="007025C5"/>
    <w:pPr>
      <w:ind w:left="720"/>
      <w:contextualSpacing/>
    </w:pPr>
  </w:style>
  <w:style w:type="character" w:styleId="Hyperlink">
    <w:name w:val="Hyperlink"/>
    <w:basedOn w:val="DefaultParagraphFont"/>
    <w:uiPriority w:val="99"/>
    <w:unhideWhenUsed/>
    <w:rsid w:val="00F57357"/>
    <w:rPr>
      <w:color w:val="0000FF" w:themeColor="hyperlink"/>
      <w:u w:val="single"/>
    </w:rPr>
  </w:style>
  <w:style w:type="character" w:styleId="FollowedHyperlink">
    <w:name w:val="FollowedHyperlink"/>
    <w:basedOn w:val="DefaultParagraphFont"/>
    <w:uiPriority w:val="99"/>
    <w:semiHidden/>
    <w:unhideWhenUsed/>
    <w:rsid w:val="00844F48"/>
    <w:rPr>
      <w:color w:val="800080" w:themeColor="followedHyperlink"/>
      <w:u w:val="single"/>
    </w:rPr>
  </w:style>
  <w:style w:type="table" w:styleId="TableGrid">
    <w:name w:val="Table Grid"/>
    <w:basedOn w:val="TableNormal"/>
    <w:rsid w:val="00227164"/>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6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0C0"/>
  </w:style>
  <w:style w:type="paragraph" w:styleId="Footer">
    <w:name w:val="footer"/>
    <w:basedOn w:val="Normal"/>
    <w:link w:val="FooterChar"/>
    <w:uiPriority w:val="99"/>
    <w:unhideWhenUsed/>
    <w:rsid w:val="00B06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0C0"/>
  </w:style>
  <w:style w:type="paragraph" w:styleId="BalloonText">
    <w:name w:val="Balloon Text"/>
    <w:basedOn w:val="Normal"/>
    <w:link w:val="BalloonTextChar"/>
    <w:uiPriority w:val="99"/>
    <w:semiHidden/>
    <w:unhideWhenUsed/>
    <w:rsid w:val="00B06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0C0"/>
    <w:rPr>
      <w:rFonts w:ascii="Tahoma" w:hAnsi="Tahoma" w:cs="Tahoma"/>
      <w:sz w:val="16"/>
      <w:szCs w:val="16"/>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F2369"/>
    <w:pPr>
      <w:spacing w:after="160" w:line="240" w:lineRule="exact"/>
    </w:pPr>
    <w:rPr>
      <w:rFonts w:ascii="Verdana" w:eastAsia="MS Mincho" w:hAnsi="Verdana" w:cs="Verdana"/>
      <w:sz w:val="20"/>
      <w:szCs w:val="20"/>
      <w:lang w:val="en-US"/>
    </w:rPr>
  </w:style>
  <w:style w:type="character" w:styleId="CommentReference">
    <w:name w:val="annotation reference"/>
    <w:basedOn w:val="DefaultParagraphFont"/>
    <w:uiPriority w:val="99"/>
    <w:semiHidden/>
    <w:unhideWhenUsed/>
    <w:rsid w:val="009A731D"/>
    <w:rPr>
      <w:sz w:val="18"/>
      <w:szCs w:val="18"/>
    </w:rPr>
  </w:style>
  <w:style w:type="paragraph" w:styleId="CommentText">
    <w:name w:val="annotation text"/>
    <w:basedOn w:val="Normal"/>
    <w:link w:val="CommentTextChar"/>
    <w:uiPriority w:val="99"/>
    <w:semiHidden/>
    <w:unhideWhenUsed/>
    <w:rsid w:val="009A731D"/>
    <w:pPr>
      <w:spacing w:line="240" w:lineRule="auto"/>
    </w:pPr>
    <w:rPr>
      <w:szCs w:val="24"/>
    </w:rPr>
  </w:style>
  <w:style w:type="character" w:customStyle="1" w:styleId="CommentTextChar">
    <w:name w:val="Comment Text Char"/>
    <w:basedOn w:val="DefaultParagraphFont"/>
    <w:link w:val="CommentText"/>
    <w:uiPriority w:val="99"/>
    <w:semiHidden/>
    <w:rsid w:val="009A731D"/>
    <w:rPr>
      <w:szCs w:val="24"/>
    </w:rPr>
  </w:style>
  <w:style w:type="paragraph" w:styleId="CommentSubject">
    <w:name w:val="annotation subject"/>
    <w:basedOn w:val="CommentText"/>
    <w:next w:val="CommentText"/>
    <w:link w:val="CommentSubjectChar"/>
    <w:uiPriority w:val="99"/>
    <w:semiHidden/>
    <w:unhideWhenUsed/>
    <w:rsid w:val="009A731D"/>
    <w:rPr>
      <w:b/>
      <w:bCs/>
      <w:sz w:val="20"/>
      <w:szCs w:val="20"/>
    </w:rPr>
  </w:style>
  <w:style w:type="character" w:customStyle="1" w:styleId="CommentSubjectChar">
    <w:name w:val="Comment Subject Char"/>
    <w:basedOn w:val="CommentTextChar"/>
    <w:link w:val="CommentSubject"/>
    <w:uiPriority w:val="99"/>
    <w:semiHidden/>
    <w:rsid w:val="009A731D"/>
    <w:rPr>
      <w:b/>
      <w:bCs/>
      <w:sz w:val="20"/>
      <w:szCs w:val="20"/>
    </w:rPr>
  </w:style>
  <w:style w:type="paragraph" w:styleId="Revision">
    <w:name w:val="Revision"/>
    <w:hidden/>
    <w:uiPriority w:val="99"/>
    <w:semiHidden/>
    <w:rsid w:val="00D126FF"/>
    <w:pPr>
      <w:spacing w:after="0" w:line="240" w:lineRule="auto"/>
    </w:pPr>
  </w:style>
  <w:style w:type="character" w:customStyle="1" w:styleId="ListParagraphChar">
    <w:name w:val="List Paragraph Char"/>
    <w:basedOn w:val="DefaultParagraphFont"/>
    <w:link w:val="ListParagraph"/>
    <w:uiPriority w:val="72"/>
    <w:rsid w:val="003C4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9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2015-02-23T22:12:00Z</dcterms:created>
  <dcterms:modified xsi:type="dcterms:W3CDTF">2015-02-24T00:09:00Z</dcterms:modified>
</cp:coreProperties>
</file>