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BC" w:rsidRDefault="00586AB7" w:rsidP="007C0F57">
      <w:pPr>
        <w:ind w:left="720" w:hanging="720"/>
        <w:rPr>
          <w:rFonts w:ascii="Arial" w:hAnsi="Arial"/>
          <w:b/>
          <w:sz w:val="28"/>
          <w:szCs w:val="28"/>
        </w:rPr>
      </w:pPr>
      <w:bookmarkStart w:id="0" w:name="_GoBack"/>
      <w:bookmarkEnd w:id="0"/>
      <w:r w:rsidRPr="00E135BC">
        <w:rPr>
          <w:rFonts w:ascii="Arial" w:hAnsi="Arial"/>
          <w:b/>
          <w:sz w:val="28"/>
          <w:szCs w:val="28"/>
        </w:rPr>
        <w:t>5.1</w:t>
      </w:r>
      <w:r w:rsidR="00FE54B5">
        <w:rPr>
          <w:rFonts w:ascii="Arial" w:hAnsi="Arial"/>
          <w:b/>
          <w:sz w:val="28"/>
          <w:szCs w:val="28"/>
        </w:rPr>
        <w:t>6</w:t>
      </w:r>
      <w:r w:rsidR="007C0F57" w:rsidRPr="00E135BC">
        <w:rPr>
          <w:rFonts w:ascii="Arial" w:hAnsi="Arial"/>
          <w:b/>
          <w:sz w:val="28"/>
          <w:szCs w:val="28"/>
        </w:rPr>
        <w:tab/>
      </w:r>
      <w:r w:rsidR="00E913BC">
        <w:rPr>
          <w:rFonts w:ascii="Arial" w:hAnsi="Arial"/>
          <w:b/>
          <w:sz w:val="28"/>
          <w:szCs w:val="28"/>
        </w:rPr>
        <w:t>ITRACONAZOLE</w:t>
      </w:r>
    </w:p>
    <w:p w:rsidR="00E913BC" w:rsidRDefault="00586AB7" w:rsidP="00E913BC">
      <w:pPr>
        <w:ind w:left="720"/>
        <w:rPr>
          <w:rFonts w:ascii="Arial" w:hAnsi="Arial"/>
          <w:b/>
          <w:sz w:val="28"/>
          <w:szCs w:val="28"/>
        </w:rPr>
      </w:pPr>
      <w:r w:rsidRPr="00E135BC">
        <w:rPr>
          <w:rFonts w:ascii="Arial" w:hAnsi="Arial"/>
          <w:b/>
          <w:sz w:val="28"/>
          <w:szCs w:val="28"/>
        </w:rPr>
        <w:t xml:space="preserve">50 mg capsule, 60; </w:t>
      </w:r>
    </w:p>
    <w:p w:rsidR="00D3280C" w:rsidRPr="00E135BC" w:rsidRDefault="00586AB7" w:rsidP="00E913BC">
      <w:pPr>
        <w:ind w:left="720"/>
        <w:rPr>
          <w:rFonts w:ascii="Arial" w:hAnsi="Arial"/>
          <w:b/>
          <w:sz w:val="28"/>
          <w:szCs w:val="28"/>
        </w:rPr>
      </w:pPr>
      <w:proofErr w:type="spellStart"/>
      <w:proofErr w:type="gramStart"/>
      <w:r w:rsidRPr="00E135BC">
        <w:rPr>
          <w:rFonts w:ascii="Arial" w:hAnsi="Arial"/>
          <w:b/>
          <w:sz w:val="28"/>
          <w:szCs w:val="28"/>
        </w:rPr>
        <w:t>Lozanoc</w:t>
      </w:r>
      <w:proofErr w:type="spellEnd"/>
      <w:r w:rsidRPr="00D529BF">
        <w:rPr>
          <w:rFonts w:ascii="Arial" w:hAnsi="Arial"/>
          <w:b/>
          <w:sz w:val="28"/>
          <w:szCs w:val="28"/>
          <w:vertAlign w:val="superscript"/>
        </w:rPr>
        <w:t>®</w:t>
      </w:r>
      <w:r w:rsidR="00E913BC">
        <w:rPr>
          <w:rFonts w:ascii="Arial" w:hAnsi="Arial"/>
          <w:b/>
          <w:sz w:val="28"/>
          <w:szCs w:val="28"/>
        </w:rPr>
        <w:t xml:space="preserve">; </w:t>
      </w:r>
      <w:r w:rsidRPr="00E135BC">
        <w:rPr>
          <w:rFonts w:ascii="Arial" w:hAnsi="Arial"/>
          <w:b/>
          <w:sz w:val="28"/>
          <w:szCs w:val="28"/>
        </w:rPr>
        <w:t xml:space="preserve">Mayne </w:t>
      </w:r>
      <w:proofErr w:type="spellStart"/>
      <w:r w:rsidRPr="00E135BC">
        <w:rPr>
          <w:rFonts w:ascii="Arial" w:hAnsi="Arial"/>
          <w:b/>
          <w:sz w:val="28"/>
          <w:szCs w:val="28"/>
        </w:rPr>
        <w:t>Pharma</w:t>
      </w:r>
      <w:proofErr w:type="spellEnd"/>
      <w:r w:rsidRPr="00E135BC">
        <w:rPr>
          <w:rFonts w:ascii="Arial" w:hAnsi="Arial"/>
          <w:b/>
          <w:sz w:val="28"/>
          <w:szCs w:val="28"/>
        </w:rPr>
        <w:t xml:space="preserve"> International Ltd</w:t>
      </w:r>
      <w:r w:rsidR="00E913BC">
        <w:rPr>
          <w:rFonts w:ascii="Arial" w:hAnsi="Arial"/>
          <w:b/>
          <w:sz w:val="28"/>
          <w:szCs w:val="28"/>
        </w:rPr>
        <w:t>.</w:t>
      </w:r>
      <w:proofErr w:type="gramEnd"/>
    </w:p>
    <w:p w:rsidR="00D529BF" w:rsidRPr="00484970" w:rsidRDefault="00D529BF" w:rsidP="00A5273B">
      <w:pPr>
        <w:rPr>
          <w:rFonts w:ascii="Arial" w:hAnsi="Arial"/>
          <w:b/>
          <w:sz w:val="22"/>
        </w:rPr>
      </w:pPr>
    </w:p>
    <w:p w:rsidR="00484970" w:rsidRPr="00484970" w:rsidRDefault="00484970" w:rsidP="00A5273B">
      <w:pPr>
        <w:rPr>
          <w:rFonts w:ascii="Arial" w:hAnsi="Arial"/>
          <w:b/>
          <w:sz w:val="22"/>
        </w:rPr>
      </w:pPr>
    </w:p>
    <w:p w:rsidR="00CE10C4" w:rsidRPr="00E135BC" w:rsidRDefault="00CE10C4" w:rsidP="008525AD">
      <w:pPr>
        <w:pStyle w:val="ListParagraph"/>
        <w:numPr>
          <w:ilvl w:val="0"/>
          <w:numId w:val="25"/>
        </w:numPr>
        <w:jc w:val="both"/>
        <w:rPr>
          <w:rFonts w:ascii="Arial" w:hAnsi="Arial"/>
          <w:b/>
          <w:sz w:val="22"/>
          <w:szCs w:val="22"/>
        </w:rPr>
      </w:pPr>
      <w:r w:rsidRPr="00E135BC">
        <w:rPr>
          <w:rFonts w:ascii="Arial" w:hAnsi="Arial"/>
          <w:b/>
          <w:sz w:val="22"/>
          <w:szCs w:val="22"/>
        </w:rPr>
        <w:t xml:space="preserve">Purpose of </w:t>
      </w:r>
      <w:r w:rsidR="0004240E" w:rsidRPr="00E135BC">
        <w:rPr>
          <w:rFonts w:ascii="Arial" w:hAnsi="Arial"/>
          <w:b/>
          <w:sz w:val="22"/>
          <w:szCs w:val="22"/>
        </w:rPr>
        <w:t>Application</w:t>
      </w:r>
    </w:p>
    <w:p w:rsidR="006A12A5" w:rsidRPr="00E135BC" w:rsidRDefault="006A12A5" w:rsidP="00882085">
      <w:pPr>
        <w:jc w:val="both"/>
        <w:rPr>
          <w:rFonts w:ascii="Arial" w:hAnsi="Arial"/>
          <w:sz w:val="22"/>
          <w:szCs w:val="22"/>
        </w:rPr>
      </w:pPr>
    </w:p>
    <w:p w:rsidR="00F9629A" w:rsidRPr="00E135BC" w:rsidRDefault="00586AB7" w:rsidP="00A45BB0">
      <w:pPr>
        <w:pStyle w:val="ListParagraph"/>
        <w:numPr>
          <w:ilvl w:val="1"/>
          <w:numId w:val="25"/>
        </w:numPr>
        <w:jc w:val="both"/>
        <w:rPr>
          <w:rFonts w:ascii="Arial" w:hAnsi="Arial"/>
          <w:sz w:val="22"/>
          <w:szCs w:val="22"/>
        </w:rPr>
      </w:pPr>
      <w:r w:rsidRPr="00E135BC">
        <w:rPr>
          <w:rFonts w:ascii="Arial" w:hAnsi="Arial"/>
          <w:sz w:val="22"/>
          <w:szCs w:val="22"/>
        </w:rPr>
        <w:t>Authority Req</w:t>
      </w:r>
      <w:r w:rsidR="00904DAD" w:rsidRPr="00E135BC">
        <w:rPr>
          <w:rFonts w:ascii="Arial" w:hAnsi="Arial"/>
          <w:sz w:val="22"/>
          <w:szCs w:val="22"/>
        </w:rPr>
        <w:t xml:space="preserve">uired (STREAMLINED) listing of </w:t>
      </w:r>
      <w:proofErr w:type="spellStart"/>
      <w:r w:rsidR="00904DAD" w:rsidRPr="00E135BC">
        <w:rPr>
          <w:rFonts w:ascii="Arial" w:hAnsi="Arial"/>
          <w:sz w:val="22"/>
          <w:szCs w:val="22"/>
        </w:rPr>
        <w:t>itraconazole</w:t>
      </w:r>
      <w:proofErr w:type="spellEnd"/>
      <w:r w:rsidRPr="00E135BC">
        <w:rPr>
          <w:rFonts w:ascii="Arial" w:hAnsi="Arial"/>
          <w:sz w:val="22"/>
          <w:szCs w:val="22"/>
        </w:rPr>
        <w:t xml:space="preserve"> 50 mg capsule</w:t>
      </w:r>
      <w:r w:rsidR="00894700" w:rsidRPr="00E135BC">
        <w:rPr>
          <w:rFonts w:ascii="Arial" w:hAnsi="Arial"/>
          <w:sz w:val="22"/>
          <w:szCs w:val="22"/>
        </w:rPr>
        <w:t xml:space="preserve"> (</w:t>
      </w:r>
      <w:proofErr w:type="spellStart"/>
      <w:r w:rsidR="00894700" w:rsidRPr="00E135BC">
        <w:rPr>
          <w:rFonts w:ascii="Arial" w:hAnsi="Arial"/>
          <w:sz w:val="22"/>
          <w:szCs w:val="22"/>
        </w:rPr>
        <w:t>Lozanoc</w:t>
      </w:r>
      <w:proofErr w:type="spellEnd"/>
      <w:r w:rsidR="00894700" w:rsidRPr="00D529BF">
        <w:rPr>
          <w:rFonts w:ascii="Arial" w:hAnsi="Arial"/>
          <w:sz w:val="22"/>
          <w:szCs w:val="22"/>
          <w:vertAlign w:val="superscript"/>
        </w:rPr>
        <w:t>®</w:t>
      </w:r>
      <w:r w:rsidR="00894700" w:rsidRPr="00E135BC">
        <w:rPr>
          <w:rFonts w:ascii="Arial" w:hAnsi="Arial"/>
          <w:sz w:val="22"/>
          <w:szCs w:val="22"/>
        </w:rPr>
        <w:t>)</w:t>
      </w:r>
      <w:r w:rsidRPr="00E135BC">
        <w:rPr>
          <w:rFonts w:ascii="Arial" w:hAnsi="Arial"/>
          <w:sz w:val="22"/>
          <w:szCs w:val="22"/>
        </w:rPr>
        <w:t xml:space="preserve"> for the same i</w:t>
      </w:r>
      <w:r w:rsidR="00F94B77" w:rsidRPr="00E135BC">
        <w:rPr>
          <w:rFonts w:ascii="Arial" w:hAnsi="Arial"/>
          <w:sz w:val="22"/>
          <w:szCs w:val="22"/>
        </w:rPr>
        <w:t>ndications as the currently PBS-</w:t>
      </w:r>
      <w:r w:rsidRPr="00E135BC">
        <w:rPr>
          <w:rFonts w:ascii="Arial" w:hAnsi="Arial"/>
          <w:sz w:val="22"/>
          <w:szCs w:val="22"/>
        </w:rPr>
        <w:t xml:space="preserve">listed </w:t>
      </w:r>
      <w:proofErr w:type="spellStart"/>
      <w:r w:rsidR="00F94B77" w:rsidRPr="00E135BC">
        <w:rPr>
          <w:rFonts w:ascii="Arial" w:hAnsi="Arial"/>
          <w:sz w:val="22"/>
          <w:szCs w:val="22"/>
        </w:rPr>
        <w:t>itraconazole</w:t>
      </w:r>
      <w:proofErr w:type="spellEnd"/>
      <w:r w:rsidR="00F94B77" w:rsidRPr="00E135BC">
        <w:rPr>
          <w:rFonts w:ascii="Arial" w:hAnsi="Arial"/>
          <w:sz w:val="22"/>
          <w:szCs w:val="22"/>
        </w:rPr>
        <w:t xml:space="preserve"> </w:t>
      </w:r>
      <w:r w:rsidRPr="00E135BC">
        <w:rPr>
          <w:rFonts w:ascii="Arial" w:hAnsi="Arial"/>
          <w:sz w:val="22"/>
          <w:szCs w:val="22"/>
        </w:rPr>
        <w:t>100 mg capsule</w:t>
      </w:r>
      <w:r w:rsidR="00894700" w:rsidRPr="00E135BC">
        <w:rPr>
          <w:rFonts w:ascii="Arial" w:hAnsi="Arial"/>
          <w:sz w:val="22"/>
          <w:szCs w:val="22"/>
        </w:rPr>
        <w:t xml:space="preserve"> (</w:t>
      </w:r>
      <w:proofErr w:type="spellStart"/>
      <w:r w:rsidR="00894700" w:rsidRPr="00E135BC">
        <w:rPr>
          <w:rFonts w:ascii="Arial" w:hAnsi="Arial"/>
          <w:sz w:val="22"/>
          <w:szCs w:val="22"/>
        </w:rPr>
        <w:t>Sporanox</w:t>
      </w:r>
      <w:proofErr w:type="spellEnd"/>
      <w:r w:rsidR="00894700" w:rsidRPr="00D529BF">
        <w:rPr>
          <w:rFonts w:ascii="Arial" w:hAnsi="Arial"/>
          <w:sz w:val="22"/>
          <w:szCs w:val="22"/>
          <w:vertAlign w:val="superscript"/>
        </w:rPr>
        <w:t>®</w:t>
      </w:r>
      <w:r w:rsidR="00894700" w:rsidRPr="00E135BC">
        <w:rPr>
          <w:rFonts w:ascii="Arial" w:hAnsi="Arial"/>
          <w:sz w:val="22"/>
          <w:szCs w:val="22"/>
        </w:rPr>
        <w:t>)</w:t>
      </w:r>
      <w:r w:rsidRPr="00E135BC">
        <w:rPr>
          <w:rFonts w:ascii="Arial" w:hAnsi="Arial"/>
          <w:sz w:val="22"/>
          <w:szCs w:val="22"/>
        </w:rPr>
        <w:t>.</w:t>
      </w:r>
    </w:p>
    <w:p w:rsidR="00D529BF" w:rsidRDefault="00D529BF" w:rsidP="004B2B38">
      <w:pPr>
        <w:jc w:val="both"/>
        <w:rPr>
          <w:rFonts w:ascii="Arial" w:hAnsi="Arial"/>
          <w:b/>
          <w:sz w:val="22"/>
          <w:szCs w:val="22"/>
        </w:rPr>
      </w:pPr>
    </w:p>
    <w:p w:rsidR="005E1010" w:rsidRPr="004B2B38" w:rsidRDefault="005E1010" w:rsidP="004B2B38">
      <w:pPr>
        <w:jc w:val="both"/>
        <w:rPr>
          <w:rFonts w:ascii="Arial" w:hAnsi="Arial"/>
          <w:b/>
          <w:sz w:val="22"/>
          <w:szCs w:val="22"/>
        </w:rPr>
      </w:pPr>
    </w:p>
    <w:p w:rsidR="00614159" w:rsidRPr="00E135BC" w:rsidRDefault="006A12A5" w:rsidP="008525AD">
      <w:pPr>
        <w:pStyle w:val="ListParagraph"/>
        <w:numPr>
          <w:ilvl w:val="0"/>
          <w:numId w:val="25"/>
        </w:numPr>
        <w:jc w:val="both"/>
        <w:rPr>
          <w:rFonts w:ascii="Arial" w:hAnsi="Arial"/>
          <w:b/>
          <w:sz w:val="22"/>
          <w:szCs w:val="22"/>
        </w:rPr>
      </w:pPr>
      <w:r w:rsidRPr="00E135BC">
        <w:rPr>
          <w:rFonts w:ascii="Arial" w:hAnsi="Arial"/>
          <w:b/>
          <w:sz w:val="22"/>
          <w:szCs w:val="22"/>
        </w:rPr>
        <w:t>Requested listing</w:t>
      </w:r>
    </w:p>
    <w:p w:rsidR="006A12A5" w:rsidRPr="00E135BC" w:rsidRDefault="006A12A5" w:rsidP="00882085">
      <w:pPr>
        <w:jc w:val="both"/>
        <w:rPr>
          <w:rFonts w:ascii="Arial" w:hAnsi="Arial"/>
          <w:b/>
          <w:sz w:val="22"/>
          <w:szCs w:val="22"/>
        </w:rPr>
      </w:pPr>
    </w:p>
    <w:p w:rsidR="00BB7EC3" w:rsidRPr="00535BF3" w:rsidRDefault="00EF44A0" w:rsidP="00535BF3">
      <w:pPr>
        <w:pStyle w:val="ListParagraph"/>
        <w:numPr>
          <w:ilvl w:val="1"/>
          <w:numId w:val="25"/>
        </w:numPr>
        <w:jc w:val="both"/>
        <w:rPr>
          <w:rFonts w:ascii="Arial" w:hAnsi="Arial"/>
          <w:b/>
          <w:sz w:val="22"/>
          <w:szCs w:val="22"/>
        </w:rPr>
      </w:pPr>
      <w:r w:rsidRPr="00E135BC">
        <w:rPr>
          <w:rFonts w:ascii="Arial" w:hAnsi="Arial"/>
          <w:sz w:val="22"/>
          <w:szCs w:val="22"/>
        </w:rPr>
        <w:t xml:space="preserve">The submission </w:t>
      </w:r>
      <w:r w:rsidR="004D6F8B">
        <w:rPr>
          <w:rFonts w:ascii="Arial" w:hAnsi="Arial"/>
          <w:sz w:val="22"/>
          <w:szCs w:val="22"/>
        </w:rPr>
        <w:t>sought</w:t>
      </w:r>
      <w:r w:rsidRPr="00E135BC">
        <w:rPr>
          <w:rFonts w:ascii="Arial" w:hAnsi="Arial"/>
          <w:sz w:val="22"/>
          <w:szCs w:val="22"/>
        </w:rPr>
        <w:t xml:space="preserve"> the following </w:t>
      </w:r>
      <w:r w:rsidR="0076420C" w:rsidRPr="00E135BC">
        <w:rPr>
          <w:rFonts w:ascii="Arial" w:hAnsi="Arial"/>
          <w:sz w:val="22"/>
          <w:szCs w:val="22"/>
        </w:rPr>
        <w:t xml:space="preserve">new </w:t>
      </w:r>
      <w:r w:rsidRPr="00E135BC">
        <w:rPr>
          <w:rFonts w:ascii="Arial" w:hAnsi="Arial"/>
          <w:sz w:val="22"/>
          <w:szCs w:val="22"/>
        </w:rPr>
        <w:t>listing</w:t>
      </w:r>
      <w:r w:rsidR="00A45BB0" w:rsidRPr="00E135BC">
        <w:rPr>
          <w:rFonts w:ascii="Arial" w:hAnsi="Arial"/>
          <w:sz w:val="22"/>
          <w:szCs w:val="22"/>
        </w:rPr>
        <w:t>, in line w</w:t>
      </w:r>
      <w:r w:rsidR="00F94B77" w:rsidRPr="00E135BC">
        <w:rPr>
          <w:rFonts w:ascii="Arial" w:hAnsi="Arial"/>
          <w:sz w:val="22"/>
          <w:szCs w:val="22"/>
        </w:rPr>
        <w:t>ith the price and indications of</w:t>
      </w:r>
      <w:r w:rsidR="00A45BB0" w:rsidRPr="00E135BC">
        <w:rPr>
          <w:rFonts w:ascii="Arial" w:hAnsi="Arial"/>
          <w:sz w:val="22"/>
          <w:szCs w:val="22"/>
        </w:rPr>
        <w:t xml:space="preserve"> the current PBS-listing for </w:t>
      </w:r>
      <w:proofErr w:type="spellStart"/>
      <w:r w:rsidR="00A45BB0" w:rsidRPr="00E135BC">
        <w:rPr>
          <w:rFonts w:ascii="Arial" w:hAnsi="Arial"/>
          <w:sz w:val="22"/>
          <w:szCs w:val="22"/>
        </w:rPr>
        <w:t>itraconazole</w:t>
      </w:r>
      <w:proofErr w:type="spellEnd"/>
      <w:r w:rsidR="00A45BB0" w:rsidRPr="00E135BC">
        <w:rPr>
          <w:rFonts w:ascii="Arial" w:hAnsi="Arial"/>
          <w:sz w:val="22"/>
          <w:szCs w:val="22"/>
        </w:rPr>
        <w:t xml:space="preserve"> 100 mg</w:t>
      </w:r>
      <w:r w:rsidR="0034713B">
        <w:rPr>
          <w:rFonts w:ascii="Arial" w:hAnsi="Arial"/>
          <w:sz w:val="22"/>
          <w:szCs w:val="22"/>
        </w:rPr>
        <w:t xml:space="preserve">. </w:t>
      </w:r>
    </w:p>
    <w:p w:rsidR="00535BF3" w:rsidRDefault="00535BF3" w:rsidP="00535BF3">
      <w:pPr>
        <w:jc w:val="both"/>
        <w:rPr>
          <w:rFonts w:ascii="Arial" w:hAnsi="Arial"/>
          <w:b/>
          <w:sz w:val="22"/>
          <w:szCs w:val="22"/>
        </w:rPr>
      </w:pPr>
    </w:p>
    <w:p w:rsidR="00484970" w:rsidRPr="00535BF3" w:rsidRDefault="00484970" w:rsidP="00535BF3">
      <w:pPr>
        <w:jc w:val="both"/>
        <w:rPr>
          <w:rFonts w:ascii="Arial" w:hAnsi="Arial"/>
          <w:b/>
          <w:sz w:val="22"/>
          <w:szCs w:val="22"/>
        </w:rPr>
      </w:pPr>
    </w:p>
    <w:p w:rsidR="00CE10C4" w:rsidRPr="00E135BC" w:rsidRDefault="00CE10C4" w:rsidP="00882085">
      <w:pPr>
        <w:pStyle w:val="ListParagraph"/>
        <w:numPr>
          <w:ilvl w:val="0"/>
          <w:numId w:val="25"/>
        </w:numPr>
        <w:jc w:val="both"/>
        <w:rPr>
          <w:rFonts w:ascii="Arial" w:hAnsi="Arial"/>
          <w:sz w:val="22"/>
          <w:szCs w:val="22"/>
        </w:rPr>
      </w:pPr>
      <w:r w:rsidRPr="00E135BC">
        <w:rPr>
          <w:rFonts w:ascii="Arial" w:hAnsi="Arial"/>
          <w:b/>
          <w:sz w:val="22"/>
          <w:szCs w:val="22"/>
        </w:rPr>
        <w:t>Background</w:t>
      </w:r>
    </w:p>
    <w:p w:rsidR="006A12A5" w:rsidRPr="00E135BC" w:rsidRDefault="006A12A5" w:rsidP="00882085">
      <w:pPr>
        <w:jc w:val="both"/>
        <w:rPr>
          <w:rFonts w:ascii="Arial" w:hAnsi="Arial"/>
          <w:sz w:val="22"/>
          <w:szCs w:val="22"/>
        </w:rPr>
      </w:pPr>
    </w:p>
    <w:p w:rsidR="00A17B8A" w:rsidRPr="00E135BC" w:rsidRDefault="000870FA" w:rsidP="00882085">
      <w:pPr>
        <w:pStyle w:val="ListParagraph"/>
        <w:numPr>
          <w:ilvl w:val="1"/>
          <w:numId w:val="25"/>
        </w:numPr>
        <w:jc w:val="both"/>
        <w:rPr>
          <w:rFonts w:ascii="Arial" w:hAnsi="Arial"/>
          <w:i/>
          <w:sz w:val="22"/>
          <w:szCs w:val="22"/>
        </w:rPr>
      </w:pPr>
      <w:proofErr w:type="spellStart"/>
      <w:r w:rsidRPr="00E135BC">
        <w:rPr>
          <w:rFonts w:ascii="Arial" w:hAnsi="Arial"/>
          <w:sz w:val="22"/>
          <w:szCs w:val="22"/>
        </w:rPr>
        <w:t>Itraconazole</w:t>
      </w:r>
      <w:proofErr w:type="spellEnd"/>
      <w:r w:rsidRPr="00E135BC">
        <w:rPr>
          <w:rFonts w:ascii="Arial" w:hAnsi="Arial"/>
          <w:sz w:val="22"/>
          <w:szCs w:val="22"/>
        </w:rPr>
        <w:t xml:space="preserve"> 50 mg capsule (</w:t>
      </w:r>
      <w:proofErr w:type="spellStart"/>
      <w:r w:rsidR="00A17B8A" w:rsidRPr="00E135BC">
        <w:rPr>
          <w:rFonts w:ascii="Arial" w:hAnsi="Arial"/>
          <w:sz w:val="22"/>
          <w:szCs w:val="22"/>
        </w:rPr>
        <w:t>Lozanoc</w:t>
      </w:r>
      <w:proofErr w:type="spellEnd"/>
      <w:r w:rsidR="00A17B8A" w:rsidRPr="00D529BF">
        <w:rPr>
          <w:rFonts w:ascii="Arial" w:hAnsi="Arial"/>
          <w:sz w:val="22"/>
          <w:szCs w:val="22"/>
          <w:vertAlign w:val="superscript"/>
        </w:rPr>
        <w:t>®</w:t>
      </w:r>
      <w:r w:rsidRPr="00E135BC">
        <w:rPr>
          <w:rFonts w:ascii="Arial" w:hAnsi="Arial"/>
          <w:sz w:val="22"/>
          <w:szCs w:val="22"/>
        </w:rPr>
        <w:t>)</w:t>
      </w:r>
      <w:r w:rsidR="00476245" w:rsidRPr="00E135BC">
        <w:rPr>
          <w:rFonts w:ascii="Arial" w:hAnsi="Arial"/>
          <w:sz w:val="22"/>
          <w:szCs w:val="22"/>
        </w:rPr>
        <w:t xml:space="preserve"> is TGA registered for</w:t>
      </w:r>
      <w:r w:rsidR="00884F29" w:rsidRPr="00E135BC">
        <w:rPr>
          <w:rFonts w:ascii="Arial" w:hAnsi="Arial"/>
          <w:sz w:val="22"/>
          <w:szCs w:val="22"/>
        </w:rPr>
        <w:t xml:space="preserve"> the following indications</w:t>
      </w:r>
      <w:r w:rsidR="00A17B8A" w:rsidRPr="00E135BC">
        <w:rPr>
          <w:rFonts w:ascii="Arial" w:hAnsi="Arial"/>
          <w:sz w:val="22"/>
          <w:szCs w:val="22"/>
        </w:rPr>
        <w:t>:</w:t>
      </w:r>
    </w:p>
    <w:p w:rsidR="00884F29" w:rsidRPr="00E135BC" w:rsidRDefault="00884F29" w:rsidP="00884F29">
      <w:pPr>
        <w:ind w:left="851"/>
        <w:jc w:val="both"/>
        <w:rPr>
          <w:rFonts w:ascii="Arial" w:hAnsi="Arial"/>
          <w:sz w:val="22"/>
          <w:szCs w:val="22"/>
          <w:u w:val="single"/>
        </w:rPr>
      </w:pPr>
    </w:p>
    <w:p w:rsidR="006A14AF" w:rsidRPr="00E135BC" w:rsidRDefault="00884F29" w:rsidP="00CB639C">
      <w:pPr>
        <w:ind w:left="1134"/>
        <w:jc w:val="both"/>
        <w:rPr>
          <w:rFonts w:ascii="Arial" w:hAnsi="Arial"/>
          <w:sz w:val="22"/>
          <w:szCs w:val="22"/>
          <w:u w:val="single"/>
        </w:rPr>
      </w:pPr>
      <w:r w:rsidRPr="00E135BC">
        <w:rPr>
          <w:rFonts w:ascii="Arial" w:hAnsi="Arial"/>
          <w:sz w:val="22"/>
          <w:szCs w:val="22"/>
          <w:u w:val="single"/>
        </w:rPr>
        <w:t>Superficial mycoses</w:t>
      </w:r>
    </w:p>
    <w:p w:rsidR="002B1AE6" w:rsidRPr="00E135BC" w:rsidRDefault="00884F29" w:rsidP="006A14AF">
      <w:pPr>
        <w:ind w:left="1134"/>
        <w:jc w:val="both"/>
        <w:rPr>
          <w:rFonts w:ascii="Arial" w:hAnsi="Arial"/>
          <w:sz w:val="22"/>
          <w:szCs w:val="22"/>
        </w:rPr>
      </w:pPr>
      <w:proofErr w:type="spellStart"/>
      <w:r w:rsidRPr="00E135BC">
        <w:rPr>
          <w:rFonts w:ascii="Arial" w:hAnsi="Arial"/>
          <w:sz w:val="22"/>
          <w:szCs w:val="22"/>
        </w:rPr>
        <w:t>Lozanoc</w:t>
      </w:r>
      <w:proofErr w:type="spellEnd"/>
      <w:r w:rsidR="00D529BF" w:rsidRPr="00D529BF">
        <w:rPr>
          <w:rFonts w:ascii="Arial" w:hAnsi="Arial"/>
          <w:i/>
          <w:sz w:val="22"/>
          <w:szCs w:val="22"/>
          <w:vertAlign w:val="superscript"/>
        </w:rPr>
        <w:t>®</w:t>
      </w:r>
      <w:r w:rsidRPr="00E135BC">
        <w:rPr>
          <w:rFonts w:ascii="Arial" w:hAnsi="Arial"/>
          <w:sz w:val="22"/>
          <w:szCs w:val="22"/>
        </w:rPr>
        <w:t xml:space="preserve"> is indicated </w:t>
      </w:r>
      <w:r w:rsidR="00A17B8A" w:rsidRPr="00E135BC">
        <w:rPr>
          <w:rFonts w:ascii="Arial" w:hAnsi="Arial"/>
          <w:sz w:val="22"/>
          <w:szCs w:val="22"/>
        </w:rPr>
        <w:t>if external treatment is not effective or not appropriate, for t</w:t>
      </w:r>
      <w:r w:rsidRPr="00E135BC">
        <w:rPr>
          <w:rFonts w:ascii="Arial" w:hAnsi="Arial"/>
          <w:sz w:val="22"/>
          <w:szCs w:val="22"/>
        </w:rPr>
        <w:t>he treatment of the following fu</w:t>
      </w:r>
      <w:r w:rsidR="00A17B8A" w:rsidRPr="00E135BC">
        <w:rPr>
          <w:rFonts w:ascii="Arial" w:hAnsi="Arial"/>
          <w:sz w:val="22"/>
          <w:szCs w:val="22"/>
        </w:rPr>
        <w:t xml:space="preserve">ngal infections: </w:t>
      </w:r>
      <w:proofErr w:type="spellStart"/>
      <w:r w:rsidR="00A17B8A" w:rsidRPr="00E135BC">
        <w:rPr>
          <w:rFonts w:ascii="Arial" w:hAnsi="Arial"/>
          <w:sz w:val="22"/>
          <w:szCs w:val="22"/>
        </w:rPr>
        <w:t>dermatomycoses</w:t>
      </w:r>
      <w:proofErr w:type="spellEnd"/>
      <w:r w:rsidR="00A17B8A" w:rsidRPr="00E135BC">
        <w:rPr>
          <w:rFonts w:ascii="Arial" w:hAnsi="Arial"/>
          <w:sz w:val="22"/>
          <w:szCs w:val="22"/>
        </w:rPr>
        <w:t xml:space="preserve"> (e.g. </w:t>
      </w:r>
      <w:proofErr w:type="spellStart"/>
      <w:r w:rsidR="00A17B8A" w:rsidRPr="00E135BC">
        <w:rPr>
          <w:rFonts w:ascii="Arial" w:hAnsi="Arial"/>
          <w:i/>
          <w:sz w:val="22"/>
          <w:szCs w:val="22"/>
        </w:rPr>
        <w:t>tinea</w:t>
      </w:r>
      <w:proofErr w:type="spellEnd"/>
      <w:r w:rsidR="00A17B8A" w:rsidRPr="00E135BC">
        <w:rPr>
          <w:rFonts w:ascii="Arial" w:hAnsi="Arial"/>
          <w:i/>
          <w:sz w:val="22"/>
          <w:szCs w:val="22"/>
        </w:rPr>
        <w:t xml:space="preserve"> </w:t>
      </w:r>
      <w:proofErr w:type="spellStart"/>
      <w:r w:rsidR="00A17B8A" w:rsidRPr="00E135BC">
        <w:rPr>
          <w:rFonts w:ascii="Arial" w:hAnsi="Arial"/>
          <w:i/>
          <w:sz w:val="22"/>
          <w:szCs w:val="22"/>
        </w:rPr>
        <w:t>corporis</w:t>
      </w:r>
      <w:proofErr w:type="spellEnd"/>
      <w:r w:rsidR="00A17B8A" w:rsidRPr="00E135BC">
        <w:rPr>
          <w:rFonts w:ascii="Arial" w:hAnsi="Arial"/>
          <w:sz w:val="22"/>
          <w:szCs w:val="22"/>
        </w:rPr>
        <w:t>,</w:t>
      </w:r>
      <w:r w:rsidR="00A17B8A" w:rsidRPr="00E135BC">
        <w:rPr>
          <w:rFonts w:ascii="Arial" w:hAnsi="Arial"/>
          <w:i/>
          <w:sz w:val="22"/>
          <w:szCs w:val="22"/>
        </w:rPr>
        <w:t xml:space="preserve"> </w:t>
      </w:r>
      <w:proofErr w:type="spellStart"/>
      <w:r w:rsidR="00A17B8A" w:rsidRPr="00E135BC">
        <w:rPr>
          <w:rFonts w:ascii="Arial" w:hAnsi="Arial"/>
          <w:i/>
          <w:sz w:val="22"/>
          <w:szCs w:val="22"/>
        </w:rPr>
        <w:t>tinea</w:t>
      </w:r>
      <w:proofErr w:type="spellEnd"/>
      <w:r w:rsidR="00A17B8A" w:rsidRPr="00E135BC">
        <w:rPr>
          <w:rFonts w:ascii="Arial" w:hAnsi="Arial"/>
          <w:i/>
          <w:sz w:val="22"/>
          <w:szCs w:val="22"/>
        </w:rPr>
        <w:t xml:space="preserve"> </w:t>
      </w:r>
      <w:proofErr w:type="spellStart"/>
      <w:r w:rsidR="00A17B8A" w:rsidRPr="00E135BC">
        <w:rPr>
          <w:rFonts w:ascii="Arial" w:hAnsi="Arial"/>
          <w:i/>
          <w:sz w:val="22"/>
          <w:szCs w:val="22"/>
        </w:rPr>
        <w:t>cruis</w:t>
      </w:r>
      <w:proofErr w:type="spellEnd"/>
      <w:r w:rsidR="00A17B8A" w:rsidRPr="00E135BC">
        <w:rPr>
          <w:rFonts w:ascii="Arial" w:hAnsi="Arial"/>
          <w:sz w:val="22"/>
          <w:szCs w:val="22"/>
        </w:rPr>
        <w:t>,</w:t>
      </w:r>
      <w:r w:rsidR="00A17B8A" w:rsidRPr="00E135BC">
        <w:rPr>
          <w:rFonts w:ascii="Arial" w:hAnsi="Arial"/>
          <w:i/>
          <w:sz w:val="22"/>
          <w:szCs w:val="22"/>
        </w:rPr>
        <w:t xml:space="preserve"> </w:t>
      </w:r>
      <w:proofErr w:type="spellStart"/>
      <w:r w:rsidR="00A17B8A" w:rsidRPr="00E135BC">
        <w:rPr>
          <w:rFonts w:ascii="Arial" w:hAnsi="Arial"/>
          <w:i/>
          <w:sz w:val="22"/>
          <w:szCs w:val="22"/>
        </w:rPr>
        <w:t>tinea</w:t>
      </w:r>
      <w:proofErr w:type="spellEnd"/>
      <w:r w:rsidR="00A17B8A" w:rsidRPr="00E135BC">
        <w:rPr>
          <w:rFonts w:ascii="Arial" w:hAnsi="Arial"/>
          <w:i/>
          <w:sz w:val="22"/>
          <w:szCs w:val="22"/>
        </w:rPr>
        <w:t xml:space="preserve"> </w:t>
      </w:r>
      <w:proofErr w:type="spellStart"/>
      <w:r w:rsidR="00A17B8A" w:rsidRPr="00E135BC">
        <w:rPr>
          <w:rFonts w:ascii="Arial" w:hAnsi="Arial"/>
          <w:i/>
          <w:sz w:val="22"/>
          <w:szCs w:val="22"/>
        </w:rPr>
        <w:t>pedis</w:t>
      </w:r>
      <w:proofErr w:type="spellEnd"/>
      <w:r w:rsidR="00A17B8A" w:rsidRPr="00E135BC">
        <w:rPr>
          <w:rFonts w:ascii="Arial" w:hAnsi="Arial"/>
          <w:sz w:val="22"/>
          <w:szCs w:val="22"/>
        </w:rPr>
        <w:t>,</w:t>
      </w:r>
      <w:r w:rsidR="00A17B8A" w:rsidRPr="00E135BC">
        <w:rPr>
          <w:rFonts w:ascii="Arial" w:hAnsi="Arial"/>
          <w:i/>
          <w:sz w:val="22"/>
          <w:szCs w:val="22"/>
        </w:rPr>
        <w:t xml:space="preserve"> </w:t>
      </w:r>
      <w:proofErr w:type="spellStart"/>
      <w:r w:rsidR="00A17B8A" w:rsidRPr="00E135BC">
        <w:rPr>
          <w:rFonts w:ascii="Arial" w:hAnsi="Arial"/>
          <w:i/>
          <w:sz w:val="22"/>
          <w:szCs w:val="22"/>
        </w:rPr>
        <w:t>tinea</w:t>
      </w:r>
      <w:proofErr w:type="spellEnd"/>
      <w:r w:rsidR="00A17B8A" w:rsidRPr="00E135BC">
        <w:rPr>
          <w:rFonts w:ascii="Arial" w:hAnsi="Arial"/>
          <w:i/>
          <w:sz w:val="22"/>
          <w:szCs w:val="22"/>
        </w:rPr>
        <w:t xml:space="preserve"> </w:t>
      </w:r>
      <w:proofErr w:type="spellStart"/>
      <w:r w:rsidR="00A17B8A" w:rsidRPr="00E135BC">
        <w:rPr>
          <w:rFonts w:ascii="Arial" w:hAnsi="Arial"/>
          <w:i/>
          <w:sz w:val="22"/>
          <w:szCs w:val="22"/>
        </w:rPr>
        <w:t>manus</w:t>
      </w:r>
      <w:proofErr w:type="spellEnd"/>
      <w:r w:rsidR="00A17B8A" w:rsidRPr="00E135BC">
        <w:rPr>
          <w:rFonts w:ascii="Arial" w:hAnsi="Arial"/>
          <w:sz w:val="22"/>
          <w:szCs w:val="22"/>
        </w:rPr>
        <w:t>,</w:t>
      </w:r>
      <w:r w:rsidR="00A17B8A" w:rsidRPr="00E135BC">
        <w:rPr>
          <w:rFonts w:ascii="Arial" w:hAnsi="Arial"/>
          <w:i/>
          <w:sz w:val="22"/>
          <w:szCs w:val="22"/>
        </w:rPr>
        <w:t xml:space="preserve"> </w:t>
      </w:r>
      <w:proofErr w:type="spellStart"/>
      <w:r w:rsidR="00A17B8A" w:rsidRPr="00E135BC">
        <w:rPr>
          <w:rFonts w:ascii="Arial" w:hAnsi="Arial"/>
          <w:i/>
          <w:sz w:val="22"/>
          <w:szCs w:val="22"/>
        </w:rPr>
        <w:t>tinea</w:t>
      </w:r>
      <w:proofErr w:type="spellEnd"/>
      <w:r w:rsidR="00A17B8A" w:rsidRPr="00E135BC">
        <w:rPr>
          <w:rFonts w:ascii="Arial" w:hAnsi="Arial"/>
          <w:i/>
          <w:sz w:val="22"/>
          <w:szCs w:val="22"/>
        </w:rPr>
        <w:t xml:space="preserve"> </w:t>
      </w:r>
      <w:proofErr w:type="spellStart"/>
      <w:r w:rsidR="00A17B8A" w:rsidRPr="00E135BC">
        <w:rPr>
          <w:rFonts w:ascii="Arial" w:hAnsi="Arial"/>
          <w:i/>
          <w:sz w:val="22"/>
          <w:szCs w:val="22"/>
        </w:rPr>
        <w:t>unguium</w:t>
      </w:r>
      <w:proofErr w:type="spellEnd"/>
      <w:r w:rsidR="00A17B8A" w:rsidRPr="00E135BC">
        <w:rPr>
          <w:rFonts w:ascii="Arial" w:hAnsi="Arial"/>
          <w:sz w:val="22"/>
          <w:szCs w:val="22"/>
        </w:rPr>
        <w:t xml:space="preserve">) and </w:t>
      </w:r>
      <w:proofErr w:type="spellStart"/>
      <w:r w:rsidR="00A17B8A" w:rsidRPr="00E135BC">
        <w:rPr>
          <w:rFonts w:ascii="Arial" w:hAnsi="Arial"/>
          <w:i/>
          <w:sz w:val="22"/>
          <w:szCs w:val="22"/>
        </w:rPr>
        <w:t>Pityriasis</w:t>
      </w:r>
      <w:proofErr w:type="spellEnd"/>
      <w:r w:rsidR="00A17B8A" w:rsidRPr="00E135BC">
        <w:rPr>
          <w:rFonts w:ascii="Arial" w:hAnsi="Arial"/>
          <w:i/>
          <w:sz w:val="22"/>
          <w:szCs w:val="22"/>
        </w:rPr>
        <w:t xml:space="preserve"> versicolour</w:t>
      </w:r>
      <w:r w:rsidRPr="00E135BC">
        <w:rPr>
          <w:rFonts w:ascii="Arial" w:hAnsi="Arial"/>
          <w:sz w:val="22"/>
          <w:szCs w:val="22"/>
        </w:rPr>
        <w:t>.</w:t>
      </w:r>
    </w:p>
    <w:p w:rsidR="00884F29" w:rsidRPr="00E135BC" w:rsidRDefault="00884F29" w:rsidP="006A14AF">
      <w:pPr>
        <w:ind w:left="1134"/>
        <w:jc w:val="both"/>
        <w:rPr>
          <w:rFonts w:ascii="Arial" w:hAnsi="Arial"/>
          <w:sz w:val="22"/>
          <w:szCs w:val="22"/>
        </w:rPr>
      </w:pPr>
    </w:p>
    <w:p w:rsidR="006A14AF" w:rsidRPr="00E135BC" w:rsidRDefault="00884F29" w:rsidP="00CB639C">
      <w:pPr>
        <w:ind w:left="1134"/>
        <w:jc w:val="both"/>
        <w:rPr>
          <w:rFonts w:ascii="Arial" w:hAnsi="Arial"/>
          <w:sz w:val="22"/>
          <w:szCs w:val="22"/>
          <w:u w:val="single"/>
        </w:rPr>
      </w:pPr>
      <w:r w:rsidRPr="00E135BC">
        <w:rPr>
          <w:rFonts w:ascii="Arial" w:hAnsi="Arial"/>
          <w:sz w:val="22"/>
          <w:szCs w:val="22"/>
          <w:u w:val="single"/>
        </w:rPr>
        <w:t>Systemic mycoses</w:t>
      </w:r>
    </w:p>
    <w:p w:rsidR="00092D8C" w:rsidRPr="00E135BC" w:rsidRDefault="00884F29" w:rsidP="006A14AF">
      <w:pPr>
        <w:ind w:left="1134"/>
        <w:jc w:val="both"/>
        <w:rPr>
          <w:rFonts w:ascii="Arial" w:hAnsi="Arial"/>
          <w:sz w:val="22"/>
          <w:szCs w:val="22"/>
        </w:rPr>
      </w:pPr>
      <w:proofErr w:type="spellStart"/>
      <w:r w:rsidRPr="00E135BC">
        <w:rPr>
          <w:rFonts w:ascii="Arial" w:hAnsi="Arial"/>
          <w:sz w:val="22"/>
          <w:szCs w:val="22"/>
        </w:rPr>
        <w:t>Lozanoc</w:t>
      </w:r>
      <w:proofErr w:type="spellEnd"/>
      <w:r w:rsidR="00D529BF" w:rsidRPr="00D529BF">
        <w:rPr>
          <w:rFonts w:ascii="Arial" w:hAnsi="Arial"/>
          <w:i/>
          <w:sz w:val="22"/>
          <w:szCs w:val="22"/>
          <w:vertAlign w:val="superscript"/>
        </w:rPr>
        <w:t>®</w:t>
      </w:r>
      <w:r w:rsidRPr="00E135BC">
        <w:rPr>
          <w:rFonts w:ascii="Arial" w:hAnsi="Arial"/>
          <w:sz w:val="22"/>
          <w:szCs w:val="22"/>
        </w:rPr>
        <w:t xml:space="preserve"> is indicated for the treatment of </w:t>
      </w:r>
      <w:r w:rsidR="00092D8C" w:rsidRPr="00E135BC">
        <w:rPr>
          <w:rFonts w:ascii="Arial" w:hAnsi="Arial"/>
          <w:sz w:val="22"/>
          <w:szCs w:val="22"/>
        </w:rPr>
        <w:t xml:space="preserve">systemic mycoses, such as </w:t>
      </w:r>
      <w:r w:rsidR="00092D8C" w:rsidRPr="00E135BC">
        <w:rPr>
          <w:rFonts w:ascii="Arial" w:hAnsi="Arial"/>
          <w:i/>
          <w:sz w:val="22"/>
          <w:szCs w:val="22"/>
        </w:rPr>
        <w:t>candidiasis</w:t>
      </w:r>
      <w:r w:rsidR="00092D8C" w:rsidRPr="00E135BC">
        <w:rPr>
          <w:rFonts w:ascii="Arial" w:hAnsi="Arial"/>
          <w:sz w:val="22"/>
          <w:szCs w:val="22"/>
        </w:rPr>
        <w:t xml:space="preserve">, </w:t>
      </w:r>
      <w:proofErr w:type="spellStart"/>
      <w:r w:rsidR="00092D8C" w:rsidRPr="00E135BC">
        <w:rPr>
          <w:rFonts w:ascii="Arial" w:hAnsi="Arial"/>
          <w:i/>
          <w:sz w:val="22"/>
          <w:szCs w:val="22"/>
        </w:rPr>
        <w:t>aspergillosis</w:t>
      </w:r>
      <w:proofErr w:type="spellEnd"/>
      <w:r w:rsidR="00092D8C" w:rsidRPr="00E135BC">
        <w:rPr>
          <w:rFonts w:ascii="Arial" w:hAnsi="Arial"/>
          <w:sz w:val="22"/>
          <w:szCs w:val="22"/>
        </w:rPr>
        <w:t xml:space="preserve">, and </w:t>
      </w:r>
      <w:proofErr w:type="spellStart"/>
      <w:r w:rsidR="00092D8C" w:rsidRPr="00E135BC">
        <w:rPr>
          <w:rFonts w:ascii="Arial" w:hAnsi="Arial"/>
          <w:i/>
          <w:sz w:val="22"/>
          <w:szCs w:val="22"/>
        </w:rPr>
        <w:t>histoplasmosis</w:t>
      </w:r>
      <w:proofErr w:type="spellEnd"/>
      <w:r w:rsidR="00092D8C" w:rsidRPr="00E135BC">
        <w:rPr>
          <w:rFonts w:ascii="Arial" w:hAnsi="Arial"/>
          <w:sz w:val="22"/>
          <w:szCs w:val="22"/>
        </w:rPr>
        <w:t>.</w:t>
      </w:r>
    </w:p>
    <w:p w:rsidR="00884F29" w:rsidRPr="00E135BC" w:rsidRDefault="00884F29" w:rsidP="006A14AF">
      <w:pPr>
        <w:ind w:left="1134"/>
        <w:jc w:val="both"/>
        <w:rPr>
          <w:rFonts w:ascii="Arial" w:hAnsi="Arial"/>
          <w:sz w:val="22"/>
          <w:szCs w:val="22"/>
        </w:rPr>
      </w:pPr>
    </w:p>
    <w:p w:rsidR="00884F29" w:rsidRPr="00E135BC" w:rsidRDefault="00884F29" w:rsidP="006A14AF">
      <w:pPr>
        <w:ind w:left="1134"/>
        <w:jc w:val="both"/>
        <w:rPr>
          <w:rFonts w:ascii="Arial" w:hAnsi="Arial"/>
          <w:i/>
          <w:sz w:val="22"/>
          <w:szCs w:val="22"/>
        </w:rPr>
      </w:pPr>
      <w:r w:rsidRPr="00E135BC">
        <w:rPr>
          <w:rFonts w:ascii="Arial" w:hAnsi="Arial"/>
          <w:sz w:val="22"/>
          <w:szCs w:val="22"/>
        </w:rPr>
        <w:t xml:space="preserve">Consideration should be given to official guidance on the appropriate use of </w:t>
      </w:r>
      <w:proofErr w:type="spellStart"/>
      <w:r w:rsidRPr="00E135BC">
        <w:rPr>
          <w:rFonts w:ascii="Arial" w:hAnsi="Arial"/>
          <w:sz w:val="22"/>
          <w:szCs w:val="22"/>
        </w:rPr>
        <w:t>antimycotic</w:t>
      </w:r>
      <w:proofErr w:type="spellEnd"/>
      <w:r w:rsidRPr="00E135BC">
        <w:rPr>
          <w:rFonts w:ascii="Arial" w:hAnsi="Arial"/>
          <w:sz w:val="22"/>
          <w:szCs w:val="22"/>
        </w:rPr>
        <w:t xml:space="preserve"> agents, and to the discussion of the pharmacodynamics properties (see PHARMACOLOGY).</w:t>
      </w:r>
    </w:p>
    <w:p w:rsidR="006B0D94" w:rsidRPr="00E135BC" w:rsidRDefault="006B0D94" w:rsidP="00882085">
      <w:pPr>
        <w:pStyle w:val="ListParagraph"/>
        <w:jc w:val="both"/>
        <w:rPr>
          <w:rFonts w:ascii="Arial" w:hAnsi="Arial"/>
          <w:sz w:val="22"/>
          <w:szCs w:val="22"/>
        </w:rPr>
      </w:pPr>
    </w:p>
    <w:p w:rsidR="008A1956" w:rsidRPr="007D56C6" w:rsidRDefault="00932DA5" w:rsidP="00882085">
      <w:pPr>
        <w:pStyle w:val="ListParagraph"/>
        <w:numPr>
          <w:ilvl w:val="1"/>
          <w:numId w:val="25"/>
        </w:numPr>
        <w:jc w:val="both"/>
        <w:rPr>
          <w:rFonts w:ascii="Arial" w:hAnsi="Arial"/>
          <w:sz w:val="22"/>
          <w:szCs w:val="22"/>
        </w:rPr>
      </w:pPr>
      <w:proofErr w:type="spellStart"/>
      <w:r w:rsidRPr="00E135BC">
        <w:rPr>
          <w:rFonts w:ascii="Arial" w:hAnsi="Arial"/>
          <w:sz w:val="22"/>
          <w:szCs w:val="22"/>
        </w:rPr>
        <w:t>Lozanoc</w:t>
      </w:r>
      <w:proofErr w:type="spellEnd"/>
      <w:r w:rsidRPr="00D529BF">
        <w:rPr>
          <w:rFonts w:ascii="Arial" w:hAnsi="Arial"/>
          <w:sz w:val="22"/>
          <w:szCs w:val="22"/>
          <w:vertAlign w:val="superscript"/>
        </w:rPr>
        <w:t>®</w:t>
      </w:r>
      <w:r w:rsidR="000870FA" w:rsidRPr="00E135BC">
        <w:rPr>
          <w:rFonts w:ascii="Arial" w:hAnsi="Arial"/>
          <w:sz w:val="22"/>
          <w:szCs w:val="22"/>
        </w:rPr>
        <w:t xml:space="preserve"> </w:t>
      </w:r>
      <w:r w:rsidR="004D6F8B">
        <w:rPr>
          <w:rFonts w:ascii="Arial" w:hAnsi="Arial"/>
          <w:sz w:val="22"/>
          <w:szCs w:val="22"/>
        </w:rPr>
        <w:t>had</w:t>
      </w:r>
      <w:r w:rsidR="006A14AF" w:rsidRPr="00E135BC">
        <w:rPr>
          <w:rFonts w:ascii="Arial" w:hAnsi="Arial"/>
          <w:sz w:val="22"/>
          <w:szCs w:val="22"/>
        </w:rPr>
        <w:t xml:space="preserve"> not been considered </w:t>
      </w:r>
      <w:r w:rsidR="006A12A5" w:rsidRPr="00E135BC">
        <w:rPr>
          <w:rFonts w:ascii="Arial" w:hAnsi="Arial"/>
          <w:sz w:val="22"/>
          <w:szCs w:val="22"/>
        </w:rPr>
        <w:t>by PBAC previously</w:t>
      </w:r>
      <w:r w:rsidR="006A14AF" w:rsidRPr="00E135BC">
        <w:rPr>
          <w:rFonts w:ascii="Arial" w:hAnsi="Arial"/>
          <w:sz w:val="22"/>
          <w:szCs w:val="22"/>
        </w:rPr>
        <w:t>.</w:t>
      </w:r>
    </w:p>
    <w:p w:rsidR="006A14AF" w:rsidRDefault="006A14AF" w:rsidP="00882085">
      <w:pPr>
        <w:jc w:val="both"/>
        <w:rPr>
          <w:rFonts w:ascii="Arial" w:hAnsi="Arial"/>
          <w:b/>
          <w:sz w:val="22"/>
          <w:szCs w:val="22"/>
        </w:rPr>
      </w:pPr>
    </w:p>
    <w:p w:rsidR="004D6F8B" w:rsidRPr="00E135BC" w:rsidRDefault="004D6F8B" w:rsidP="00882085">
      <w:pPr>
        <w:jc w:val="both"/>
        <w:rPr>
          <w:rFonts w:ascii="Arial" w:hAnsi="Arial"/>
          <w:b/>
          <w:sz w:val="22"/>
          <w:szCs w:val="22"/>
        </w:rPr>
      </w:pPr>
    </w:p>
    <w:p w:rsidR="00CE10C4" w:rsidRPr="00E135BC" w:rsidRDefault="00CE10C4" w:rsidP="00E913BC">
      <w:pPr>
        <w:pStyle w:val="ListParagraph"/>
        <w:numPr>
          <w:ilvl w:val="0"/>
          <w:numId w:val="25"/>
        </w:numPr>
        <w:jc w:val="both"/>
        <w:rPr>
          <w:rFonts w:ascii="Arial" w:hAnsi="Arial"/>
          <w:b/>
          <w:sz w:val="22"/>
          <w:szCs w:val="22"/>
        </w:rPr>
      </w:pPr>
      <w:r w:rsidRPr="00E135BC">
        <w:rPr>
          <w:rFonts w:ascii="Arial" w:hAnsi="Arial"/>
          <w:b/>
          <w:sz w:val="22"/>
          <w:szCs w:val="22"/>
        </w:rPr>
        <w:t>Clinical place for the proposed ther</w:t>
      </w:r>
      <w:r w:rsidR="006A12A5" w:rsidRPr="00E135BC">
        <w:rPr>
          <w:rFonts w:ascii="Arial" w:hAnsi="Arial"/>
          <w:b/>
          <w:sz w:val="22"/>
          <w:szCs w:val="22"/>
        </w:rPr>
        <w:t>apy</w:t>
      </w:r>
    </w:p>
    <w:p w:rsidR="00E913BC" w:rsidRPr="00E913BC" w:rsidRDefault="00E913BC" w:rsidP="00E913BC">
      <w:pPr>
        <w:jc w:val="both"/>
        <w:rPr>
          <w:rFonts w:ascii="Arial" w:hAnsi="Arial"/>
          <w:sz w:val="22"/>
          <w:szCs w:val="22"/>
        </w:rPr>
      </w:pPr>
    </w:p>
    <w:p w:rsidR="00932DA5" w:rsidRPr="00E135BC" w:rsidRDefault="00932DA5" w:rsidP="00A37E51">
      <w:pPr>
        <w:pStyle w:val="ListParagraph"/>
        <w:numPr>
          <w:ilvl w:val="1"/>
          <w:numId w:val="25"/>
        </w:numPr>
        <w:jc w:val="both"/>
        <w:rPr>
          <w:rFonts w:ascii="Arial" w:hAnsi="Arial"/>
          <w:sz w:val="22"/>
          <w:szCs w:val="22"/>
        </w:rPr>
      </w:pPr>
      <w:proofErr w:type="spellStart"/>
      <w:r w:rsidRPr="00E135BC">
        <w:rPr>
          <w:rFonts w:ascii="Arial" w:hAnsi="Arial"/>
          <w:sz w:val="22"/>
          <w:szCs w:val="22"/>
        </w:rPr>
        <w:t>Lozanoc</w:t>
      </w:r>
      <w:proofErr w:type="spellEnd"/>
      <w:r w:rsidRPr="00D529BF">
        <w:rPr>
          <w:rFonts w:ascii="Arial" w:hAnsi="Arial"/>
          <w:sz w:val="22"/>
          <w:szCs w:val="22"/>
          <w:vertAlign w:val="superscript"/>
        </w:rPr>
        <w:t>®</w:t>
      </w:r>
      <w:r w:rsidR="00FB011A" w:rsidRPr="00E135BC">
        <w:rPr>
          <w:rFonts w:ascii="Arial" w:hAnsi="Arial"/>
          <w:sz w:val="22"/>
          <w:szCs w:val="22"/>
        </w:rPr>
        <w:t xml:space="preserve"> is </w:t>
      </w:r>
      <w:r w:rsidR="000870FA" w:rsidRPr="00E135BC">
        <w:rPr>
          <w:rFonts w:ascii="Arial" w:hAnsi="Arial"/>
          <w:sz w:val="22"/>
          <w:szCs w:val="22"/>
        </w:rPr>
        <w:t xml:space="preserve">TGA approved </w:t>
      </w:r>
      <w:r w:rsidR="00FB011A" w:rsidRPr="00E135BC">
        <w:rPr>
          <w:rFonts w:ascii="Arial" w:hAnsi="Arial"/>
          <w:sz w:val="22"/>
          <w:szCs w:val="22"/>
        </w:rPr>
        <w:t>for superficial and systemic mycoses</w:t>
      </w:r>
      <w:r w:rsidR="000870FA" w:rsidRPr="00E135BC">
        <w:rPr>
          <w:rFonts w:ascii="Arial" w:hAnsi="Arial"/>
          <w:sz w:val="22"/>
          <w:szCs w:val="22"/>
        </w:rPr>
        <w:t xml:space="preserve"> indications</w:t>
      </w:r>
      <w:r w:rsidR="00FB011A" w:rsidRPr="00E135BC">
        <w:rPr>
          <w:rFonts w:ascii="Arial" w:hAnsi="Arial"/>
          <w:sz w:val="22"/>
          <w:szCs w:val="22"/>
        </w:rPr>
        <w:t xml:space="preserve">. This minor application </w:t>
      </w:r>
      <w:r w:rsidR="004D6F8B">
        <w:rPr>
          <w:rFonts w:ascii="Arial" w:hAnsi="Arial"/>
          <w:sz w:val="22"/>
          <w:szCs w:val="22"/>
        </w:rPr>
        <w:t>requested</w:t>
      </w:r>
      <w:r w:rsidR="00FB011A" w:rsidRPr="00E135BC">
        <w:rPr>
          <w:rFonts w:ascii="Arial" w:hAnsi="Arial"/>
          <w:sz w:val="22"/>
          <w:szCs w:val="22"/>
        </w:rPr>
        <w:t xml:space="preserve"> </w:t>
      </w:r>
      <w:r w:rsidR="000870FA" w:rsidRPr="00E135BC">
        <w:rPr>
          <w:rFonts w:ascii="Arial" w:hAnsi="Arial"/>
          <w:sz w:val="22"/>
          <w:szCs w:val="22"/>
        </w:rPr>
        <w:t>listing</w:t>
      </w:r>
      <w:r w:rsidR="00FB011A" w:rsidRPr="00E135BC">
        <w:rPr>
          <w:rFonts w:ascii="Arial" w:hAnsi="Arial"/>
          <w:sz w:val="22"/>
          <w:szCs w:val="22"/>
        </w:rPr>
        <w:t xml:space="preserve"> for systemic mycoses only, as per the current PBS</w:t>
      </w:r>
      <w:r w:rsidR="00FB011A" w:rsidRPr="00E135BC">
        <w:rPr>
          <w:rFonts w:ascii="Arial" w:hAnsi="Arial"/>
          <w:sz w:val="22"/>
          <w:szCs w:val="22"/>
        </w:rPr>
        <w:noBreakHyphen/>
        <w:t xml:space="preserve">listing for </w:t>
      </w:r>
      <w:proofErr w:type="spellStart"/>
      <w:r w:rsidR="00FB011A" w:rsidRPr="00E135BC">
        <w:rPr>
          <w:rFonts w:ascii="Arial" w:hAnsi="Arial"/>
          <w:sz w:val="22"/>
          <w:szCs w:val="22"/>
        </w:rPr>
        <w:t>itraconazole</w:t>
      </w:r>
      <w:proofErr w:type="spellEnd"/>
      <w:r w:rsidR="00FB011A" w:rsidRPr="00E135BC">
        <w:rPr>
          <w:rFonts w:ascii="Arial" w:hAnsi="Arial"/>
          <w:sz w:val="22"/>
          <w:szCs w:val="22"/>
        </w:rPr>
        <w:t xml:space="preserve"> 100 mg</w:t>
      </w:r>
      <w:r w:rsidRPr="00E135BC">
        <w:rPr>
          <w:rFonts w:ascii="Arial" w:hAnsi="Arial"/>
          <w:sz w:val="22"/>
          <w:szCs w:val="22"/>
        </w:rPr>
        <w:t xml:space="preserve"> (</w:t>
      </w:r>
      <w:proofErr w:type="spellStart"/>
      <w:r w:rsidRPr="00E135BC">
        <w:rPr>
          <w:rFonts w:ascii="Arial" w:hAnsi="Arial"/>
          <w:sz w:val="22"/>
          <w:szCs w:val="22"/>
        </w:rPr>
        <w:t>Sporanox</w:t>
      </w:r>
      <w:proofErr w:type="spellEnd"/>
      <w:r w:rsidRPr="00D529BF">
        <w:rPr>
          <w:rFonts w:ascii="Arial" w:hAnsi="Arial"/>
          <w:sz w:val="22"/>
          <w:szCs w:val="22"/>
          <w:vertAlign w:val="superscript"/>
        </w:rPr>
        <w:t>®</w:t>
      </w:r>
      <w:r w:rsidRPr="00E135BC">
        <w:rPr>
          <w:rFonts w:ascii="Arial" w:hAnsi="Arial"/>
          <w:sz w:val="22"/>
          <w:szCs w:val="22"/>
        </w:rPr>
        <w:t>)</w:t>
      </w:r>
      <w:r w:rsidR="00FB011A" w:rsidRPr="00E135BC">
        <w:rPr>
          <w:rFonts w:ascii="Arial" w:hAnsi="Arial"/>
          <w:sz w:val="22"/>
          <w:szCs w:val="22"/>
        </w:rPr>
        <w:t xml:space="preserve">. </w:t>
      </w:r>
    </w:p>
    <w:p w:rsidR="0073695F" w:rsidRPr="00E135BC" w:rsidRDefault="0073695F" w:rsidP="00A37E51">
      <w:pPr>
        <w:pStyle w:val="ListParagraph"/>
        <w:jc w:val="both"/>
        <w:rPr>
          <w:rFonts w:ascii="Arial" w:hAnsi="Arial"/>
          <w:sz w:val="22"/>
          <w:szCs w:val="22"/>
        </w:rPr>
      </w:pPr>
    </w:p>
    <w:p w:rsidR="00DF26A7" w:rsidRPr="00E135BC" w:rsidRDefault="0073695F" w:rsidP="0073695F">
      <w:pPr>
        <w:pStyle w:val="ListParagraph"/>
        <w:numPr>
          <w:ilvl w:val="1"/>
          <w:numId w:val="25"/>
        </w:numPr>
        <w:jc w:val="both"/>
        <w:rPr>
          <w:rFonts w:ascii="Arial" w:hAnsi="Arial"/>
          <w:sz w:val="22"/>
          <w:szCs w:val="22"/>
        </w:rPr>
      </w:pPr>
      <w:r w:rsidRPr="00E135BC">
        <w:rPr>
          <w:rFonts w:ascii="Arial" w:hAnsi="Arial"/>
          <w:sz w:val="22"/>
          <w:szCs w:val="22"/>
        </w:rPr>
        <w:t>On</w:t>
      </w:r>
      <w:r w:rsidR="000870FA" w:rsidRPr="00E135BC">
        <w:rPr>
          <w:rFonts w:ascii="Arial" w:hAnsi="Arial"/>
          <w:sz w:val="22"/>
          <w:szCs w:val="22"/>
        </w:rPr>
        <w:t xml:space="preserve">e 50 mg capsule of </w:t>
      </w:r>
      <w:proofErr w:type="spellStart"/>
      <w:r w:rsidR="000870FA" w:rsidRPr="00E135BC">
        <w:rPr>
          <w:rFonts w:ascii="Arial" w:hAnsi="Arial"/>
          <w:sz w:val="22"/>
          <w:szCs w:val="22"/>
        </w:rPr>
        <w:t>itraconazole</w:t>
      </w:r>
      <w:proofErr w:type="spellEnd"/>
      <w:r w:rsidRPr="00E135BC">
        <w:rPr>
          <w:rFonts w:ascii="Arial" w:hAnsi="Arial"/>
          <w:sz w:val="22"/>
          <w:szCs w:val="22"/>
        </w:rPr>
        <w:t xml:space="preserve"> </w:t>
      </w:r>
      <w:r w:rsidR="00932DA5" w:rsidRPr="00E135BC">
        <w:rPr>
          <w:rFonts w:ascii="Arial" w:hAnsi="Arial"/>
          <w:sz w:val="22"/>
          <w:szCs w:val="22"/>
        </w:rPr>
        <w:t>(</w:t>
      </w:r>
      <w:proofErr w:type="spellStart"/>
      <w:r w:rsidR="00932DA5" w:rsidRPr="00E135BC">
        <w:rPr>
          <w:rFonts w:ascii="Arial" w:hAnsi="Arial"/>
          <w:sz w:val="22"/>
          <w:szCs w:val="22"/>
        </w:rPr>
        <w:t>Lozanoc</w:t>
      </w:r>
      <w:proofErr w:type="spellEnd"/>
      <w:r w:rsidR="00932DA5" w:rsidRPr="00D529BF">
        <w:rPr>
          <w:rFonts w:ascii="Arial" w:hAnsi="Arial"/>
          <w:sz w:val="22"/>
          <w:szCs w:val="22"/>
          <w:vertAlign w:val="superscript"/>
        </w:rPr>
        <w:t>®</w:t>
      </w:r>
      <w:r w:rsidR="00932DA5" w:rsidRPr="00E135BC">
        <w:rPr>
          <w:rFonts w:ascii="Arial" w:hAnsi="Arial"/>
          <w:sz w:val="22"/>
          <w:szCs w:val="22"/>
        </w:rPr>
        <w:t xml:space="preserve">) </w:t>
      </w:r>
      <w:r w:rsidRPr="00E135BC">
        <w:rPr>
          <w:rFonts w:ascii="Arial" w:hAnsi="Arial"/>
          <w:sz w:val="22"/>
          <w:szCs w:val="22"/>
        </w:rPr>
        <w:t xml:space="preserve">has a higher bioavailability than other </w:t>
      </w:r>
      <w:proofErr w:type="spellStart"/>
      <w:r w:rsidRPr="00E135BC">
        <w:rPr>
          <w:rFonts w:ascii="Arial" w:hAnsi="Arial"/>
          <w:sz w:val="22"/>
          <w:szCs w:val="22"/>
        </w:rPr>
        <w:t>itraconazole</w:t>
      </w:r>
      <w:proofErr w:type="spellEnd"/>
      <w:r w:rsidRPr="00E135BC">
        <w:rPr>
          <w:rFonts w:ascii="Arial" w:hAnsi="Arial"/>
          <w:sz w:val="22"/>
          <w:szCs w:val="22"/>
        </w:rPr>
        <w:t xml:space="preserve"> capsules and is therapeutically equivalent to one 100 mg capsule of </w:t>
      </w:r>
      <w:proofErr w:type="spellStart"/>
      <w:r w:rsidRPr="00E135BC">
        <w:rPr>
          <w:rFonts w:ascii="Arial" w:hAnsi="Arial"/>
          <w:sz w:val="22"/>
          <w:szCs w:val="22"/>
        </w:rPr>
        <w:t>itraconazole</w:t>
      </w:r>
      <w:proofErr w:type="spellEnd"/>
      <w:r w:rsidRPr="00E135BC">
        <w:rPr>
          <w:rFonts w:ascii="Arial" w:hAnsi="Arial"/>
          <w:sz w:val="22"/>
          <w:szCs w:val="22"/>
        </w:rPr>
        <w:t xml:space="preserve">. </w:t>
      </w:r>
      <w:r w:rsidR="005D385F" w:rsidRPr="00E135BC">
        <w:rPr>
          <w:rFonts w:ascii="Arial" w:hAnsi="Arial"/>
          <w:sz w:val="22"/>
          <w:szCs w:val="22"/>
        </w:rPr>
        <w:t xml:space="preserve">However, </w:t>
      </w:r>
      <w:proofErr w:type="spellStart"/>
      <w:r w:rsidR="00932DA5" w:rsidRPr="00E135BC">
        <w:rPr>
          <w:rFonts w:ascii="Arial" w:hAnsi="Arial"/>
          <w:sz w:val="22"/>
          <w:szCs w:val="22"/>
        </w:rPr>
        <w:t>Lozanoc</w:t>
      </w:r>
      <w:proofErr w:type="spellEnd"/>
      <w:r w:rsidR="00932DA5" w:rsidRPr="00D529BF">
        <w:rPr>
          <w:rFonts w:ascii="Arial" w:hAnsi="Arial"/>
          <w:sz w:val="22"/>
          <w:szCs w:val="22"/>
          <w:vertAlign w:val="superscript"/>
        </w:rPr>
        <w:t>®</w:t>
      </w:r>
      <w:r w:rsidR="00932DA5" w:rsidRPr="00E135BC">
        <w:rPr>
          <w:rFonts w:ascii="Arial" w:hAnsi="Arial"/>
          <w:sz w:val="22"/>
          <w:szCs w:val="22"/>
        </w:rPr>
        <w:t xml:space="preserve"> </w:t>
      </w:r>
      <w:r w:rsidRPr="00E135BC">
        <w:rPr>
          <w:rFonts w:ascii="Arial" w:hAnsi="Arial"/>
          <w:sz w:val="22"/>
          <w:szCs w:val="22"/>
        </w:rPr>
        <w:t xml:space="preserve">and </w:t>
      </w:r>
      <w:proofErr w:type="spellStart"/>
      <w:r w:rsidR="000870FA" w:rsidRPr="00E135BC">
        <w:rPr>
          <w:rFonts w:ascii="Arial" w:hAnsi="Arial"/>
          <w:sz w:val="22"/>
          <w:szCs w:val="22"/>
        </w:rPr>
        <w:t>itraconazole</w:t>
      </w:r>
      <w:proofErr w:type="spellEnd"/>
      <w:r w:rsidR="000870FA" w:rsidRPr="00E135BC">
        <w:rPr>
          <w:rFonts w:ascii="Arial" w:hAnsi="Arial"/>
          <w:sz w:val="22"/>
          <w:szCs w:val="22"/>
        </w:rPr>
        <w:t xml:space="preserve"> 100 mg </w:t>
      </w:r>
      <w:r w:rsidRPr="00E135BC">
        <w:rPr>
          <w:rFonts w:ascii="Arial" w:hAnsi="Arial"/>
          <w:sz w:val="22"/>
          <w:szCs w:val="22"/>
        </w:rPr>
        <w:t xml:space="preserve">are not </w:t>
      </w:r>
      <w:r w:rsidR="00AA2FB1" w:rsidRPr="00E135BC">
        <w:rPr>
          <w:rFonts w:ascii="Arial" w:hAnsi="Arial"/>
          <w:sz w:val="22"/>
          <w:szCs w:val="22"/>
        </w:rPr>
        <w:t xml:space="preserve">considered </w:t>
      </w:r>
      <w:r w:rsidRPr="00E135BC">
        <w:rPr>
          <w:rFonts w:ascii="Arial" w:hAnsi="Arial"/>
          <w:sz w:val="22"/>
          <w:szCs w:val="22"/>
        </w:rPr>
        <w:t xml:space="preserve">interchangeable. </w:t>
      </w:r>
    </w:p>
    <w:p w:rsidR="008A1956" w:rsidRDefault="008A1956" w:rsidP="00476245">
      <w:pPr>
        <w:jc w:val="both"/>
        <w:rPr>
          <w:rFonts w:ascii="Arial" w:hAnsi="Arial"/>
          <w:sz w:val="22"/>
          <w:szCs w:val="22"/>
        </w:rPr>
      </w:pPr>
    </w:p>
    <w:p w:rsidR="00233602" w:rsidRDefault="00233602" w:rsidP="00233602">
      <w:pPr>
        <w:pStyle w:val="ListParagraph"/>
        <w:ind w:left="709"/>
        <w:jc w:val="both"/>
        <w:rPr>
          <w:rFonts w:ascii="Arial" w:hAnsi="Arial"/>
          <w:i/>
          <w:sz w:val="22"/>
          <w:szCs w:val="22"/>
        </w:rPr>
      </w:pPr>
      <w:r>
        <w:rPr>
          <w:rFonts w:ascii="Arial" w:hAnsi="Arial"/>
          <w:i/>
          <w:sz w:val="22"/>
          <w:szCs w:val="22"/>
        </w:rPr>
        <w:t>For more detail on PBAC’s view, see section 6 “PBAC outcome”</w:t>
      </w:r>
    </w:p>
    <w:p w:rsidR="00D529BF" w:rsidRDefault="00D529BF" w:rsidP="00476245">
      <w:pPr>
        <w:jc w:val="both"/>
        <w:rPr>
          <w:rFonts w:ascii="Arial" w:hAnsi="Arial"/>
          <w:sz w:val="22"/>
          <w:szCs w:val="22"/>
        </w:rPr>
      </w:pPr>
    </w:p>
    <w:p w:rsidR="004D6F8B" w:rsidRPr="00E135BC" w:rsidRDefault="004D6F8B" w:rsidP="00476245">
      <w:pPr>
        <w:jc w:val="both"/>
        <w:rPr>
          <w:rFonts w:ascii="Arial" w:hAnsi="Arial"/>
          <w:sz w:val="22"/>
          <w:szCs w:val="22"/>
        </w:rPr>
      </w:pPr>
    </w:p>
    <w:p w:rsidR="00233602" w:rsidRDefault="00233602" w:rsidP="00E913BC">
      <w:pPr>
        <w:pStyle w:val="ListParagraph"/>
        <w:numPr>
          <w:ilvl w:val="0"/>
          <w:numId w:val="25"/>
        </w:numPr>
        <w:jc w:val="both"/>
        <w:rPr>
          <w:rFonts w:ascii="Arial" w:hAnsi="Arial"/>
          <w:b/>
          <w:sz w:val="22"/>
          <w:szCs w:val="22"/>
        </w:rPr>
      </w:pPr>
      <w:r>
        <w:rPr>
          <w:rFonts w:ascii="Arial" w:hAnsi="Arial"/>
          <w:b/>
          <w:sz w:val="22"/>
          <w:szCs w:val="22"/>
        </w:rPr>
        <w:t>PBAC consideration of the evidence</w:t>
      </w:r>
    </w:p>
    <w:p w:rsidR="00E913BC" w:rsidRPr="00E913BC" w:rsidRDefault="00E913BC" w:rsidP="00E913BC">
      <w:pPr>
        <w:jc w:val="both"/>
        <w:rPr>
          <w:rFonts w:ascii="Arial" w:hAnsi="Arial"/>
          <w:sz w:val="22"/>
          <w:szCs w:val="22"/>
        </w:rPr>
      </w:pPr>
    </w:p>
    <w:p w:rsidR="00233602" w:rsidRPr="005841F9" w:rsidRDefault="00233602" w:rsidP="00233602">
      <w:pPr>
        <w:keepNext/>
        <w:rPr>
          <w:rFonts w:ascii="Arial" w:hAnsi="Arial" w:cs="Arial"/>
          <w:b/>
          <w:bCs/>
          <w:sz w:val="22"/>
          <w:szCs w:val="22"/>
        </w:rPr>
      </w:pPr>
      <w:r w:rsidRPr="005841F9">
        <w:rPr>
          <w:rFonts w:ascii="Arial" w:hAnsi="Arial" w:cs="Arial"/>
          <w:b/>
          <w:bCs/>
          <w:sz w:val="22"/>
          <w:szCs w:val="22"/>
        </w:rPr>
        <w:t>Sponsor hearing</w:t>
      </w:r>
    </w:p>
    <w:p w:rsidR="00E913BC" w:rsidRPr="00E135BC" w:rsidRDefault="00E913BC" w:rsidP="00E913BC">
      <w:pPr>
        <w:jc w:val="both"/>
        <w:rPr>
          <w:rFonts w:ascii="Arial" w:hAnsi="Arial"/>
          <w:sz w:val="22"/>
          <w:szCs w:val="22"/>
        </w:rPr>
      </w:pPr>
    </w:p>
    <w:p w:rsidR="00233602" w:rsidRPr="005841F9" w:rsidRDefault="00233602" w:rsidP="00233602">
      <w:pPr>
        <w:numPr>
          <w:ilvl w:val="1"/>
          <w:numId w:val="25"/>
        </w:numPr>
        <w:rPr>
          <w:rFonts w:ascii="Arial" w:hAnsi="Arial" w:cs="Arial"/>
          <w:bCs/>
          <w:sz w:val="22"/>
          <w:szCs w:val="22"/>
        </w:rPr>
      </w:pPr>
      <w:r w:rsidRPr="005841F9">
        <w:rPr>
          <w:rFonts w:ascii="Arial" w:hAnsi="Arial" w:cs="Arial"/>
          <w:bCs/>
          <w:sz w:val="22"/>
          <w:szCs w:val="22"/>
        </w:rPr>
        <w:t>There was no hearing for this item as it was a minor submission.</w:t>
      </w:r>
    </w:p>
    <w:p w:rsidR="00233602" w:rsidRPr="005841F9" w:rsidRDefault="00233602" w:rsidP="00233602">
      <w:pPr>
        <w:rPr>
          <w:rFonts w:ascii="Arial" w:hAnsi="Arial" w:cs="Arial"/>
          <w:bCs/>
          <w:sz w:val="22"/>
          <w:szCs w:val="22"/>
        </w:rPr>
      </w:pPr>
    </w:p>
    <w:p w:rsidR="00233602" w:rsidRPr="005841F9" w:rsidRDefault="00233602" w:rsidP="004D6F8B">
      <w:pPr>
        <w:keepNext/>
        <w:rPr>
          <w:rFonts w:ascii="Arial" w:hAnsi="Arial" w:cs="Arial"/>
          <w:b/>
          <w:bCs/>
          <w:sz w:val="22"/>
          <w:szCs w:val="22"/>
        </w:rPr>
      </w:pPr>
      <w:r w:rsidRPr="005841F9">
        <w:rPr>
          <w:rFonts w:ascii="Arial" w:hAnsi="Arial" w:cs="Arial"/>
          <w:b/>
          <w:bCs/>
          <w:sz w:val="22"/>
          <w:szCs w:val="22"/>
        </w:rPr>
        <w:t>Consumer comments</w:t>
      </w:r>
    </w:p>
    <w:p w:rsidR="00E913BC" w:rsidRPr="00E135BC" w:rsidRDefault="00E913BC" w:rsidP="00E913BC">
      <w:pPr>
        <w:jc w:val="both"/>
        <w:rPr>
          <w:rFonts w:ascii="Arial" w:hAnsi="Arial"/>
          <w:sz w:val="22"/>
          <w:szCs w:val="22"/>
        </w:rPr>
      </w:pPr>
    </w:p>
    <w:p w:rsidR="00233602" w:rsidRPr="005841F9" w:rsidRDefault="00233602" w:rsidP="00233602">
      <w:pPr>
        <w:numPr>
          <w:ilvl w:val="1"/>
          <w:numId w:val="25"/>
        </w:numPr>
        <w:rPr>
          <w:rFonts w:ascii="Arial" w:hAnsi="Arial" w:cs="Arial"/>
          <w:bCs/>
          <w:sz w:val="22"/>
          <w:szCs w:val="22"/>
        </w:rPr>
      </w:pPr>
      <w:r w:rsidRPr="005841F9">
        <w:rPr>
          <w:rFonts w:ascii="Arial" w:hAnsi="Arial" w:cs="Arial"/>
          <w:bCs/>
          <w:sz w:val="22"/>
          <w:szCs w:val="22"/>
        </w:rPr>
        <w:t>The PBAC noted that no consumer comments were received for this item.</w:t>
      </w:r>
    </w:p>
    <w:p w:rsidR="00233602" w:rsidRPr="000220CA" w:rsidRDefault="00233602" w:rsidP="00233602">
      <w:pPr>
        <w:ind w:left="720"/>
        <w:rPr>
          <w:rFonts w:ascii="Arial" w:hAnsi="Arial" w:cs="Arial"/>
          <w:bCs/>
          <w:i/>
          <w:sz w:val="22"/>
          <w:szCs w:val="22"/>
        </w:rPr>
      </w:pPr>
    </w:p>
    <w:p w:rsidR="000B558D" w:rsidRPr="00E135BC" w:rsidRDefault="008D7A41" w:rsidP="00233602">
      <w:pPr>
        <w:pStyle w:val="Header"/>
        <w:keepNext/>
        <w:tabs>
          <w:tab w:val="clear" w:pos="4153"/>
          <w:tab w:val="clear" w:pos="8306"/>
        </w:tabs>
        <w:jc w:val="both"/>
        <w:rPr>
          <w:rFonts w:ascii="Arial" w:hAnsi="Arial"/>
          <w:b/>
          <w:sz w:val="22"/>
          <w:szCs w:val="22"/>
        </w:rPr>
      </w:pPr>
      <w:r w:rsidRPr="00E135BC">
        <w:rPr>
          <w:rFonts w:ascii="Arial" w:hAnsi="Arial"/>
          <w:b/>
          <w:sz w:val="22"/>
          <w:szCs w:val="22"/>
        </w:rPr>
        <w:t>Clinical Trials</w:t>
      </w:r>
    </w:p>
    <w:p w:rsidR="00E913BC" w:rsidRPr="00E135BC" w:rsidRDefault="00E913BC" w:rsidP="00E913BC">
      <w:pPr>
        <w:jc w:val="both"/>
        <w:rPr>
          <w:rFonts w:ascii="Arial" w:hAnsi="Arial"/>
          <w:sz w:val="22"/>
          <w:szCs w:val="22"/>
        </w:rPr>
      </w:pPr>
    </w:p>
    <w:p w:rsidR="005963BB" w:rsidRPr="00E135BC" w:rsidRDefault="0076420C" w:rsidP="00C00DA7">
      <w:pPr>
        <w:pStyle w:val="ListParagraph"/>
        <w:numPr>
          <w:ilvl w:val="1"/>
          <w:numId w:val="25"/>
        </w:numPr>
        <w:jc w:val="both"/>
        <w:rPr>
          <w:rFonts w:ascii="Arial" w:hAnsi="Arial"/>
          <w:sz w:val="22"/>
          <w:szCs w:val="22"/>
        </w:rPr>
      </w:pPr>
      <w:r w:rsidRPr="00E135BC">
        <w:rPr>
          <w:rFonts w:ascii="Arial" w:hAnsi="Arial"/>
          <w:sz w:val="22"/>
          <w:szCs w:val="22"/>
        </w:rPr>
        <w:t>As a minor submission, no clinical t</w:t>
      </w:r>
      <w:r w:rsidR="00FA726D" w:rsidRPr="00E135BC">
        <w:rPr>
          <w:rFonts w:ascii="Arial" w:hAnsi="Arial"/>
          <w:sz w:val="22"/>
          <w:szCs w:val="22"/>
        </w:rPr>
        <w:t xml:space="preserve">rials </w:t>
      </w:r>
      <w:r w:rsidR="004D6F8B">
        <w:rPr>
          <w:rFonts w:ascii="Arial" w:hAnsi="Arial"/>
          <w:sz w:val="22"/>
          <w:szCs w:val="22"/>
        </w:rPr>
        <w:t>were</w:t>
      </w:r>
      <w:r w:rsidR="00FA726D" w:rsidRPr="00E135BC">
        <w:rPr>
          <w:rFonts w:ascii="Arial" w:hAnsi="Arial"/>
          <w:sz w:val="22"/>
          <w:szCs w:val="22"/>
        </w:rPr>
        <w:t xml:space="preserve"> presented in the </w:t>
      </w:r>
      <w:r w:rsidRPr="00E135BC">
        <w:rPr>
          <w:rFonts w:ascii="Arial" w:hAnsi="Arial"/>
          <w:sz w:val="22"/>
          <w:szCs w:val="22"/>
        </w:rPr>
        <w:t>submission.</w:t>
      </w:r>
    </w:p>
    <w:p w:rsidR="006E5D11" w:rsidRPr="00E135BC" w:rsidRDefault="006E5D11" w:rsidP="00AF04FD">
      <w:pPr>
        <w:pStyle w:val="ListParagraph"/>
        <w:jc w:val="both"/>
        <w:rPr>
          <w:rFonts w:ascii="Arial" w:hAnsi="Arial"/>
          <w:sz w:val="22"/>
          <w:szCs w:val="22"/>
        </w:rPr>
      </w:pPr>
    </w:p>
    <w:p w:rsidR="006E5D11" w:rsidRPr="00E135BC" w:rsidRDefault="006E5D11" w:rsidP="00C00DA7">
      <w:pPr>
        <w:pStyle w:val="ListParagraph"/>
        <w:numPr>
          <w:ilvl w:val="1"/>
          <w:numId w:val="25"/>
        </w:numPr>
        <w:jc w:val="both"/>
        <w:rPr>
          <w:rFonts w:ascii="Arial" w:hAnsi="Arial"/>
          <w:sz w:val="22"/>
          <w:szCs w:val="22"/>
        </w:rPr>
      </w:pPr>
      <w:r w:rsidRPr="00E135BC">
        <w:rPr>
          <w:rFonts w:ascii="Arial" w:hAnsi="Arial"/>
          <w:sz w:val="22"/>
          <w:szCs w:val="22"/>
        </w:rPr>
        <w:t xml:space="preserve">The TGA delegate, on the basis of advice from the ACPM, initially only approved </w:t>
      </w:r>
      <w:proofErr w:type="spellStart"/>
      <w:r w:rsidR="00932DA5" w:rsidRPr="00E135BC">
        <w:rPr>
          <w:rFonts w:ascii="Arial" w:hAnsi="Arial"/>
          <w:sz w:val="22"/>
          <w:szCs w:val="22"/>
        </w:rPr>
        <w:t>Lozanoc</w:t>
      </w:r>
      <w:proofErr w:type="spellEnd"/>
      <w:r w:rsidR="00932DA5" w:rsidRPr="00D529BF">
        <w:rPr>
          <w:rFonts w:ascii="Arial" w:hAnsi="Arial"/>
          <w:sz w:val="22"/>
          <w:szCs w:val="22"/>
          <w:vertAlign w:val="superscript"/>
        </w:rPr>
        <w:t>®</w:t>
      </w:r>
      <w:r w:rsidR="00932DA5" w:rsidRPr="00E135BC">
        <w:rPr>
          <w:rFonts w:ascii="Arial" w:hAnsi="Arial"/>
          <w:sz w:val="22"/>
          <w:szCs w:val="22"/>
        </w:rPr>
        <w:t xml:space="preserve"> </w:t>
      </w:r>
      <w:r w:rsidRPr="00E135BC">
        <w:rPr>
          <w:rFonts w:ascii="Arial" w:hAnsi="Arial"/>
          <w:sz w:val="22"/>
          <w:szCs w:val="22"/>
        </w:rPr>
        <w:t xml:space="preserve">for the treatment of superficial mycoses with dosing restricted to the fasting state. The applicant appealed this decision and the TGA appeal delegate subsequently revoked the initial decision and substituted </w:t>
      </w:r>
      <w:r w:rsidR="00535BF3">
        <w:rPr>
          <w:rFonts w:ascii="Arial" w:hAnsi="Arial"/>
          <w:sz w:val="22"/>
          <w:szCs w:val="22"/>
        </w:rPr>
        <w:t>their</w:t>
      </w:r>
      <w:r w:rsidRPr="00E135BC">
        <w:rPr>
          <w:rFonts w:ascii="Arial" w:hAnsi="Arial"/>
          <w:sz w:val="22"/>
          <w:szCs w:val="22"/>
        </w:rPr>
        <w:t xml:space="preserve"> own decision to approve “</w:t>
      </w:r>
      <w:proofErr w:type="spellStart"/>
      <w:r w:rsidRPr="00E135BC">
        <w:rPr>
          <w:rFonts w:ascii="Arial" w:hAnsi="Arial"/>
          <w:sz w:val="22"/>
          <w:szCs w:val="22"/>
        </w:rPr>
        <w:t>Lozanoc</w:t>
      </w:r>
      <w:proofErr w:type="spellEnd"/>
      <w:r w:rsidRPr="00E135BC">
        <w:rPr>
          <w:rFonts w:ascii="Arial" w:hAnsi="Arial"/>
          <w:sz w:val="22"/>
          <w:szCs w:val="22"/>
        </w:rPr>
        <w:t xml:space="preserve"> 50 mg capsules, fasted and fed, for the treatment of superficial and systemic mycoses…</w:t>
      </w:r>
      <w:proofErr w:type="gramStart"/>
      <w:r w:rsidRPr="00E135BC">
        <w:rPr>
          <w:rFonts w:ascii="Arial" w:hAnsi="Arial"/>
          <w:sz w:val="22"/>
          <w:szCs w:val="22"/>
        </w:rPr>
        <w:t>”.</w:t>
      </w:r>
      <w:proofErr w:type="gramEnd"/>
      <w:r w:rsidRPr="00E135BC">
        <w:rPr>
          <w:rFonts w:ascii="Arial" w:hAnsi="Arial"/>
          <w:sz w:val="22"/>
          <w:szCs w:val="22"/>
        </w:rPr>
        <w:t xml:space="preserve"> In </w:t>
      </w:r>
      <w:r w:rsidR="00535BF3">
        <w:rPr>
          <w:rFonts w:ascii="Arial" w:hAnsi="Arial"/>
          <w:sz w:val="22"/>
          <w:szCs w:val="22"/>
        </w:rPr>
        <w:t xml:space="preserve">the </w:t>
      </w:r>
      <w:r w:rsidRPr="00E135BC">
        <w:rPr>
          <w:rFonts w:ascii="Arial" w:hAnsi="Arial"/>
          <w:sz w:val="22"/>
          <w:szCs w:val="22"/>
        </w:rPr>
        <w:t xml:space="preserve">reasons for this decision, the appeal delegate “found evidence to support the arguments of Mayne </w:t>
      </w:r>
      <w:proofErr w:type="spellStart"/>
      <w:r w:rsidRPr="00E135BC">
        <w:rPr>
          <w:rFonts w:ascii="Arial" w:hAnsi="Arial"/>
          <w:sz w:val="22"/>
          <w:szCs w:val="22"/>
        </w:rPr>
        <w:t>Pharma</w:t>
      </w:r>
      <w:proofErr w:type="spellEnd"/>
      <w:r w:rsidRPr="00E135BC">
        <w:rPr>
          <w:rFonts w:ascii="Arial" w:hAnsi="Arial"/>
          <w:sz w:val="22"/>
          <w:szCs w:val="22"/>
        </w:rPr>
        <w:t xml:space="preserve"> concerning the therapeutic equivalence of </w:t>
      </w:r>
      <w:proofErr w:type="spellStart"/>
      <w:r w:rsidRPr="00E135BC">
        <w:rPr>
          <w:rFonts w:ascii="Arial" w:hAnsi="Arial"/>
          <w:sz w:val="22"/>
          <w:szCs w:val="22"/>
        </w:rPr>
        <w:t>Lozanoc</w:t>
      </w:r>
      <w:proofErr w:type="spellEnd"/>
      <w:r w:rsidRPr="00E135BC">
        <w:rPr>
          <w:rFonts w:ascii="Arial" w:hAnsi="Arial"/>
          <w:sz w:val="22"/>
          <w:szCs w:val="22"/>
        </w:rPr>
        <w:t xml:space="preserve"> 50 mg capsules, both fed and fasted, to the marketed product </w:t>
      </w:r>
      <w:proofErr w:type="spellStart"/>
      <w:r w:rsidRPr="00E135BC">
        <w:rPr>
          <w:rFonts w:ascii="Arial" w:hAnsi="Arial"/>
          <w:sz w:val="22"/>
          <w:szCs w:val="22"/>
        </w:rPr>
        <w:t>Sporonox</w:t>
      </w:r>
      <w:proofErr w:type="spellEnd"/>
      <w:r w:rsidRPr="00E135BC">
        <w:rPr>
          <w:rFonts w:ascii="Arial" w:hAnsi="Arial"/>
          <w:sz w:val="22"/>
          <w:szCs w:val="22"/>
        </w:rPr>
        <w:t>, 100 mg, included for the management of both superficial and systemic mycoses”</w:t>
      </w:r>
      <w:r w:rsidR="00FD4171" w:rsidRPr="00E135BC">
        <w:rPr>
          <w:rFonts w:ascii="Arial" w:hAnsi="Arial"/>
          <w:sz w:val="22"/>
          <w:szCs w:val="22"/>
        </w:rPr>
        <w:t>.</w:t>
      </w:r>
    </w:p>
    <w:p w:rsidR="005963BB" w:rsidRDefault="005963BB" w:rsidP="00882085">
      <w:pPr>
        <w:ind w:left="720" w:hanging="720"/>
        <w:jc w:val="both"/>
        <w:rPr>
          <w:rFonts w:ascii="Arial" w:hAnsi="Arial"/>
          <w:sz w:val="22"/>
          <w:szCs w:val="22"/>
        </w:rPr>
      </w:pPr>
    </w:p>
    <w:p w:rsidR="00233602" w:rsidRPr="00233602" w:rsidRDefault="00233602" w:rsidP="00233602">
      <w:pPr>
        <w:pStyle w:val="ListParagraph"/>
        <w:ind w:left="709"/>
        <w:jc w:val="both"/>
        <w:rPr>
          <w:rFonts w:ascii="Arial" w:hAnsi="Arial"/>
          <w:i/>
          <w:sz w:val="22"/>
          <w:szCs w:val="22"/>
        </w:rPr>
      </w:pPr>
      <w:r>
        <w:rPr>
          <w:rFonts w:ascii="Arial" w:hAnsi="Arial"/>
          <w:i/>
          <w:sz w:val="22"/>
          <w:szCs w:val="22"/>
        </w:rPr>
        <w:t>For more detail on PBAC’s view, see section 6 “PBAC outcome”</w:t>
      </w:r>
    </w:p>
    <w:p w:rsidR="00233602" w:rsidRPr="00E135BC" w:rsidRDefault="00233602" w:rsidP="00882085">
      <w:pPr>
        <w:ind w:left="720" w:hanging="720"/>
        <w:jc w:val="both"/>
        <w:rPr>
          <w:rFonts w:ascii="Arial" w:hAnsi="Arial"/>
          <w:sz w:val="22"/>
          <w:szCs w:val="22"/>
        </w:rPr>
      </w:pPr>
    </w:p>
    <w:p w:rsidR="005A3173" w:rsidRPr="00233602" w:rsidRDefault="005A3173" w:rsidP="000328A4">
      <w:pPr>
        <w:keepNext/>
        <w:ind w:left="720" w:hanging="720"/>
        <w:jc w:val="both"/>
        <w:rPr>
          <w:rFonts w:ascii="Arial" w:hAnsi="Arial"/>
          <w:b/>
          <w:sz w:val="22"/>
          <w:szCs w:val="22"/>
        </w:rPr>
      </w:pPr>
      <w:r w:rsidRPr="00233602">
        <w:rPr>
          <w:rFonts w:ascii="Arial" w:hAnsi="Arial"/>
          <w:b/>
          <w:sz w:val="22"/>
          <w:szCs w:val="22"/>
        </w:rPr>
        <w:t>Estimated PBS usage &amp; financial implications</w:t>
      </w:r>
    </w:p>
    <w:p w:rsidR="00E913BC" w:rsidRPr="00E135BC" w:rsidRDefault="00E913BC" w:rsidP="00E913BC">
      <w:pPr>
        <w:jc w:val="both"/>
        <w:rPr>
          <w:rFonts w:ascii="Arial" w:hAnsi="Arial"/>
          <w:sz w:val="22"/>
          <w:szCs w:val="22"/>
        </w:rPr>
      </w:pPr>
    </w:p>
    <w:p w:rsidR="00AA2FB1" w:rsidRPr="00233602" w:rsidRDefault="0098461B" w:rsidP="005D385F">
      <w:pPr>
        <w:pStyle w:val="ListParagraph"/>
        <w:numPr>
          <w:ilvl w:val="1"/>
          <w:numId w:val="25"/>
        </w:numPr>
        <w:jc w:val="both"/>
        <w:rPr>
          <w:rFonts w:ascii="Arial" w:hAnsi="Arial"/>
          <w:sz w:val="22"/>
          <w:szCs w:val="22"/>
        </w:rPr>
      </w:pPr>
      <w:r>
        <w:rPr>
          <w:rFonts w:ascii="Arial" w:hAnsi="Arial"/>
          <w:sz w:val="22"/>
          <w:szCs w:val="22"/>
        </w:rPr>
        <w:t>The submission requested</w:t>
      </w:r>
      <w:r w:rsidR="005D385F" w:rsidRPr="00233602">
        <w:rPr>
          <w:rFonts w:ascii="Arial" w:hAnsi="Arial"/>
          <w:sz w:val="22"/>
          <w:szCs w:val="22"/>
        </w:rPr>
        <w:t xml:space="preserve"> the same price as the currently listed </w:t>
      </w:r>
      <w:proofErr w:type="spellStart"/>
      <w:r w:rsidR="000870FA" w:rsidRPr="00233602">
        <w:rPr>
          <w:rFonts w:ascii="Arial" w:hAnsi="Arial"/>
          <w:sz w:val="22"/>
          <w:szCs w:val="22"/>
        </w:rPr>
        <w:t>itraconazole</w:t>
      </w:r>
      <w:proofErr w:type="spellEnd"/>
      <w:r w:rsidR="000870FA" w:rsidRPr="00233602">
        <w:rPr>
          <w:rFonts w:ascii="Arial" w:hAnsi="Arial"/>
          <w:sz w:val="22"/>
          <w:szCs w:val="22"/>
        </w:rPr>
        <w:t xml:space="preserve"> 100 mg</w:t>
      </w:r>
      <w:r w:rsidR="005D385F" w:rsidRPr="00233602">
        <w:rPr>
          <w:rFonts w:ascii="Arial" w:hAnsi="Arial"/>
          <w:sz w:val="22"/>
          <w:szCs w:val="22"/>
        </w:rPr>
        <w:t xml:space="preserve"> for the same systemic mycoses indications. </w:t>
      </w:r>
      <w:r w:rsidR="00AA2FB1" w:rsidRPr="00233602">
        <w:rPr>
          <w:rFonts w:ascii="Arial" w:hAnsi="Arial"/>
          <w:sz w:val="22"/>
          <w:szCs w:val="22"/>
        </w:rPr>
        <w:t>This approach is reasonable on the basis of the TGA appeal delegate</w:t>
      </w:r>
      <w:r w:rsidR="00DB25EB" w:rsidRPr="00233602">
        <w:rPr>
          <w:rFonts w:ascii="Arial" w:hAnsi="Arial"/>
          <w:sz w:val="22"/>
          <w:szCs w:val="22"/>
        </w:rPr>
        <w:t>’</w:t>
      </w:r>
      <w:r w:rsidR="00AA2FB1" w:rsidRPr="00233602">
        <w:rPr>
          <w:rFonts w:ascii="Arial" w:hAnsi="Arial"/>
          <w:sz w:val="22"/>
          <w:szCs w:val="22"/>
        </w:rPr>
        <w:t xml:space="preserve">s conclusion of the therapeutic equivalence of </w:t>
      </w:r>
      <w:proofErr w:type="spellStart"/>
      <w:r w:rsidR="00AA2FB1" w:rsidRPr="00233602">
        <w:rPr>
          <w:rFonts w:ascii="Arial" w:hAnsi="Arial"/>
          <w:sz w:val="22"/>
          <w:szCs w:val="22"/>
        </w:rPr>
        <w:t>Lozanoc</w:t>
      </w:r>
      <w:proofErr w:type="spellEnd"/>
      <w:r w:rsidR="00D529BF" w:rsidRPr="00233602">
        <w:rPr>
          <w:rFonts w:ascii="Arial" w:hAnsi="Arial"/>
          <w:sz w:val="22"/>
          <w:szCs w:val="22"/>
          <w:vertAlign w:val="superscript"/>
        </w:rPr>
        <w:t>®</w:t>
      </w:r>
      <w:r w:rsidR="00AA2FB1" w:rsidRPr="00233602">
        <w:rPr>
          <w:rFonts w:ascii="Arial" w:hAnsi="Arial"/>
          <w:sz w:val="22"/>
          <w:szCs w:val="22"/>
        </w:rPr>
        <w:t xml:space="preserve"> 50 mg capsules and </w:t>
      </w:r>
      <w:proofErr w:type="spellStart"/>
      <w:r w:rsidR="00AA2FB1" w:rsidRPr="00233602">
        <w:rPr>
          <w:rFonts w:ascii="Arial" w:hAnsi="Arial"/>
          <w:sz w:val="22"/>
          <w:szCs w:val="22"/>
        </w:rPr>
        <w:t>Sporanox</w:t>
      </w:r>
      <w:proofErr w:type="spellEnd"/>
      <w:r w:rsidR="00D529BF" w:rsidRPr="00233602">
        <w:rPr>
          <w:rFonts w:ascii="Arial" w:hAnsi="Arial"/>
          <w:sz w:val="22"/>
          <w:szCs w:val="22"/>
          <w:vertAlign w:val="superscript"/>
        </w:rPr>
        <w:t>®</w:t>
      </w:r>
      <w:r w:rsidR="00AA2FB1" w:rsidRPr="00233602">
        <w:rPr>
          <w:rFonts w:ascii="Arial" w:hAnsi="Arial"/>
          <w:sz w:val="22"/>
          <w:szCs w:val="22"/>
        </w:rPr>
        <w:t xml:space="preserve"> 100 mg.</w:t>
      </w:r>
    </w:p>
    <w:p w:rsidR="00AA2FB1" w:rsidRPr="00233602" w:rsidRDefault="00AA2FB1" w:rsidP="00AF04FD">
      <w:pPr>
        <w:pStyle w:val="ListParagraph"/>
        <w:jc w:val="both"/>
        <w:rPr>
          <w:rFonts w:ascii="Arial" w:hAnsi="Arial"/>
          <w:sz w:val="22"/>
          <w:szCs w:val="22"/>
        </w:rPr>
      </w:pPr>
    </w:p>
    <w:p w:rsidR="007D5B77" w:rsidRDefault="005D385F" w:rsidP="007D5B77">
      <w:pPr>
        <w:pStyle w:val="ListParagraph"/>
        <w:numPr>
          <w:ilvl w:val="1"/>
          <w:numId w:val="25"/>
        </w:numPr>
        <w:jc w:val="both"/>
        <w:rPr>
          <w:rFonts w:ascii="Arial" w:hAnsi="Arial"/>
          <w:sz w:val="22"/>
          <w:szCs w:val="22"/>
        </w:rPr>
      </w:pPr>
      <w:r w:rsidRPr="00233602">
        <w:rPr>
          <w:rFonts w:ascii="Arial" w:hAnsi="Arial"/>
          <w:sz w:val="22"/>
          <w:szCs w:val="22"/>
        </w:rPr>
        <w:t>T</w:t>
      </w:r>
      <w:r w:rsidR="00C00DA7" w:rsidRPr="00233602">
        <w:rPr>
          <w:rFonts w:ascii="Arial" w:hAnsi="Arial"/>
          <w:sz w:val="22"/>
          <w:szCs w:val="22"/>
        </w:rPr>
        <w:t xml:space="preserve">he minor submission </w:t>
      </w:r>
      <w:r w:rsidR="007D5B77">
        <w:rPr>
          <w:rFonts w:ascii="Arial" w:hAnsi="Arial"/>
          <w:sz w:val="22"/>
          <w:szCs w:val="22"/>
        </w:rPr>
        <w:t>did</w:t>
      </w:r>
      <w:r w:rsidR="007D5B77" w:rsidRPr="00233602">
        <w:rPr>
          <w:rFonts w:ascii="Arial" w:hAnsi="Arial"/>
          <w:sz w:val="22"/>
          <w:szCs w:val="22"/>
        </w:rPr>
        <w:t xml:space="preserve"> </w:t>
      </w:r>
      <w:r w:rsidRPr="00233602">
        <w:rPr>
          <w:rFonts w:ascii="Arial" w:hAnsi="Arial"/>
          <w:sz w:val="22"/>
          <w:szCs w:val="22"/>
        </w:rPr>
        <w:t>not address estimated PBS usage or financial implications.</w:t>
      </w:r>
      <w:r w:rsidR="00C00DA7" w:rsidRPr="00233602">
        <w:rPr>
          <w:rFonts w:ascii="Arial" w:hAnsi="Arial"/>
          <w:sz w:val="22"/>
          <w:szCs w:val="22"/>
        </w:rPr>
        <w:t xml:space="preserve"> </w:t>
      </w:r>
    </w:p>
    <w:p w:rsidR="007D5B77" w:rsidRPr="00D84F3E" w:rsidRDefault="007D5B77" w:rsidP="00D84F3E">
      <w:pPr>
        <w:pStyle w:val="ListParagraph"/>
        <w:rPr>
          <w:rFonts w:ascii="Arial" w:hAnsi="Arial"/>
          <w:sz w:val="22"/>
          <w:szCs w:val="22"/>
        </w:rPr>
      </w:pPr>
    </w:p>
    <w:p w:rsidR="00233602" w:rsidRPr="007633F2" w:rsidRDefault="007D5B77" w:rsidP="00D84F3E">
      <w:pPr>
        <w:pStyle w:val="ListParagraph"/>
        <w:numPr>
          <w:ilvl w:val="1"/>
          <w:numId w:val="25"/>
        </w:numPr>
        <w:jc w:val="both"/>
        <w:rPr>
          <w:rFonts w:ascii="Arial" w:hAnsi="Arial"/>
          <w:sz w:val="22"/>
          <w:szCs w:val="22"/>
        </w:rPr>
      </w:pPr>
      <w:r w:rsidRPr="007633F2">
        <w:rPr>
          <w:rFonts w:ascii="Arial" w:hAnsi="Arial"/>
          <w:sz w:val="22"/>
          <w:szCs w:val="22"/>
        </w:rPr>
        <w:t xml:space="preserve">The pre-PBAC response claims that if recommended for listing, </w:t>
      </w:r>
      <w:proofErr w:type="spellStart"/>
      <w:r w:rsidRPr="007633F2">
        <w:rPr>
          <w:rFonts w:ascii="Arial" w:hAnsi="Arial"/>
          <w:sz w:val="22"/>
          <w:szCs w:val="22"/>
        </w:rPr>
        <w:t>Lozanoc</w:t>
      </w:r>
      <w:proofErr w:type="spellEnd"/>
      <w:r w:rsidRPr="007633F2">
        <w:rPr>
          <w:rFonts w:ascii="Arial" w:hAnsi="Arial"/>
          <w:sz w:val="22"/>
          <w:szCs w:val="22"/>
        </w:rPr>
        <w:t xml:space="preserve"> will not increase the existing </w:t>
      </w:r>
      <w:proofErr w:type="spellStart"/>
      <w:r w:rsidRPr="007633F2">
        <w:rPr>
          <w:rFonts w:ascii="Arial" w:hAnsi="Arial"/>
          <w:sz w:val="22"/>
          <w:szCs w:val="22"/>
        </w:rPr>
        <w:t>itraconazole</w:t>
      </w:r>
      <w:proofErr w:type="spellEnd"/>
      <w:r w:rsidRPr="007633F2">
        <w:rPr>
          <w:rFonts w:ascii="Arial" w:hAnsi="Arial"/>
          <w:sz w:val="22"/>
          <w:szCs w:val="22"/>
        </w:rPr>
        <w:t xml:space="preserve"> market. Accordingly, the sponsor expects that </w:t>
      </w:r>
      <w:r w:rsidR="000E633B" w:rsidRPr="007633F2">
        <w:rPr>
          <w:rFonts w:ascii="Arial" w:hAnsi="Arial"/>
          <w:sz w:val="22"/>
          <w:szCs w:val="22"/>
        </w:rPr>
        <w:t>the addition</w:t>
      </w:r>
      <w:r w:rsidR="00233602" w:rsidRPr="007633F2">
        <w:rPr>
          <w:rFonts w:ascii="Arial" w:hAnsi="Arial"/>
          <w:sz w:val="22"/>
          <w:szCs w:val="22"/>
        </w:rPr>
        <w:t xml:space="preserve"> of </w:t>
      </w:r>
      <w:proofErr w:type="spellStart"/>
      <w:r w:rsidRPr="007633F2">
        <w:rPr>
          <w:rFonts w:ascii="Arial" w:hAnsi="Arial"/>
          <w:sz w:val="22"/>
          <w:szCs w:val="22"/>
        </w:rPr>
        <w:t>Lozanoc</w:t>
      </w:r>
      <w:proofErr w:type="spellEnd"/>
      <w:r w:rsidRPr="007633F2">
        <w:rPr>
          <w:rFonts w:ascii="Arial" w:hAnsi="Arial"/>
          <w:sz w:val="22"/>
          <w:szCs w:val="22"/>
        </w:rPr>
        <w:t xml:space="preserve"> </w:t>
      </w:r>
      <w:r w:rsidR="00233602" w:rsidRPr="007633F2">
        <w:rPr>
          <w:rFonts w:ascii="Arial" w:hAnsi="Arial"/>
          <w:sz w:val="22"/>
          <w:szCs w:val="22"/>
        </w:rPr>
        <w:t xml:space="preserve">to the PBS, at the same price as current </w:t>
      </w:r>
      <w:proofErr w:type="spellStart"/>
      <w:r w:rsidR="00233602" w:rsidRPr="007633F2">
        <w:rPr>
          <w:rFonts w:ascii="Arial" w:hAnsi="Arial"/>
          <w:sz w:val="22"/>
          <w:szCs w:val="22"/>
        </w:rPr>
        <w:t>itraconazole</w:t>
      </w:r>
      <w:proofErr w:type="spellEnd"/>
      <w:r w:rsidR="00233602" w:rsidRPr="007633F2">
        <w:rPr>
          <w:rFonts w:ascii="Arial" w:hAnsi="Arial"/>
          <w:sz w:val="22"/>
          <w:szCs w:val="22"/>
        </w:rPr>
        <w:t xml:space="preserve">, </w:t>
      </w:r>
      <w:r w:rsidRPr="007633F2">
        <w:rPr>
          <w:rFonts w:ascii="Arial" w:hAnsi="Arial"/>
          <w:sz w:val="22"/>
          <w:szCs w:val="22"/>
        </w:rPr>
        <w:t>would</w:t>
      </w:r>
      <w:r w:rsidR="00233602" w:rsidRPr="007633F2">
        <w:rPr>
          <w:rFonts w:ascii="Arial" w:hAnsi="Arial"/>
          <w:sz w:val="22"/>
          <w:szCs w:val="22"/>
        </w:rPr>
        <w:t xml:space="preserve"> be cost-neutral to the </w:t>
      </w:r>
      <w:r w:rsidRPr="007633F2">
        <w:rPr>
          <w:rFonts w:ascii="Arial" w:hAnsi="Arial"/>
          <w:sz w:val="22"/>
          <w:szCs w:val="22"/>
        </w:rPr>
        <w:t>G</w:t>
      </w:r>
      <w:r w:rsidR="00233602" w:rsidRPr="007633F2">
        <w:rPr>
          <w:rFonts w:ascii="Arial" w:hAnsi="Arial"/>
          <w:sz w:val="22"/>
          <w:szCs w:val="22"/>
        </w:rPr>
        <w:t>overnment.</w:t>
      </w:r>
    </w:p>
    <w:p w:rsidR="0034713B" w:rsidRDefault="0034713B" w:rsidP="00233602">
      <w:pPr>
        <w:pStyle w:val="ListParagraph"/>
        <w:ind w:left="709"/>
        <w:jc w:val="both"/>
        <w:rPr>
          <w:rFonts w:ascii="Arial" w:hAnsi="Arial"/>
          <w:i/>
          <w:sz w:val="22"/>
          <w:szCs w:val="22"/>
        </w:rPr>
      </w:pPr>
    </w:p>
    <w:p w:rsidR="00233602" w:rsidRDefault="00233602" w:rsidP="00233602">
      <w:pPr>
        <w:pStyle w:val="ListParagraph"/>
        <w:ind w:left="709"/>
        <w:jc w:val="both"/>
        <w:rPr>
          <w:rFonts w:ascii="Arial" w:hAnsi="Arial"/>
          <w:i/>
          <w:sz w:val="22"/>
          <w:szCs w:val="22"/>
        </w:rPr>
      </w:pPr>
      <w:r>
        <w:rPr>
          <w:rFonts w:ascii="Arial" w:hAnsi="Arial"/>
          <w:i/>
          <w:sz w:val="22"/>
          <w:szCs w:val="22"/>
        </w:rPr>
        <w:t>For more detail on PBAC’s view, see section 6 “PBAC outcome”</w:t>
      </w:r>
    </w:p>
    <w:p w:rsidR="00CE10C4" w:rsidRDefault="00CE10C4" w:rsidP="00882085">
      <w:pPr>
        <w:jc w:val="both"/>
        <w:rPr>
          <w:rFonts w:ascii="Arial" w:hAnsi="Arial" w:cs="Arial"/>
          <w:sz w:val="22"/>
          <w:szCs w:val="22"/>
        </w:rPr>
      </w:pPr>
    </w:p>
    <w:p w:rsidR="00E913BC" w:rsidRDefault="00E913BC" w:rsidP="00882085">
      <w:pPr>
        <w:jc w:val="both"/>
        <w:rPr>
          <w:rFonts w:ascii="Arial" w:hAnsi="Arial" w:cs="Arial"/>
          <w:sz w:val="22"/>
          <w:szCs w:val="22"/>
        </w:rPr>
      </w:pPr>
    </w:p>
    <w:p w:rsidR="00233602" w:rsidRPr="00E913BC" w:rsidRDefault="00367CBF" w:rsidP="00E913BC">
      <w:pPr>
        <w:pStyle w:val="ListParagraph"/>
        <w:numPr>
          <w:ilvl w:val="0"/>
          <w:numId w:val="25"/>
        </w:numPr>
        <w:jc w:val="both"/>
        <w:rPr>
          <w:rFonts w:ascii="Arial" w:hAnsi="Arial"/>
          <w:b/>
          <w:sz w:val="22"/>
          <w:szCs w:val="22"/>
        </w:rPr>
      </w:pPr>
      <w:r w:rsidRPr="00E913BC">
        <w:rPr>
          <w:rFonts w:ascii="Arial" w:hAnsi="Arial"/>
          <w:b/>
          <w:sz w:val="22"/>
          <w:szCs w:val="22"/>
        </w:rPr>
        <w:t>PBAC Outcome</w:t>
      </w:r>
    </w:p>
    <w:p w:rsidR="00233602" w:rsidRPr="00277113" w:rsidRDefault="00233602" w:rsidP="00233602">
      <w:pPr>
        <w:rPr>
          <w:rFonts w:ascii="Arial" w:hAnsi="Arial" w:cs="Arial"/>
          <w:b/>
          <w:bCs/>
          <w:sz w:val="22"/>
          <w:szCs w:val="22"/>
          <w:lang w:val="en-GB"/>
        </w:rPr>
      </w:pPr>
    </w:p>
    <w:p w:rsidR="004B2B38" w:rsidRDefault="004B2B38" w:rsidP="00217EF7">
      <w:pPr>
        <w:pStyle w:val="ListParagraph"/>
        <w:numPr>
          <w:ilvl w:val="1"/>
          <w:numId w:val="25"/>
        </w:numPr>
        <w:rPr>
          <w:rFonts w:ascii="Arial" w:hAnsi="Arial" w:cs="Arial"/>
          <w:bCs/>
          <w:sz w:val="22"/>
          <w:szCs w:val="22"/>
          <w:lang w:val="en-GB"/>
        </w:rPr>
      </w:pPr>
      <w:r w:rsidRPr="004B2B38">
        <w:rPr>
          <w:rFonts w:ascii="Arial" w:hAnsi="Arial" w:cs="Arial"/>
          <w:bCs/>
          <w:sz w:val="22"/>
          <w:szCs w:val="22"/>
          <w:lang w:val="en-GB"/>
        </w:rPr>
        <w:lastRenderedPageBreak/>
        <w:t xml:space="preserve">The PBAC rejected the submission to list </w:t>
      </w:r>
      <w:proofErr w:type="spellStart"/>
      <w:r>
        <w:rPr>
          <w:rFonts w:ascii="Arial" w:hAnsi="Arial" w:cs="Arial"/>
          <w:bCs/>
          <w:sz w:val="22"/>
          <w:szCs w:val="22"/>
          <w:lang w:val="en-GB"/>
        </w:rPr>
        <w:t>itraconazole</w:t>
      </w:r>
      <w:proofErr w:type="spellEnd"/>
      <w:r>
        <w:rPr>
          <w:rFonts w:ascii="Arial" w:hAnsi="Arial" w:cs="Arial"/>
          <w:bCs/>
          <w:sz w:val="22"/>
          <w:szCs w:val="22"/>
          <w:lang w:val="en-GB"/>
        </w:rPr>
        <w:t xml:space="preserve"> 50 mg</w:t>
      </w:r>
      <w:r w:rsidRPr="004B2B38">
        <w:rPr>
          <w:rFonts w:ascii="Arial" w:hAnsi="Arial" w:cs="Arial"/>
          <w:bCs/>
          <w:sz w:val="22"/>
          <w:szCs w:val="22"/>
          <w:lang w:val="en-GB"/>
        </w:rPr>
        <w:t xml:space="preserve"> on the PBS for the treatment of </w:t>
      </w:r>
      <w:r>
        <w:rPr>
          <w:rFonts w:ascii="Arial" w:hAnsi="Arial" w:cs="Arial"/>
          <w:bCs/>
          <w:sz w:val="22"/>
          <w:szCs w:val="22"/>
          <w:lang w:val="en-GB"/>
        </w:rPr>
        <w:t>systemic mycoses</w:t>
      </w:r>
      <w:r w:rsidR="00D84F3E">
        <w:rPr>
          <w:rFonts w:ascii="Arial" w:hAnsi="Arial" w:cs="Arial"/>
          <w:bCs/>
          <w:sz w:val="22"/>
          <w:szCs w:val="22"/>
          <w:lang w:val="en-GB"/>
        </w:rPr>
        <w:t>,</w:t>
      </w:r>
      <w:r w:rsidRPr="004B2B38">
        <w:rPr>
          <w:rFonts w:ascii="Arial" w:hAnsi="Arial" w:cs="Arial"/>
          <w:bCs/>
          <w:sz w:val="22"/>
          <w:szCs w:val="22"/>
          <w:lang w:val="en-GB"/>
        </w:rPr>
        <w:t xml:space="preserve"> </w:t>
      </w:r>
      <w:r w:rsidR="00217EF7">
        <w:rPr>
          <w:rFonts w:ascii="Arial" w:hAnsi="Arial" w:cs="Arial"/>
          <w:bCs/>
          <w:sz w:val="22"/>
          <w:szCs w:val="22"/>
          <w:lang w:val="en-GB"/>
        </w:rPr>
        <w:t xml:space="preserve">as data demonstrating comparative </w:t>
      </w:r>
      <w:r w:rsidR="00E05536">
        <w:rPr>
          <w:rFonts w:ascii="Arial" w:hAnsi="Arial" w:cs="Arial"/>
          <w:bCs/>
          <w:sz w:val="22"/>
          <w:szCs w:val="22"/>
          <w:lang w:val="en-GB"/>
        </w:rPr>
        <w:t>efficacy</w:t>
      </w:r>
      <w:r w:rsidR="00217EF7">
        <w:rPr>
          <w:rFonts w:ascii="Arial" w:hAnsi="Arial" w:cs="Arial"/>
          <w:bCs/>
          <w:sz w:val="22"/>
          <w:szCs w:val="22"/>
          <w:lang w:val="en-GB"/>
        </w:rPr>
        <w:t xml:space="preserve"> and safety were not provided in the submission. Accordingly, the PBAC could not recommend </w:t>
      </w:r>
      <w:r w:rsidR="00E05536">
        <w:rPr>
          <w:rFonts w:ascii="Arial" w:hAnsi="Arial" w:cs="Arial"/>
          <w:bCs/>
          <w:sz w:val="22"/>
          <w:szCs w:val="22"/>
          <w:lang w:val="en-GB"/>
        </w:rPr>
        <w:t>(under section</w:t>
      </w:r>
      <w:r w:rsidR="00E05536" w:rsidRPr="00217EF7">
        <w:rPr>
          <w:rFonts w:ascii="Arial" w:hAnsi="Arial" w:cs="Arial"/>
          <w:bCs/>
          <w:sz w:val="22"/>
          <w:szCs w:val="22"/>
          <w:lang w:val="en-GB"/>
        </w:rPr>
        <w:t xml:space="preserve"> 101(3) of the Act</w:t>
      </w:r>
      <w:r w:rsidR="00E05536">
        <w:rPr>
          <w:rFonts w:ascii="Arial" w:hAnsi="Arial" w:cs="Arial"/>
          <w:bCs/>
          <w:sz w:val="22"/>
          <w:szCs w:val="22"/>
          <w:lang w:val="en-GB"/>
        </w:rPr>
        <w:t xml:space="preserve">) </w:t>
      </w:r>
      <w:r w:rsidR="00217EF7">
        <w:rPr>
          <w:rFonts w:ascii="Arial" w:hAnsi="Arial" w:cs="Arial"/>
          <w:bCs/>
          <w:sz w:val="22"/>
          <w:szCs w:val="22"/>
          <w:lang w:val="en-GB"/>
        </w:rPr>
        <w:t xml:space="preserve">that </w:t>
      </w:r>
      <w:proofErr w:type="spellStart"/>
      <w:r w:rsidR="00217EF7">
        <w:rPr>
          <w:rFonts w:ascii="Arial" w:hAnsi="Arial" w:cs="Arial"/>
          <w:bCs/>
          <w:sz w:val="22"/>
          <w:szCs w:val="22"/>
          <w:lang w:val="en-GB"/>
        </w:rPr>
        <w:t>itraconazole</w:t>
      </w:r>
      <w:proofErr w:type="spellEnd"/>
      <w:r w:rsidR="00217EF7">
        <w:rPr>
          <w:rFonts w:ascii="Arial" w:hAnsi="Arial" w:cs="Arial"/>
          <w:bCs/>
          <w:sz w:val="22"/>
          <w:szCs w:val="22"/>
          <w:lang w:val="en-GB"/>
        </w:rPr>
        <w:t xml:space="preserve"> be made available as a pharmaceutical benefit.</w:t>
      </w:r>
    </w:p>
    <w:p w:rsidR="005D7E92" w:rsidRPr="0095372B" w:rsidRDefault="005D7E92" w:rsidP="0095372B">
      <w:pPr>
        <w:rPr>
          <w:rFonts w:ascii="Arial" w:hAnsi="Arial" w:cs="Arial"/>
          <w:bCs/>
          <w:sz w:val="22"/>
          <w:szCs w:val="22"/>
          <w:lang w:val="en-GB"/>
        </w:rPr>
      </w:pPr>
    </w:p>
    <w:p w:rsidR="005D7E92" w:rsidRDefault="005D7E92" w:rsidP="001E2043">
      <w:pPr>
        <w:numPr>
          <w:ilvl w:val="1"/>
          <w:numId w:val="25"/>
        </w:numPr>
        <w:rPr>
          <w:rFonts w:ascii="Arial" w:hAnsi="Arial" w:cs="Arial"/>
          <w:bCs/>
          <w:sz w:val="22"/>
          <w:szCs w:val="22"/>
          <w:lang w:val="en-GB"/>
        </w:rPr>
      </w:pPr>
      <w:r>
        <w:rPr>
          <w:rFonts w:ascii="Arial" w:hAnsi="Arial" w:cs="Arial"/>
          <w:bCs/>
          <w:sz w:val="22"/>
          <w:szCs w:val="22"/>
          <w:lang w:val="en-GB"/>
        </w:rPr>
        <w:t xml:space="preserve">The PBAC noted that </w:t>
      </w:r>
      <w:r w:rsidR="00D84F3E">
        <w:rPr>
          <w:rFonts w:ascii="Arial" w:hAnsi="Arial" w:cs="Arial"/>
          <w:bCs/>
          <w:sz w:val="22"/>
          <w:szCs w:val="22"/>
          <w:lang w:val="en-GB"/>
        </w:rPr>
        <w:t xml:space="preserve">while </w:t>
      </w:r>
      <w:r>
        <w:rPr>
          <w:rFonts w:ascii="Arial" w:hAnsi="Arial" w:cs="Arial"/>
          <w:bCs/>
          <w:sz w:val="22"/>
          <w:szCs w:val="22"/>
          <w:lang w:val="en-GB"/>
        </w:rPr>
        <w:t xml:space="preserve">the TGA found that the 50 mg capsules were therapeutically equivalent to the currently listed 100 mg </w:t>
      </w:r>
      <w:proofErr w:type="spellStart"/>
      <w:r>
        <w:rPr>
          <w:rFonts w:ascii="Arial" w:hAnsi="Arial" w:cs="Arial"/>
          <w:bCs/>
          <w:sz w:val="22"/>
          <w:szCs w:val="22"/>
          <w:lang w:val="en-GB"/>
        </w:rPr>
        <w:t>itraconazole</w:t>
      </w:r>
      <w:proofErr w:type="spellEnd"/>
      <w:r>
        <w:rPr>
          <w:rFonts w:ascii="Arial" w:hAnsi="Arial" w:cs="Arial"/>
          <w:bCs/>
          <w:sz w:val="22"/>
          <w:szCs w:val="22"/>
          <w:lang w:val="en-GB"/>
        </w:rPr>
        <w:t xml:space="preserve"> capsules on appeal</w:t>
      </w:r>
      <w:r w:rsidR="00D84F3E">
        <w:rPr>
          <w:rFonts w:ascii="Arial" w:hAnsi="Arial" w:cs="Arial"/>
          <w:bCs/>
          <w:sz w:val="22"/>
          <w:szCs w:val="22"/>
          <w:lang w:val="en-GB"/>
        </w:rPr>
        <w:t xml:space="preserve">, </w:t>
      </w:r>
      <w:r>
        <w:rPr>
          <w:rFonts w:ascii="Arial" w:hAnsi="Arial" w:cs="Arial"/>
          <w:bCs/>
          <w:sz w:val="22"/>
          <w:szCs w:val="22"/>
          <w:lang w:val="en-GB"/>
        </w:rPr>
        <w:t>a bioequivalence statement was not issued.</w:t>
      </w:r>
    </w:p>
    <w:p w:rsidR="0095372B" w:rsidRDefault="0095372B" w:rsidP="0095372B">
      <w:pPr>
        <w:pStyle w:val="ListParagraph"/>
        <w:rPr>
          <w:rFonts w:ascii="Arial" w:hAnsi="Arial" w:cs="Arial"/>
          <w:bCs/>
          <w:sz w:val="22"/>
          <w:szCs w:val="22"/>
          <w:lang w:val="en-GB"/>
        </w:rPr>
      </w:pPr>
    </w:p>
    <w:p w:rsidR="0095372B" w:rsidRDefault="0095372B" w:rsidP="00BD5A6D">
      <w:pPr>
        <w:numPr>
          <w:ilvl w:val="1"/>
          <w:numId w:val="25"/>
        </w:numPr>
        <w:rPr>
          <w:rFonts w:ascii="Arial" w:hAnsi="Arial" w:cs="Arial"/>
          <w:bCs/>
          <w:sz w:val="22"/>
          <w:szCs w:val="22"/>
          <w:lang w:val="en-GB"/>
        </w:rPr>
      </w:pPr>
      <w:r>
        <w:rPr>
          <w:rFonts w:ascii="Arial" w:hAnsi="Arial" w:cs="Arial"/>
          <w:bCs/>
          <w:sz w:val="22"/>
          <w:szCs w:val="22"/>
          <w:lang w:val="en-GB"/>
        </w:rPr>
        <w:t xml:space="preserve">The PBAC considered there would be a small risk </w:t>
      </w:r>
      <w:r w:rsidR="00D84F3E">
        <w:rPr>
          <w:rFonts w:ascii="Arial" w:hAnsi="Arial" w:cs="Arial"/>
          <w:bCs/>
          <w:sz w:val="22"/>
          <w:szCs w:val="22"/>
          <w:lang w:val="en-GB"/>
        </w:rPr>
        <w:t xml:space="preserve">of </w:t>
      </w:r>
      <w:r>
        <w:rPr>
          <w:rFonts w:ascii="Arial" w:hAnsi="Arial" w:cs="Arial"/>
          <w:bCs/>
          <w:sz w:val="22"/>
          <w:szCs w:val="22"/>
          <w:lang w:val="en-GB"/>
        </w:rPr>
        <w:t xml:space="preserve">prescriber or patient confusion if </w:t>
      </w:r>
      <w:proofErr w:type="spellStart"/>
      <w:r>
        <w:rPr>
          <w:rFonts w:ascii="Arial" w:hAnsi="Arial" w:cs="Arial"/>
          <w:bCs/>
          <w:sz w:val="22"/>
          <w:szCs w:val="22"/>
          <w:lang w:val="en-GB"/>
        </w:rPr>
        <w:t>itraconazole</w:t>
      </w:r>
      <w:proofErr w:type="spellEnd"/>
      <w:r>
        <w:rPr>
          <w:rFonts w:ascii="Arial" w:hAnsi="Arial" w:cs="Arial"/>
          <w:bCs/>
          <w:sz w:val="22"/>
          <w:szCs w:val="22"/>
          <w:lang w:val="en-GB"/>
        </w:rPr>
        <w:t xml:space="preserve"> 50 mg were to be listed. </w:t>
      </w:r>
      <w:r w:rsidR="00BD5A6D" w:rsidRPr="00BD5A6D">
        <w:rPr>
          <w:rFonts w:ascii="Arial" w:hAnsi="Arial" w:cs="Arial"/>
          <w:bCs/>
          <w:sz w:val="22"/>
          <w:szCs w:val="22"/>
          <w:lang w:val="en-GB"/>
        </w:rPr>
        <w:t>That is, there is a risk that a patient may receive twice the dose intended by the prescriber</w:t>
      </w:r>
      <w:r w:rsidR="00BD5A6D">
        <w:rPr>
          <w:rFonts w:ascii="Arial" w:hAnsi="Arial" w:cs="Arial"/>
          <w:bCs/>
          <w:sz w:val="22"/>
          <w:szCs w:val="22"/>
          <w:lang w:val="en-GB"/>
        </w:rPr>
        <w:t>.</w:t>
      </w:r>
    </w:p>
    <w:p w:rsidR="00BD5A6D" w:rsidRDefault="00BD5A6D" w:rsidP="00BD5A6D">
      <w:pPr>
        <w:pStyle w:val="ListParagraph"/>
        <w:rPr>
          <w:rFonts w:ascii="Arial" w:hAnsi="Arial" w:cs="Arial"/>
          <w:bCs/>
          <w:sz w:val="22"/>
          <w:szCs w:val="22"/>
          <w:lang w:val="en-GB"/>
        </w:rPr>
      </w:pPr>
    </w:p>
    <w:p w:rsidR="00BD5A6D" w:rsidRPr="00BD5A6D" w:rsidRDefault="00BD5A6D" w:rsidP="00BD5A6D">
      <w:pPr>
        <w:numPr>
          <w:ilvl w:val="1"/>
          <w:numId w:val="25"/>
        </w:numPr>
        <w:rPr>
          <w:rFonts w:ascii="Arial" w:hAnsi="Arial" w:cs="Arial"/>
          <w:bCs/>
          <w:sz w:val="22"/>
          <w:szCs w:val="22"/>
          <w:lang w:val="en-GB"/>
        </w:rPr>
      </w:pPr>
      <w:r>
        <w:rPr>
          <w:rFonts w:ascii="Arial" w:hAnsi="Arial" w:cs="Arial"/>
          <w:bCs/>
          <w:sz w:val="22"/>
          <w:szCs w:val="22"/>
          <w:lang w:val="en-GB"/>
        </w:rPr>
        <w:t>While the PBAC considered there may be a small advantag</w:t>
      </w:r>
      <w:r w:rsidR="0098461B">
        <w:rPr>
          <w:rFonts w:ascii="Arial" w:hAnsi="Arial" w:cs="Arial"/>
          <w:bCs/>
          <w:sz w:val="22"/>
          <w:szCs w:val="22"/>
          <w:lang w:val="en-GB"/>
        </w:rPr>
        <w:t>e to adding an additional brand</w:t>
      </w:r>
      <w:r>
        <w:rPr>
          <w:rFonts w:ascii="Arial" w:hAnsi="Arial" w:cs="Arial"/>
          <w:bCs/>
          <w:sz w:val="22"/>
          <w:szCs w:val="22"/>
          <w:lang w:val="en-GB"/>
        </w:rPr>
        <w:t xml:space="preserve"> of </w:t>
      </w:r>
      <w:proofErr w:type="spellStart"/>
      <w:r>
        <w:rPr>
          <w:rFonts w:ascii="Arial" w:hAnsi="Arial" w:cs="Arial"/>
          <w:bCs/>
          <w:sz w:val="22"/>
          <w:szCs w:val="22"/>
          <w:lang w:val="en-GB"/>
        </w:rPr>
        <w:t>itraconazole</w:t>
      </w:r>
      <w:proofErr w:type="spellEnd"/>
      <w:r>
        <w:rPr>
          <w:rFonts w:ascii="Arial" w:hAnsi="Arial" w:cs="Arial"/>
          <w:bCs/>
          <w:sz w:val="22"/>
          <w:szCs w:val="22"/>
          <w:lang w:val="en-GB"/>
        </w:rPr>
        <w:t xml:space="preserve"> to the PBS, it did not consider there was a compel</w:t>
      </w:r>
      <w:r w:rsidR="0043317F">
        <w:rPr>
          <w:rFonts w:ascii="Arial" w:hAnsi="Arial" w:cs="Arial"/>
          <w:bCs/>
          <w:sz w:val="22"/>
          <w:szCs w:val="22"/>
          <w:lang w:val="en-GB"/>
        </w:rPr>
        <w:t>ling clinical need for listing.</w:t>
      </w:r>
    </w:p>
    <w:p w:rsidR="001E2043" w:rsidRDefault="001E2043" w:rsidP="001E2043">
      <w:pPr>
        <w:rPr>
          <w:rFonts w:ascii="Arial" w:hAnsi="Arial" w:cs="Arial"/>
          <w:bCs/>
          <w:sz w:val="22"/>
          <w:szCs w:val="22"/>
          <w:lang w:val="en-GB"/>
        </w:rPr>
      </w:pPr>
    </w:p>
    <w:p w:rsidR="001E2043" w:rsidRPr="001E2043" w:rsidRDefault="001E2043" w:rsidP="001E2043">
      <w:pPr>
        <w:pStyle w:val="ListParagraph"/>
        <w:numPr>
          <w:ilvl w:val="1"/>
          <w:numId w:val="25"/>
        </w:numPr>
        <w:jc w:val="both"/>
        <w:rPr>
          <w:rFonts w:ascii="Arial" w:hAnsi="Arial"/>
          <w:sz w:val="22"/>
          <w:szCs w:val="22"/>
        </w:rPr>
      </w:pPr>
      <w:r w:rsidRPr="006A24C6">
        <w:rPr>
          <w:rFonts w:ascii="Arial" w:hAnsi="Arial"/>
          <w:sz w:val="22"/>
          <w:szCs w:val="22"/>
        </w:rPr>
        <w:t xml:space="preserve">The PBAC </w:t>
      </w:r>
      <w:r w:rsidR="0043317F">
        <w:rPr>
          <w:rFonts w:ascii="Arial" w:hAnsi="Arial"/>
          <w:sz w:val="22"/>
          <w:szCs w:val="22"/>
        </w:rPr>
        <w:t>noted</w:t>
      </w:r>
      <w:r w:rsidR="001C20A0">
        <w:rPr>
          <w:rFonts w:ascii="Arial" w:hAnsi="Arial"/>
          <w:sz w:val="22"/>
          <w:szCs w:val="22"/>
        </w:rPr>
        <w:t xml:space="preserve"> that </w:t>
      </w:r>
      <w:r w:rsidR="00F22778">
        <w:rPr>
          <w:rFonts w:ascii="Arial" w:hAnsi="Arial"/>
          <w:sz w:val="22"/>
          <w:szCs w:val="22"/>
        </w:rPr>
        <w:t xml:space="preserve">the </w:t>
      </w:r>
      <w:r w:rsidR="007D56C6">
        <w:rPr>
          <w:rFonts w:ascii="Arial" w:hAnsi="Arial"/>
          <w:sz w:val="22"/>
          <w:szCs w:val="22"/>
        </w:rPr>
        <w:t xml:space="preserve">submission </w:t>
      </w:r>
      <w:r w:rsidR="0043317F">
        <w:rPr>
          <w:rFonts w:ascii="Arial" w:hAnsi="Arial"/>
          <w:sz w:val="22"/>
          <w:szCs w:val="22"/>
        </w:rPr>
        <w:t xml:space="preserve">did not provide </w:t>
      </w:r>
      <w:r w:rsidR="007D56C6">
        <w:rPr>
          <w:rFonts w:ascii="Arial" w:hAnsi="Arial"/>
          <w:sz w:val="22"/>
          <w:szCs w:val="22"/>
        </w:rPr>
        <w:t>data demonstrating comparative efficacy and safety</w:t>
      </w:r>
      <w:r w:rsidR="0084384F">
        <w:rPr>
          <w:rFonts w:ascii="Arial" w:hAnsi="Arial"/>
          <w:sz w:val="22"/>
          <w:szCs w:val="22"/>
        </w:rPr>
        <w:t xml:space="preserve"> relative to the nominated comparator (</w:t>
      </w:r>
      <w:proofErr w:type="spellStart"/>
      <w:r w:rsidR="0084384F">
        <w:rPr>
          <w:rFonts w:ascii="Arial" w:hAnsi="Arial"/>
          <w:sz w:val="22"/>
          <w:szCs w:val="22"/>
        </w:rPr>
        <w:t>itraconazole</w:t>
      </w:r>
      <w:proofErr w:type="spellEnd"/>
      <w:r w:rsidR="0084384F">
        <w:rPr>
          <w:rFonts w:ascii="Arial" w:hAnsi="Arial"/>
          <w:sz w:val="22"/>
          <w:szCs w:val="22"/>
        </w:rPr>
        <w:t xml:space="preserve"> 100 mg)</w:t>
      </w:r>
      <w:r w:rsidR="007D56C6">
        <w:rPr>
          <w:rFonts w:ascii="Arial" w:hAnsi="Arial"/>
          <w:sz w:val="22"/>
          <w:szCs w:val="22"/>
        </w:rPr>
        <w:t xml:space="preserve">. </w:t>
      </w:r>
      <w:r w:rsidR="0084384F">
        <w:rPr>
          <w:rFonts w:ascii="Arial" w:hAnsi="Arial"/>
          <w:sz w:val="22"/>
          <w:szCs w:val="22"/>
        </w:rPr>
        <w:t>The PBAC recommended the sponsor address these concerns via a</w:t>
      </w:r>
      <w:r w:rsidRPr="006A24C6">
        <w:rPr>
          <w:rFonts w:ascii="Arial" w:hAnsi="Arial"/>
          <w:sz w:val="22"/>
          <w:szCs w:val="22"/>
        </w:rPr>
        <w:t xml:space="preserve"> resubmission.</w:t>
      </w:r>
    </w:p>
    <w:p w:rsidR="001E2043" w:rsidRPr="001E2043" w:rsidRDefault="001E2043" w:rsidP="001E2043">
      <w:pPr>
        <w:pStyle w:val="ListParagraph"/>
        <w:rPr>
          <w:rFonts w:ascii="Arial" w:hAnsi="Arial"/>
          <w:sz w:val="22"/>
          <w:szCs w:val="22"/>
        </w:rPr>
      </w:pPr>
    </w:p>
    <w:p w:rsidR="001E2043" w:rsidRPr="005D7E92" w:rsidRDefault="001E2043" w:rsidP="005D7E92">
      <w:pPr>
        <w:pStyle w:val="ListParagraph"/>
        <w:numPr>
          <w:ilvl w:val="1"/>
          <w:numId w:val="25"/>
        </w:numPr>
        <w:jc w:val="both"/>
        <w:rPr>
          <w:rFonts w:ascii="Arial" w:hAnsi="Arial"/>
          <w:sz w:val="22"/>
          <w:szCs w:val="22"/>
        </w:rPr>
      </w:pPr>
      <w:r w:rsidRPr="006A24C6">
        <w:rPr>
          <w:rFonts w:ascii="Arial" w:hAnsi="Arial"/>
          <w:sz w:val="22"/>
          <w:szCs w:val="22"/>
        </w:rPr>
        <w:t xml:space="preserve">The PBAC noted that this submission is eligible for an Independent Review. </w:t>
      </w:r>
    </w:p>
    <w:p w:rsidR="00233602" w:rsidRDefault="00233602" w:rsidP="00233602">
      <w:pPr>
        <w:rPr>
          <w:rFonts w:ascii="Arial" w:hAnsi="Arial" w:cs="Arial"/>
          <w:b/>
          <w:bCs/>
          <w:sz w:val="22"/>
          <w:szCs w:val="22"/>
          <w:lang w:val="en-GB"/>
        </w:rPr>
      </w:pPr>
    </w:p>
    <w:p w:rsidR="00E913BC" w:rsidRDefault="00E913BC" w:rsidP="00233602">
      <w:pPr>
        <w:rPr>
          <w:rFonts w:ascii="Arial" w:hAnsi="Arial" w:cs="Arial"/>
          <w:b/>
          <w:bCs/>
          <w:sz w:val="22"/>
          <w:szCs w:val="22"/>
          <w:lang w:val="en-GB"/>
        </w:rPr>
      </w:pPr>
    </w:p>
    <w:p w:rsidR="00233602" w:rsidRPr="00277113" w:rsidRDefault="00233602" w:rsidP="00233602">
      <w:pPr>
        <w:rPr>
          <w:rFonts w:ascii="Arial" w:hAnsi="Arial" w:cs="Arial"/>
          <w:b/>
          <w:bCs/>
          <w:sz w:val="22"/>
          <w:szCs w:val="22"/>
          <w:lang w:val="en-GB"/>
        </w:rPr>
      </w:pPr>
      <w:r w:rsidRPr="00277113">
        <w:rPr>
          <w:rFonts w:ascii="Arial" w:hAnsi="Arial" w:cs="Arial"/>
          <w:b/>
          <w:bCs/>
          <w:sz w:val="22"/>
          <w:szCs w:val="22"/>
          <w:lang w:val="en-GB"/>
        </w:rPr>
        <w:t>Outcome:</w:t>
      </w:r>
    </w:p>
    <w:p w:rsidR="00233602" w:rsidRDefault="00233602" w:rsidP="00233602">
      <w:pPr>
        <w:rPr>
          <w:rFonts w:ascii="Arial" w:hAnsi="Arial" w:cs="Arial"/>
          <w:bCs/>
          <w:sz w:val="22"/>
          <w:szCs w:val="22"/>
          <w:lang w:val="en-GB"/>
        </w:rPr>
      </w:pPr>
      <w:r w:rsidRPr="00277113">
        <w:rPr>
          <w:rFonts w:ascii="Arial" w:hAnsi="Arial" w:cs="Arial"/>
          <w:bCs/>
          <w:sz w:val="22"/>
          <w:szCs w:val="22"/>
          <w:lang w:val="en-GB"/>
        </w:rPr>
        <w:t>Rejec</w:t>
      </w:r>
      <w:r w:rsidR="00E05536">
        <w:rPr>
          <w:rFonts w:ascii="Arial" w:hAnsi="Arial" w:cs="Arial"/>
          <w:bCs/>
          <w:sz w:val="22"/>
          <w:szCs w:val="22"/>
          <w:lang w:val="en-GB"/>
        </w:rPr>
        <w:t>ted</w:t>
      </w:r>
    </w:p>
    <w:p w:rsidR="006461CF" w:rsidRDefault="006461CF" w:rsidP="00233602">
      <w:pPr>
        <w:rPr>
          <w:rFonts w:ascii="Arial" w:hAnsi="Arial" w:cs="Arial"/>
          <w:bCs/>
          <w:sz w:val="22"/>
          <w:szCs w:val="22"/>
          <w:lang w:val="en-GB"/>
        </w:rPr>
      </w:pPr>
    </w:p>
    <w:p w:rsidR="007F0E6C" w:rsidRDefault="007F0E6C" w:rsidP="00233602">
      <w:pPr>
        <w:rPr>
          <w:rFonts w:ascii="Arial" w:hAnsi="Arial" w:cs="Arial"/>
          <w:bCs/>
          <w:sz w:val="22"/>
          <w:szCs w:val="22"/>
          <w:lang w:val="en-GB"/>
        </w:rPr>
      </w:pPr>
    </w:p>
    <w:p w:rsidR="006461CF" w:rsidRPr="00E913BC" w:rsidRDefault="006461CF" w:rsidP="006461CF">
      <w:pPr>
        <w:pStyle w:val="ListParagraph"/>
        <w:numPr>
          <w:ilvl w:val="0"/>
          <w:numId w:val="25"/>
        </w:numPr>
        <w:jc w:val="both"/>
        <w:rPr>
          <w:rFonts w:ascii="Arial" w:hAnsi="Arial"/>
          <w:b/>
          <w:sz w:val="22"/>
          <w:szCs w:val="22"/>
        </w:rPr>
      </w:pPr>
      <w:r w:rsidRPr="00E913BC">
        <w:rPr>
          <w:rFonts w:ascii="Arial" w:hAnsi="Arial"/>
          <w:b/>
          <w:sz w:val="22"/>
          <w:szCs w:val="22"/>
        </w:rPr>
        <w:t>Context for Decision</w:t>
      </w:r>
    </w:p>
    <w:p w:rsidR="006461CF" w:rsidRPr="00D4420F" w:rsidRDefault="006461CF" w:rsidP="006461CF">
      <w:pPr>
        <w:pStyle w:val="ListParagraph"/>
        <w:jc w:val="both"/>
        <w:rPr>
          <w:rFonts w:ascii="Arial" w:hAnsi="Arial" w:cs="Arial"/>
          <w:b/>
          <w:sz w:val="22"/>
        </w:rPr>
      </w:pPr>
    </w:p>
    <w:p w:rsidR="006461CF" w:rsidRPr="00D4420F" w:rsidRDefault="006461CF" w:rsidP="006461CF">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461CF" w:rsidRDefault="006461CF" w:rsidP="006461CF">
      <w:pPr>
        <w:jc w:val="both"/>
        <w:rPr>
          <w:rFonts w:ascii="Arial" w:hAnsi="Arial" w:cs="Arial"/>
          <w:sz w:val="22"/>
        </w:rPr>
      </w:pPr>
    </w:p>
    <w:p w:rsidR="007F0E6C" w:rsidRPr="00D4420F" w:rsidRDefault="007F0E6C" w:rsidP="006461CF">
      <w:pPr>
        <w:jc w:val="both"/>
        <w:rPr>
          <w:rFonts w:ascii="Arial" w:hAnsi="Arial" w:cs="Arial"/>
          <w:sz w:val="22"/>
        </w:rPr>
      </w:pPr>
    </w:p>
    <w:p w:rsidR="006461CF" w:rsidRPr="00E913BC" w:rsidRDefault="006461CF" w:rsidP="006461CF">
      <w:pPr>
        <w:pStyle w:val="ListParagraph"/>
        <w:numPr>
          <w:ilvl w:val="0"/>
          <w:numId w:val="25"/>
        </w:numPr>
        <w:jc w:val="both"/>
        <w:rPr>
          <w:rFonts w:ascii="Arial" w:hAnsi="Arial"/>
          <w:b/>
          <w:sz w:val="22"/>
          <w:szCs w:val="22"/>
        </w:rPr>
      </w:pPr>
      <w:r w:rsidRPr="00E913BC">
        <w:rPr>
          <w:rFonts w:ascii="Arial" w:hAnsi="Arial"/>
          <w:b/>
          <w:sz w:val="22"/>
          <w:szCs w:val="22"/>
        </w:rPr>
        <w:t>Sponsor’s Comment</w:t>
      </w:r>
    </w:p>
    <w:p w:rsidR="006461CF" w:rsidRDefault="006461CF" w:rsidP="00233602">
      <w:pPr>
        <w:rPr>
          <w:rFonts w:ascii="Arial" w:hAnsi="Arial" w:cs="Arial"/>
          <w:bCs/>
          <w:sz w:val="22"/>
          <w:szCs w:val="22"/>
          <w:lang w:val="en-GB"/>
        </w:rPr>
      </w:pPr>
    </w:p>
    <w:p w:rsidR="007F0E6C" w:rsidRPr="00277113" w:rsidRDefault="007F0E6C" w:rsidP="007F0E6C">
      <w:pPr>
        <w:ind w:left="720"/>
        <w:rPr>
          <w:rFonts w:ascii="Arial" w:hAnsi="Arial" w:cs="Arial"/>
          <w:bCs/>
          <w:sz w:val="22"/>
          <w:szCs w:val="22"/>
          <w:lang w:val="en-GB"/>
        </w:rPr>
      </w:pPr>
      <w:r w:rsidRPr="007F0E6C">
        <w:rPr>
          <w:rFonts w:ascii="Arial" w:hAnsi="Arial" w:cs="Arial"/>
          <w:bCs/>
          <w:sz w:val="22"/>
          <w:szCs w:val="22"/>
          <w:lang w:val="en-GB"/>
        </w:rPr>
        <w:t xml:space="preserve">The sponsor strongly disagrees with the decision and is considering its position regarding any future course of action. The TGA approved Product Information (PI) states: that one capsule of LOZANOC 50 mg is therapeutically equivalent to one 100 mg capsule of conventional </w:t>
      </w:r>
      <w:proofErr w:type="spellStart"/>
      <w:r w:rsidRPr="007F0E6C">
        <w:rPr>
          <w:rFonts w:ascii="Arial" w:hAnsi="Arial" w:cs="Arial"/>
          <w:bCs/>
          <w:sz w:val="22"/>
          <w:szCs w:val="22"/>
          <w:lang w:val="en-GB"/>
        </w:rPr>
        <w:t>itraconazole</w:t>
      </w:r>
      <w:proofErr w:type="spellEnd"/>
      <w:r w:rsidRPr="007F0E6C">
        <w:rPr>
          <w:rFonts w:ascii="Arial" w:hAnsi="Arial" w:cs="Arial"/>
          <w:bCs/>
          <w:sz w:val="22"/>
          <w:szCs w:val="22"/>
          <w:lang w:val="en-GB"/>
        </w:rPr>
        <w:t xml:space="preserve"> capsules; can be taken regardless of food and of gastric acid inhibitors; with less intra- and inter-subject variation in the extent of exposure than conventional </w:t>
      </w:r>
      <w:proofErr w:type="spellStart"/>
      <w:r w:rsidRPr="007F0E6C">
        <w:rPr>
          <w:rFonts w:ascii="Arial" w:hAnsi="Arial" w:cs="Arial"/>
          <w:bCs/>
          <w:sz w:val="22"/>
          <w:szCs w:val="22"/>
          <w:lang w:val="en-GB"/>
        </w:rPr>
        <w:t>itraconazole</w:t>
      </w:r>
      <w:proofErr w:type="spellEnd"/>
      <w:r w:rsidRPr="007F0E6C">
        <w:rPr>
          <w:rFonts w:ascii="Arial" w:hAnsi="Arial" w:cs="Arial"/>
          <w:bCs/>
          <w:sz w:val="22"/>
          <w:szCs w:val="22"/>
          <w:lang w:val="en-GB"/>
        </w:rPr>
        <w:t xml:space="preserve"> capsules.  Given </w:t>
      </w:r>
      <w:proofErr w:type="spellStart"/>
      <w:r w:rsidRPr="007F0E6C">
        <w:rPr>
          <w:rFonts w:ascii="Arial" w:hAnsi="Arial" w:cs="Arial"/>
          <w:bCs/>
          <w:sz w:val="22"/>
          <w:szCs w:val="22"/>
          <w:lang w:val="en-GB"/>
        </w:rPr>
        <w:t>Lozanoc</w:t>
      </w:r>
      <w:proofErr w:type="spellEnd"/>
      <w:r w:rsidRPr="007F0E6C">
        <w:rPr>
          <w:rFonts w:ascii="Arial" w:hAnsi="Arial" w:cs="Arial"/>
          <w:bCs/>
          <w:sz w:val="22"/>
          <w:szCs w:val="22"/>
          <w:lang w:val="en-GB"/>
        </w:rPr>
        <w:t xml:space="preserve"> is the only 50 mg capsule of </w:t>
      </w:r>
      <w:proofErr w:type="spellStart"/>
      <w:r w:rsidRPr="007F0E6C">
        <w:rPr>
          <w:rFonts w:ascii="Arial" w:hAnsi="Arial" w:cs="Arial"/>
          <w:bCs/>
          <w:sz w:val="22"/>
          <w:szCs w:val="22"/>
          <w:lang w:val="en-GB"/>
        </w:rPr>
        <w:t>itraconazole</w:t>
      </w:r>
      <w:proofErr w:type="spellEnd"/>
      <w:r w:rsidRPr="007F0E6C">
        <w:rPr>
          <w:rFonts w:ascii="Arial" w:hAnsi="Arial" w:cs="Arial"/>
          <w:bCs/>
          <w:sz w:val="22"/>
          <w:szCs w:val="22"/>
          <w:lang w:val="en-GB"/>
        </w:rPr>
        <w:t xml:space="preserve"> available in </w:t>
      </w:r>
      <w:proofErr w:type="gramStart"/>
      <w:r w:rsidRPr="007F0E6C">
        <w:rPr>
          <w:rFonts w:ascii="Arial" w:hAnsi="Arial" w:cs="Arial"/>
          <w:bCs/>
          <w:sz w:val="22"/>
          <w:szCs w:val="22"/>
          <w:lang w:val="en-GB"/>
        </w:rPr>
        <w:t>Australia,</w:t>
      </w:r>
      <w:proofErr w:type="gramEnd"/>
      <w:r w:rsidRPr="007F0E6C">
        <w:rPr>
          <w:rFonts w:ascii="Arial" w:hAnsi="Arial" w:cs="Arial"/>
          <w:bCs/>
          <w:sz w:val="22"/>
          <w:szCs w:val="22"/>
          <w:lang w:val="en-GB"/>
        </w:rPr>
        <w:t xml:space="preserve"> and the </w:t>
      </w:r>
      <w:proofErr w:type="spellStart"/>
      <w:r w:rsidRPr="007F0E6C">
        <w:rPr>
          <w:rFonts w:ascii="Arial" w:hAnsi="Arial" w:cs="Arial"/>
          <w:bCs/>
          <w:sz w:val="22"/>
          <w:szCs w:val="22"/>
          <w:lang w:val="en-GB"/>
        </w:rPr>
        <w:t>Lozanoc</w:t>
      </w:r>
      <w:proofErr w:type="spellEnd"/>
      <w:r w:rsidRPr="007F0E6C">
        <w:rPr>
          <w:rFonts w:ascii="Arial" w:hAnsi="Arial" w:cs="Arial"/>
          <w:bCs/>
          <w:sz w:val="22"/>
          <w:szCs w:val="22"/>
          <w:lang w:val="en-GB"/>
        </w:rPr>
        <w:t xml:space="preserve"> PI highlights that </w:t>
      </w:r>
      <w:proofErr w:type="spellStart"/>
      <w:r w:rsidRPr="007F0E6C">
        <w:rPr>
          <w:rFonts w:ascii="Arial" w:hAnsi="Arial" w:cs="Arial"/>
          <w:bCs/>
          <w:sz w:val="22"/>
          <w:szCs w:val="22"/>
          <w:lang w:val="en-GB"/>
        </w:rPr>
        <w:t>Lozanoc</w:t>
      </w:r>
      <w:proofErr w:type="spellEnd"/>
      <w:r w:rsidRPr="007F0E6C">
        <w:rPr>
          <w:rFonts w:ascii="Arial" w:hAnsi="Arial" w:cs="Arial"/>
          <w:bCs/>
          <w:sz w:val="22"/>
          <w:szCs w:val="22"/>
          <w:lang w:val="en-GB"/>
        </w:rPr>
        <w:t xml:space="preserve"> and </w:t>
      </w:r>
      <w:proofErr w:type="spellStart"/>
      <w:r w:rsidRPr="007F0E6C">
        <w:rPr>
          <w:rFonts w:ascii="Arial" w:hAnsi="Arial" w:cs="Arial"/>
          <w:bCs/>
          <w:sz w:val="22"/>
          <w:szCs w:val="22"/>
          <w:lang w:val="en-GB"/>
        </w:rPr>
        <w:t>Sporanox</w:t>
      </w:r>
      <w:proofErr w:type="spellEnd"/>
      <w:r w:rsidRPr="007F0E6C">
        <w:rPr>
          <w:rFonts w:ascii="Arial" w:hAnsi="Arial" w:cs="Arial"/>
          <w:bCs/>
          <w:sz w:val="22"/>
          <w:szCs w:val="22"/>
          <w:lang w:val="en-GB"/>
        </w:rPr>
        <w:t xml:space="preserve"> are not interchangeable, the risk of prescriber and patient confusion is negligible.</w:t>
      </w:r>
    </w:p>
    <w:sectPr w:rsidR="007F0E6C" w:rsidRPr="00277113" w:rsidSect="00E913BC">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3E" w:rsidRDefault="00D84F3E">
      <w:r>
        <w:separator/>
      </w:r>
    </w:p>
  </w:endnote>
  <w:endnote w:type="continuationSeparator" w:id="0">
    <w:p w:rsidR="00D84F3E" w:rsidRDefault="00D8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4F3E" w:rsidTr="005A3173">
      <w:trPr>
        <w:trHeight w:val="151"/>
      </w:trPr>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4F3E" w:rsidRPr="005A3173" w:rsidRDefault="00D84F3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r>
    <w:tr w:rsidR="00D84F3E" w:rsidTr="005A3173">
      <w:trPr>
        <w:trHeight w:val="150"/>
      </w:trPr>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0" w:type="auto"/>
          <w:vMerge/>
          <w:vAlign w:val="center"/>
          <w:hideMark/>
        </w:tcPr>
        <w:p w:rsidR="00D84F3E" w:rsidRPr="005A3173" w:rsidRDefault="00D84F3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r>
  </w:tbl>
  <w:p w:rsidR="00D84F3E" w:rsidRDefault="00D84F3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F3E" w:rsidRDefault="00D84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3E" w:rsidRDefault="00D84F3E" w:rsidP="00EF44A0">
    <w:pPr>
      <w:pStyle w:val="Footer"/>
      <w:jc w:val="center"/>
      <w:rPr>
        <w:rFonts w:ascii="Arial" w:hAnsi="Arial" w:cs="Arial"/>
        <w:b/>
        <w:sz w:val="20"/>
        <w:szCs w:val="20"/>
      </w:rPr>
    </w:pPr>
  </w:p>
  <w:p w:rsidR="00D84F3E" w:rsidRPr="00484970" w:rsidRDefault="004244B3">
    <w:pPr>
      <w:pStyle w:val="Footer"/>
      <w:jc w:val="center"/>
      <w:rPr>
        <w:rFonts w:ascii="Arial" w:hAnsi="Arial" w:cs="Arial"/>
        <w:sz w:val="22"/>
        <w:szCs w:val="22"/>
      </w:rPr>
    </w:pPr>
    <w:sdt>
      <w:sdtPr>
        <w:id w:val="646254239"/>
        <w:docPartObj>
          <w:docPartGallery w:val="Page Numbers (Bottom of Page)"/>
          <w:docPartUnique/>
        </w:docPartObj>
      </w:sdtPr>
      <w:sdtEndPr>
        <w:rPr>
          <w:rFonts w:ascii="Arial" w:hAnsi="Arial" w:cs="Arial"/>
          <w:noProof/>
          <w:sz w:val="22"/>
          <w:szCs w:val="22"/>
        </w:rPr>
      </w:sdtEndPr>
      <w:sdtContent>
        <w:r w:rsidR="00D84F3E" w:rsidRPr="00484970">
          <w:rPr>
            <w:rFonts w:ascii="Arial" w:hAnsi="Arial" w:cs="Arial"/>
            <w:sz w:val="22"/>
            <w:szCs w:val="22"/>
          </w:rPr>
          <w:fldChar w:fldCharType="begin"/>
        </w:r>
        <w:r w:rsidR="00D84F3E" w:rsidRPr="00484970">
          <w:rPr>
            <w:rFonts w:ascii="Arial" w:hAnsi="Arial" w:cs="Arial"/>
            <w:sz w:val="22"/>
            <w:szCs w:val="22"/>
          </w:rPr>
          <w:instrText xml:space="preserve"> PAGE   \* MERGEFORMAT </w:instrText>
        </w:r>
        <w:r w:rsidR="00D84F3E" w:rsidRPr="00484970">
          <w:rPr>
            <w:rFonts w:ascii="Arial" w:hAnsi="Arial" w:cs="Arial"/>
            <w:sz w:val="22"/>
            <w:szCs w:val="22"/>
          </w:rPr>
          <w:fldChar w:fldCharType="separate"/>
        </w:r>
        <w:r>
          <w:rPr>
            <w:rFonts w:ascii="Arial" w:hAnsi="Arial" w:cs="Arial"/>
            <w:noProof/>
            <w:sz w:val="22"/>
            <w:szCs w:val="22"/>
          </w:rPr>
          <w:t>1</w:t>
        </w:r>
        <w:r w:rsidR="00D84F3E" w:rsidRPr="00484970">
          <w:rPr>
            <w:rFonts w:ascii="Arial" w:hAnsi="Arial" w:cs="Arial"/>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84F3E" w:rsidTr="005A3173">
      <w:trPr>
        <w:trHeight w:val="151"/>
      </w:trPr>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4F3E" w:rsidRPr="005A3173" w:rsidRDefault="00D84F3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r>
    <w:tr w:rsidR="00D84F3E" w:rsidTr="005A3173">
      <w:trPr>
        <w:trHeight w:val="150"/>
      </w:trPr>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0" w:type="auto"/>
          <w:vMerge/>
          <w:vAlign w:val="center"/>
          <w:hideMark/>
        </w:tcPr>
        <w:p w:rsidR="00D84F3E" w:rsidRPr="005A3173" w:rsidRDefault="00D84F3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84F3E" w:rsidTr="005A3173">
      <w:trPr>
        <w:trHeight w:val="151"/>
      </w:trPr>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84F3E" w:rsidRPr="005A3173" w:rsidRDefault="00D84F3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84F3E" w:rsidRPr="005A3173" w:rsidRDefault="00D84F3E" w:rsidP="005A3173">
          <w:pPr>
            <w:pStyle w:val="Header"/>
            <w:spacing w:line="276" w:lineRule="auto"/>
            <w:rPr>
              <w:rFonts w:ascii="Calibri" w:eastAsia="MS Gothic" w:hAnsi="Calibri"/>
              <w:b/>
              <w:bCs/>
              <w:color w:val="4F81BD"/>
            </w:rPr>
          </w:pPr>
        </w:p>
      </w:tc>
    </w:tr>
    <w:tr w:rsidR="00D84F3E" w:rsidTr="005A3173">
      <w:trPr>
        <w:trHeight w:val="150"/>
      </w:trPr>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c>
        <w:tcPr>
          <w:tcW w:w="0" w:type="auto"/>
          <w:vMerge/>
          <w:vAlign w:val="center"/>
          <w:hideMark/>
        </w:tcPr>
        <w:p w:rsidR="00D84F3E" w:rsidRPr="005A3173" w:rsidRDefault="00D84F3E" w:rsidP="005A3173">
          <w:pPr>
            <w:rPr>
              <w:rFonts w:ascii="Calibri" w:hAnsi="Calibri"/>
              <w:color w:val="365F91"/>
              <w:sz w:val="22"/>
              <w:szCs w:val="22"/>
            </w:rPr>
          </w:pPr>
        </w:p>
      </w:tc>
      <w:tc>
        <w:tcPr>
          <w:tcW w:w="2250" w:type="pct"/>
          <w:tcBorders>
            <w:top w:val="single" w:sz="4" w:space="0" w:color="4F81BD"/>
            <w:left w:val="nil"/>
            <w:bottom w:val="nil"/>
            <w:right w:val="nil"/>
          </w:tcBorders>
        </w:tcPr>
        <w:p w:rsidR="00D84F3E" w:rsidRPr="005A3173" w:rsidRDefault="00D84F3E" w:rsidP="005A3173">
          <w:pPr>
            <w:pStyle w:val="Header"/>
            <w:spacing w:line="276" w:lineRule="auto"/>
            <w:rPr>
              <w:rFonts w:ascii="Calibri" w:eastAsia="MS Gothic" w:hAnsi="Calibri"/>
              <w:b/>
              <w:bCs/>
              <w:color w:val="4F81BD"/>
            </w:rPr>
          </w:pPr>
        </w:p>
      </w:tc>
    </w:tr>
  </w:tbl>
  <w:p w:rsidR="00D84F3E" w:rsidRPr="007C0F57" w:rsidRDefault="00D84F3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84F3E" w:rsidRPr="007C0F57" w:rsidRDefault="00D84F3E"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3E" w:rsidRDefault="00D84F3E">
      <w:r>
        <w:separator/>
      </w:r>
    </w:p>
  </w:footnote>
  <w:footnote w:type="continuationSeparator" w:id="0">
    <w:p w:rsidR="00D84F3E" w:rsidRDefault="00D8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84F3E" w:rsidRPr="008E0D90" w:rsidTr="00A06225">
      <w:trPr>
        <w:trHeight w:val="151"/>
      </w:trPr>
      <w:tc>
        <w:tcPr>
          <w:tcW w:w="2389" w:type="pct"/>
          <w:tcBorders>
            <w:top w:val="nil"/>
            <w:left w:val="nil"/>
            <w:bottom w:val="single" w:sz="4" w:space="0" w:color="4F81BD"/>
            <w:right w:val="nil"/>
          </w:tcBorders>
        </w:tcPr>
        <w:p w:rsidR="00D84F3E" w:rsidRPr="00A06225" w:rsidRDefault="00D84F3E">
          <w:pPr>
            <w:pStyle w:val="Header"/>
            <w:spacing w:line="276" w:lineRule="auto"/>
            <w:rPr>
              <w:rFonts w:ascii="Cambria" w:eastAsia="MS Gothic" w:hAnsi="Cambria"/>
              <w:b/>
              <w:bCs/>
              <w:color w:val="4F81BD"/>
            </w:rPr>
          </w:pPr>
        </w:p>
      </w:tc>
      <w:tc>
        <w:tcPr>
          <w:tcW w:w="333" w:type="pct"/>
          <w:vMerge w:val="restart"/>
          <w:noWrap/>
          <w:vAlign w:val="center"/>
          <w:hideMark/>
        </w:tcPr>
        <w:p w:rsidR="00D84F3E" w:rsidRPr="00A06225" w:rsidRDefault="00D84F3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84F3E" w:rsidRPr="00A06225" w:rsidRDefault="00D84F3E">
          <w:pPr>
            <w:pStyle w:val="Header"/>
            <w:spacing w:line="276" w:lineRule="auto"/>
            <w:rPr>
              <w:rFonts w:ascii="Cambria" w:eastAsia="MS Gothic" w:hAnsi="Cambria"/>
              <w:b/>
              <w:bCs/>
              <w:color w:val="4F81BD"/>
            </w:rPr>
          </w:pPr>
        </w:p>
      </w:tc>
    </w:tr>
    <w:tr w:rsidR="00D84F3E" w:rsidRPr="008E0D90" w:rsidTr="00A06225">
      <w:trPr>
        <w:trHeight w:val="150"/>
      </w:trPr>
      <w:tc>
        <w:tcPr>
          <w:tcW w:w="2389" w:type="pct"/>
          <w:tcBorders>
            <w:top w:val="single" w:sz="4" w:space="0" w:color="4F81BD"/>
            <w:left w:val="nil"/>
            <w:bottom w:val="nil"/>
            <w:right w:val="nil"/>
          </w:tcBorders>
        </w:tcPr>
        <w:p w:rsidR="00D84F3E" w:rsidRPr="00A06225" w:rsidRDefault="00D84F3E">
          <w:pPr>
            <w:pStyle w:val="Header"/>
            <w:spacing w:line="276" w:lineRule="auto"/>
            <w:rPr>
              <w:rFonts w:ascii="Cambria" w:eastAsia="MS Gothic" w:hAnsi="Cambria"/>
              <w:b/>
              <w:bCs/>
              <w:color w:val="4F81BD"/>
            </w:rPr>
          </w:pPr>
        </w:p>
      </w:tc>
      <w:tc>
        <w:tcPr>
          <w:tcW w:w="0" w:type="auto"/>
          <w:vMerge/>
          <w:vAlign w:val="center"/>
          <w:hideMark/>
        </w:tcPr>
        <w:p w:rsidR="00D84F3E" w:rsidRPr="00A06225" w:rsidRDefault="00D84F3E">
          <w:pPr>
            <w:rPr>
              <w:rFonts w:ascii="Cambria" w:hAnsi="Cambria"/>
              <w:color w:val="4F81BD"/>
              <w:sz w:val="22"/>
              <w:szCs w:val="22"/>
            </w:rPr>
          </w:pPr>
        </w:p>
      </w:tc>
      <w:tc>
        <w:tcPr>
          <w:tcW w:w="2278" w:type="pct"/>
          <w:tcBorders>
            <w:top w:val="single" w:sz="4" w:space="0" w:color="4F81BD"/>
            <w:left w:val="nil"/>
            <w:bottom w:val="nil"/>
            <w:right w:val="nil"/>
          </w:tcBorders>
        </w:tcPr>
        <w:p w:rsidR="00D84F3E" w:rsidRPr="00A06225" w:rsidRDefault="00D84F3E">
          <w:pPr>
            <w:pStyle w:val="Header"/>
            <w:spacing w:line="276" w:lineRule="auto"/>
            <w:rPr>
              <w:rFonts w:ascii="Cambria" w:eastAsia="MS Gothic" w:hAnsi="Cambria"/>
              <w:b/>
              <w:bCs/>
              <w:color w:val="4F81BD"/>
            </w:rPr>
          </w:pPr>
        </w:p>
      </w:tc>
    </w:tr>
  </w:tbl>
  <w:p w:rsidR="00D84F3E" w:rsidRDefault="00D84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3E" w:rsidRDefault="00E913BC" w:rsidP="00AD695F">
    <w:pPr>
      <w:pStyle w:val="Header"/>
      <w:ind w:left="360"/>
      <w:jc w:val="center"/>
      <w:rPr>
        <w:rFonts w:ascii="Arial" w:hAnsi="Arial" w:cs="Arial"/>
        <w:i/>
        <w:color w:val="808080"/>
        <w:sz w:val="22"/>
      </w:rPr>
    </w:pPr>
    <w:r>
      <w:rPr>
        <w:rFonts w:ascii="Arial" w:hAnsi="Arial" w:cs="Arial"/>
        <w:i/>
        <w:color w:val="808080"/>
        <w:sz w:val="22"/>
      </w:rPr>
      <w:t>Public</w:t>
    </w:r>
    <w:r w:rsidR="00AD695F">
      <w:rPr>
        <w:rFonts w:ascii="Arial" w:hAnsi="Arial" w:cs="Arial"/>
        <w:i/>
        <w:color w:val="808080"/>
        <w:sz w:val="22"/>
      </w:rPr>
      <w:t xml:space="preserve"> Summary Document</w:t>
    </w:r>
    <w:r w:rsidR="00D84F3E">
      <w:rPr>
        <w:rFonts w:ascii="Arial" w:hAnsi="Arial" w:cs="Arial"/>
        <w:i/>
        <w:color w:val="808080"/>
        <w:sz w:val="22"/>
      </w:rPr>
      <w:t xml:space="preserve"> </w:t>
    </w:r>
    <w:r w:rsidR="00D84F3E" w:rsidRPr="00DF217D">
      <w:rPr>
        <w:rFonts w:ascii="Arial" w:hAnsi="Arial" w:cs="Arial"/>
        <w:i/>
        <w:color w:val="808080"/>
        <w:sz w:val="22"/>
      </w:rPr>
      <w:t xml:space="preserve">– </w:t>
    </w:r>
    <w:r w:rsidR="00D84F3E">
      <w:rPr>
        <w:rFonts w:ascii="Arial" w:hAnsi="Arial" w:cs="Arial"/>
        <w:i/>
        <w:color w:val="808080"/>
        <w:sz w:val="22"/>
      </w:rPr>
      <w:t xml:space="preserve">November 2014 </w:t>
    </w:r>
    <w:r w:rsidR="00D84F3E" w:rsidRPr="00DF217D">
      <w:rPr>
        <w:rFonts w:ascii="Arial" w:hAnsi="Arial" w:cs="Arial"/>
        <w:i/>
        <w:color w:val="808080"/>
        <w:sz w:val="22"/>
      </w:rPr>
      <w:t>PBAC</w:t>
    </w:r>
    <w:r w:rsidR="00D84F3E">
      <w:rPr>
        <w:rFonts w:ascii="Arial" w:hAnsi="Arial" w:cs="Arial"/>
        <w:i/>
        <w:color w:val="808080"/>
        <w:sz w:val="22"/>
      </w:rPr>
      <w:t xml:space="preserve"> </w:t>
    </w:r>
    <w:r w:rsidR="00D84F3E" w:rsidRPr="00DF217D">
      <w:rPr>
        <w:rFonts w:ascii="Arial" w:hAnsi="Arial" w:cs="Arial"/>
        <w:i/>
        <w:color w:val="808080"/>
        <w:sz w:val="22"/>
      </w:rPr>
      <w:t>Meeting</w:t>
    </w:r>
  </w:p>
  <w:p w:rsidR="00E913BC" w:rsidRDefault="00E913BC" w:rsidP="00AD695F">
    <w:pPr>
      <w:pStyle w:val="Header"/>
      <w:ind w:lef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13719D"/>
    <w:multiLevelType w:val="hybridMultilevel"/>
    <w:tmpl w:val="22822EE8"/>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B0C75B6"/>
    <w:multiLevelType w:val="hybridMultilevel"/>
    <w:tmpl w:val="2D78DD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9421D0"/>
    <w:multiLevelType w:val="multilevel"/>
    <w:tmpl w:val="BE2AD6D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1"/>
  </w:num>
  <w:num w:numId="4">
    <w:abstractNumId w:val="0"/>
  </w:num>
  <w:num w:numId="5">
    <w:abstractNumId w:val="5"/>
  </w:num>
  <w:num w:numId="6">
    <w:abstractNumId w:val="20"/>
  </w:num>
  <w:num w:numId="7">
    <w:abstractNumId w:val="15"/>
  </w:num>
  <w:num w:numId="8">
    <w:abstractNumId w:val="4"/>
  </w:num>
  <w:num w:numId="9">
    <w:abstractNumId w:val="7"/>
  </w:num>
  <w:num w:numId="10">
    <w:abstractNumId w:val="33"/>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8"/>
  </w:num>
  <w:num w:numId="16">
    <w:abstractNumId w:val="24"/>
  </w:num>
  <w:num w:numId="17">
    <w:abstractNumId w:val="38"/>
  </w:num>
  <w:num w:numId="18">
    <w:abstractNumId w:val="12"/>
  </w:num>
  <w:num w:numId="19">
    <w:abstractNumId w:val="19"/>
  </w:num>
  <w:num w:numId="20">
    <w:abstractNumId w:val="3"/>
  </w:num>
  <w:num w:numId="21">
    <w:abstractNumId w:val="31"/>
  </w:num>
  <w:num w:numId="22">
    <w:abstractNumId w:val="34"/>
  </w:num>
  <w:num w:numId="23">
    <w:abstractNumId w:val="40"/>
  </w:num>
  <w:num w:numId="24">
    <w:abstractNumId w:val="14"/>
  </w:num>
  <w:num w:numId="25">
    <w:abstractNumId w:val="39"/>
  </w:num>
  <w:num w:numId="26">
    <w:abstractNumId w:val="29"/>
  </w:num>
  <w:num w:numId="27">
    <w:abstractNumId w:val="11"/>
  </w:num>
  <w:num w:numId="28">
    <w:abstractNumId w:val="6"/>
  </w:num>
  <w:num w:numId="29">
    <w:abstractNumId w:val="26"/>
  </w:num>
  <w:num w:numId="30">
    <w:abstractNumId w:val="2"/>
  </w:num>
  <w:num w:numId="31">
    <w:abstractNumId w:val="27"/>
  </w:num>
  <w:num w:numId="32">
    <w:abstractNumId w:val="37"/>
  </w:num>
  <w:num w:numId="33">
    <w:abstractNumId w:val="25"/>
  </w:num>
  <w:num w:numId="34">
    <w:abstractNumId w:val="41"/>
  </w:num>
  <w:num w:numId="35">
    <w:abstractNumId w:val="10"/>
  </w:num>
  <w:num w:numId="36">
    <w:abstractNumId w:val="23"/>
  </w:num>
  <w:num w:numId="37">
    <w:abstractNumId w:val="30"/>
  </w:num>
  <w:num w:numId="38">
    <w:abstractNumId w:val="8"/>
  </w:num>
  <w:num w:numId="39">
    <w:abstractNumId w:val="16"/>
  </w:num>
  <w:num w:numId="40">
    <w:abstractNumId w:val="1"/>
  </w:num>
  <w:num w:numId="41">
    <w:abstractNumId w:val="13"/>
  </w:num>
  <w:num w:numId="42">
    <w:abstractNumId w:val="32"/>
  </w:num>
  <w:num w:numId="43">
    <w:abstractNumId w:val="1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28A4"/>
    <w:rsid w:val="0003360C"/>
    <w:rsid w:val="000421A1"/>
    <w:rsid w:val="0004240E"/>
    <w:rsid w:val="00045E26"/>
    <w:rsid w:val="000514B5"/>
    <w:rsid w:val="00060E64"/>
    <w:rsid w:val="00066755"/>
    <w:rsid w:val="000870FA"/>
    <w:rsid w:val="00092D8C"/>
    <w:rsid w:val="00095D5B"/>
    <w:rsid w:val="000969AD"/>
    <w:rsid w:val="000A0419"/>
    <w:rsid w:val="000A3ED6"/>
    <w:rsid w:val="000B2DF6"/>
    <w:rsid w:val="000B558D"/>
    <w:rsid w:val="000C6996"/>
    <w:rsid w:val="000D23BA"/>
    <w:rsid w:val="000E633B"/>
    <w:rsid w:val="000E681E"/>
    <w:rsid w:val="000F4E6A"/>
    <w:rsid w:val="001107BF"/>
    <w:rsid w:val="0012417C"/>
    <w:rsid w:val="00142395"/>
    <w:rsid w:val="00142714"/>
    <w:rsid w:val="001452ED"/>
    <w:rsid w:val="001830CE"/>
    <w:rsid w:val="00196307"/>
    <w:rsid w:val="001A09B9"/>
    <w:rsid w:val="001B017F"/>
    <w:rsid w:val="001B5129"/>
    <w:rsid w:val="001C1195"/>
    <w:rsid w:val="001C20A0"/>
    <w:rsid w:val="001E2043"/>
    <w:rsid w:val="001F0F59"/>
    <w:rsid w:val="001F5355"/>
    <w:rsid w:val="00213CFB"/>
    <w:rsid w:val="00217EF7"/>
    <w:rsid w:val="00233602"/>
    <w:rsid w:val="00244844"/>
    <w:rsid w:val="00256205"/>
    <w:rsid w:val="002670AB"/>
    <w:rsid w:val="00271BA1"/>
    <w:rsid w:val="002754F5"/>
    <w:rsid w:val="00277505"/>
    <w:rsid w:val="002849E3"/>
    <w:rsid w:val="0029458F"/>
    <w:rsid w:val="002A104C"/>
    <w:rsid w:val="002A4960"/>
    <w:rsid w:val="002B1AE6"/>
    <w:rsid w:val="002B30F8"/>
    <w:rsid w:val="002C212F"/>
    <w:rsid w:val="002D02C4"/>
    <w:rsid w:val="002E72CA"/>
    <w:rsid w:val="002F3C0F"/>
    <w:rsid w:val="00305775"/>
    <w:rsid w:val="00313694"/>
    <w:rsid w:val="00316357"/>
    <w:rsid w:val="00326E79"/>
    <w:rsid w:val="003367EF"/>
    <w:rsid w:val="00340480"/>
    <w:rsid w:val="00341AE4"/>
    <w:rsid w:val="0034713B"/>
    <w:rsid w:val="00367CBF"/>
    <w:rsid w:val="00377848"/>
    <w:rsid w:val="0038705B"/>
    <w:rsid w:val="0039531A"/>
    <w:rsid w:val="003A5B4A"/>
    <w:rsid w:val="003B23C5"/>
    <w:rsid w:val="003B2A75"/>
    <w:rsid w:val="003B507A"/>
    <w:rsid w:val="003C6839"/>
    <w:rsid w:val="003D4AC4"/>
    <w:rsid w:val="003D4C55"/>
    <w:rsid w:val="003D63B7"/>
    <w:rsid w:val="003E468B"/>
    <w:rsid w:val="003F5C8C"/>
    <w:rsid w:val="00401425"/>
    <w:rsid w:val="004244B3"/>
    <w:rsid w:val="0043317F"/>
    <w:rsid w:val="004465BD"/>
    <w:rsid w:val="00460F2E"/>
    <w:rsid w:val="00466ADA"/>
    <w:rsid w:val="00476245"/>
    <w:rsid w:val="00477B17"/>
    <w:rsid w:val="00484970"/>
    <w:rsid w:val="00485940"/>
    <w:rsid w:val="004974B2"/>
    <w:rsid w:val="004A1307"/>
    <w:rsid w:val="004A5A85"/>
    <w:rsid w:val="004B2B38"/>
    <w:rsid w:val="004B5640"/>
    <w:rsid w:val="004C1BD7"/>
    <w:rsid w:val="004C691D"/>
    <w:rsid w:val="004D6F8B"/>
    <w:rsid w:val="004E692D"/>
    <w:rsid w:val="00506A2D"/>
    <w:rsid w:val="00514CD7"/>
    <w:rsid w:val="00534E2E"/>
    <w:rsid w:val="00535BF3"/>
    <w:rsid w:val="00544552"/>
    <w:rsid w:val="00581932"/>
    <w:rsid w:val="005841F9"/>
    <w:rsid w:val="00586AB7"/>
    <w:rsid w:val="005963BB"/>
    <w:rsid w:val="005A1641"/>
    <w:rsid w:val="005A3173"/>
    <w:rsid w:val="005A3223"/>
    <w:rsid w:val="005A3DA3"/>
    <w:rsid w:val="005A52C4"/>
    <w:rsid w:val="005D03AB"/>
    <w:rsid w:val="005D385F"/>
    <w:rsid w:val="005D5017"/>
    <w:rsid w:val="005D7E92"/>
    <w:rsid w:val="005E1010"/>
    <w:rsid w:val="00601A91"/>
    <w:rsid w:val="00602BA3"/>
    <w:rsid w:val="00614159"/>
    <w:rsid w:val="00617C00"/>
    <w:rsid w:val="006263BF"/>
    <w:rsid w:val="00630A2C"/>
    <w:rsid w:val="006461CF"/>
    <w:rsid w:val="00651169"/>
    <w:rsid w:val="00653D69"/>
    <w:rsid w:val="00670A76"/>
    <w:rsid w:val="006711AA"/>
    <w:rsid w:val="00675622"/>
    <w:rsid w:val="006906DB"/>
    <w:rsid w:val="006A12A5"/>
    <w:rsid w:val="006A14AF"/>
    <w:rsid w:val="006B0D94"/>
    <w:rsid w:val="006B2574"/>
    <w:rsid w:val="006B485D"/>
    <w:rsid w:val="006C708E"/>
    <w:rsid w:val="006D6EC7"/>
    <w:rsid w:val="006E5D11"/>
    <w:rsid w:val="006F5125"/>
    <w:rsid w:val="006F66B0"/>
    <w:rsid w:val="007174BB"/>
    <w:rsid w:val="007215E8"/>
    <w:rsid w:val="00732762"/>
    <w:rsid w:val="0073695F"/>
    <w:rsid w:val="0074686B"/>
    <w:rsid w:val="007633F2"/>
    <w:rsid w:val="0076420C"/>
    <w:rsid w:val="007753C2"/>
    <w:rsid w:val="007838B8"/>
    <w:rsid w:val="00783D93"/>
    <w:rsid w:val="00790D40"/>
    <w:rsid w:val="00794C88"/>
    <w:rsid w:val="007C0F57"/>
    <w:rsid w:val="007C21D0"/>
    <w:rsid w:val="007C40B6"/>
    <w:rsid w:val="007C62AC"/>
    <w:rsid w:val="007C729F"/>
    <w:rsid w:val="007D56C6"/>
    <w:rsid w:val="007D5B77"/>
    <w:rsid w:val="007E1D28"/>
    <w:rsid w:val="007F0E6C"/>
    <w:rsid w:val="007F2641"/>
    <w:rsid w:val="007F7C36"/>
    <w:rsid w:val="00806796"/>
    <w:rsid w:val="00826F6D"/>
    <w:rsid w:val="00832360"/>
    <w:rsid w:val="0084384F"/>
    <w:rsid w:val="008525AD"/>
    <w:rsid w:val="00852A62"/>
    <w:rsid w:val="00856DDD"/>
    <w:rsid w:val="00863E68"/>
    <w:rsid w:val="00882085"/>
    <w:rsid w:val="00883188"/>
    <w:rsid w:val="00884F29"/>
    <w:rsid w:val="00894700"/>
    <w:rsid w:val="0089611B"/>
    <w:rsid w:val="00897D58"/>
    <w:rsid w:val="008A05BE"/>
    <w:rsid w:val="008A1956"/>
    <w:rsid w:val="008A4937"/>
    <w:rsid w:val="008B58B9"/>
    <w:rsid w:val="008D3C82"/>
    <w:rsid w:val="008D447E"/>
    <w:rsid w:val="008D7A41"/>
    <w:rsid w:val="008E3680"/>
    <w:rsid w:val="008E5870"/>
    <w:rsid w:val="008F1434"/>
    <w:rsid w:val="008F7355"/>
    <w:rsid w:val="00904DAD"/>
    <w:rsid w:val="009067B7"/>
    <w:rsid w:val="00925B80"/>
    <w:rsid w:val="00930937"/>
    <w:rsid w:val="00932DA5"/>
    <w:rsid w:val="00933E6C"/>
    <w:rsid w:val="00942160"/>
    <w:rsid w:val="009425DD"/>
    <w:rsid w:val="0095372B"/>
    <w:rsid w:val="009602C5"/>
    <w:rsid w:val="00974C21"/>
    <w:rsid w:val="0098461B"/>
    <w:rsid w:val="009A424D"/>
    <w:rsid w:val="009B0F67"/>
    <w:rsid w:val="009C703C"/>
    <w:rsid w:val="009D3CAA"/>
    <w:rsid w:val="009F4E46"/>
    <w:rsid w:val="009F5B65"/>
    <w:rsid w:val="009F5F2E"/>
    <w:rsid w:val="00A06225"/>
    <w:rsid w:val="00A17B8A"/>
    <w:rsid w:val="00A37C8D"/>
    <w:rsid w:val="00A37E51"/>
    <w:rsid w:val="00A45BB0"/>
    <w:rsid w:val="00A471F8"/>
    <w:rsid w:val="00A5273B"/>
    <w:rsid w:val="00A53A9D"/>
    <w:rsid w:val="00A62C1A"/>
    <w:rsid w:val="00A6426D"/>
    <w:rsid w:val="00A70622"/>
    <w:rsid w:val="00A70977"/>
    <w:rsid w:val="00A824FD"/>
    <w:rsid w:val="00A8390C"/>
    <w:rsid w:val="00AA2FB1"/>
    <w:rsid w:val="00AA4D1C"/>
    <w:rsid w:val="00AC5206"/>
    <w:rsid w:val="00AD347B"/>
    <w:rsid w:val="00AD695F"/>
    <w:rsid w:val="00AE11A5"/>
    <w:rsid w:val="00AF04FD"/>
    <w:rsid w:val="00AF68CC"/>
    <w:rsid w:val="00B205AA"/>
    <w:rsid w:val="00B22E84"/>
    <w:rsid w:val="00B25F75"/>
    <w:rsid w:val="00B43E90"/>
    <w:rsid w:val="00B44440"/>
    <w:rsid w:val="00B56118"/>
    <w:rsid w:val="00B6773F"/>
    <w:rsid w:val="00B917F6"/>
    <w:rsid w:val="00BB69F5"/>
    <w:rsid w:val="00BB7EC3"/>
    <w:rsid w:val="00BC4B9A"/>
    <w:rsid w:val="00BC6115"/>
    <w:rsid w:val="00BD0D3A"/>
    <w:rsid w:val="00BD5A6D"/>
    <w:rsid w:val="00BD784C"/>
    <w:rsid w:val="00BF4CB6"/>
    <w:rsid w:val="00C00DA7"/>
    <w:rsid w:val="00C0314F"/>
    <w:rsid w:val="00C0525C"/>
    <w:rsid w:val="00C12768"/>
    <w:rsid w:val="00C2075D"/>
    <w:rsid w:val="00C35996"/>
    <w:rsid w:val="00C5342C"/>
    <w:rsid w:val="00C6256A"/>
    <w:rsid w:val="00C84409"/>
    <w:rsid w:val="00C91449"/>
    <w:rsid w:val="00C92D10"/>
    <w:rsid w:val="00C95868"/>
    <w:rsid w:val="00CB639C"/>
    <w:rsid w:val="00CE10C4"/>
    <w:rsid w:val="00CE27B5"/>
    <w:rsid w:val="00D0321E"/>
    <w:rsid w:val="00D1276B"/>
    <w:rsid w:val="00D1455A"/>
    <w:rsid w:val="00D3280C"/>
    <w:rsid w:val="00D3406A"/>
    <w:rsid w:val="00D469B2"/>
    <w:rsid w:val="00D529BF"/>
    <w:rsid w:val="00D5771D"/>
    <w:rsid w:val="00D61D72"/>
    <w:rsid w:val="00D741EB"/>
    <w:rsid w:val="00D84F3E"/>
    <w:rsid w:val="00D91271"/>
    <w:rsid w:val="00DA2CB5"/>
    <w:rsid w:val="00DA4BAC"/>
    <w:rsid w:val="00DB25EB"/>
    <w:rsid w:val="00DB3B13"/>
    <w:rsid w:val="00DB59CA"/>
    <w:rsid w:val="00DC3B19"/>
    <w:rsid w:val="00DE6D27"/>
    <w:rsid w:val="00DF217D"/>
    <w:rsid w:val="00DF26A7"/>
    <w:rsid w:val="00E05536"/>
    <w:rsid w:val="00E135BC"/>
    <w:rsid w:val="00E13B25"/>
    <w:rsid w:val="00E164B3"/>
    <w:rsid w:val="00E16910"/>
    <w:rsid w:val="00E35E56"/>
    <w:rsid w:val="00E65E54"/>
    <w:rsid w:val="00E77690"/>
    <w:rsid w:val="00E80155"/>
    <w:rsid w:val="00E848C0"/>
    <w:rsid w:val="00E913BC"/>
    <w:rsid w:val="00E91B96"/>
    <w:rsid w:val="00E92247"/>
    <w:rsid w:val="00E941A1"/>
    <w:rsid w:val="00E95CE3"/>
    <w:rsid w:val="00E973DE"/>
    <w:rsid w:val="00EA2825"/>
    <w:rsid w:val="00EA55FE"/>
    <w:rsid w:val="00EB5088"/>
    <w:rsid w:val="00ED0DC1"/>
    <w:rsid w:val="00ED1644"/>
    <w:rsid w:val="00EE3FB0"/>
    <w:rsid w:val="00EF44A0"/>
    <w:rsid w:val="00F031D0"/>
    <w:rsid w:val="00F050BD"/>
    <w:rsid w:val="00F05657"/>
    <w:rsid w:val="00F14F93"/>
    <w:rsid w:val="00F22778"/>
    <w:rsid w:val="00F25578"/>
    <w:rsid w:val="00F258E5"/>
    <w:rsid w:val="00F300BC"/>
    <w:rsid w:val="00F3334E"/>
    <w:rsid w:val="00F43268"/>
    <w:rsid w:val="00F50EC4"/>
    <w:rsid w:val="00F57A6D"/>
    <w:rsid w:val="00F638CC"/>
    <w:rsid w:val="00F8247A"/>
    <w:rsid w:val="00F94B77"/>
    <w:rsid w:val="00F9629A"/>
    <w:rsid w:val="00FA5883"/>
    <w:rsid w:val="00FA6055"/>
    <w:rsid w:val="00FA726D"/>
    <w:rsid w:val="00FB011A"/>
    <w:rsid w:val="00FB322F"/>
    <w:rsid w:val="00FB442F"/>
    <w:rsid w:val="00FC1929"/>
    <w:rsid w:val="00FC5B46"/>
    <w:rsid w:val="00FD4171"/>
    <w:rsid w:val="00FE54B5"/>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Default">
    <w:name w:val="Default"/>
    <w:rsid w:val="00A45BB0"/>
    <w:pPr>
      <w:autoSpaceDE w:val="0"/>
      <w:autoSpaceDN w:val="0"/>
      <w:adjustRightInd w:val="0"/>
    </w:pPr>
    <w:rPr>
      <w:rFonts w:ascii="Cambria" w:hAnsi="Cambria" w:cs="Cambria"/>
      <w:color w:val="000000"/>
      <w:sz w:val="24"/>
      <w:szCs w:val="24"/>
    </w:rPr>
  </w:style>
  <w:style w:type="paragraph" w:styleId="Revision">
    <w:name w:val="Revision"/>
    <w:hidden/>
    <w:uiPriority w:val="71"/>
    <w:rsid w:val="00E13B25"/>
    <w:rPr>
      <w:sz w:val="24"/>
      <w:szCs w:val="24"/>
    </w:rPr>
  </w:style>
  <w:style w:type="character" w:customStyle="1" w:styleId="ListParagraphChar">
    <w:name w:val="List Paragraph Char"/>
    <w:basedOn w:val="DefaultParagraphFont"/>
    <w:link w:val="ListParagraph"/>
    <w:uiPriority w:val="72"/>
    <w:rsid w:val="006461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Default">
    <w:name w:val="Default"/>
    <w:rsid w:val="00A45BB0"/>
    <w:pPr>
      <w:autoSpaceDE w:val="0"/>
      <w:autoSpaceDN w:val="0"/>
      <w:adjustRightInd w:val="0"/>
    </w:pPr>
    <w:rPr>
      <w:rFonts w:ascii="Cambria" w:hAnsi="Cambria" w:cs="Cambria"/>
      <w:color w:val="000000"/>
      <w:sz w:val="24"/>
      <w:szCs w:val="24"/>
    </w:rPr>
  </w:style>
  <w:style w:type="paragraph" w:styleId="Revision">
    <w:name w:val="Revision"/>
    <w:hidden/>
    <w:uiPriority w:val="71"/>
    <w:rsid w:val="00E13B25"/>
    <w:rPr>
      <w:sz w:val="24"/>
      <w:szCs w:val="24"/>
    </w:rPr>
  </w:style>
  <w:style w:type="character" w:customStyle="1" w:styleId="ListParagraphChar">
    <w:name w:val="List Paragraph Char"/>
    <w:basedOn w:val="DefaultParagraphFont"/>
    <w:link w:val="ListParagraph"/>
    <w:uiPriority w:val="72"/>
    <w:rsid w:val="006461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4E2A-6F83-4652-A18E-CE1E2781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5103</Characters>
  <Application>Microsoft Office Word</Application>
  <DocSecurity>2</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2015-02-17T02:43:00Z</dcterms:created>
  <dcterms:modified xsi:type="dcterms:W3CDTF">2015-03-04T03:09:00Z</dcterms:modified>
</cp:coreProperties>
</file>