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64F" w:rsidRDefault="00FC2BCB" w:rsidP="007C0F57">
      <w:pPr>
        <w:ind w:left="720" w:hanging="720"/>
        <w:rPr>
          <w:rFonts w:ascii="Arial" w:hAnsi="Arial"/>
          <w:b/>
          <w:sz w:val="28"/>
          <w:szCs w:val="28"/>
        </w:rPr>
      </w:pPr>
      <w:bookmarkStart w:id="0" w:name="_GoBack"/>
      <w:bookmarkEnd w:id="0"/>
      <w:r w:rsidRPr="00B46BBA">
        <w:rPr>
          <w:rFonts w:ascii="Arial" w:hAnsi="Arial"/>
          <w:b/>
          <w:sz w:val="28"/>
          <w:szCs w:val="28"/>
        </w:rPr>
        <w:t>6.11</w:t>
      </w:r>
      <w:r w:rsidR="007C0F57" w:rsidRPr="00B46BBA">
        <w:rPr>
          <w:rFonts w:ascii="Arial" w:hAnsi="Arial"/>
          <w:b/>
          <w:sz w:val="28"/>
          <w:szCs w:val="28"/>
        </w:rPr>
        <w:tab/>
      </w:r>
      <w:r w:rsidR="00D054B0" w:rsidRPr="00B46BBA">
        <w:rPr>
          <w:rFonts w:ascii="Arial" w:hAnsi="Arial"/>
          <w:b/>
          <w:sz w:val="28"/>
          <w:szCs w:val="28"/>
        </w:rPr>
        <w:t>IVACAFTOR</w:t>
      </w:r>
    </w:p>
    <w:p w:rsidR="0010164F" w:rsidRDefault="0010164F" w:rsidP="00C93F7F">
      <w:pPr>
        <w:ind w:left="720"/>
        <w:rPr>
          <w:rFonts w:ascii="Arial" w:hAnsi="Arial"/>
          <w:b/>
          <w:sz w:val="28"/>
          <w:szCs w:val="28"/>
        </w:rPr>
      </w:pPr>
      <w:r>
        <w:rPr>
          <w:rFonts w:ascii="Arial" w:hAnsi="Arial"/>
          <w:b/>
          <w:sz w:val="28"/>
          <w:szCs w:val="28"/>
        </w:rPr>
        <w:t>T</w:t>
      </w:r>
      <w:r w:rsidR="00D054B0" w:rsidRPr="00B46BBA">
        <w:rPr>
          <w:rFonts w:ascii="Arial" w:hAnsi="Arial"/>
          <w:b/>
          <w:sz w:val="28"/>
          <w:szCs w:val="28"/>
        </w:rPr>
        <w:t>ablet</w:t>
      </w:r>
      <w:r w:rsidR="00C93F7F">
        <w:rPr>
          <w:rFonts w:ascii="Arial" w:hAnsi="Arial"/>
          <w:b/>
          <w:sz w:val="28"/>
          <w:szCs w:val="28"/>
        </w:rPr>
        <w:t>;</w:t>
      </w:r>
      <w:r w:rsidR="00D054B0" w:rsidRPr="00B46BBA">
        <w:rPr>
          <w:rFonts w:ascii="Arial" w:hAnsi="Arial"/>
          <w:b/>
          <w:sz w:val="28"/>
          <w:szCs w:val="28"/>
        </w:rPr>
        <w:t xml:space="preserve"> 150 mg</w:t>
      </w:r>
      <w:r w:rsidR="00C93F7F">
        <w:rPr>
          <w:rFonts w:ascii="Arial" w:hAnsi="Arial"/>
          <w:b/>
          <w:sz w:val="28"/>
          <w:szCs w:val="28"/>
        </w:rPr>
        <w:t>;</w:t>
      </w:r>
    </w:p>
    <w:p w:rsidR="00D3280C" w:rsidRPr="00B46BBA" w:rsidRDefault="00D054B0" w:rsidP="00C93F7F">
      <w:pPr>
        <w:ind w:left="720"/>
        <w:rPr>
          <w:rFonts w:ascii="Arial" w:hAnsi="Arial"/>
          <w:b/>
          <w:sz w:val="28"/>
          <w:szCs w:val="28"/>
        </w:rPr>
      </w:pPr>
      <w:r w:rsidRPr="00B46BBA">
        <w:rPr>
          <w:rFonts w:ascii="Arial" w:hAnsi="Arial"/>
          <w:b/>
          <w:sz w:val="28"/>
          <w:szCs w:val="28"/>
        </w:rPr>
        <w:t>Kalydeco</w:t>
      </w:r>
      <w:r w:rsidR="0004240E" w:rsidRPr="00B46BBA">
        <w:rPr>
          <w:rFonts w:ascii="Arial" w:hAnsi="Arial"/>
          <w:b/>
          <w:sz w:val="28"/>
          <w:szCs w:val="28"/>
          <w:vertAlign w:val="superscript"/>
        </w:rPr>
        <w:t>®</w:t>
      </w:r>
      <w:r w:rsidR="00C93F7F">
        <w:rPr>
          <w:rFonts w:ascii="Arial" w:hAnsi="Arial"/>
          <w:b/>
          <w:sz w:val="28"/>
          <w:szCs w:val="28"/>
        </w:rPr>
        <w:t>;</w:t>
      </w:r>
      <w:r w:rsidR="00EF44A0" w:rsidRPr="00B46BBA">
        <w:rPr>
          <w:rFonts w:ascii="Arial" w:hAnsi="Arial"/>
          <w:b/>
          <w:sz w:val="28"/>
          <w:szCs w:val="28"/>
        </w:rPr>
        <w:t xml:space="preserve"> </w:t>
      </w:r>
      <w:r w:rsidRPr="00B46BBA">
        <w:rPr>
          <w:rFonts w:ascii="Arial" w:hAnsi="Arial"/>
          <w:b/>
          <w:sz w:val="28"/>
          <w:szCs w:val="28"/>
        </w:rPr>
        <w:t>Vertex Pharmaceuticals (Australia) Pty Ltd</w:t>
      </w:r>
      <w:r w:rsidR="00C93F7F">
        <w:rPr>
          <w:rFonts w:ascii="Arial" w:hAnsi="Arial"/>
          <w:b/>
          <w:sz w:val="28"/>
          <w:szCs w:val="28"/>
        </w:rPr>
        <w:t>.</w:t>
      </w:r>
    </w:p>
    <w:p w:rsidR="00CE10C4" w:rsidRDefault="00CE10C4" w:rsidP="00A5273B">
      <w:pPr>
        <w:rPr>
          <w:rFonts w:ascii="Arial" w:hAnsi="Arial"/>
          <w:b/>
        </w:rPr>
      </w:pPr>
    </w:p>
    <w:p w:rsidR="00C93F7F" w:rsidRPr="00B46BBA" w:rsidRDefault="00C93F7F" w:rsidP="00A5273B">
      <w:pPr>
        <w:rPr>
          <w:rFonts w:ascii="Arial" w:hAnsi="Arial"/>
          <w:b/>
        </w:rPr>
      </w:pPr>
    </w:p>
    <w:p w:rsidR="00CE10C4" w:rsidRPr="00B46BBA" w:rsidRDefault="00CE10C4" w:rsidP="00D86795">
      <w:pPr>
        <w:pStyle w:val="ListParagraph"/>
        <w:numPr>
          <w:ilvl w:val="0"/>
          <w:numId w:val="25"/>
        </w:numPr>
        <w:jc w:val="both"/>
        <w:rPr>
          <w:rFonts w:ascii="Arial" w:hAnsi="Arial"/>
          <w:b/>
          <w:sz w:val="22"/>
          <w:szCs w:val="22"/>
        </w:rPr>
      </w:pPr>
      <w:r w:rsidRPr="00B46BBA">
        <w:rPr>
          <w:rFonts w:ascii="Arial" w:hAnsi="Arial"/>
          <w:b/>
          <w:sz w:val="22"/>
          <w:szCs w:val="22"/>
        </w:rPr>
        <w:t xml:space="preserve">Purpose of </w:t>
      </w:r>
      <w:r w:rsidR="0004240E" w:rsidRPr="00B46BBA">
        <w:rPr>
          <w:rFonts w:ascii="Arial" w:hAnsi="Arial"/>
          <w:b/>
          <w:sz w:val="22"/>
          <w:szCs w:val="22"/>
        </w:rPr>
        <w:t>Application</w:t>
      </w:r>
    </w:p>
    <w:p w:rsidR="006A12A5" w:rsidRPr="00B46BBA" w:rsidRDefault="006A12A5" w:rsidP="00882085">
      <w:pPr>
        <w:jc w:val="both"/>
        <w:rPr>
          <w:rFonts w:ascii="Arial" w:hAnsi="Arial"/>
          <w:sz w:val="22"/>
          <w:szCs w:val="22"/>
        </w:rPr>
      </w:pPr>
    </w:p>
    <w:p w:rsidR="00F9629A" w:rsidRPr="00B46BBA" w:rsidRDefault="00EF44A0" w:rsidP="00D054B0">
      <w:pPr>
        <w:pStyle w:val="ListParagraph"/>
        <w:numPr>
          <w:ilvl w:val="1"/>
          <w:numId w:val="25"/>
        </w:numPr>
        <w:jc w:val="both"/>
        <w:rPr>
          <w:rFonts w:ascii="Arial" w:hAnsi="Arial"/>
          <w:sz w:val="22"/>
          <w:szCs w:val="22"/>
        </w:rPr>
      </w:pPr>
      <w:r w:rsidRPr="00B46BBA">
        <w:rPr>
          <w:rFonts w:ascii="Arial" w:hAnsi="Arial"/>
          <w:sz w:val="22"/>
          <w:szCs w:val="22"/>
        </w:rPr>
        <w:t xml:space="preserve">The minor submission </w:t>
      </w:r>
      <w:r w:rsidR="004B64E9">
        <w:rPr>
          <w:rFonts w:ascii="Arial" w:hAnsi="Arial"/>
          <w:sz w:val="22"/>
          <w:szCs w:val="22"/>
        </w:rPr>
        <w:t xml:space="preserve">requested </w:t>
      </w:r>
      <w:r w:rsidR="00D054B0" w:rsidRPr="00B46BBA">
        <w:rPr>
          <w:rFonts w:ascii="Arial" w:hAnsi="Arial"/>
          <w:sz w:val="22"/>
          <w:szCs w:val="22"/>
        </w:rPr>
        <w:t>an extension of the PBAC’s previous recommendation for the PBS listing of ivacaftor as a Section 100 (Highly Specialised Drugs Program) benefit for the treatment of cystic fibrosis (CF) in patients aged six years and older who have a G551D mutation in the cystic fibrosis transmembrane conductance regulator (CFTR) gene to include other gating (class III) mutation in the CFTR gene.</w:t>
      </w:r>
    </w:p>
    <w:p w:rsidR="00A236EB" w:rsidRPr="00C93F7F" w:rsidRDefault="00A236EB" w:rsidP="00DE319B">
      <w:pPr>
        <w:tabs>
          <w:tab w:val="left" w:pos="5929"/>
        </w:tabs>
        <w:jc w:val="both"/>
        <w:rPr>
          <w:rFonts w:ascii="Arial" w:hAnsi="Arial"/>
          <w:b/>
          <w:sz w:val="22"/>
          <w:szCs w:val="22"/>
        </w:rPr>
      </w:pPr>
    </w:p>
    <w:p w:rsidR="00EF44A0" w:rsidRPr="00C93F7F" w:rsidRDefault="00EF44A0" w:rsidP="00C93F7F">
      <w:pPr>
        <w:tabs>
          <w:tab w:val="left" w:pos="5929"/>
        </w:tabs>
        <w:jc w:val="both"/>
        <w:rPr>
          <w:rFonts w:ascii="Arial" w:hAnsi="Arial"/>
          <w:b/>
          <w:sz w:val="22"/>
          <w:szCs w:val="22"/>
        </w:rPr>
      </w:pPr>
    </w:p>
    <w:p w:rsidR="00614159" w:rsidRPr="00B46BBA" w:rsidRDefault="006A12A5" w:rsidP="00882085">
      <w:pPr>
        <w:pStyle w:val="ListParagraph"/>
        <w:numPr>
          <w:ilvl w:val="0"/>
          <w:numId w:val="25"/>
        </w:numPr>
        <w:jc w:val="both"/>
        <w:rPr>
          <w:rFonts w:ascii="Arial" w:hAnsi="Arial"/>
          <w:b/>
          <w:sz w:val="22"/>
          <w:szCs w:val="22"/>
        </w:rPr>
      </w:pPr>
      <w:r w:rsidRPr="00B46BBA">
        <w:rPr>
          <w:rFonts w:ascii="Arial" w:hAnsi="Arial"/>
          <w:b/>
          <w:sz w:val="22"/>
          <w:szCs w:val="22"/>
        </w:rPr>
        <w:t>Requested listing</w:t>
      </w:r>
    </w:p>
    <w:p w:rsidR="006A12A5" w:rsidRPr="00B46BBA" w:rsidRDefault="006A12A5" w:rsidP="00882085">
      <w:pPr>
        <w:jc w:val="both"/>
        <w:rPr>
          <w:rFonts w:ascii="Arial" w:hAnsi="Arial"/>
          <w:b/>
          <w:sz w:val="22"/>
          <w:szCs w:val="22"/>
        </w:rPr>
      </w:pPr>
    </w:p>
    <w:p w:rsidR="00826F6D" w:rsidRPr="00B46BBA" w:rsidRDefault="00EF44A0" w:rsidP="00103D46">
      <w:pPr>
        <w:pStyle w:val="ListParagraph"/>
        <w:numPr>
          <w:ilvl w:val="1"/>
          <w:numId w:val="25"/>
        </w:numPr>
        <w:jc w:val="both"/>
        <w:rPr>
          <w:rFonts w:ascii="Arial" w:hAnsi="Arial"/>
          <w:b/>
          <w:sz w:val="22"/>
          <w:szCs w:val="22"/>
        </w:rPr>
      </w:pPr>
      <w:r w:rsidRPr="00B46BBA">
        <w:rPr>
          <w:rFonts w:ascii="Arial" w:hAnsi="Arial"/>
          <w:sz w:val="22"/>
          <w:szCs w:val="22"/>
        </w:rPr>
        <w:t xml:space="preserve">The submission </w:t>
      </w:r>
      <w:r w:rsidR="004B64E9">
        <w:rPr>
          <w:rFonts w:ascii="Arial" w:hAnsi="Arial"/>
          <w:sz w:val="22"/>
          <w:szCs w:val="22"/>
        </w:rPr>
        <w:t>proposed</w:t>
      </w:r>
      <w:r w:rsidRPr="00B46BBA">
        <w:rPr>
          <w:rFonts w:ascii="Arial" w:hAnsi="Arial"/>
          <w:sz w:val="22"/>
          <w:szCs w:val="22"/>
        </w:rPr>
        <w:t xml:space="preserve"> </w:t>
      </w:r>
      <w:r w:rsidR="00BD62C9" w:rsidRPr="00B46BBA">
        <w:rPr>
          <w:rFonts w:ascii="Arial" w:hAnsi="Arial"/>
          <w:sz w:val="22"/>
          <w:szCs w:val="22"/>
        </w:rPr>
        <w:t>listing for the treatment of patients with non-G551D mutations under whichever scheme</w:t>
      </w:r>
      <w:r w:rsidR="00103D46">
        <w:rPr>
          <w:rFonts w:ascii="Arial" w:hAnsi="Arial"/>
          <w:sz w:val="22"/>
          <w:szCs w:val="22"/>
        </w:rPr>
        <w:t xml:space="preserve"> (PBS or</w:t>
      </w:r>
      <w:r w:rsidR="00103D46" w:rsidRPr="00103D46">
        <w:t xml:space="preserve"> </w:t>
      </w:r>
      <w:r w:rsidR="00103D46" w:rsidRPr="00103D46">
        <w:rPr>
          <w:rFonts w:ascii="Arial" w:hAnsi="Arial"/>
          <w:sz w:val="22"/>
          <w:szCs w:val="22"/>
        </w:rPr>
        <w:t>Life Saving Drugs Program</w:t>
      </w:r>
      <w:r w:rsidR="00103D46">
        <w:rPr>
          <w:rFonts w:ascii="Arial" w:hAnsi="Arial"/>
          <w:sz w:val="22"/>
          <w:szCs w:val="22"/>
        </w:rPr>
        <w:t>me)</w:t>
      </w:r>
      <w:r w:rsidR="00BD62C9" w:rsidRPr="00B46BBA">
        <w:rPr>
          <w:rFonts w:ascii="Arial" w:hAnsi="Arial"/>
          <w:sz w:val="22"/>
          <w:szCs w:val="22"/>
        </w:rPr>
        <w:t xml:space="preserve"> considered appropriate by the PBAC. As no restriction </w:t>
      </w:r>
      <w:r w:rsidR="004B64E9">
        <w:rPr>
          <w:rFonts w:ascii="Arial" w:hAnsi="Arial"/>
          <w:sz w:val="22"/>
          <w:szCs w:val="22"/>
        </w:rPr>
        <w:t>was</w:t>
      </w:r>
      <w:r w:rsidR="00BD62C9" w:rsidRPr="00B46BBA">
        <w:rPr>
          <w:rFonts w:ascii="Arial" w:hAnsi="Arial"/>
          <w:sz w:val="22"/>
          <w:szCs w:val="22"/>
        </w:rPr>
        <w:t xml:space="preserve"> presented in the minor submission, the restriction proposed for the March 2014 PBAC meeting is presented below:  </w:t>
      </w:r>
    </w:p>
    <w:p w:rsidR="00BD62C9" w:rsidRPr="00B46BBA" w:rsidRDefault="00BD62C9" w:rsidP="00BD62C9">
      <w:pPr>
        <w:jc w:val="both"/>
        <w:rPr>
          <w:rFonts w:ascii="Arial" w:hAnsi="Arial"/>
          <w:b/>
          <w:sz w:val="22"/>
          <w:szCs w:val="22"/>
        </w:rPr>
      </w:pPr>
    </w:p>
    <w:tbl>
      <w:tblPr>
        <w:tblW w:w="4524" w:type="pct"/>
        <w:tblInd w:w="817" w:type="dxa"/>
        <w:tblLook w:val="0000" w:firstRow="0" w:lastRow="0" w:firstColumn="0" w:lastColumn="0" w:noHBand="0" w:noVBand="0"/>
      </w:tblPr>
      <w:tblGrid>
        <w:gridCol w:w="2494"/>
        <w:gridCol w:w="589"/>
        <w:gridCol w:w="863"/>
        <w:gridCol w:w="1585"/>
        <w:gridCol w:w="2691"/>
        <w:gridCol w:w="140"/>
      </w:tblGrid>
      <w:tr w:rsidR="00A236EB" w:rsidRPr="00B46BBA" w:rsidTr="00C93F7F">
        <w:trPr>
          <w:cantSplit/>
          <w:trHeight w:val="471"/>
        </w:trPr>
        <w:tc>
          <w:tcPr>
            <w:tcW w:w="1491" w:type="pct"/>
            <w:tcBorders>
              <w:bottom w:val="single" w:sz="4" w:space="0" w:color="auto"/>
            </w:tcBorders>
          </w:tcPr>
          <w:p w:rsidR="00A236EB" w:rsidRPr="00B46BBA" w:rsidRDefault="00A236EB" w:rsidP="00A413B8">
            <w:pPr>
              <w:keepNext/>
              <w:ind w:hanging="108"/>
              <w:jc w:val="both"/>
              <w:rPr>
                <w:rFonts w:ascii="Arial" w:hAnsi="Arial"/>
                <w:sz w:val="20"/>
              </w:rPr>
            </w:pPr>
            <w:r w:rsidRPr="00B46BBA">
              <w:rPr>
                <w:rFonts w:ascii="Arial" w:hAnsi="Arial"/>
                <w:sz w:val="20"/>
              </w:rPr>
              <w:t>Name, Restriction,</w:t>
            </w:r>
          </w:p>
          <w:p w:rsidR="00A236EB" w:rsidRPr="00B46BBA" w:rsidRDefault="00A236EB" w:rsidP="00A413B8">
            <w:pPr>
              <w:keepNext/>
              <w:ind w:left="-108"/>
              <w:jc w:val="both"/>
              <w:rPr>
                <w:rFonts w:ascii="Arial" w:hAnsi="Arial"/>
                <w:sz w:val="20"/>
              </w:rPr>
            </w:pPr>
            <w:r w:rsidRPr="00B46BBA">
              <w:rPr>
                <w:rFonts w:ascii="Arial" w:hAnsi="Arial"/>
                <w:sz w:val="20"/>
              </w:rPr>
              <w:t>Manner of administration and form</w:t>
            </w:r>
          </w:p>
        </w:tc>
        <w:tc>
          <w:tcPr>
            <w:tcW w:w="352" w:type="pct"/>
            <w:tcBorders>
              <w:bottom w:val="single" w:sz="4" w:space="0" w:color="auto"/>
            </w:tcBorders>
          </w:tcPr>
          <w:p w:rsidR="00A236EB" w:rsidRPr="00B46BBA" w:rsidRDefault="00A236EB" w:rsidP="00A413B8">
            <w:pPr>
              <w:keepNext/>
              <w:ind w:left="-108"/>
              <w:jc w:val="both"/>
              <w:rPr>
                <w:rFonts w:ascii="Arial" w:hAnsi="Arial"/>
                <w:sz w:val="20"/>
              </w:rPr>
            </w:pPr>
            <w:r w:rsidRPr="00B46BBA">
              <w:rPr>
                <w:rFonts w:ascii="Arial" w:hAnsi="Arial"/>
                <w:sz w:val="20"/>
              </w:rPr>
              <w:t>Max.</w:t>
            </w:r>
          </w:p>
          <w:p w:rsidR="00A236EB" w:rsidRPr="00B46BBA" w:rsidRDefault="00A236EB" w:rsidP="00A413B8">
            <w:pPr>
              <w:keepNext/>
              <w:ind w:left="-108"/>
              <w:jc w:val="both"/>
              <w:rPr>
                <w:rFonts w:ascii="Arial" w:hAnsi="Arial"/>
                <w:sz w:val="20"/>
              </w:rPr>
            </w:pPr>
            <w:r w:rsidRPr="00B46BBA">
              <w:rPr>
                <w:rFonts w:ascii="Arial" w:hAnsi="Arial"/>
                <w:sz w:val="20"/>
              </w:rPr>
              <w:t>Qty</w:t>
            </w:r>
          </w:p>
        </w:tc>
        <w:tc>
          <w:tcPr>
            <w:tcW w:w="516" w:type="pct"/>
            <w:tcBorders>
              <w:bottom w:val="single" w:sz="4" w:space="0" w:color="auto"/>
            </w:tcBorders>
          </w:tcPr>
          <w:p w:rsidR="00A236EB" w:rsidRPr="00B46BBA" w:rsidRDefault="00A236EB" w:rsidP="00A413B8">
            <w:pPr>
              <w:keepNext/>
              <w:ind w:left="-108"/>
              <w:jc w:val="both"/>
              <w:rPr>
                <w:rFonts w:ascii="Arial" w:hAnsi="Arial"/>
                <w:sz w:val="20"/>
              </w:rPr>
            </w:pPr>
            <w:r w:rsidRPr="00B46BBA">
              <w:rPr>
                <w:rFonts w:ascii="Arial" w:hAnsi="Arial"/>
                <w:sz w:val="20"/>
              </w:rPr>
              <w:t>№.of</w:t>
            </w:r>
          </w:p>
          <w:p w:rsidR="00A236EB" w:rsidRPr="00B46BBA" w:rsidRDefault="00A236EB" w:rsidP="00A413B8">
            <w:pPr>
              <w:keepNext/>
              <w:ind w:left="-108"/>
              <w:jc w:val="both"/>
              <w:rPr>
                <w:rFonts w:ascii="Arial" w:hAnsi="Arial"/>
                <w:sz w:val="20"/>
              </w:rPr>
            </w:pPr>
            <w:r w:rsidRPr="00B46BBA">
              <w:rPr>
                <w:rFonts w:ascii="Arial" w:hAnsi="Arial"/>
                <w:sz w:val="20"/>
              </w:rPr>
              <w:t>Rpts</w:t>
            </w:r>
          </w:p>
        </w:tc>
        <w:tc>
          <w:tcPr>
            <w:tcW w:w="2641" w:type="pct"/>
            <w:gridSpan w:val="3"/>
            <w:tcBorders>
              <w:bottom w:val="single" w:sz="4" w:space="0" w:color="auto"/>
            </w:tcBorders>
          </w:tcPr>
          <w:p w:rsidR="00A236EB" w:rsidRPr="00B46BBA" w:rsidRDefault="00A236EB" w:rsidP="00A413B8">
            <w:pPr>
              <w:keepNext/>
              <w:jc w:val="both"/>
              <w:rPr>
                <w:rFonts w:ascii="Arial" w:hAnsi="Arial"/>
                <w:sz w:val="20"/>
              </w:rPr>
            </w:pPr>
            <w:r w:rsidRPr="00B46BBA">
              <w:rPr>
                <w:rFonts w:ascii="Arial" w:hAnsi="Arial"/>
                <w:sz w:val="20"/>
              </w:rPr>
              <w:t xml:space="preserve">Proprietary Name </w:t>
            </w:r>
          </w:p>
          <w:p w:rsidR="00A236EB" w:rsidRPr="00B46BBA" w:rsidRDefault="00A236EB" w:rsidP="00A413B8">
            <w:pPr>
              <w:keepNext/>
              <w:jc w:val="both"/>
              <w:rPr>
                <w:rFonts w:ascii="Arial" w:hAnsi="Arial"/>
                <w:sz w:val="20"/>
                <w:lang w:val="fr-FR"/>
              </w:rPr>
            </w:pPr>
            <w:r w:rsidRPr="00B46BBA">
              <w:rPr>
                <w:rFonts w:ascii="Arial" w:hAnsi="Arial"/>
                <w:sz w:val="20"/>
              </w:rPr>
              <w:t>and Manufacturer</w:t>
            </w:r>
          </w:p>
        </w:tc>
      </w:tr>
      <w:tr w:rsidR="00A236EB" w:rsidRPr="00B46BBA" w:rsidTr="00C93F7F">
        <w:trPr>
          <w:cantSplit/>
          <w:trHeight w:val="577"/>
        </w:trPr>
        <w:tc>
          <w:tcPr>
            <w:tcW w:w="1491" w:type="pct"/>
          </w:tcPr>
          <w:p w:rsidR="00A236EB" w:rsidRPr="00B46BBA" w:rsidRDefault="00A236EB" w:rsidP="00A413B8">
            <w:pPr>
              <w:keepNext/>
              <w:ind w:left="-108"/>
              <w:jc w:val="both"/>
              <w:rPr>
                <w:rFonts w:ascii="Arial" w:hAnsi="Arial"/>
                <w:sz w:val="20"/>
                <w:szCs w:val="20"/>
              </w:rPr>
            </w:pPr>
            <w:r w:rsidRPr="00B46BBA">
              <w:rPr>
                <w:rFonts w:ascii="Arial" w:hAnsi="Arial"/>
                <w:smallCaps/>
                <w:sz w:val="20"/>
                <w:szCs w:val="20"/>
              </w:rPr>
              <w:t>IVACAFTOR</w:t>
            </w:r>
          </w:p>
          <w:p w:rsidR="00A236EB" w:rsidRPr="00B46BBA" w:rsidRDefault="00A236EB" w:rsidP="00A413B8">
            <w:pPr>
              <w:keepNext/>
              <w:ind w:left="-108"/>
              <w:jc w:val="both"/>
              <w:rPr>
                <w:rFonts w:ascii="Arial" w:hAnsi="Arial"/>
                <w:sz w:val="20"/>
              </w:rPr>
            </w:pPr>
            <w:r w:rsidRPr="00B46BBA">
              <w:rPr>
                <w:rFonts w:ascii="Arial" w:hAnsi="Arial"/>
                <w:sz w:val="20"/>
              </w:rPr>
              <w:t>Tablet 150 mg</w:t>
            </w:r>
          </w:p>
        </w:tc>
        <w:tc>
          <w:tcPr>
            <w:tcW w:w="352" w:type="pct"/>
          </w:tcPr>
          <w:p w:rsidR="00A236EB" w:rsidRPr="00B46BBA" w:rsidRDefault="00A236EB" w:rsidP="00A413B8">
            <w:pPr>
              <w:keepNext/>
              <w:ind w:left="-108"/>
              <w:jc w:val="both"/>
              <w:rPr>
                <w:rFonts w:ascii="Arial" w:hAnsi="Arial"/>
                <w:sz w:val="20"/>
              </w:rPr>
            </w:pPr>
          </w:p>
          <w:p w:rsidR="00A236EB" w:rsidRPr="00B46BBA" w:rsidRDefault="00A236EB" w:rsidP="00A413B8">
            <w:pPr>
              <w:keepNext/>
              <w:ind w:left="-108"/>
              <w:jc w:val="both"/>
              <w:rPr>
                <w:rFonts w:ascii="Arial" w:hAnsi="Arial"/>
                <w:sz w:val="20"/>
              </w:rPr>
            </w:pPr>
            <w:r w:rsidRPr="00B46BBA">
              <w:rPr>
                <w:rFonts w:ascii="Arial" w:hAnsi="Arial"/>
                <w:sz w:val="20"/>
              </w:rPr>
              <w:t>56</w:t>
            </w:r>
          </w:p>
        </w:tc>
        <w:tc>
          <w:tcPr>
            <w:tcW w:w="516" w:type="pct"/>
          </w:tcPr>
          <w:p w:rsidR="00A236EB" w:rsidRPr="00B46BBA" w:rsidRDefault="00A236EB" w:rsidP="00A413B8">
            <w:pPr>
              <w:keepNext/>
              <w:ind w:left="-108"/>
              <w:jc w:val="both"/>
              <w:rPr>
                <w:rFonts w:ascii="Arial" w:hAnsi="Arial"/>
                <w:sz w:val="20"/>
              </w:rPr>
            </w:pPr>
          </w:p>
          <w:p w:rsidR="00A236EB" w:rsidRPr="00B46BBA" w:rsidRDefault="00A236EB" w:rsidP="00A413B8">
            <w:pPr>
              <w:keepNext/>
              <w:ind w:left="-108"/>
              <w:jc w:val="both"/>
              <w:rPr>
                <w:rFonts w:ascii="Arial" w:hAnsi="Arial"/>
                <w:sz w:val="20"/>
              </w:rPr>
            </w:pPr>
            <w:r w:rsidRPr="00B46BBA">
              <w:rPr>
                <w:rFonts w:ascii="Arial" w:hAnsi="Arial"/>
                <w:sz w:val="20"/>
              </w:rPr>
              <w:t>2</w:t>
            </w:r>
          </w:p>
        </w:tc>
        <w:tc>
          <w:tcPr>
            <w:tcW w:w="948" w:type="pct"/>
          </w:tcPr>
          <w:p w:rsidR="00A236EB" w:rsidRPr="00B46BBA" w:rsidRDefault="00A236EB" w:rsidP="00A413B8">
            <w:pPr>
              <w:keepNext/>
              <w:jc w:val="both"/>
              <w:rPr>
                <w:rFonts w:ascii="Arial" w:hAnsi="Arial"/>
                <w:sz w:val="20"/>
              </w:rPr>
            </w:pPr>
          </w:p>
          <w:p w:rsidR="00A236EB" w:rsidRPr="00B46BBA" w:rsidRDefault="00A236EB" w:rsidP="00A413B8">
            <w:pPr>
              <w:keepNext/>
              <w:jc w:val="both"/>
              <w:rPr>
                <w:rFonts w:ascii="Arial" w:hAnsi="Arial"/>
                <w:sz w:val="20"/>
              </w:rPr>
            </w:pPr>
            <w:r w:rsidRPr="00B46BBA">
              <w:rPr>
                <w:rFonts w:ascii="Arial" w:hAnsi="Arial"/>
                <w:sz w:val="20"/>
              </w:rPr>
              <w:t>Kalydeco</w:t>
            </w:r>
          </w:p>
        </w:tc>
        <w:tc>
          <w:tcPr>
            <w:tcW w:w="1693" w:type="pct"/>
            <w:gridSpan w:val="2"/>
          </w:tcPr>
          <w:p w:rsidR="00A236EB" w:rsidRPr="00B46BBA" w:rsidRDefault="00A236EB" w:rsidP="00A413B8">
            <w:pPr>
              <w:keepNext/>
              <w:jc w:val="both"/>
              <w:rPr>
                <w:rFonts w:ascii="Arial" w:hAnsi="Arial"/>
                <w:sz w:val="20"/>
              </w:rPr>
            </w:pPr>
          </w:p>
          <w:p w:rsidR="00A236EB" w:rsidRPr="00B46BBA" w:rsidRDefault="00A236EB" w:rsidP="00A413B8">
            <w:pPr>
              <w:keepNext/>
              <w:jc w:val="both"/>
              <w:rPr>
                <w:rFonts w:ascii="Arial" w:hAnsi="Arial"/>
                <w:sz w:val="20"/>
              </w:rPr>
            </w:pPr>
            <w:r w:rsidRPr="00B46BBA">
              <w:rPr>
                <w:rFonts w:ascii="Arial" w:hAnsi="Arial"/>
                <w:sz w:val="20"/>
              </w:rPr>
              <w:t>Vertex</w:t>
            </w:r>
          </w:p>
        </w:tc>
      </w:tr>
      <w:tr w:rsidR="00B46BBA" w:rsidRPr="00B46BBA" w:rsidTr="00C93F7F">
        <w:trPr>
          <w:gridAfter w:val="1"/>
          <w:wAfter w:w="84" w:type="pct"/>
          <w:cantSplit/>
          <w:trHeight w:val="360"/>
        </w:trPr>
        <w:tc>
          <w:tcPr>
            <w:tcW w:w="4916" w:type="pct"/>
            <w:gridSpan w:val="5"/>
          </w:tcPr>
          <w:p w:rsidR="00BD62C9" w:rsidRPr="00B46BBA" w:rsidRDefault="00BD62C9" w:rsidP="00A413B8">
            <w:pPr>
              <w:ind w:left="-108"/>
              <w:jc w:val="both"/>
              <w:rPr>
                <w:rFonts w:ascii="Arial" w:hAnsi="Arial"/>
                <w:b/>
                <w:sz w:val="20"/>
                <w:u w:val="single"/>
              </w:rPr>
            </w:pPr>
          </w:p>
          <w:p w:rsidR="00BD62C9" w:rsidRPr="00C93F7F" w:rsidRDefault="00BD62C9" w:rsidP="00D86795">
            <w:pPr>
              <w:ind w:left="-108"/>
              <w:jc w:val="both"/>
              <w:rPr>
                <w:rFonts w:ascii="Arial" w:hAnsi="Arial"/>
                <w:sz w:val="20"/>
                <w:u w:val="single"/>
              </w:rPr>
            </w:pPr>
            <w:r w:rsidRPr="00C93F7F">
              <w:rPr>
                <w:rFonts w:ascii="Arial" w:hAnsi="Arial"/>
                <w:sz w:val="20"/>
                <w:u w:val="single"/>
              </w:rPr>
              <w:t>Section 100 (Highly Specialised Drugs Program)</w:t>
            </w:r>
          </w:p>
          <w:p w:rsidR="00BD62C9" w:rsidRPr="00C93F7F" w:rsidRDefault="00BD62C9" w:rsidP="00D86795">
            <w:pPr>
              <w:ind w:left="-108"/>
              <w:jc w:val="both"/>
              <w:rPr>
                <w:rFonts w:ascii="Arial" w:hAnsi="Arial"/>
                <w:sz w:val="20"/>
              </w:rPr>
            </w:pPr>
            <w:r w:rsidRPr="00C93F7F">
              <w:rPr>
                <w:rFonts w:ascii="Arial" w:hAnsi="Arial"/>
                <w:sz w:val="20"/>
              </w:rPr>
              <w:t>Authority required</w:t>
            </w:r>
          </w:p>
          <w:p w:rsidR="00BD62C9" w:rsidRPr="00C93F7F" w:rsidRDefault="00BD62C9" w:rsidP="00D86795">
            <w:pPr>
              <w:ind w:left="-108"/>
              <w:jc w:val="both"/>
              <w:rPr>
                <w:rFonts w:ascii="Arial" w:hAnsi="Arial"/>
                <w:sz w:val="20"/>
                <w:u w:val="single"/>
              </w:rPr>
            </w:pPr>
            <w:r w:rsidRPr="00C93F7F">
              <w:rPr>
                <w:rFonts w:ascii="Arial" w:hAnsi="Arial"/>
                <w:sz w:val="20"/>
                <w:u w:val="single"/>
              </w:rPr>
              <w:t>OR</w:t>
            </w:r>
          </w:p>
          <w:p w:rsidR="00BD62C9" w:rsidRPr="00C93F7F" w:rsidRDefault="00BD62C9" w:rsidP="00D86795">
            <w:pPr>
              <w:ind w:left="-108"/>
              <w:jc w:val="both"/>
              <w:rPr>
                <w:rFonts w:ascii="Arial" w:hAnsi="Arial"/>
                <w:sz w:val="20"/>
                <w:u w:val="single"/>
              </w:rPr>
            </w:pPr>
            <w:r w:rsidRPr="00C93F7F">
              <w:rPr>
                <w:rFonts w:ascii="Arial" w:hAnsi="Arial"/>
                <w:sz w:val="20"/>
                <w:u w:val="single"/>
              </w:rPr>
              <w:t>Life Saving Drugs Program</w:t>
            </w:r>
          </w:p>
          <w:p w:rsidR="00BD62C9" w:rsidRPr="00B46BBA" w:rsidRDefault="00BD62C9" w:rsidP="00D86795">
            <w:pPr>
              <w:tabs>
                <w:tab w:val="left" w:pos="416"/>
                <w:tab w:val="left" w:pos="582"/>
              </w:tabs>
              <w:spacing w:before="20"/>
              <w:ind w:left="-108"/>
              <w:rPr>
                <w:rFonts w:ascii="Arial" w:hAnsi="Arial" w:cs="Arial"/>
                <w:sz w:val="20"/>
                <w:szCs w:val="20"/>
              </w:rPr>
            </w:pPr>
          </w:p>
          <w:p w:rsidR="00BD62C9" w:rsidRPr="00B46BBA" w:rsidRDefault="00BD62C9" w:rsidP="00D86795">
            <w:pPr>
              <w:tabs>
                <w:tab w:val="left" w:pos="416"/>
                <w:tab w:val="left" w:pos="582"/>
              </w:tabs>
              <w:spacing w:before="20"/>
              <w:ind w:left="-108"/>
              <w:rPr>
                <w:rFonts w:ascii="Calibri" w:hAnsi="Calibri"/>
                <w:sz w:val="18"/>
                <w:szCs w:val="18"/>
                <w:lang w:eastAsia="en-GB"/>
              </w:rPr>
            </w:pPr>
            <w:r w:rsidRPr="00B46BBA">
              <w:rPr>
                <w:rFonts w:ascii="Arial" w:hAnsi="Arial" w:cs="Arial"/>
                <w:sz w:val="20"/>
                <w:szCs w:val="20"/>
                <w:lang w:eastAsia="en-GB"/>
              </w:rPr>
              <w:t>Treatment of cystic fibrosis in patients age six years or older who have a confirmed class III (gating) mutation in the CFTR gene.</w:t>
            </w:r>
            <w:r w:rsidRPr="00B46BBA">
              <w:rPr>
                <w:rFonts w:ascii="Calibri" w:hAnsi="Calibri"/>
                <w:sz w:val="18"/>
                <w:szCs w:val="18"/>
                <w:lang w:eastAsia="en-GB"/>
              </w:rPr>
              <w:t xml:space="preserve"> </w:t>
            </w:r>
          </w:p>
        </w:tc>
      </w:tr>
    </w:tbl>
    <w:p w:rsidR="00BB7EC3" w:rsidRDefault="00BB7EC3" w:rsidP="00882085">
      <w:pPr>
        <w:jc w:val="both"/>
        <w:rPr>
          <w:rFonts w:ascii="Arial" w:hAnsi="Arial"/>
          <w:b/>
          <w:sz w:val="22"/>
          <w:szCs w:val="22"/>
        </w:rPr>
      </w:pPr>
    </w:p>
    <w:p w:rsidR="00A236EB" w:rsidRPr="00B46BBA" w:rsidRDefault="00A236EB" w:rsidP="00882085">
      <w:pPr>
        <w:jc w:val="both"/>
        <w:rPr>
          <w:rFonts w:ascii="Arial" w:hAnsi="Arial"/>
          <w:b/>
          <w:sz w:val="22"/>
          <w:szCs w:val="22"/>
        </w:rPr>
      </w:pPr>
    </w:p>
    <w:p w:rsidR="00CE10C4" w:rsidRPr="00B46BBA" w:rsidRDefault="00CE10C4" w:rsidP="00882085">
      <w:pPr>
        <w:pStyle w:val="ListParagraph"/>
        <w:numPr>
          <w:ilvl w:val="0"/>
          <w:numId w:val="25"/>
        </w:numPr>
        <w:jc w:val="both"/>
        <w:rPr>
          <w:rFonts w:ascii="Arial" w:hAnsi="Arial"/>
          <w:sz w:val="22"/>
          <w:szCs w:val="22"/>
        </w:rPr>
      </w:pPr>
      <w:r w:rsidRPr="00B46BBA">
        <w:rPr>
          <w:rFonts w:ascii="Arial" w:hAnsi="Arial"/>
          <w:b/>
          <w:sz w:val="22"/>
          <w:szCs w:val="22"/>
        </w:rPr>
        <w:t>Background</w:t>
      </w:r>
    </w:p>
    <w:p w:rsidR="006A12A5" w:rsidRPr="00B46BBA" w:rsidRDefault="006A12A5" w:rsidP="00882085">
      <w:pPr>
        <w:jc w:val="both"/>
        <w:rPr>
          <w:rFonts w:ascii="Arial" w:hAnsi="Arial"/>
          <w:sz w:val="22"/>
          <w:szCs w:val="22"/>
        </w:rPr>
      </w:pPr>
    </w:p>
    <w:p w:rsidR="00E17829" w:rsidRPr="00E17829" w:rsidRDefault="00740AC7" w:rsidP="00E17829">
      <w:pPr>
        <w:pStyle w:val="ListParagraph"/>
        <w:numPr>
          <w:ilvl w:val="1"/>
          <w:numId w:val="25"/>
        </w:numPr>
        <w:rPr>
          <w:rFonts w:ascii="Arial" w:hAnsi="Arial"/>
          <w:sz w:val="22"/>
          <w:szCs w:val="22"/>
        </w:rPr>
      </w:pPr>
      <w:r w:rsidRPr="00E17829">
        <w:rPr>
          <w:rFonts w:ascii="Arial" w:hAnsi="Arial"/>
          <w:sz w:val="22"/>
          <w:szCs w:val="22"/>
        </w:rPr>
        <w:t xml:space="preserve">Ivacaftor was listed on the Australian Register of Therapeutic Goods (ARTG) on </w:t>
      </w:r>
      <w:r w:rsidR="005C1FAF" w:rsidRPr="00E17829">
        <w:rPr>
          <w:rFonts w:ascii="Arial" w:hAnsi="Arial"/>
          <w:sz w:val="22"/>
          <w:szCs w:val="22"/>
        </w:rPr>
        <w:t>14 August 2014</w:t>
      </w:r>
      <w:r w:rsidRPr="00E17829">
        <w:rPr>
          <w:rFonts w:ascii="Arial" w:hAnsi="Arial"/>
          <w:sz w:val="22"/>
          <w:szCs w:val="22"/>
        </w:rPr>
        <w:t xml:space="preserve"> </w:t>
      </w:r>
      <w:r w:rsidRPr="00E17829">
        <w:rPr>
          <w:rFonts w:ascii="Arial" w:hAnsi="Arial"/>
          <w:i/>
          <w:sz w:val="22"/>
          <w:szCs w:val="22"/>
        </w:rPr>
        <w:t>“…</w:t>
      </w:r>
      <w:r w:rsidR="005C1FAF" w:rsidRPr="00E17829">
        <w:rPr>
          <w:rFonts w:ascii="Arial" w:hAnsi="Arial"/>
          <w:i/>
          <w:sz w:val="22"/>
          <w:szCs w:val="22"/>
        </w:rPr>
        <w:t>for the treatment of cystic fibrosis (CF) in patients age 6 years and older who have a G551D or other gating (class III) mutation in the CFTR gene</w:t>
      </w:r>
      <w:r w:rsidRPr="00E17829">
        <w:rPr>
          <w:rFonts w:ascii="Arial" w:hAnsi="Arial"/>
          <w:i/>
          <w:sz w:val="22"/>
          <w:szCs w:val="22"/>
        </w:rPr>
        <w:t>.”</w:t>
      </w:r>
      <w:r w:rsidRPr="00E17829">
        <w:rPr>
          <w:rFonts w:ascii="Arial" w:hAnsi="Arial"/>
          <w:sz w:val="22"/>
          <w:szCs w:val="22"/>
        </w:rPr>
        <w:t xml:space="preserve"> </w:t>
      </w:r>
      <w:r w:rsidR="00E17829" w:rsidRPr="00E17829">
        <w:rPr>
          <w:rFonts w:ascii="Arial" w:hAnsi="Arial"/>
          <w:sz w:val="22"/>
          <w:szCs w:val="22"/>
        </w:rPr>
        <w:t xml:space="preserve">Before this date, </w:t>
      </w:r>
      <w:r w:rsidR="00E17829">
        <w:rPr>
          <w:rFonts w:ascii="Arial" w:hAnsi="Arial"/>
          <w:sz w:val="22"/>
          <w:szCs w:val="22"/>
        </w:rPr>
        <w:t>i</w:t>
      </w:r>
      <w:r w:rsidR="00E17829" w:rsidRPr="00E17829">
        <w:rPr>
          <w:rFonts w:ascii="Arial" w:hAnsi="Arial"/>
          <w:sz w:val="22"/>
          <w:szCs w:val="22"/>
        </w:rPr>
        <w:t xml:space="preserve">vacaftor </w:t>
      </w:r>
      <w:r w:rsidR="00E17829">
        <w:rPr>
          <w:rFonts w:ascii="Arial" w:hAnsi="Arial"/>
          <w:sz w:val="22"/>
          <w:szCs w:val="22"/>
        </w:rPr>
        <w:t>was</w:t>
      </w:r>
      <w:r w:rsidR="00E17829" w:rsidRPr="00E17829">
        <w:rPr>
          <w:rFonts w:ascii="Arial" w:hAnsi="Arial"/>
          <w:sz w:val="22"/>
          <w:szCs w:val="22"/>
        </w:rPr>
        <w:t xml:space="preserve"> TGA registered for the treatment of cystic fibrosis (CF) in patients age 6 years and older who have a G551D mutation in the CFTR gene. </w:t>
      </w:r>
    </w:p>
    <w:p w:rsidR="006B0D94" w:rsidRPr="00E17829" w:rsidRDefault="006B0D94" w:rsidP="00E17829">
      <w:pPr>
        <w:pStyle w:val="ListParagraph"/>
        <w:ind w:left="709"/>
        <w:jc w:val="both"/>
        <w:rPr>
          <w:rFonts w:ascii="Arial" w:hAnsi="Arial"/>
          <w:i/>
          <w:sz w:val="22"/>
          <w:szCs w:val="22"/>
        </w:rPr>
      </w:pPr>
    </w:p>
    <w:p w:rsidR="002A64B0" w:rsidRPr="00B46BBA" w:rsidRDefault="002A64B0" w:rsidP="002A64B0">
      <w:pPr>
        <w:pStyle w:val="ListParagraph"/>
        <w:numPr>
          <w:ilvl w:val="1"/>
          <w:numId w:val="25"/>
        </w:numPr>
        <w:rPr>
          <w:rFonts w:ascii="Arial" w:hAnsi="Arial"/>
          <w:sz w:val="22"/>
          <w:szCs w:val="22"/>
        </w:rPr>
      </w:pPr>
      <w:r w:rsidRPr="00B46BBA">
        <w:rPr>
          <w:rFonts w:ascii="Arial" w:hAnsi="Arial"/>
          <w:sz w:val="22"/>
          <w:szCs w:val="22"/>
        </w:rPr>
        <w:t xml:space="preserve">The PBAC considered a major submission for ivacaftor in July 2013. The PBAC noted that it may be possible to reduce the dose of ivacaftor in clinical practice by co-administering ivacaftor with a strong CYP3A inhibitor, but that even with a dose reduction, the cost per QALY would remain too high.  The PBAC decided to defer </w:t>
      </w:r>
      <w:r w:rsidRPr="00B46BBA">
        <w:rPr>
          <w:rFonts w:ascii="Arial" w:hAnsi="Arial"/>
          <w:sz w:val="22"/>
          <w:szCs w:val="22"/>
        </w:rPr>
        <w:lastRenderedPageBreak/>
        <w:t xml:space="preserve">making a recommendation to allow the sponsor the opportunity to consider the Committee’s views and to submit a new price proposal for PBS listing. </w:t>
      </w:r>
    </w:p>
    <w:p w:rsidR="002A64B0" w:rsidRPr="00B46BBA" w:rsidRDefault="002A64B0" w:rsidP="002A64B0">
      <w:pPr>
        <w:rPr>
          <w:rFonts w:ascii="Arial" w:hAnsi="Arial"/>
          <w:sz w:val="22"/>
          <w:szCs w:val="22"/>
        </w:rPr>
      </w:pPr>
    </w:p>
    <w:p w:rsidR="002A64B0" w:rsidRPr="00B46BBA" w:rsidRDefault="002A64B0" w:rsidP="002A64B0">
      <w:pPr>
        <w:pStyle w:val="ListParagraph"/>
        <w:numPr>
          <w:ilvl w:val="1"/>
          <w:numId w:val="25"/>
        </w:numPr>
        <w:rPr>
          <w:rFonts w:ascii="Arial" w:hAnsi="Arial"/>
          <w:sz w:val="22"/>
          <w:szCs w:val="22"/>
        </w:rPr>
      </w:pPr>
      <w:r w:rsidRPr="00B46BBA">
        <w:rPr>
          <w:rFonts w:ascii="Arial" w:hAnsi="Arial"/>
          <w:sz w:val="22"/>
          <w:szCs w:val="22"/>
        </w:rPr>
        <w:t xml:space="preserve">In November 2013 the PBAC considered a minor submission in which the sponsor indicated it was not supportive of a regimen of co-administering ivacaftor with a strong CYP3A inhibitor. The PBAC noted however that CYP3A4 inhibitors such as macrolide antibiotics are an appropriate option as boosting agents where a patient already requires these inhibitors as part of their standard CF management. The PBAC considered that patients requiring prophylactic antibiotics could plausibly comprise a substantial proportion of CF patients.  </w:t>
      </w:r>
    </w:p>
    <w:p w:rsidR="002A64B0" w:rsidRPr="00B46BBA" w:rsidRDefault="002A64B0" w:rsidP="002A64B0">
      <w:pPr>
        <w:pStyle w:val="ListParagraph"/>
        <w:rPr>
          <w:rFonts w:ascii="Arial" w:hAnsi="Arial"/>
          <w:sz w:val="22"/>
          <w:szCs w:val="22"/>
        </w:rPr>
      </w:pPr>
    </w:p>
    <w:p w:rsidR="002A64B0" w:rsidRPr="00B46BBA" w:rsidRDefault="002A64B0" w:rsidP="002A64B0">
      <w:pPr>
        <w:pStyle w:val="ListParagraph"/>
        <w:numPr>
          <w:ilvl w:val="1"/>
          <w:numId w:val="25"/>
        </w:numPr>
        <w:rPr>
          <w:rFonts w:ascii="Arial" w:hAnsi="Arial"/>
          <w:sz w:val="22"/>
          <w:szCs w:val="22"/>
        </w:rPr>
      </w:pPr>
      <w:r w:rsidRPr="00B46BBA">
        <w:rPr>
          <w:rFonts w:ascii="Arial" w:hAnsi="Arial"/>
          <w:sz w:val="22"/>
          <w:szCs w:val="22"/>
        </w:rPr>
        <w:t xml:space="preserve">In November 2013 the PBAC recommended ivacaftor for listing.  The PBAC expressed the view that ivacaftor would not be cost-effective under the sponsor’s pricing proposal.  The PBAC considered that the cost-effectiveness of ivacaftor would be acceptable if the incremental cost-effectiveness ratio (ICER) would be around $60,000-80,000 per quality-adjusted life-years gained, and if certain risk-sharing arrangements were implemented. </w:t>
      </w:r>
    </w:p>
    <w:p w:rsidR="002A64B0" w:rsidRPr="00B46BBA" w:rsidRDefault="002A64B0" w:rsidP="002A64B0">
      <w:pPr>
        <w:pStyle w:val="ListParagraph"/>
        <w:rPr>
          <w:rFonts w:ascii="Arial" w:hAnsi="Arial"/>
          <w:sz w:val="22"/>
          <w:szCs w:val="22"/>
        </w:rPr>
      </w:pPr>
    </w:p>
    <w:p w:rsidR="002A64B0" w:rsidRPr="00B46BBA" w:rsidRDefault="002A64B0" w:rsidP="002A64B0">
      <w:pPr>
        <w:pStyle w:val="ListParagraph"/>
        <w:numPr>
          <w:ilvl w:val="1"/>
          <w:numId w:val="25"/>
        </w:numPr>
        <w:rPr>
          <w:rFonts w:ascii="Arial" w:hAnsi="Arial"/>
          <w:sz w:val="22"/>
          <w:szCs w:val="22"/>
        </w:rPr>
      </w:pPr>
      <w:r w:rsidRPr="00B46BBA">
        <w:rPr>
          <w:rFonts w:ascii="Arial" w:hAnsi="Arial"/>
          <w:sz w:val="22"/>
          <w:szCs w:val="22"/>
        </w:rPr>
        <w:t xml:space="preserve">The PBAC also considered that it would be </w:t>
      </w:r>
      <w:r w:rsidR="002E1882">
        <w:rPr>
          <w:rFonts w:ascii="Arial" w:hAnsi="Arial"/>
          <w:sz w:val="22"/>
          <w:szCs w:val="22"/>
        </w:rPr>
        <w:t>necessary</w:t>
      </w:r>
      <w:r w:rsidR="002E1882" w:rsidRPr="00B46BBA">
        <w:rPr>
          <w:rFonts w:ascii="Arial" w:hAnsi="Arial"/>
          <w:sz w:val="22"/>
          <w:szCs w:val="22"/>
        </w:rPr>
        <w:t xml:space="preserve"> </w:t>
      </w:r>
      <w:r w:rsidRPr="00B46BBA">
        <w:rPr>
          <w:rFonts w:ascii="Arial" w:hAnsi="Arial"/>
          <w:sz w:val="22"/>
          <w:szCs w:val="22"/>
        </w:rPr>
        <w:t>to put in place with the sponsor arrangements for data collection, and ensure the implementation of assumptions regarding reduction in the price of ivacaftor</w:t>
      </w:r>
      <w:r w:rsidR="004B64E9">
        <w:rPr>
          <w:rFonts w:ascii="Arial" w:hAnsi="Arial"/>
          <w:sz w:val="22"/>
          <w:szCs w:val="22"/>
        </w:rPr>
        <w:t xml:space="preserve"> that was</w:t>
      </w:r>
      <w:r w:rsidRPr="00B46BBA">
        <w:rPr>
          <w:rFonts w:ascii="Arial" w:hAnsi="Arial"/>
          <w:sz w:val="22"/>
          <w:szCs w:val="22"/>
        </w:rPr>
        <w:t xml:space="preserve"> included in the sponsor’s model. </w:t>
      </w:r>
    </w:p>
    <w:p w:rsidR="002A64B0" w:rsidRPr="00B46BBA" w:rsidRDefault="002A64B0" w:rsidP="002A64B0">
      <w:pPr>
        <w:pStyle w:val="ListParagraph"/>
        <w:rPr>
          <w:rFonts w:ascii="Arial" w:hAnsi="Arial"/>
          <w:sz w:val="22"/>
          <w:szCs w:val="22"/>
        </w:rPr>
      </w:pPr>
    </w:p>
    <w:p w:rsidR="00BC08EF" w:rsidRPr="00B46BBA" w:rsidRDefault="002A64B0" w:rsidP="00BC08EF">
      <w:pPr>
        <w:pStyle w:val="ListParagraph"/>
        <w:numPr>
          <w:ilvl w:val="1"/>
          <w:numId w:val="25"/>
        </w:numPr>
        <w:rPr>
          <w:rFonts w:ascii="Arial" w:hAnsi="Arial"/>
          <w:sz w:val="22"/>
          <w:szCs w:val="22"/>
        </w:rPr>
      </w:pPr>
      <w:r w:rsidRPr="00B46BBA">
        <w:rPr>
          <w:rFonts w:ascii="Arial" w:hAnsi="Arial"/>
          <w:sz w:val="22"/>
          <w:szCs w:val="22"/>
        </w:rPr>
        <w:t xml:space="preserve">The PBAC considered a major submission for ivacaftor in March 2014, requesting listing for patients with any Class III gating mutation of the CFTR gene.  The PBAC recalled that the previous submission had requested listing only for patients with a G551D mutation of the CFTR gene. The PBAC reiterated its previous recommendation for the PBS listing of ivacaftor as a Section 100 (Highly Specialised Drugs Program) benefit for treatment of </w:t>
      </w:r>
      <w:r w:rsidR="00D4088A" w:rsidRPr="00B46BBA">
        <w:rPr>
          <w:rFonts w:ascii="Arial" w:hAnsi="Arial"/>
          <w:sz w:val="22"/>
          <w:szCs w:val="22"/>
        </w:rPr>
        <w:t>CF</w:t>
      </w:r>
      <w:r w:rsidRPr="00B46BBA">
        <w:rPr>
          <w:rFonts w:ascii="Arial" w:hAnsi="Arial"/>
          <w:sz w:val="22"/>
          <w:szCs w:val="22"/>
        </w:rPr>
        <w:t xml:space="preserve"> in patients aged six years and older who have a G551D mutation in the </w:t>
      </w:r>
      <w:r w:rsidR="00D4088A" w:rsidRPr="00B46BBA">
        <w:rPr>
          <w:rFonts w:ascii="Arial" w:hAnsi="Arial"/>
          <w:sz w:val="22"/>
          <w:szCs w:val="22"/>
        </w:rPr>
        <w:t>CFTR</w:t>
      </w:r>
      <w:r w:rsidR="00BC08EF" w:rsidRPr="00B46BBA">
        <w:rPr>
          <w:rFonts w:ascii="Arial" w:hAnsi="Arial"/>
          <w:sz w:val="22"/>
          <w:szCs w:val="22"/>
        </w:rPr>
        <w:t xml:space="preserve"> gene. </w:t>
      </w:r>
    </w:p>
    <w:p w:rsidR="00BC08EF" w:rsidRPr="00B46BBA" w:rsidRDefault="00BC08EF" w:rsidP="00BC08EF">
      <w:pPr>
        <w:pStyle w:val="ListParagraph"/>
        <w:rPr>
          <w:rFonts w:ascii="Arial" w:hAnsi="Arial"/>
          <w:sz w:val="22"/>
          <w:szCs w:val="22"/>
        </w:rPr>
      </w:pPr>
    </w:p>
    <w:p w:rsidR="00BB7EC3" w:rsidRPr="00B46BBA" w:rsidRDefault="00BC08EF" w:rsidP="00A91511">
      <w:pPr>
        <w:pStyle w:val="ListParagraph"/>
        <w:numPr>
          <w:ilvl w:val="1"/>
          <w:numId w:val="25"/>
        </w:numPr>
        <w:rPr>
          <w:rFonts w:ascii="Arial" w:hAnsi="Arial"/>
          <w:sz w:val="22"/>
          <w:szCs w:val="22"/>
        </w:rPr>
      </w:pPr>
      <w:r w:rsidRPr="00B46BBA">
        <w:rPr>
          <w:rFonts w:ascii="Arial" w:hAnsi="Arial"/>
          <w:sz w:val="22"/>
          <w:szCs w:val="22"/>
        </w:rPr>
        <w:t xml:space="preserve">The PBAC noted </w:t>
      </w:r>
      <w:r w:rsidR="00E17829">
        <w:rPr>
          <w:rFonts w:ascii="Arial" w:hAnsi="Arial"/>
          <w:sz w:val="22"/>
          <w:szCs w:val="22"/>
        </w:rPr>
        <w:t xml:space="preserve">at the time </w:t>
      </w:r>
      <w:r w:rsidRPr="00B46BBA">
        <w:rPr>
          <w:rFonts w:ascii="Arial" w:hAnsi="Arial"/>
          <w:sz w:val="22"/>
          <w:szCs w:val="22"/>
        </w:rPr>
        <w:t xml:space="preserve">that the indication for other Class III gating mutations was being progressed under the </w:t>
      </w:r>
      <w:r w:rsidR="0011750D">
        <w:rPr>
          <w:rFonts w:ascii="Arial" w:hAnsi="Arial"/>
          <w:sz w:val="22"/>
          <w:szCs w:val="22"/>
        </w:rPr>
        <w:t>TGA</w:t>
      </w:r>
      <w:r w:rsidRPr="00B46BBA">
        <w:rPr>
          <w:rFonts w:ascii="Arial" w:hAnsi="Arial"/>
          <w:sz w:val="22"/>
          <w:szCs w:val="22"/>
        </w:rPr>
        <w:t xml:space="preserve">-PBAC Parallel Process.  The PBAC noted that as a positive TGA Delegate’s Overview for other Class III gating mutations was not available at the time of consideration in March 2014, the restriction should specify only patients with a G551D mutation.  Once the sponsor </w:t>
      </w:r>
      <w:r w:rsidR="00E17829">
        <w:rPr>
          <w:rFonts w:ascii="Arial" w:hAnsi="Arial"/>
          <w:sz w:val="22"/>
          <w:szCs w:val="22"/>
        </w:rPr>
        <w:t>was</w:t>
      </w:r>
      <w:r w:rsidRPr="00B46BBA">
        <w:rPr>
          <w:rFonts w:ascii="Arial" w:hAnsi="Arial"/>
          <w:sz w:val="22"/>
          <w:szCs w:val="22"/>
        </w:rPr>
        <w:t xml:space="preserve"> able to make a resubmission with the TGA documentation for other Class III gating mutations, the PBAC indicated it would consider amending the restriction to include those patients at that time.</w:t>
      </w:r>
    </w:p>
    <w:p w:rsidR="008A1956" w:rsidRDefault="008A1956" w:rsidP="00882085">
      <w:pPr>
        <w:jc w:val="both"/>
        <w:rPr>
          <w:rFonts w:ascii="Arial" w:hAnsi="Arial"/>
          <w:b/>
          <w:sz w:val="22"/>
          <w:szCs w:val="22"/>
        </w:rPr>
      </w:pPr>
    </w:p>
    <w:p w:rsidR="00A236EB" w:rsidRPr="00B46BBA" w:rsidRDefault="00A236EB" w:rsidP="00882085">
      <w:pPr>
        <w:jc w:val="both"/>
        <w:rPr>
          <w:rFonts w:ascii="Arial" w:hAnsi="Arial"/>
          <w:b/>
          <w:sz w:val="22"/>
          <w:szCs w:val="22"/>
        </w:rPr>
      </w:pPr>
    </w:p>
    <w:p w:rsidR="00CE10C4" w:rsidRPr="00B46BBA" w:rsidRDefault="00CE10C4" w:rsidP="00882085">
      <w:pPr>
        <w:pStyle w:val="ListParagraph"/>
        <w:numPr>
          <w:ilvl w:val="0"/>
          <w:numId w:val="25"/>
        </w:numPr>
        <w:jc w:val="both"/>
        <w:rPr>
          <w:rFonts w:ascii="Arial" w:hAnsi="Arial"/>
          <w:b/>
          <w:sz w:val="22"/>
          <w:szCs w:val="22"/>
        </w:rPr>
      </w:pPr>
      <w:r w:rsidRPr="00B46BBA">
        <w:rPr>
          <w:rFonts w:ascii="Arial" w:hAnsi="Arial"/>
          <w:b/>
          <w:sz w:val="22"/>
          <w:szCs w:val="22"/>
        </w:rPr>
        <w:t>Clinical place for the proposed ther</w:t>
      </w:r>
      <w:r w:rsidR="006A12A5" w:rsidRPr="00B46BBA">
        <w:rPr>
          <w:rFonts w:ascii="Arial" w:hAnsi="Arial"/>
          <w:b/>
          <w:sz w:val="22"/>
          <w:szCs w:val="22"/>
        </w:rPr>
        <w:t>apy</w:t>
      </w:r>
    </w:p>
    <w:p w:rsidR="00CE10C4" w:rsidRPr="00B46BBA" w:rsidRDefault="00CE10C4" w:rsidP="00412EF4">
      <w:pPr>
        <w:jc w:val="both"/>
        <w:rPr>
          <w:rFonts w:ascii="Arial" w:hAnsi="Arial"/>
          <w:sz w:val="22"/>
          <w:szCs w:val="22"/>
        </w:rPr>
      </w:pPr>
    </w:p>
    <w:p w:rsidR="006A12A5" w:rsidRPr="00B46BBA" w:rsidRDefault="00FD313A" w:rsidP="00B46BBA">
      <w:pPr>
        <w:pStyle w:val="ListParagraph"/>
        <w:numPr>
          <w:ilvl w:val="1"/>
          <w:numId w:val="25"/>
        </w:numPr>
        <w:rPr>
          <w:rFonts w:ascii="Arial" w:hAnsi="Arial"/>
          <w:sz w:val="22"/>
          <w:szCs w:val="22"/>
        </w:rPr>
      </w:pPr>
      <w:r w:rsidRPr="00B46BBA">
        <w:rPr>
          <w:rFonts w:ascii="Arial" w:hAnsi="Arial"/>
          <w:sz w:val="22"/>
          <w:szCs w:val="22"/>
        </w:rPr>
        <w:t>Ivacaftor is intended to be used as add on to current best supportive therapy, and has a different mechanism of action to the antibiotics and mucolytics currently available through the PBS. Under the proposed listing, CF patients aged 6 and over with a G551D or other gating (class III) mutation in the CFTR gene will be eligible for ongoing ivacaftor therapy.</w:t>
      </w:r>
      <w:r w:rsidR="00C35996" w:rsidRPr="00B46BBA">
        <w:rPr>
          <w:rFonts w:ascii="Arial" w:hAnsi="Arial"/>
          <w:sz w:val="22"/>
          <w:szCs w:val="22"/>
        </w:rPr>
        <w:tab/>
      </w:r>
    </w:p>
    <w:p w:rsidR="008A1956" w:rsidRDefault="008A1956" w:rsidP="00882085">
      <w:pPr>
        <w:pStyle w:val="Header"/>
        <w:tabs>
          <w:tab w:val="clear" w:pos="4153"/>
          <w:tab w:val="clear" w:pos="8306"/>
        </w:tabs>
        <w:jc w:val="both"/>
        <w:rPr>
          <w:rFonts w:ascii="Arial" w:hAnsi="Arial"/>
          <w:sz w:val="22"/>
          <w:szCs w:val="22"/>
        </w:rPr>
      </w:pPr>
    </w:p>
    <w:p w:rsidR="00C93F7F" w:rsidRPr="00B46BBA" w:rsidRDefault="00C93F7F" w:rsidP="00882085">
      <w:pPr>
        <w:pStyle w:val="Header"/>
        <w:tabs>
          <w:tab w:val="clear" w:pos="4153"/>
          <w:tab w:val="clear" w:pos="8306"/>
        </w:tabs>
        <w:jc w:val="both"/>
        <w:rPr>
          <w:rFonts w:ascii="Arial" w:hAnsi="Arial"/>
          <w:sz w:val="22"/>
          <w:szCs w:val="22"/>
        </w:rPr>
      </w:pPr>
    </w:p>
    <w:p w:rsidR="005A3173" w:rsidRPr="00B46BBA" w:rsidRDefault="005A3173" w:rsidP="00882085">
      <w:pPr>
        <w:pStyle w:val="Header"/>
        <w:numPr>
          <w:ilvl w:val="0"/>
          <w:numId w:val="25"/>
        </w:numPr>
        <w:tabs>
          <w:tab w:val="clear" w:pos="4153"/>
          <w:tab w:val="clear" w:pos="8306"/>
        </w:tabs>
        <w:jc w:val="both"/>
        <w:rPr>
          <w:rFonts w:ascii="Arial" w:hAnsi="Arial"/>
          <w:b/>
          <w:sz w:val="22"/>
          <w:szCs w:val="22"/>
        </w:rPr>
      </w:pPr>
      <w:r w:rsidRPr="00B46BBA">
        <w:rPr>
          <w:rFonts w:ascii="Arial" w:hAnsi="Arial"/>
          <w:b/>
          <w:sz w:val="22"/>
          <w:szCs w:val="22"/>
        </w:rPr>
        <w:lastRenderedPageBreak/>
        <w:t>Comparator</w:t>
      </w:r>
    </w:p>
    <w:p w:rsidR="005A3173" w:rsidRPr="00B46BBA" w:rsidRDefault="005A3173" w:rsidP="00882085">
      <w:pPr>
        <w:pStyle w:val="Header"/>
        <w:tabs>
          <w:tab w:val="clear" w:pos="4153"/>
          <w:tab w:val="clear" w:pos="8306"/>
        </w:tabs>
        <w:jc w:val="both"/>
        <w:rPr>
          <w:rFonts w:ascii="Arial" w:hAnsi="Arial"/>
          <w:b/>
          <w:sz w:val="22"/>
          <w:szCs w:val="22"/>
        </w:rPr>
      </w:pPr>
    </w:p>
    <w:p w:rsidR="00476245" w:rsidRPr="00B46BBA" w:rsidRDefault="00476245" w:rsidP="00412EF4">
      <w:pPr>
        <w:pStyle w:val="ListParagraph"/>
        <w:numPr>
          <w:ilvl w:val="1"/>
          <w:numId w:val="25"/>
        </w:numPr>
        <w:jc w:val="both"/>
        <w:rPr>
          <w:rFonts w:ascii="Arial" w:hAnsi="Arial"/>
          <w:sz w:val="22"/>
          <w:szCs w:val="22"/>
        </w:rPr>
      </w:pPr>
      <w:r w:rsidRPr="00B46BBA">
        <w:rPr>
          <w:rFonts w:ascii="Arial" w:hAnsi="Arial"/>
          <w:sz w:val="22"/>
          <w:szCs w:val="22"/>
        </w:rPr>
        <w:t xml:space="preserve">As a minor submission, there </w:t>
      </w:r>
      <w:r w:rsidR="00171158">
        <w:rPr>
          <w:rFonts w:ascii="Arial" w:hAnsi="Arial"/>
          <w:sz w:val="22"/>
          <w:szCs w:val="22"/>
        </w:rPr>
        <w:t>wa</w:t>
      </w:r>
      <w:r w:rsidRPr="00B46BBA">
        <w:rPr>
          <w:rFonts w:ascii="Arial" w:hAnsi="Arial"/>
          <w:sz w:val="22"/>
          <w:szCs w:val="22"/>
        </w:rPr>
        <w:t>s no economic comparison.</w:t>
      </w:r>
    </w:p>
    <w:p w:rsidR="00DF26A7" w:rsidRPr="00B46BBA" w:rsidRDefault="00DF26A7" w:rsidP="00476245">
      <w:pPr>
        <w:jc w:val="both"/>
        <w:rPr>
          <w:rFonts w:ascii="Arial" w:hAnsi="Arial"/>
          <w:sz w:val="22"/>
          <w:szCs w:val="22"/>
        </w:rPr>
      </w:pPr>
    </w:p>
    <w:p w:rsidR="008A1956" w:rsidRPr="00B46BBA" w:rsidRDefault="008A1956" w:rsidP="00476245">
      <w:pPr>
        <w:jc w:val="both"/>
        <w:rPr>
          <w:rFonts w:ascii="Arial" w:hAnsi="Arial"/>
          <w:sz w:val="22"/>
          <w:szCs w:val="22"/>
        </w:rPr>
      </w:pPr>
    </w:p>
    <w:p w:rsidR="00A969A9" w:rsidRPr="000F2820" w:rsidRDefault="00A969A9" w:rsidP="00171158">
      <w:pPr>
        <w:pStyle w:val="Header"/>
        <w:numPr>
          <w:ilvl w:val="0"/>
          <w:numId w:val="25"/>
        </w:numPr>
        <w:tabs>
          <w:tab w:val="clear" w:pos="4153"/>
          <w:tab w:val="clear" w:pos="8306"/>
        </w:tabs>
        <w:jc w:val="both"/>
        <w:rPr>
          <w:rFonts w:ascii="Arial" w:hAnsi="Arial"/>
          <w:sz w:val="22"/>
          <w:szCs w:val="22"/>
        </w:rPr>
      </w:pPr>
      <w:r w:rsidRPr="00A969A9">
        <w:rPr>
          <w:rFonts w:ascii="Arial" w:hAnsi="Arial"/>
          <w:b/>
          <w:sz w:val="22"/>
          <w:szCs w:val="22"/>
        </w:rPr>
        <w:t>Consideration of the evidence</w:t>
      </w:r>
    </w:p>
    <w:p w:rsidR="000F2820" w:rsidRPr="00A969A9" w:rsidRDefault="000F2820" w:rsidP="000F2820">
      <w:pPr>
        <w:pStyle w:val="Header"/>
        <w:tabs>
          <w:tab w:val="clear" w:pos="4153"/>
          <w:tab w:val="clear" w:pos="8306"/>
        </w:tabs>
        <w:jc w:val="both"/>
        <w:rPr>
          <w:rFonts w:ascii="Arial" w:hAnsi="Arial"/>
          <w:sz w:val="22"/>
          <w:szCs w:val="22"/>
        </w:rPr>
      </w:pPr>
    </w:p>
    <w:p w:rsidR="00A969A9" w:rsidRPr="00A969A9" w:rsidRDefault="00A969A9" w:rsidP="00A969A9">
      <w:pPr>
        <w:pStyle w:val="Header"/>
        <w:tabs>
          <w:tab w:val="clear" w:pos="4153"/>
          <w:tab w:val="clear" w:pos="8306"/>
        </w:tabs>
        <w:jc w:val="both"/>
        <w:rPr>
          <w:rFonts w:ascii="Arial" w:hAnsi="Arial"/>
          <w:b/>
          <w:sz w:val="22"/>
          <w:szCs w:val="22"/>
        </w:rPr>
      </w:pPr>
      <w:r>
        <w:rPr>
          <w:rFonts w:ascii="Arial" w:hAnsi="Arial"/>
          <w:b/>
          <w:sz w:val="22"/>
          <w:szCs w:val="22"/>
        </w:rPr>
        <w:t>Sponsor hearing</w:t>
      </w:r>
    </w:p>
    <w:p w:rsidR="00A969A9" w:rsidRPr="00C93F7F" w:rsidRDefault="00A969A9" w:rsidP="00C93F7F">
      <w:pPr>
        <w:jc w:val="both"/>
        <w:rPr>
          <w:rFonts w:ascii="Arial" w:hAnsi="Arial"/>
          <w:sz w:val="22"/>
          <w:szCs w:val="22"/>
        </w:rPr>
      </w:pPr>
    </w:p>
    <w:p w:rsidR="00A969A9" w:rsidRPr="00A969A9" w:rsidRDefault="00A969A9" w:rsidP="00171158">
      <w:pPr>
        <w:pStyle w:val="ListParagraph"/>
        <w:numPr>
          <w:ilvl w:val="1"/>
          <w:numId w:val="25"/>
        </w:numPr>
        <w:jc w:val="both"/>
        <w:rPr>
          <w:rFonts w:ascii="Arial" w:hAnsi="Arial"/>
          <w:sz w:val="22"/>
          <w:szCs w:val="22"/>
        </w:rPr>
      </w:pPr>
      <w:r w:rsidRPr="008478CD">
        <w:rPr>
          <w:rFonts w:ascii="Arial" w:hAnsi="Arial" w:cs="Arial"/>
          <w:bCs/>
          <w:snapToGrid w:val="0"/>
          <w:sz w:val="22"/>
          <w:szCs w:val="22"/>
        </w:rPr>
        <w:t xml:space="preserve">There was no hearing for this item as it was a minor </w:t>
      </w:r>
      <w:r>
        <w:rPr>
          <w:rFonts w:ascii="Arial" w:hAnsi="Arial" w:cs="Arial"/>
          <w:bCs/>
          <w:snapToGrid w:val="0"/>
          <w:sz w:val="22"/>
          <w:szCs w:val="22"/>
        </w:rPr>
        <w:t>submission</w:t>
      </w:r>
      <w:r w:rsidR="00171158">
        <w:rPr>
          <w:rFonts w:ascii="Arial" w:hAnsi="Arial" w:cs="Arial"/>
          <w:bCs/>
          <w:snapToGrid w:val="0"/>
          <w:sz w:val="22"/>
          <w:szCs w:val="22"/>
        </w:rPr>
        <w:t>.</w:t>
      </w:r>
    </w:p>
    <w:p w:rsidR="00A969A9" w:rsidRDefault="00A969A9" w:rsidP="00A969A9">
      <w:pPr>
        <w:jc w:val="both"/>
        <w:rPr>
          <w:rFonts w:ascii="Arial" w:hAnsi="Arial"/>
          <w:sz w:val="22"/>
          <w:szCs w:val="22"/>
        </w:rPr>
      </w:pPr>
    </w:p>
    <w:p w:rsidR="00A969A9" w:rsidRDefault="00A969A9" w:rsidP="00A969A9">
      <w:pPr>
        <w:jc w:val="both"/>
        <w:rPr>
          <w:rFonts w:ascii="Arial" w:hAnsi="Arial"/>
          <w:b/>
          <w:sz w:val="22"/>
          <w:szCs w:val="22"/>
        </w:rPr>
      </w:pPr>
      <w:r>
        <w:rPr>
          <w:rFonts w:ascii="Arial" w:hAnsi="Arial"/>
          <w:b/>
          <w:sz w:val="22"/>
          <w:szCs w:val="22"/>
        </w:rPr>
        <w:t>Consumer comments</w:t>
      </w:r>
    </w:p>
    <w:p w:rsidR="00A969A9" w:rsidRDefault="00A969A9" w:rsidP="00A969A9">
      <w:pPr>
        <w:jc w:val="both"/>
        <w:rPr>
          <w:rFonts w:ascii="Arial" w:hAnsi="Arial"/>
          <w:b/>
          <w:sz w:val="22"/>
          <w:szCs w:val="22"/>
        </w:rPr>
      </w:pPr>
    </w:p>
    <w:p w:rsidR="00A969A9" w:rsidRPr="008478CD" w:rsidRDefault="00A969A9" w:rsidP="00171158">
      <w:pPr>
        <w:pStyle w:val="ListParagraph"/>
        <w:numPr>
          <w:ilvl w:val="1"/>
          <w:numId w:val="25"/>
        </w:numPr>
        <w:jc w:val="both"/>
        <w:rPr>
          <w:rFonts w:ascii="Arial" w:hAnsi="Arial" w:cs="Arial"/>
          <w:bCs/>
          <w:snapToGrid w:val="0"/>
          <w:sz w:val="22"/>
          <w:szCs w:val="22"/>
        </w:rPr>
      </w:pPr>
      <w:r w:rsidRPr="008478CD">
        <w:rPr>
          <w:rFonts w:ascii="Arial" w:hAnsi="Arial" w:cs="Arial"/>
          <w:bCs/>
          <w:snapToGrid w:val="0"/>
          <w:sz w:val="22"/>
          <w:szCs w:val="22"/>
        </w:rPr>
        <w:t>The PBAC noted that no consumer commen</w:t>
      </w:r>
      <w:r>
        <w:rPr>
          <w:rFonts w:ascii="Arial" w:hAnsi="Arial" w:cs="Arial"/>
          <w:bCs/>
          <w:snapToGrid w:val="0"/>
          <w:sz w:val="22"/>
          <w:szCs w:val="22"/>
        </w:rPr>
        <w:t>ts were received for this item.</w:t>
      </w:r>
    </w:p>
    <w:p w:rsidR="00A969A9" w:rsidRDefault="00A969A9" w:rsidP="00A969A9">
      <w:pPr>
        <w:jc w:val="both"/>
        <w:rPr>
          <w:rFonts w:ascii="Arial" w:hAnsi="Arial"/>
          <w:sz w:val="22"/>
          <w:szCs w:val="22"/>
        </w:rPr>
      </w:pPr>
    </w:p>
    <w:p w:rsidR="00A969A9" w:rsidRPr="00A969A9" w:rsidRDefault="00A969A9" w:rsidP="00A969A9">
      <w:pPr>
        <w:jc w:val="both"/>
        <w:rPr>
          <w:rFonts w:ascii="Arial" w:hAnsi="Arial"/>
          <w:b/>
          <w:sz w:val="22"/>
          <w:szCs w:val="22"/>
        </w:rPr>
      </w:pPr>
      <w:r w:rsidRPr="00A969A9">
        <w:rPr>
          <w:rFonts w:ascii="Arial" w:hAnsi="Arial"/>
          <w:b/>
          <w:sz w:val="22"/>
          <w:szCs w:val="22"/>
        </w:rPr>
        <w:t>Clinical Trials</w:t>
      </w:r>
    </w:p>
    <w:p w:rsidR="00A969A9" w:rsidRPr="00A969A9" w:rsidRDefault="00A969A9" w:rsidP="00A969A9">
      <w:pPr>
        <w:jc w:val="both"/>
        <w:rPr>
          <w:rFonts w:ascii="Arial" w:hAnsi="Arial"/>
          <w:sz w:val="22"/>
          <w:szCs w:val="22"/>
        </w:rPr>
      </w:pPr>
    </w:p>
    <w:p w:rsidR="009F4E46" w:rsidRPr="00B46BBA" w:rsidRDefault="009F4E46" w:rsidP="00171158">
      <w:pPr>
        <w:pStyle w:val="ListParagraph"/>
        <w:numPr>
          <w:ilvl w:val="1"/>
          <w:numId w:val="25"/>
        </w:numPr>
        <w:ind w:left="709" w:hanging="709"/>
        <w:jc w:val="both"/>
        <w:rPr>
          <w:rFonts w:ascii="Arial" w:hAnsi="Arial"/>
          <w:sz w:val="22"/>
          <w:szCs w:val="22"/>
        </w:rPr>
      </w:pPr>
      <w:r w:rsidRPr="00B46BBA">
        <w:rPr>
          <w:rFonts w:ascii="Arial" w:hAnsi="Arial"/>
          <w:sz w:val="22"/>
          <w:szCs w:val="22"/>
        </w:rPr>
        <w:t>The minor submission present</w:t>
      </w:r>
      <w:r w:rsidR="0011750D">
        <w:rPr>
          <w:rFonts w:ascii="Arial" w:hAnsi="Arial"/>
          <w:sz w:val="22"/>
          <w:szCs w:val="22"/>
        </w:rPr>
        <w:t>ed the following clinical trial</w:t>
      </w:r>
      <w:r w:rsidRPr="00B46BBA">
        <w:rPr>
          <w:rFonts w:ascii="Arial" w:hAnsi="Arial"/>
          <w:sz w:val="22"/>
          <w:szCs w:val="22"/>
        </w:rPr>
        <w:t>:</w:t>
      </w:r>
    </w:p>
    <w:p w:rsidR="0076420C" w:rsidRPr="00B46BBA" w:rsidRDefault="0076420C" w:rsidP="0076420C">
      <w:pPr>
        <w:ind w:left="709"/>
        <w:jc w:val="both"/>
        <w:rPr>
          <w:rFonts w:ascii="Arial" w:hAnsi="Arial"/>
          <w:sz w:val="22"/>
          <w:szCs w:val="22"/>
        </w:rPr>
      </w:pPr>
    </w:p>
    <w:p w:rsidR="0076420C" w:rsidRPr="00B46BBA" w:rsidRDefault="0076420C" w:rsidP="0076420C">
      <w:pPr>
        <w:ind w:firstLine="709"/>
        <w:rPr>
          <w:rFonts w:ascii="Arial Narrow" w:hAnsi="Arial Narrow"/>
          <w:b/>
          <w:sz w:val="20"/>
        </w:rPr>
      </w:pPr>
      <w:r w:rsidRPr="00B46BBA">
        <w:rPr>
          <w:rFonts w:ascii="Arial Narrow" w:hAnsi="Arial Narrow"/>
          <w:b/>
          <w:sz w:val="20"/>
        </w:rPr>
        <w:t>Trials and associa</w:t>
      </w:r>
      <w:r w:rsidR="00924D47">
        <w:rPr>
          <w:rFonts w:ascii="Arial Narrow" w:hAnsi="Arial Narrow"/>
          <w:b/>
          <w:sz w:val="20"/>
        </w:rPr>
        <w:t xml:space="preserve">ted reports presented in the </w:t>
      </w:r>
      <w:r w:rsidRPr="00B46BBA">
        <w:rPr>
          <w:rFonts w:ascii="Arial Narrow" w:hAnsi="Arial Narrow"/>
          <w:b/>
          <w:sz w:val="20"/>
        </w:rPr>
        <w:t>submission</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820"/>
        <w:gridCol w:w="1843"/>
      </w:tblGrid>
      <w:tr w:rsidR="00B46BBA" w:rsidRPr="00B46BBA" w:rsidTr="00D054B0">
        <w:trPr>
          <w:cantSplit/>
          <w:tblHeader/>
        </w:trPr>
        <w:tc>
          <w:tcPr>
            <w:tcW w:w="1701" w:type="dxa"/>
          </w:tcPr>
          <w:p w:rsidR="0076420C" w:rsidRPr="00B46BBA" w:rsidRDefault="0076420C" w:rsidP="00D054B0">
            <w:pPr>
              <w:rPr>
                <w:rFonts w:ascii="Arial Narrow" w:hAnsi="Arial Narrow"/>
                <w:b/>
                <w:sz w:val="20"/>
              </w:rPr>
            </w:pPr>
            <w:r w:rsidRPr="00B46BBA">
              <w:rPr>
                <w:rFonts w:ascii="Arial Narrow" w:hAnsi="Arial Narrow"/>
                <w:b/>
                <w:sz w:val="20"/>
              </w:rPr>
              <w:t>Trial ID</w:t>
            </w:r>
          </w:p>
        </w:tc>
        <w:tc>
          <w:tcPr>
            <w:tcW w:w="4820" w:type="dxa"/>
          </w:tcPr>
          <w:p w:rsidR="0076420C" w:rsidRPr="00B46BBA" w:rsidRDefault="0076420C" w:rsidP="00D054B0">
            <w:pPr>
              <w:jc w:val="center"/>
              <w:rPr>
                <w:rFonts w:ascii="Arial Narrow" w:hAnsi="Arial Narrow"/>
                <w:b/>
                <w:sz w:val="20"/>
              </w:rPr>
            </w:pPr>
            <w:r w:rsidRPr="00B46BBA">
              <w:rPr>
                <w:rFonts w:ascii="Arial Narrow" w:hAnsi="Arial Narrow"/>
                <w:b/>
                <w:sz w:val="20"/>
              </w:rPr>
              <w:t>Protocol title/ Publication title</w:t>
            </w:r>
          </w:p>
        </w:tc>
        <w:tc>
          <w:tcPr>
            <w:tcW w:w="1843" w:type="dxa"/>
          </w:tcPr>
          <w:p w:rsidR="0076420C" w:rsidRPr="00B46BBA" w:rsidRDefault="0076420C" w:rsidP="00D054B0">
            <w:pPr>
              <w:rPr>
                <w:rFonts w:ascii="Arial Narrow" w:hAnsi="Arial Narrow"/>
                <w:b/>
                <w:sz w:val="20"/>
              </w:rPr>
            </w:pPr>
            <w:r w:rsidRPr="00B46BBA">
              <w:rPr>
                <w:rFonts w:ascii="Arial Narrow" w:hAnsi="Arial Narrow"/>
                <w:b/>
                <w:sz w:val="20"/>
              </w:rPr>
              <w:t>Publication citation</w:t>
            </w:r>
          </w:p>
        </w:tc>
      </w:tr>
      <w:tr w:rsidR="00B46BBA" w:rsidRPr="00B46BBA" w:rsidTr="00D054B0">
        <w:trPr>
          <w:cantSplit/>
        </w:trPr>
        <w:tc>
          <w:tcPr>
            <w:tcW w:w="8364" w:type="dxa"/>
            <w:gridSpan w:val="3"/>
          </w:tcPr>
          <w:p w:rsidR="0076420C" w:rsidRPr="00B46BBA" w:rsidRDefault="0076420C" w:rsidP="00D054B0">
            <w:pPr>
              <w:rPr>
                <w:rFonts w:ascii="Arial Narrow" w:hAnsi="Arial Narrow"/>
                <w:b/>
                <w:sz w:val="20"/>
              </w:rPr>
            </w:pPr>
            <w:r w:rsidRPr="00B46BBA">
              <w:rPr>
                <w:rFonts w:ascii="Arial Narrow" w:hAnsi="Arial Narrow"/>
                <w:b/>
                <w:sz w:val="20"/>
              </w:rPr>
              <w:t>Direct randomised trials</w:t>
            </w:r>
          </w:p>
        </w:tc>
      </w:tr>
      <w:tr w:rsidR="00B46BBA" w:rsidRPr="00B46BBA" w:rsidTr="00D054B0">
        <w:trPr>
          <w:cantSplit/>
        </w:trPr>
        <w:tc>
          <w:tcPr>
            <w:tcW w:w="1701" w:type="dxa"/>
          </w:tcPr>
          <w:p w:rsidR="0076420C" w:rsidRPr="00B46BBA" w:rsidRDefault="007D2141" w:rsidP="00D054B0">
            <w:pPr>
              <w:rPr>
                <w:rFonts w:ascii="Arial Narrow" w:hAnsi="Arial Narrow"/>
                <w:sz w:val="20"/>
              </w:rPr>
            </w:pPr>
            <w:r w:rsidRPr="00B46BBA">
              <w:rPr>
                <w:rFonts w:ascii="Arial Narrow" w:hAnsi="Arial Narrow"/>
                <w:sz w:val="20"/>
              </w:rPr>
              <w:t>KONNECTION</w:t>
            </w:r>
          </w:p>
        </w:tc>
        <w:tc>
          <w:tcPr>
            <w:tcW w:w="4820" w:type="dxa"/>
          </w:tcPr>
          <w:p w:rsidR="0076420C" w:rsidRPr="00B46BBA" w:rsidRDefault="007D2141" w:rsidP="00F23A8A">
            <w:pPr>
              <w:jc w:val="both"/>
              <w:rPr>
                <w:rFonts w:ascii="Arial Narrow" w:hAnsi="Arial Narrow"/>
                <w:sz w:val="20"/>
              </w:rPr>
            </w:pPr>
            <w:r w:rsidRPr="00B46BBA">
              <w:rPr>
                <w:rFonts w:ascii="Arial Narrow" w:hAnsi="Arial Narrow"/>
                <w:sz w:val="20"/>
              </w:rPr>
              <w:t>Clinical Study Report: A Phase 3, Two-part, Randomized, Double-blind, Placebo-controlled,</w:t>
            </w:r>
            <w:r w:rsidR="00F23A8A" w:rsidRPr="00B46BBA">
              <w:rPr>
                <w:rFonts w:ascii="Arial Narrow" w:hAnsi="Arial Narrow"/>
                <w:sz w:val="20"/>
              </w:rPr>
              <w:t xml:space="preserve"> </w:t>
            </w:r>
            <w:r w:rsidRPr="00B46BBA">
              <w:rPr>
                <w:rFonts w:ascii="Arial Narrow" w:hAnsi="Arial Narrow"/>
                <w:sz w:val="20"/>
              </w:rPr>
              <w:t>Crossover Study With an Open-label Period to Evaluate the Efficacy and</w:t>
            </w:r>
            <w:r w:rsidR="00F23A8A" w:rsidRPr="00B46BBA">
              <w:rPr>
                <w:rFonts w:ascii="Arial Narrow" w:hAnsi="Arial Narrow"/>
                <w:sz w:val="20"/>
              </w:rPr>
              <w:t xml:space="preserve"> </w:t>
            </w:r>
            <w:r w:rsidRPr="00B46BBA">
              <w:rPr>
                <w:rFonts w:ascii="Arial Narrow" w:hAnsi="Arial Narrow"/>
                <w:sz w:val="20"/>
              </w:rPr>
              <w:t>Safety of Ivacaftor in Subjects With Cystic Fibrosis Who Have a</w:t>
            </w:r>
            <w:r w:rsidR="00F23A8A" w:rsidRPr="00B46BBA">
              <w:rPr>
                <w:rFonts w:ascii="Arial Narrow" w:hAnsi="Arial Narrow"/>
                <w:sz w:val="20"/>
              </w:rPr>
              <w:t xml:space="preserve"> </w:t>
            </w:r>
            <w:r w:rsidRPr="00B46BBA">
              <w:rPr>
                <w:rFonts w:ascii="Arial Narrow" w:hAnsi="Arial Narrow"/>
                <w:sz w:val="20"/>
              </w:rPr>
              <w:t>Non-G551D-CFTR Gating Mutation</w:t>
            </w:r>
            <w:r w:rsidR="007B51A3" w:rsidRPr="00B46BBA">
              <w:rPr>
                <w:rFonts w:ascii="Arial Narrow" w:hAnsi="Arial Narrow"/>
                <w:sz w:val="20"/>
              </w:rPr>
              <w:t xml:space="preserve"> (Version 2)</w:t>
            </w:r>
          </w:p>
        </w:tc>
        <w:tc>
          <w:tcPr>
            <w:tcW w:w="1843" w:type="dxa"/>
          </w:tcPr>
          <w:p w:rsidR="0076420C" w:rsidRPr="00B46BBA" w:rsidRDefault="007D2141" w:rsidP="00D054B0">
            <w:pPr>
              <w:rPr>
                <w:rFonts w:ascii="Arial Narrow" w:hAnsi="Arial Narrow"/>
                <w:sz w:val="20"/>
              </w:rPr>
            </w:pPr>
            <w:r w:rsidRPr="00B46BBA">
              <w:rPr>
                <w:rFonts w:ascii="Arial Narrow" w:hAnsi="Arial Narrow"/>
                <w:sz w:val="20"/>
              </w:rPr>
              <w:t>14 May 2014</w:t>
            </w:r>
          </w:p>
        </w:tc>
      </w:tr>
    </w:tbl>
    <w:p w:rsidR="0076420C" w:rsidRPr="00B46BBA" w:rsidRDefault="0076420C" w:rsidP="0076420C">
      <w:pPr>
        <w:pStyle w:val="ListParagraph"/>
        <w:ind w:left="709"/>
        <w:jc w:val="both"/>
        <w:rPr>
          <w:rFonts w:ascii="Arial" w:hAnsi="Arial"/>
          <w:sz w:val="22"/>
          <w:szCs w:val="22"/>
        </w:rPr>
      </w:pPr>
    </w:p>
    <w:p w:rsidR="00E93BF8" w:rsidRPr="00B46BBA" w:rsidRDefault="00715498" w:rsidP="00171158">
      <w:pPr>
        <w:pStyle w:val="ListParagraph"/>
        <w:numPr>
          <w:ilvl w:val="1"/>
          <w:numId w:val="25"/>
        </w:numPr>
        <w:ind w:left="709" w:hanging="709"/>
        <w:jc w:val="both"/>
        <w:rPr>
          <w:rFonts w:ascii="Arial" w:hAnsi="Arial"/>
          <w:sz w:val="22"/>
          <w:szCs w:val="22"/>
        </w:rPr>
      </w:pPr>
      <w:r w:rsidRPr="00B46BBA">
        <w:rPr>
          <w:rFonts w:ascii="Arial" w:hAnsi="Arial"/>
          <w:sz w:val="22"/>
          <w:szCs w:val="22"/>
        </w:rPr>
        <w:t>KONNECTION was a Phase 3, two</w:t>
      </w:r>
      <w:r w:rsidRPr="00B46BBA">
        <w:rPr>
          <w:rFonts w:ascii="Cambria Math" w:hAnsi="Cambria Math" w:cs="Cambria Math"/>
          <w:sz w:val="22"/>
          <w:szCs w:val="22"/>
        </w:rPr>
        <w:t>‐</w:t>
      </w:r>
      <w:r w:rsidRPr="00B46BBA">
        <w:rPr>
          <w:rFonts w:ascii="Arial" w:hAnsi="Arial"/>
          <w:sz w:val="22"/>
          <w:szCs w:val="22"/>
        </w:rPr>
        <w:t>part, randomized, double</w:t>
      </w:r>
      <w:r w:rsidRPr="00B46BBA">
        <w:rPr>
          <w:rFonts w:ascii="Cambria Math" w:hAnsi="Cambria Math" w:cs="Cambria Math"/>
          <w:sz w:val="22"/>
          <w:szCs w:val="22"/>
        </w:rPr>
        <w:t>‐</w:t>
      </w:r>
      <w:r w:rsidRPr="00B46BBA">
        <w:rPr>
          <w:rFonts w:ascii="Arial" w:hAnsi="Arial"/>
          <w:sz w:val="22"/>
          <w:szCs w:val="22"/>
        </w:rPr>
        <w:t>blind, placebo</w:t>
      </w:r>
      <w:r w:rsidRPr="00B46BBA">
        <w:rPr>
          <w:rFonts w:ascii="Cambria Math" w:hAnsi="Cambria Math" w:cs="Cambria Math"/>
          <w:sz w:val="22"/>
          <w:szCs w:val="22"/>
        </w:rPr>
        <w:t>‐</w:t>
      </w:r>
      <w:r w:rsidRPr="00B46BBA">
        <w:rPr>
          <w:rFonts w:ascii="Arial" w:hAnsi="Arial"/>
          <w:sz w:val="22"/>
          <w:szCs w:val="22"/>
        </w:rPr>
        <w:t>controlled, 8</w:t>
      </w:r>
      <w:r w:rsidRPr="00B46BBA">
        <w:rPr>
          <w:rFonts w:ascii="Cambria Math" w:hAnsi="Cambria Math" w:cs="Cambria Math"/>
          <w:sz w:val="22"/>
          <w:szCs w:val="22"/>
        </w:rPr>
        <w:t>‐</w:t>
      </w:r>
      <w:r w:rsidRPr="00B46BBA">
        <w:rPr>
          <w:rFonts w:ascii="Arial" w:hAnsi="Arial"/>
          <w:sz w:val="22"/>
          <w:szCs w:val="22"/>
        </w:rPr>
        <w:t>week crossover study (Part 1) with a 16</w:t>
      </w:r>
      <w:r w:rsidRPr="00B46BBA">
        <w:rPr>
          <w:rFonts w:ascii="Cambria Math" w:hAnsi="Cambria Math" w:cs="Cambria Math"/>
          <w:sz w:val="22"/>
          <w:szCs w:val="22"/>
        </w:rPr>
        <w:t>‐</w:t>
      </w:r>
      <w:r w:rsidRPr="00B46BBA">
        <w:rPr>
          <w:rFonts w:ascii="Arial" w:hAnsi="Arial"/>
          <w:sz w:val="22"/>
          <w:szCs w:val="22"/>
        </w:rPr>
        <w:t>week open</w:t>
      </w:r>
      <w:r w:rsidRPr="00B46BBA">
        <w:rPr>
          <w:rFonts w:ascii="Cambria Math" w:hAnsi="Cambria Math" w:cs="Cambria Math"/>
          <w:sz w:val="22"/>
          <w:szCs w:val="22"/>
        </w:rPr>
        <w:t>‐</w:t>
      </w:r>
      <w:r w:rsidRPr="00B46BBA">
        <w:rPr>
          <w:rFonts w:ascii="Arial" w:hAnsi="Arial"/>
          <w:sz w:val="22"/>
          <w:szCs w:val="22"/>
        </w:rPr>
        <w:t>label period (Part 2) of orally administered ivacaftor in subjects with CF. This study enrolled subjects who were age 6 years and older and who have a non</w:t>
      </w:r>
      <w:r w:rsidRPr="00B46BBA">
        <w:rPr>
          <w:rFonts w:ascii="Cambria Math" w:hAnsi="Cambria Math" w:cs="Cambria Math"/>
          <w:sz w:val="22"/>
          <w:szCs w:val="22"/>
        </w:rPr>
        <w:t>‐</w:t>
      </w:r>
      <w:r w:rsidRPr="00B46BBA">
        <w:rPr>
          <w:rFonts w:ascii="Arial" w:hAnsi="Arial"/>
          <w:i/>
          <w:iCs/>
          <w:sz w:val="22"/>
          <w:szCs w:val="22"/>
        </w:rPr>
        <w:t>G551D</w:t>
      </w:r>
      <w:r w:rsidRPr="00B46BBA">
        <w:rPr>
          <w:rFonts w:ascii="Cambria Math" w:hAnsi="Cambria Math" w:cs="Cambria Math"/>
          <w:i/>
          <w:iCs/>
          <w:sz w:val="22"/>
          <w:szCs w:val="22"/>
        </w:rPr>
        <w:t>‐</w:t>
      </w:r>
      <w:r w:rsidRPr="00B46BBA">
        <w:rPr>
          <w:rFonts w:ascii="Arial" w:hAnsi="Arial"/>
          <w:i/>
          <w:iCs/>
          <w:sz w:val="22"/>
          <w:szCs w:val="22"/>
        </w:rPr>
        <w:t xml:space="preserve">CFTR </w:t>
      </w:r>
      <w:r w:rsidRPr="00B46BBA">
        <w:rPr>
          <w:rFonts w:ascii="Arial" w:hAnsi="Arial"/>
          <w:sz w:val="22"/>
          <w:szCs w:val="22"/>
        </w:rPr>
        <w:t xml:space="preserve">gating mutation (n = 39). </w:t>
      </w:r>
      <w:r w:rsidR="00626182" w:rsidRPr="00B46BBA">
        <w:rPr>
          <w:rFonts w:ascii="Arial" w:hAnsi="Arial"/>
          <w:sz w:val="22"/>
          <w:szCs w:val="22"/>
        </w:rPr>
        <w:t>The patients included in KONNECTION had one of 9 non</w:t>
      </w:r>
      <w:r w:rsidR="00626182" w:rsidRPr="00B46BBA">
        <w:rPr>
          <w:rFonts w:ascii="Cambria Math" w:hAnsi="Cambria Math" w:cs="Cambria Math"/>
          <w:sz w:val="22"/>
          <w:szCs w:val="22"/>
        </w:rPr>
        <w:t>‐</w:t>
      </w:r>
      <w:r w:rsidR="00626182" w:rsidRPr="00B46BBA">
        <w:rPr>
          <w:rFonts w:ascii="Arial" w:hAnsi="Arial"/>
          <w:sz w:val="22"/>
          <w:szCs w:val="22"/>
        </w:rPr>
        <w:t>G551D</w:t>
      </w:r>
      <w:r w:rsidR="00626182" w:rsidRPr="00B46BBA">
        <w:rPr>
          <w:rFonts w:ascii="Cambria Math" w:hAnsi="Cambria Math" w:cs="Cambria Math"/>
          <w:sz w:val="22"/>
          <w:szCs w:val="22"/>
        </w:rPr>
        <w:t>‐</w:t>
      </w:r>
      <w:r w:rsidR="00626182" w:rsidRPr="00B46BBA">
        <w:rPr>
          <w:rFonts w:ascii="Arial" w:hAnsi="Arial"/>
          <w:sz w:val="22"/>
          <w:szCs w:val="22"/>
        </w:rPr>
        <w:t xml:space="preserve">CFTR gating mutations i.e. G178R, </w:t>
      </w:r>
      <w:r w:rsidR="00626182" w:rsidRPr="00B46BBA">
        <w:rPr>
          <w:rFonts w:ascii="Arial" w:hAnsi="Arial"/>
          <w:iCs/>
          <w:sz w:val="22"/>
          <w:szCs w:val="22"/>
        </w:rPr>
        <w:t xml:space="preserve">G551S, S549N, S549R, G970R, G1244E, S1251N, S1255P </w:t>
      </w:r>
      <w:r w:rsidR="00626182" w:rsidRPr="00B46BBA">
        <w:rPr>
          <w:rFonts w:ascii="Arial" w:hAnsi="Arial"/>
          <w:sz w:val="22"/>
          <w:szCs w:val="22"/>
        </w:rPr>
        <w:t xml:space="preserve">or </w:t>
      </w:r>
      <w:r w:rsidR="00E93BF8" w:rsidRPr="00B46BBA">
        <w:rPr>
          <w:rFonts w:ascii="Arial" w:hAnsi="Arial"/>
          <w:iCs/>
          <w:sz w:val="22"/>
          <w:szCs w:val="22"/>
        </w:rPr>
        <w:t xml:space="preserve">G1349D. </w:t>
      </w:r>
    </w:p>
    <w:p w:rsidR="00F23A8A" w:rsidRPr="00B46BBA" w:rsidRDefault="00F23A8A" w:rsidP="00F23A8A">
      <w:pPr>
        <w:jc w:val="both"/>
        <w:rPr>
          <w:rFonts w:ascii="Arial" w:hAnsi="Arial"/>
          <w:sz w:val="22"/>
          <w:szCs w:val="22"/>
        </w:rPr>
      </w:pPr>
    </w:p>
    <w:p w:rsidR="00320D74" w:rsidRPr="00B46BBA" w:rsidRDefault="00320D74" w:rsidP="00171158">
      <w:pPr>
        <w:pStyle w:val="ListParagraph"/>
        <w:numPr>
          <w:ilvl w:val="1"/>
          <w:numId w:val="25"/>
        </w:numPr>
        <w:ind w:left="709" w:hanging="709"/>
        <w:jc w:val="both"/>
        <w:rPr>
          <w:rFonts w:ascii="Arial" w:hAnsi="Arial"/>
          <w:sz w:val="22"/>
          <w:szCs w:val="22"/>
        </w:rPr>
      </w:pPr>
      <w:r w:rsidRPr="00B46BBA">
        <w:rPr>
          <w:rFonts w:ascii="Arial" w:hAnsi="Arial"/>
          <w:sz w:val="22"/>
          <w:szCs w:val="22"/>
        </w:rPr>
        <w:t xml:space="preserve">In the </w:t>
      </w:r>
      <w:r w:rsidR="00CB521C" w:rsidRPr="00B46BBA">
        <w:rPr>
          <w:rFonts w:ascii="Arial" w:hAnsi="Arial"/>
          <w:sz w:val="22"/>
          <w:szCs w:val="22"/>
        </w:rPr>
        <w:t xml:space="preserve">March 2014 </w:t>
      </w:r>
      <w:r w:rsidRPr="00B46BBA">
        <w:rPr>
          <w:rFonts w:ascii="Arial" w:hAnsi="Arial"/>
          <w:sz w:val="22"/>
          <w:szCs w:val="22"/>
        </w:rPr>
        <w:t>submission, details of the KONNECTION trial were provided as a poster presentation (Appendix 4</w:t>
      </w:r>
      <w:r w:rsidR="00F23A8A" w:rsidRPr="00B46BBA">
        <w:rPr>
          <w:rFonts w:ascii="Arial" w:hAnsi="Arial"/>
          <w:sz w:val="22"/>
          <w:szCs w:val="22"/>
        </w:rPr>
        <w:t xml:space="preserve"> of the </w:t>
      </w:r>
      <w:r w:rsidR="00924D47">
        <w:rPr>
          <w:rFonts w:ascii="Arial" w:hAnsi="Arial"/>
          <w:sz w:val="22"/>
          <w:szCs w:val="22"/>
        </w:rPr>
        <w:t>re</w:t>
      </w:r>
      <w:r w:rsidR="00F23A8A" w:rsidRPr="00B46BBA">
        <w:rPr>
          <w:rFonts w:ascii="Arial" w:hAnsi="Arial"/>
          <w:sz w:val="22"/>
          <w:szCs w:val="22"/>
        </w:rPr>
        <w:t>submission</w:t>
      </w:r>
      <w:r w:rsidRPr="00B46BBA">
        <w:rPr>
          <w:rFonts w:ascii="Arial" w:hAnsi="Arial"/>
          <w:sz w:val="22"/>
          <w:szCs w:val="22"/>
        </w:rPr>
        <w:t xml:space="preserve">) and the full Clinical Study Report (Version 1, 11 September 2013). </w:t>
      </w:r>
    </w:p>
    <w:p w:rsidR="00626182" w:rsidRPr="00B46BBA" w:rsidRDefault="00626182" w:rsidP="00626182">
      <w:pPr>
        <w:jc w:val="both"/>
        <w:rPr>
          <w:rFonts w:ascii="Arial" w:hAnsi="Arial"/>
          <w:sz w:val="22"/>
          <w:szCs w:val="22"/>
        </w:rPr>
      </w:pPr>
    </w:p>
    <w:p w:rsidR="00320D74" w:rsidRPr="00B46BBA" w:rsidRDefault="00320D74" w:rsidP="00171158">
      <w:pPr>
        <w:pStyle w:val="ListParagraph"/>
        <w:numPr>
          <w:ilvl w:val="1"/>
          <w:numId w:val="25"/>
        </w:numPr>
        <w:ind w:left="709" w:hanging="709"/>
        <w:jc w:val="both"/>
        <w:rPr>
          <w:rFonts w:ascii="Arial" w:hAnsi="Arial"/>
          <w:sz w:val="22"/>
          <w:szCs w:val="22"/>
        </w:rPr>
      </w:pPr>
      <w:r w:rsidRPr="00B46BBA">
        <w:rPr>
          <w:rFonts w:ascii="Arial" w:hAnsi="Arial"/>
          <w:sz w:val="22"/>
          <w:szCs w:val="22"/>
        </w:rPr>
        <w:t>The minor submission compare</w:t>
      </w:r>
      <w:r w:rsidR="00260E70">
        <w:rPr>
          <w:rFonts w:ascii="Arial" w:hAnsi="Arial"/>
          <w:sz w:val="22"/>
          <w:szCs w:val="22"/>
        </w:rPr>
        <w:t>d</w:t>
      </w:r>
      <w:r w:rsidRPr="00B46BBA">
        <w:rPr>
          <w:rFonts w:ascii="Arial" w:hAnsi="Arial"/>
          <w:sz w:val="22"/>
          <w:szCs w:val="22"/>
        </w:rPr>
        <w:t xml:space="preserve"> the outcomes of the KONNECTION trial with the STRIVE and ENVISION trials. The July 2013 submission presented two randomised trials comparing ivacaftor with Best Supportive Care in patients with CF involving a G551D mutation in the CFTR gene. These are the STRIVE trial (n=161, patients aged 12 years and over) and the ENVISION trial (n=52, patients aged 6-11), both of which ran for 48 weeks.</w:t>
      </w:r>
    </w:p>
    <w:p w:rsidR="00320D74" w:rsidRDefault="00320D74" w:rsidP="00320D74">
      <w:pPr>
        <w:jc w:val="both"/>
        <w:rPr>
          <w:rFonts w:ascii="Arial" w:hAnsi="Arial"/>
          <w:sz w:val="22"/>
          <w:szCs w:val="22"/>
        </w:rPr>
      </w:pPr>
    </w:p>
    <w:p w:rsidR="005A3173" w:rsidRPr="00171158" w:rsidRDefault="005A3173" w:rsidP="00882085">
      <w:pPr>
        <w:jc w:val="both"/>
        <w:rPr>
          <w:rFonts w:ascii="Arial" w:hAnsi="Arial"/>
          <w:b/>
          <w:sz w:val="22"/>
          <w:szCs w:val="22"/>
        </w:rPr>
      </w:pPr>
      <w:r w:rsidRPr="00171158">
        <w:rPr>
          <w:rFonts w:ascii="Arial" w:hAnsi="Arial"/>
          <w:b/>
          <w:sz w:val="22"/>
          <w:szCs w:val="22"/>
        </w:rPr>
        <w:t>Comparative effectiveness</w:t>
      </w:r>
      <w:r w:rsidR="0006694D" w:rsidRPr="00171158">
        <w:rPr>
          <w:rFonts w:ascii="Arial" w:hAnsi="Arial"/>
          <w:b/>
          <w:sz w:val="22"/>
          <w:szCs w:val="22"/>
        </w:rPr>
        <w:t xml:space="preserve"> and harms</w:t>
      </w:r>
    </w:p>
    <w:p w:rsidR="005A3173" w:rsidRPr="00B46BBA" w:rsidRDefault="005A3173" w:rsidP="00882085">
      <w:pPr>
        <w:jc w:val="both"/>
        <w:rPr>
          <w:rFonts w:ascii="Arial" w:hAnsi="Arial"/>
          <w:sz w:val="22"/>
          <w:szCs w:val="22"/>
        </w:rPr>
      </w:pPr>
    </w:p>
    <w:p w:rsidR="00F23A8A" w:rsidRPr="00B46BBA" w:rsidRDefault="00F23A8A" w:rsidP="00171158">
      <w:pPr>
        <w:pStyle w:val="ListParagraph"/>
        <w:numPr>
          <w:ilvl w:val="1"/>
          <w:numId w:val="25"/>
        </w:numPr>
        <w:ind w:left="709" w:hanging="709"/>
        <w:jc w:val="both"/>
        <w:rPr>
          <w:rFonts w:ascii="Arial" w:hAnsi="Arial"/>
          <w:sz w:val="22"/>
          <w:szCs w:val="22"/>
        </w:rPr>
      </w:pPr>
      <w:r w:rsidRPr="00B46BBA">
        <w:rPr>
          <w:rFonts w:ascii="Arial" w:hAnsi="Arial"/>
          <w:sz w:val="22"/>
          <w:szCs w:val="22"/>
        </w:rPr>
        <w:t xml:space="preserve">The primary efficacy endpoint </w:t>
      </w:r>
      <w:r w:rsidR="0006694D" w:rsidRPr="00B46BBA">
        <w:rPr>
          <w:rFonts w:ascii="Arial" w:hAnsi="Arial"/>
          <w:sz w:val="22"/>
          <w:szCs w:val="22"/>
        </w:rPr>
        <w:t xml:space="preserve">of the KONNECTION trial </w:t>
      </w:r>
      <w:r w:rsidRPr="00B46BBA">
        <w:rPr>
          <w:rFonts w:ascii="Arial" w:hAnsi="Arial"/>
          <w:sz w:val="22"/>
          <w:szCs w:val="22"/>
        </w:rPr>
        <w:t xml:space="preserve">was the absolute change from baseline in percent predicted forced expiratory volume in 1 second (FEV1) </w:t>
      </w:r>
      <w:r w:rsidRPr="00B46BBA">
        <w:rPr>
          <w:rFonts w:ascii="Arial" w:hAnsi="Arial"/>
          <w:sz w:val="22"/>
          <w:szCs w:val="22"/>
        </w:rPr>
        <w:lastRenderedPageBreak/>
        <w:t xml:space="preserve">through Week 8 in each period of Part 1. </w:t>
      </w:r>
      <w:r w:rsidR="0006694D" w:rsidRPr="00B46BBA">
        <w:rPr>
          <w:rFonts w:ascii="Arial" w:hAnsi="Arial"/>
          <w:sz w:val="22"/>
          <w:szCs w:val="22"/>
        </w:rPr>
        <w:t xml:space="preserve">The submission states the results show clinically meaningful and statistically significant improvements in the primary and secondary endpoints. </w:t>
      </w:r>
    </w:p>
    <w:p w:rsidR="0006694D" w:rsidRPr="00B46BBA" w:rsidRDefault="0006694D" w:rsidP="0006694D">
      <w:pPr>
        <w:jc w:val="both"/>
        <w:rPr>
          <w:rFonts w:ascii="Arial" w:hAnsi="Arial"/>
          <w:sz w:val="22"/>
          <w:szCs w:val="22"/>
        </w:rPr>
      </w:pPr>
    </w:p>
    <w:p w:rsidR="0006694D" w:rsidRPr="00B46BBA" w:rsidRDefault="0006694D" w:rsidP="00171158">
      <w:pPr>
        <w:pStyle w:val="ListParagraph"/>
        <w:numPr>
          <w:ilvl w:val="1"/>
          <w:numId w:val="25"/>
        </w:numPr>
        <w:ind w:left="709" w:hanging="709"/>
        <w:jc w:val="both"/>
        <w:rPr>
          <w:rFonts w:ascii="Arial" w:hAnsi="Arial"/>
          <w:sz w:val="22"/>
          <w:szCs w:val="22"/>
        </w:rPr>
      </w:pPr>
      <w:r w:rsidRPr="00B46BBA">
        <w:rPr>
          <w:rFonts w:ascii="Arial" w:hAnsi="Arial"/>
          <w:sz w:val="22"/>
          <w:szCs w:val="22"/>
        </w:rPr>
        <w:t>The submission state</w:t>
      </w:r>
      <w:r w:rsidR="00260E70">
        <w:rPr>
          <w:rFonts w:ascii="Arial" w:hAnsi="Arial"/>
          <w:sz w:val="22"/>
          <w:szCs w:val="22"/>
        </w:rPr>
        <w:t>d</w:t>
      </w:r>
      <w:r w:rsidRPr="00B46BBA">
        <w:rPr>
          <w:rFonts w:ascii="Arial" w:hAnsi="Arial"/>
          <w:sz w:val="22"/>
          <w:szCs w:val="22"/>
        </w:rPr>
        <w:t xml:space="preserve"> in KONNECTION, the proportion of subjects with adverse events was lower during ivacaftor treatment (73.7%) than during placebo treatment (83.8%). The safety data were consistent with the other phase III trials </w:t>
      </w:r>
      <w:r w:rsidR="004B64E9">
        <w:rPr>
          <w:rFonts w:ascii="Arial" w:hAnsi="Arial"/>
          <w:sz w:val="22"/>
          <w:szCs w:val="22"/>
        </w:rPr>
        <w:t xml:space="preserve">of ivacaftor </w:t>
      </w:r>
      <w:r w:rsidRPr="00B46BBA">
        <w:rPr>
          <w:rFonts w:ascii="Arial" w:hAnsi="Arial"/>
          <w:sz w:val="22"/>
          <w:szCs w:val="22"/>
        </w:rPr>
        <w:t>and no new safety signals were observed.</w:t>
      </w:r>
    </w:p>
    <w:p w:rsidR="0006694D" w:rsidRPr="00B46BBA" w:rsidRDefault="0006694D" w:rsidP="0006694D">
      <w:pPr>
        <w:jc w:val="both"/>
        <w:rPr>
          <w:rFonts w:ascii="Arial" w:hAnsi="Arial"/>
          <w:sz w:val="22"/>
          <w:szCs w:val="22"/>
        </w:rPr>
      </w:pPr>
    </w:p>
    <w:p w:rsidR="0006694D" w:rsidRDefault="0006694D" w:rsidP="00171158">
      <w:pPr>
        <w:pStyle w:val="ListParagraph"/>
        <w:numPr>
          <w:ilvl w:val="1"/>
          <w:numId w:val="25"/>
        </w:numPr>
        <w:ind w:left="709" w:hanging="709"/>
        <w:jc w:val="both"/>
        <w:rPr>
          <w:rFonts w:ascii="Arial" w:hAnsi="Arial"/>
          <w:sz w:val="22"/>
          <w:szCs w:val="22"/>
        </w:rPr>
      </w:pPr>
      <w:r w:rsidRPr="00B46BBA">
        <w:rPr>
          <w:rFonts w:ascii="Arial" w:hAnsi="Arial"/>
          <w:sz w:val="22"/>
          <w:szCs w:val="22"/>
        </w:rPr>
        <w:t>The submission present</w:t>
      </w:r>
      <w:r w:rsidR="004B64E9">
        <w:rPr>
          <w:rFonts w:ascii="Arial" w:hAnsi="Arial"/>
          <w:sz w:val="22"/>
          <w:szCs w:val="22"/>
        </w:rPr>
        <w:t>ed</w:t>
      </w:r>
      <w:r w:rsidRPr="00B46BBA">
        <w:rPr>
          <w:rFonts w:ascii="Arial" w:hAnsi="Arial"/>
          <w:sz w:val="22"/>
          <w:szCs w:val="22"/>
        </w:rPr>
        <w:t xml:space="preserve"> a comparison of the KONNECTION trial (at week 8) with the STRIVE and ENVISION trials (in CF patients with G551D mutations, week 24 and 48) to support the proposed change </w:t>
      </w:r>
      <w:r w:rsidR="0011750D">
        <w:rPr>
          <w:rFonts w:ascii="Arial" w:hAnsi="Arial"/>
          <w:sz w:val="22"/>
          <w:szCs w:val="22"/>
        </w:rPr>
        <w:t>to</w:t>
      </w:r>
      <w:r w:rsidRPr="00B46BBA">
        <w:rPr>
          <w:rFonts w:ascii="Arial" w:hAnsi="Arial"/>
          <w:sz w:val="22"/>
          <w:szCs w:val="22"/>
        </w:rPr>
        <w:t xml:space="preserve"> the restriction. </w:t>
      </w:r>
    </w:p>
    <w:p w:rsidR="0011750D" w:rsidRPr="0011750D" w:rsidRDefault="0011750D" w:rsidP="0011750D">
      <w:pPr>
        <w:jc w:val="both"/>
        <w:rPr>
          <w:rFonts w:ascii="Arial" w:hAnsi="Arial"/>
          <w:sz w:val="22"/>
          <w:szCs w:val="22"/>
        </w:rPr>
      </w:pPr>
    </w:p>
    <w:p w:rsidR="0006694D" w:rsidRPr="0011750D" w:rsidRDefault="0011750D" w:rsidP="0006694D">
      <w:pPr>
        <w:pStyle w:val="ListParagraph"/>
        <w:rPr>
          <w:rFonts w:ascii="Arial Narrow" w:hAnsi="Arial Narrow"/>
          <w:sz w:val="20"/>
          <w:szCs w:val="20"/>
        </w:rPr>
      </w:pPr>
      <w:r w:rsidRPr="0011750D">
        <w:rPr>
          <w:rFonts w:ascii="Arial Narrow" w:hAnsi="Arial Narrow"/>
          <w:sz w:val="20"/>
          <w:szCs w:val="20"/>
        </w:rPr>
        <w:t>Efficacy results for G551D patients (STRIVE and ENVISION) and non</w:t>
      </w:r>
      <w:r w:rsidRPr="0011750D">
        <w:rPr>
          <w:rFonts w:ascii="Cambria Math" w:hAnsi="Cambria Math" w:cs="Cambria Math"/>
          <w:sz w:val="20"/>
          <w:szCs w:val="20"/>
        </w:rPr>
        <w:t>‐</w:t>
      </w:r>
      <w:r w:rsidRPr="0011750D">
        <w:rPr>
          <w:rFonts w:ascii="Arial Narrow" w:hAnsi="Arial Narrow"/>
          <w:sz w:val="20"/>
          <w:szCs w:val="20"/>
        </w:rPr>
        <w:t>G551D patients (KONNECTION)</w:t>
      </w:r>
    </w:p>
    <w:tbl>
      <w:tblPr>
        <w:tblStyle w:val="TableGrid"/>
        <w:tblW w:w="8363" w:type="dxa"/>
        <w:tblInd w:w="817" w:type="dxa"/>
        <w:tblLook w:val="04A0" w:firstRow="1" w:lastRow="0" w:firstColumn="1" w:lastColumn="0" w:noHBand="0" w:noVBand="1"/>
      </w:tblPr>
      <w:tblGrid>
        <w:gridCol w:w="1214"/>
        <w:gridCol w:w="914"/>
        <w:gridCol w:w="1271"/>
        <w:gridCol w:w="1227"/>
        <w:gridCol w:w="1186"/>
        <w:gridCol w:w="1228"/>
        <w:gridCol w:w="1323"/>
      </w:tblGrid>
      <w:tr w:rsidR="00B46BBA" w:rsidRPr="00B46BBA" w:rsidTr="00171158">
        <w:trPr>
          <w:trHeight w:val="1353"/>
        </w:trPr>
        <w:tc>
          <w:tcPr>
            <w:tcW w:w="1214" w:type="dxa"/>
          </w:tcPr>
          <w:p w:rsidR="00BC4D43" w:rsidRPr="00B46BBA" w:rsidRDefault="00BC4D43" w:rsidP="0006694D">
            <w:pPr>
              <w:pStyle w:val="ListParagraph"/>
              <w:ind w:left="0"/>
              <w:jc w:val="both"/>
              <w:rPr>
                <w:rFonts w:ascii="Arial Narrow" w:hAnsi="Arial Narrow"/>
                <w:sz w:val="18"/>
                <w:szCs w:val="18"/>
              </w:rPr>
            </w:pPr>
          </w:p>
        </w:tc>
        <w:tc>
          <w:tcPr>
            <w:tcW w:w="914" w:type="dxa"/>
          </w:tcPr>
          <w:p w:rsidR="00BC4D43" w:rsidRPr="00B46BBA" w:rsidRDefault="00BC4D43" w:rsidP="0006694D">
            <w:pPr>
              <w:pStyle w:val="ListParagraph"/>
              <w:ind w:left="0"/>
              <w:jc w:val="both"/>
              <w:rPr>
                <w:rFonts w:ascii="Arial Narrow" w:hAnsi="Arial Narrow"/>
                <w:sz w:val="18"/>
                <w:szCs w:val="18"/>
              </w:rPr>
            </w:pPr>
          </w:p>
        </w:tc>
        <w:tc>
          <w:tcPr>
            <w:tcW w:w="1271" w:type="dxa"/>
          </w:tcPr>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Absolute</w:t>
            </w:r>
          </w:p>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change from</w:t>
            </w:r>
          </w:p>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baseline in</w:t>
            </w:r>
          </w:p>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%predicted</w:t>
            </w:r>
          </w:p>
          <w:p w:rsidR="00BC4D43" w:rsidRPr="00B46BBA" w:rsidRDefault="00BC4D43" w:rsidP="00BC4D43">
            <w:pPr>
              <w:pStyle w:val="ListParagraph"/>
              <w:ind w:left="0"/>
              <w:jc w:val="both"/>
              <w:rPr>
                <w:rFonts w:ascii="Arial Narrow" w:hAnsi="Arial Narrow"/>
                <w:sz w:val="18"/>
                <w:szCs w:val="18"/>
              </w:rPr>
            </w:pPr>
            <w:r w:rsidRPr="00B46BBA">
              <w:rPr>
                <w:rFonts w:ascii="Arial Narrow" w:hAnsi="Arial Narrow" w:cs="Calibri-Bold"/>
                <w:b/>
                <w:bCs/>
                <w:sz w:val="18"/>
                <w:szCs w:val="18"/>
              </w:rPr>
              <w:t>FEV1</w:t>
            </w:r>
          </w:p>
        </w:tc>
        <w:tc>
          <w:tcPr>
            <w:tcW w:w="1227" w:type="dxa"/>
          </w:tcPr>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Absolute change</w:t>
            </w:r>
          </w:p>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from baseline in</w:t>
            </w:r>
          </w:p>
          <w:p w:rsidR="00BC4D43" w:rsidRPr="00B46BBA" w:rsidRDefault="00BC4D43" w:rsidP="00BC4D43">
            <w:pPr>
              <w:pStyle w:val="ListParagraph"/>
              <w:ind w:left="0"/>
              <w:jc w:val="both"/>
              <w:rPr>
                <w:rFonts w:ascii="Arial Narrow" w:hAnsi="Arial Narrow"/>
                <w:sz w:val="18"/>
                <w:szCs w:val="18"/>
              </w:rPr>
            </w:pPr>
            <w:r w:rsidRPr="00B46BBA">
              <w:rPr>
                <w:rFonts w:ascii="Arial Narrow" w:hAnsi="Arial Narrow" w:cs="Calibri-Bold"/>
                <w:b/>
                <w:bCs/>
                <w:sz w:val="18"/>
                <w:szCs w:val="18"/>
              </w:rPr>
              <w:t>sweat chloride</w:t>
            </w:r>
          </w:p>
          <w:p w:rsidR="00BC4D43" w:rsidRPr="00B46BBA" w:rsidRDefault="00BC4D43" w:rsidP="00BC4D43">
            <w:pPr>
              <w:rPr>
                <w:rFonts w:ascii="Arial Narrow" w:hAnsi="Arial Narrow"/>
                <w:sz w:val="18"/>
                <w:szCs w:val="18"/>
              </w:rPr>
            </w:pPr>
          </w:p>
        </w:tc>
        <w:tc>
          <w:tcPr>
            <w:tcW w:w="1186" w:type="dxa"/>
          </w:tcPr>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Time to first</w:t>
            </w:r>
          </w:p>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pulmonary</w:t>
            </w:r>
          </w:p>
          <w:p w:rsidR="00BC4D43" w:rsidRPr="00B46BBA" w:rsidRDefault="00BC4D43" w:rsidP="00BC4D43">
            <w:pPr>
              <w:pStyle w:val="ListParagraph"/>
              <w:ind w:left="0"/>
              <w:jc w:val="both"/>
              <w:rPr>
                <w:rFonts w:ascii="Arial Narrow" w:hAnsi="Arial Narrow"/>
                <w:sz w:val="18"/>
                <w:szCs w:val="18"/>
              </w:rPr>
            </w:pPr>
            <w:r w:rsidRPr="00B46BBA">
              <w:rPr>
                <w:rFonts w:ascii="Arial Narrow" w:hAnsi="Arial Narrow" w:cs="Calibri-Bold"/>
                <w:b/>
                <w:bCs/>
                <w:sz w:val="18"/>
                <w:szCs w:val="18"/>
              </w:rPr>
              <w:t>exacerbation</w:t>
            </w:r>
          </w:p>
        </w:tc>
        <w:tc>
          <w:tcPr>
            <w:tcW w:w="1228" w:type="dxa"/>
          </w:tcPr>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Absolute</w:t>
            </w:r>
          </w:p>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change from</w:t>
            </w:r>
          </w:p>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baseline in</w:t>
            </w:r>
          </w:p>
          <w:p w:rsidR="00BC4D43" w:rsidRPr="00B46BBA" w:rsidRDefault="00BC4D43" w:rsidP="00BC4D43">
            <w:pPr>
              <w:pStyle w:val="ListParagraph"/>
              <w:ind w:left="0"/>
              <w:jc w:val="both"/>
              <w:rPr>
                <w:rFonts w:ascii="Arial Narrow" w:hAnsi="Arial Narrow"/>
                <w:sz w:val="18"/>
                <w:szCs w:val="18"/>
              </w:rPr>
            </w:pPr>
            <w:r w:rsidRPr="00B46BBA">
              <w:rPr>
                <w:rFonts w:ascii="Arial Narrow" w:hAnsi="Arial Narrow" w:cs="Calibri-Bold"/>
                <w:b/>
                <w:bCs/>
                <w:sz w:val="18"/>
                <w:szCs w:val="18"/>
              </w:rPr>
              <w:t>weight</w:t>
            </w:r>
          </w:p>
        </w:tc>
        <w:tc>
          <w:tcPr>
            <w:tcW w:w="1323" w:type="dxa"/>
          </w:tcPr>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Absolute</w:t>
            </w:r>
          </w:p>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change from</w:t>
            </w:r>
          </w:p>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baseline in CFQ-R</w:t>
            </w:r>
          </w:p>
        </w:tc>
      </w:tr>
      <w:tr w:rsidR="00B46BBA" w:rsidRPr="00B46BBA" w:rsidTr="00171158">
        <w:tc>
          <w:tcPr>
            <w:tcW w:w="1214" w:type="dxa"/>
          </w:tcPr>
          <w:p w:rsidR="00BC4D43" w:rsidRPr="00B46BBA" w:rsidRDefault="00BC4D43" w:rsidP="0006694D">
            <w:pPr>
              <w:pStyle w:val="ListParagraph"/>
              <w:ind w:left="0"/>
              <w:jc w:val="both"/>
              <w:rPr>
                <w:rFonts w:ascii="Arial Narrow" w:hAnsi="Arial Narrow"/>
                <w:sz w:val="18"/>
                <w:szCs w:val="18"/>
              </w:rPr>
            </w:pPr>
            <w:r w:rsidRPr="00B46BBA">
              <w:rPr>
                <w:rFonts w:ascii="Arial Narrow" w:hAnsi="Arial Narrow" w:cs="Calibri-Bold"/>
                <w:b/>
                <w:bCs/>
                <w:sz w:val="18"/>
                <w:szCs w:val="18"/>
              </w:rPr>
              <w:t>Trial</w:t>
            </w:r>
          </w:p>
        </w:tc>
        <w:tc>
          <w:tcPr>
            <w:tcW w:w="914" w:type="dxa"/>
          </w:tcPr>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w:t>
            </w:r>
          </w:p>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predicted FEV1</w:t>
            </w:r>
          </w:p>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at</w:t>
            </w:r>
          </w:p>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screening</w:t>
            </w:r>
          </w:p>
        </w:tc>
        <w:tc>
          <w:tcPr>
            <w:tcW w:w="1271" w:type="dxa"/>
          </w:tcPr>
          <w:p w:rsidR="00BC4D43" w:rsidRPr="00B46BBA" w:rsidRDefault="00BC4D43" w:rsidP="0006694D">
            <w:pPr>
              <w:pStyle w:val="ListParagraph"/>
              <w:ind w:left="0"/>
              <w:jc w:val="both"/>
              <w:rPr>
                <w:rFonts w:ascii="Arial Narrow" w:hAnsi="Arial Narrow"/>
                <w:sz w:val="18"/>
                <w:szCs w:val="18"/>
              </w:rPr>
            </w:pPr>
          </w:p>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Treatment</w:t>
            </w:r>
          </w:p>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effect</w:t>
            </w:r>
          </w:p>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difference:</w:t>
            </w:r>
          </w:p>
          <w:p w:rsidR="00BC4D43" w:rsidRPr="00B46BBA" w:rsidRDefault="00BC4D43" w:rsidP="00BC4D43">
            <w:pPr>
              <w:rPr>
                <w:rFonts w:ascii="Arial Narrow" w:hAnsi="Arial Narrow"/>
                <w:sz w:val="18"/>
                <w:szCs w:val="18"/>
              </w:rPr>
            </w:pPr>
            <w:r w:rsidRPr="00B46BBA">
              <w:rPr>
                <w:rFonts w:ascii="Arial Narrow" w:hAnsi="Arial Narrow" w:cs="Calibri-Bold"/>
                <w:b/>
                <w:bCs/>
                <w:sz w:val="18"/>
                <w:szCs w:val="18"/>
              </w:rPr>
              <w:t>% (95%CI)</w:t>
            </w:r>
          </w:p>
          <w:p w:rsidR="00BC4D43" w:rsidRPr="00B46BBA" w:rsidRDefault="00BC4D43" w:rsidP="00BC4D43">
            <w:pPr>
              <w:rPr>
                <w:rFonts w:ascii="Arial Narrow" w:hAnsi="Arial Narrow"/>
                <w:sz w:val="18"/>
                <w:szCs w:val="18"/>
              </w:rPr>
            </w:pPr>
          </w:p>
        </w:tc>
        <w:tc>
          <w:tcPr>
            <w:tcW w:w="1227" w:type="dxa"/>
          </w:tcPr>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Treatment effect</w:t>
            </w:r>
          </w:p>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difference:</w:t>
            </w:r>
          </w:p>
          <w:p w:rsidR="00BC4D43" w:rsidRPr="00B46BBA" w:rsidRDefault="00BC4D43" w:rsidP="00BC4D43">
            <w:pPr>
              <w:pStyle w:val="ListParagraph"/>
              <w:ind w:left="0"/>
              <w:jc w:val="both"/>
              <w:rPr>
                <w:rFonts w:ascii="Arial Narrow" w:hAnsi="Arial Narrow"/>
                <w:sz w:val="18"/>
                <w:szCs w:val="18"/>
              </w:rPr>
            </w:pPr>
            <w:r w:rsidRPr="00B46BBA">
              <w:rPr>
                <w:rFonts w:ascii="Arial Narrow" w:hAnsi="Arial Narrow" w:cs="Calibri-Bold"/>
                <w:b/>
                <w:bCs/>
                <w:sz w:val="18"/>
                <w:szCs w:val="18"/>
              </w:rPr>
              <w:t>mmol/L (95% CI):</w:t>
            </w:r>
          </w:p>
        </w:tc>
        <w:tc>
          <w:tcPr>
            <w:tcW w:w="1186" w:type="dxa"/>
          </w:tcPr>
          <w:p w:rsidR="00BC4D43" w:rsidRPr="00B46BBA" w:rsidRDefault="00BC4D43" w:rsidP="0006694D">
            <w:pPr>
              <w:pStyle w:val="ListParagraph"/>
              <w:ind w:left="0"/>
              <w:jc w:val="both"/>
              <w:rPr>
                <w:rFonts w:ascii="Arial Narrow" w:hAnsi="Arial Narrow"/>
                <w:sz w:val="18"/>
                <w:szCs w:val="18"/>
              </w:rPr>
            </w:pPr>
            <w:r w:rsidRPr="00B46BBA">
              <w:rPr>
                <w:rFonts w:ascii="Arial Narrow" w:hAnsi="Arial Narrow" w:cs="Calibri-Bold"/>
                <w:b/>
                <w:bCs/>
                <w:sz w:val="18"/>
                <w:szCs w:val="18"/>
              </w:rPr>
              <w:t>Hazard ratio</w:t>
            </w:r>
          </w:p>
        </w:tc>
        <w:tc>
          <w:tcPr>
            <w:tcW w:w="1228" w:type="dxa"/>
          </w:tcPr>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Treatment</w:t>
            </w:r>
          </w:p>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effect</w:t>
            </w:r>
          </w:p>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difference:</w:t>
            </w:r>
          </w:p>
          <w:p w:rsidR="00BC4D43" w:rsidRPr="00B46BBA" w:rsidRDefault="00BC4D43" w:rsidP="00BC4D43">
            <w:pPr>
              <w:pStyle w:val="ListParagraph"/>
              <w:ind w:left="0"/>
              <w:jc w:val="both"/>
              <w:rPr>
                <w:rFonts w:ascii="Arial Narrow" w:hAnsi="Arial Narrow"/>
                <w:sz w:val="18"/>
                <w:szCs w:val="18"/>
              </w:rPr>
            </w:pPr>
            <w:r w:rsidRPr="00B46BBA">
              <w:rPr>
                <w:rFonts w:ascii="Arial Narrow" w:hAnsi="Arial Narrow" w:cs="Calibri-Bold"/>
                <w:b/>
                <w:bCs/>
                <w:sz w:val="18"/>
                <w:szCs w:val="18"/>
              </w:rPr>
              <w:t>kg (95%CI)</w:t>
            </w:r>
          </w:p>
        </w:tc>
        <w:tc>
          <w:tcPr>
            <w:tcW w:w="1323" w:type="dxa"/>
          </w:tcPr>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Treatment</w:t>
            </w:r>
          </w:p>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effect</w:t>
            </w:r>
          </w:p>
          <w:p w:rsidR="00BC4D43" w:rsidRPr="00B46BBA" w:rsidRDefault="00BC4D43" w:rsidP="00BC4D43">
            <w:pPr>
              <w:autoSpaceDE w:val="0"/>
              <w:autoSpaceDN w:val="0"/>
              <w:adjustRightInd w:val="0"/>
              <w:rPr>
                <w:rFonts w:ascii="Arial Narrow" w:hAnsi="Arial Narrow" w:cs="Calibri-Bold"/>
                <w:b/>
                <w:bCs/>
                <w:sz w:val="18"/>
                <w:szCs w:val="18"/>
              </w:rPr>
            </w:pPr>
            <w:r w:rsidRPr="00B46BBA">
              <w:rPr>
                <w:rFonts w:ascii="Arial Narrow" w:hAnsi="Arial Narrow" w:cs="Calibri-Bold"/>
                <w:b/>
                <w:bCs/>
                <w:sz w:val="18"/>
                <w:szCs w:val="18"/>
              </w:rPr>
              <w:t>difference:</w:t>
            </w:r>
          </w:p>
          <w:p w:rsidR="00BC4D43" w:rsidRPr="00B46BBA" w:rsidRDefault="00BC4D43" w:rsidP="00BC4D43">
            <w:pPr>
              <w:pStyle w:val="ListParagraph"/>
              <w:ind w:left="0"/>
              <w:jc w:val="both"/>
              <w:rPr>
                <w:rFonts w:ascii="Arial Narrow" w:hAnsi="Arial Narrow"/>
                <w:sz w:val="18"/>
                <w:szCs w:val="18"/>
              </w:rPr>
            </w:pPr>
            <w:r w:rsidRPr="00B46BBA">
              <w:rPr>
                <w:rFonts w:ascii="Arial Narrow" w:hAnsi="Arial Narrow" w:cs="Calibri-Bold"/>
                <w:b/>
                <w:bCs/>
                <w:sz w:val="18"/>
                <w:szCs w:val="18"/>
              </w:rPr>
              <w:t>units (95%CI)</w:t>
            </w:r>
          </w:p>
        </w:tc>
      </w:tr>
      <w:tr w:rsidR="00B46BBA" w:rsidRPr="00B46BBA" w:rsidTr="00171158">
        <w:tc>
          <w:tcPr>
            <w:tcW w:w="1214" w:type="dxa"/>
          </w:tcPr>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STRIVE</w:t>
            </w:r>
          </w:p>
          <w:p w:rsidR="00BC4D43" w:rsidRPr="00B46BBA" w:rsidRDefault="00BC4D43" w:rsidP="00BC4D43">
            <w:pPr>
              <w:autoSpaceDE w:val="0"/>
              <w:autoSpaceDN w:val="0"/>
              <w:adjustRightInd w:val="0"/>
              <w:rPr>
                <w:rFonts w:ascii="Arial Narrow" w:hAnsi="Arial Narrow" w:cs="Calibri"/>
                <w:sz w:val="18"/>
                <w:szCs w:val="18"/>
                <w:u w:val="single"/>
              </w:rPr>
            </w:pPr>
            <w:r w:rsidRPr="00B46BBA">
              <w:rPr>
                <w:rFonts w:ascii="Arial Narrow" w:hAnsi="Arial Narrow" w:cs="Calibri"/>
                <w:sz w:val="18"/>
                <w:szCs w:val="18"/>
                <w:u w:val="single"/>
              </w:rPr>
              <w:t>To Week 24:</w:t>
            </w:r>
          </w:p>
          <w:p w:rsidR="00BC4D43" w:rsidRPr="00B46BBA" w:rsidRDefault="00BC4D43" w:rsidP="00BC4D43">
            <w:pPr>
              <w:autoSpaceDE w:val="0"/>
              <w:autoSpaceDN w:val="0"/>
              <w:adjustRightInd w:val="0"/>
              <w:rPr>
                <w:rFonts w:ascii="Arial Narrow" w:hAnsi="Arial Narrow" w:cs="Calibri"/>
                <w:sz w:val="18"/>
                <w:szCs w:val="18"/>
                <w:u w:val="single"/>
              </w:rPr>
            </w:pPr>
          </w:p>
          <w:p w:rsidR="00BC4D43" w:rsidRPr="00B46BBA" w:rsidRDefault="00BC4D43" w:rsidP="00BC4D43">
            <w:pPr>
              <w:autoSpaceDE w:val="0"/>
              <w:autoSpaceDN w:val="0"/>
              <w:adjustRightInd w:val="0"/>
              <w:rPr>
                <w:rFonts w:ascii="Arial Narrow" w:hAnsi="Arial Narrow" w:cs="Calibri"/>
                <w:sz w:val="18"/>
                <w:szCs w:val="18"/>
                <w:u w:val="single"/>
              </w:rPr>
            </w:pPr>
          </w:p>
          <w:p w:rsidR="00957CBF" w:rsidRPr="00B46BBA" w:rsidRDefault="00957CBF" w:rsidP="00BC4D43">
            <w:pPr>
              <w:autoSpaceDE w:val="0"/>
              <w:autoSpaceDN w:val="0"/>
              <w:adjustRightInd w:val="0"/>
              <w:rPr>
                <w:rFonts w:ascii="Arial Narrow" w:hAnsi="Arial Narrow" w:cs="Calibri"/>
                <w:sz w:val="18"/>
                <w:szCs w:val="18"/>
                <w:u w:val="single"/>
              </w:rPr>
            </w:pPr>
          </w:p>
          <w:p w:rsidR="00BC4D43" w:rsidRPr="00B46BBA" w:rsidRDefault="00BC4D43" w:rsidP="00BC4D43">
            <w:pPr>
              <w:pStyle w:val="ListParagraph"/>
              <w:ind w:left="0"/>
              <w:jc w:val="both"/>
              <w:rPr>
                <w:rFonts w:ascii="Arial Narrow" w:hAnsi="Arial Narrow"/>
                <w:sz w:val="18"/>
                <w:szCs w:val="18"/>
              </w:rPr>
            </w:pPr>
            <w:r w:rsidRPr="00B46BBA">
              <w:rPr>
                <w:rFonts w:ascii="Arial Narrow" w:hAnsi="Arial Narrow" w:cs="Calibri"/>
                <w:sz w:val="18"/>
                <w:szCs w:val="18"/>
                <w:u w:val="single"/>
              </w:rPr>
              <w:t>To Week 48:</w:t>
            </w:r>
          </w:p>
        </w:tc>
        <w:tc>
          <w:tcPr>
            <w:tcW w:w="914" w:type="dxa"/>
          </w:tcPr>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40% to</w:t>
            </w:r>
          </w:p>
          <w:p w:rsidR="00BC4D43" w:rsidRPr="00B46BBA" w:rsidRDefault="00BC4D43" w:rsidP="00BC4D43">
            <w:pPr>
              <w:pStyle w:val="ListParagraph"/>
              <w:ind w:left="0"/>
              <w:jc w:val="both"/>
              <w:rPr>
                <w:rFonts w:ascii="Arial Narrow" w:hAnsi="Arial Narrow"/>
                <w:sz w:val="18"/>
                <w:szCs w:val="18"/>
              </w:rPr>
            </w:pPr>
            <w:r w:rsidRPr="00B46BBA">
              <w:rPr>
                <w:rFonts w:ascii="Arial Narrow" w:hAnsi="Arial Narrow" w:cs="Calibri"/>
                <w:sz w:val="18"/>
                <w:szCs w:val="18"/>
              </w:rPr>
              <w:t>70%</w:t>
            </w:r>
          </w:p>
        </w:tc>
        <w:tc>
          <w:tcPr>
            <w:tcW w:w="1271" w:type="dxa"/>
          </w:tcPr>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10.58</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(8.57, 12.59)</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P &lt; 0.0001</w:t>
            </w:r>
          </w:p>
          <w:p w:rsidR="00BC4D43" w:rsidRPr="00B46BBA" w:rsidRDefault="00BC4D43" w:rsidP="00BC4D43">
            <w:pPr>
              <w:autoSpaceDE w:val="0"/>
              <w:autoSpaceDN w:val="0"/>
              <w:adjustRightInd w:val="0"/>
              <w:rPr>
                <w:rFonts w:ascii="Arial Narrow" w:hAnsi="Arial Narrow" w:cs="Calibri"/>
                <w:sz w:val="18"/>
                <w:szCs w:val="18"/>
              </w:rPr>
            </w:pPr>
          </w:p>
          <w:p w:rsidR="00957CBF" w:rsidRPr="00B46BBA" w:rsidRDefault="00957CBF" w:rsidP="00BC4D43">
            <w:pPr>
              <w:autoSpaceDE w:val="0"/>
              <w:autoSpaceDN w:val="0"/>
              <w:adjustRightInd w:val="0"/>
              <w:rPr>
                <w:rFonts w:ascii="Arial Narrow" w:hAnsi="Arial Narrow" w:cs="Calibri"/>
                <w:sz w:val="18"/>
                <w:szCs w:val="18"/>
              </w:rPr>
            </w:pP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10.50</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(8.50, 12.50)</w:t>
            </w:r>
          </w:p>
          <w:p w:rsidR="00BC4D43" w:rsidRPr="00B46BBA" w:rsidRDefault="00BC4D43" w:rsidP="00BC4D43">
            <w:pPr>
              <w:pStyle w:val="ListParagraph"/>
              <w:ind w:left="0"/>
              <w:jc w:val="both"/>
              <w:rPr>
                <w:rFonts w:ascii="Arial Narrow" w:hAnsi="Arial Narrow"/>
                <w:sz w:val="18"/>
                <w:szCs w:val="18"/>
              </w:rPr>
            </w:pPr>
            <w:r w:rsidRPr="00B46BBA">
              <w:rPr>
                <w:rFonts w:ascii="Arial Narrow" w:hAnsi="Arial Narrow" w:cs="Calibri"/>
                <w:sz w:val="18"/>
                <w:szCs w:val="18"/>
              </w:rPr>
              <w:t>P &lt; 0.0001</w:t>
            </w:r>
          </w:p>
        </w:tc>
        <w:tc>
          <w:tcPr>
            <w:tcW w:w="1227" w:type="dxa"/>
          </w:tcPr>
          <w:p w:rsidR="00BC4D43" w:rsidRPr="00B46BBA" w:rsidRDefault="00BC4D43" w:rsidP="00BC4D43">
            <w:pPr>
              <w:autoSpaceDE w:val="0"/>
              <w:autoSpaceDN w:val="0"/>
              <w:adjustRightInd w:val="0"/>
              <w:rPr>
                <w:rFonts w:ascii="Arial Narrow" w:hAnsi="Arial Narrow" w:cs="Calibri"/>
                <w:sz w:val="18"/>
                <w:szCs w:val="18"/>
              </w:rPr>
            </w:pPr>
            <w:r w:rsidRPr="00B46BBA">
              <w:rPr>
                <w:rFonts w:ascii="Cambria Math" w:hAnsi="Cambria Math" w:cs="Cambria Math"/>
                <w:sz w:val="18"/>
                <w:szCs w:val="18"/>
              </w:rPr>
              <w:t>‐</w:t>
            </w:r>
            <w:r w:rsidRPr="00B46BBA">
              <w:rPr>
                <w:rFonts w:ascii="Arial Narrow" w:hAnsi="Arial Narrow" w:cs="Calibri"/>
                <w:sz w:val="18"/>
                <w:szCs w:val="18"/>
              </w:rPr>
              <w:t>47.93</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w:t>
            </w:r>
            <w:r w:rsidRPr="00B46BBA">
              <w:rPr>
                <w:rFonts w:ascii="Cambria Math" w:hAnsi="Cambria Math" w:cs="Cambria Math"/>
                <w:sz w:val="18"/>
                <w:szCs w:val="18"/>
              </w:rPr>
              <w:t>‐</w:t>
            </w:r>
            <w:r w:rsidRPr="00B46BBA">
              <w:rPr>
                <w:rFonts w:ascii="Arial Narrow" w:hAnsi="Arial Narrow" w:cs="Calibri"/>
                <w:sz w:val="18"/>
                <w:szCs w:val="18"/>
              </w:rPr>
              <w:t xml:space="preserve">51.34, </w:t>
            </w:r>
            <w:r w:rsidRPr="00B46BBA">
              <w:rPr>
                <w:rFonts w:ascii="Cambria Math" w:hAnsi="Cambria Math" w:cs="Cambria Math"/>
                <w:sz w:val="18"/>
                <w:szCs w:val="18"/>
              </w:rPr>
              <w:t>‐</w:t>
            </w:r>
            <w:r w:rsidRPr="00B46BBA">
              <w:rPr>
                <w:rFonts w:ascii="Arial Narrow" w:hAnsi="Arial Narrow" w:cs="Calibri"/>
                <w:sz w:val="18"/>
                <w:szCs w:val="18"/>
              </w:rPr>
              <w:t>44.52)</w:t>
            </w:r>
          </w:p>
          <w:p w:rsidR="00BC4D43" w:rsidRPr="00B46BBA" w:rsidRDefault="00BC4D43" w:rsidP="00BC4D43">
            <w:pPr>
              <w:pStyle w:val="ListParagraph"/>
              <w:ind w:left="0"/>
              <w:jc w:val="both"/>
              <w:rPr>
                <w:rFonts w:ascii="Arial Narrow" w:hAnsi="Arial Narrow" w:cs="Calibri"/>
                <w:sz w:val="18"/>
                <w:szCs w:val="18"/>
              </w:rPr>
            </w:pPr>
            <w:r w:rsidRPr="00B46BBA">
              <w:rPr>
                <w:rFonts w:ascii="Arial Narrow" w:hAnsi="Arial Narrow" w:cs="Calibri"/>
                <w:sz w:val="18"/>
                <w:szCs w:val="18"/>
              </w:rPr>
              <w:t>P &lt; 0.0001</w:t>
            </w:r>
          </w:p>
          <w:p w:rsidR="00957CBF" w:rsidRPr="00B46BBA" w:rsidRDefault="00957CBF" w:rsidP="00BC4D43">
            <w:pPr>
              <w:pStyle w:val="ListParagraph"/>
              <w:ind w:left="0"/>
              <w:jc w:val="both"/>
              <w:rPr>
                <w:rFonts w:ascii="Arial Narrow" w:hAnsi="Arial Narrow" w:cs="Calibri"/>
                <w:sz w:val="18"/>
                <w:szCs w:val="18"/>
              </w:rPr>
            </w:pPr>
          </w:p>
          <w:p w:rsidR="00BC4D43" w:rsidRPr="00B46BBA" w:rsidRDefault="00BC4D43" w:rsidP="00BC4D43">
            <w:pPr>
              <w:autoSpaceDE w:val="0"/>
              <w:autoSpaceDN w:val="0"/>
              <w:adjustRightInd w:val="0"/>
              <w:rPr>
                <w:rFonts w:ascii="Arial Narrow" w:hAnsi="Arial Narrow" w:cs="Calibri"/>
                <w:sz w:val="18"/>
                <w:szCs w:val="18"/>
              </w:rPr>
            </w:pPr>
            <w:r w:rsidRPr="00B46BBA">
              <w:rPr>
                <w:rFonts w:ascii="Cambria Math" w:hAnsi="Cambria Math" w:cs="Cambria Math"/>
                <w:sz w:val="18"/>
                <w:szCs w:val="18"/>
              </w:rPr>
              <w:t>‐</w:t>
            </w:r>
            <w:r w:rsidRPr="00B46BBA">
              <w:rPr>
                <w:rFonts w:ascii="Arial Narrow" w:hAnsi="Arial Narrow" w:cs="Calibri"/>
                <w:sz w:val="18"/>
                <w:szCs w:val="18"/>
              </w:rPr>
              <w:t>48.07</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w:t>
            </w:r>
            <w:r w:rsidRPr="00B46BBA">
              <w:rPr>
                <w:rFonts w:ascii="Cambria Math" w:hAnsi="Cambria Math" w:cs="Cambria Math"/>
                <w:sz w:val="18"/>
                <w:szCs w:val="18"/>
              </w:rPr>
              <w:t>‐</w:t>
            </w:r>
            <w:r w:rsidRPr="00B46BBA">
              <w:rPr>
                <w:rFonts w:ascii="Arial Narrow" w:hAnsi="Arial Narrow" w:cs="Calibri"/>
                <w:sz w:val="18"/>
                <w:szCs w:val="18"/>
              </w:rPr>
              <w:t xml:space="preserve">51.47, </w:t>
            </w:r>
            <w:r w:rsidRPr="00B46BBA">
              <w:rPr>
                <w:rFonts w:ascii="Cambria Math" w:hAnsi="Cambria Math" w:cs="Cambria Math"/>
                <w:sz w:val="18"/>
                <w:szCs w:val="18"/>
              </w:rPr>
              <w:t>‐</w:t>
            </w:r>
            <w:r w:rsidRPr="00B46BBA">
              <w:rPr>
                <w:rFonts w:ascii="Arial Narrow" w:hAnsi="Arial Narrow" w:cs="Calibri"/>
                <w:sz w:val="18"/>
                <w:szCs w:val="18"/>
              </w:rPr>
              <w:t>44.68)</w:t>
            </w:r>
          </w:p>
          <w:p w:rsidR="00BC4D43" w:rsidRPr="00B46BBA" w:rsidRDefault="00BC4D43" w:rsidP="00BC4D43">
            <w:pPr>
              <w:pStyle w:val="ListParagraph"/>
              <w:ind w:left="0"/>
              <w:jc w:val="both"/>
              <w:rPr>
                <w:rFonts w:ascii="Arial Narrow" w:hAnsi="Arial Narrow"/>
                <w:sz w:val="18"/>
                <w:szCs w:val="18"/>
              </w:rPr>
            </w:pPr>
            <w:r w:rsidRPr="00B46BBA">
              <w:rPr>
                <w:rFonts w:ascii="Arial Narrow" w:hAnsi="Arial Narrow" w:cs="Calibri"/>
                <w:sz w:val="18"/>
                <w:szCs w:val="18"/>
              </w:rPr>
              <w:t>P &lt; 0.0001</w:t>
            </w:r>
          </w:p>
        </w:tc>
        <w:tc>
          <w:tcPr>
            <w:tcW w:w="1186" w:type="dxa"/>
          </w:tcPr>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0.399</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(0.225, 0.706)</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P = 0.0016</w:t>
            </w:r>
          </w:p>
          <w:p w:rsidR="00957CBF" w:rsidRPr="00B46BBA" w:rsidRDefault="00957CBF" w:rsidP="00BC4D43">
            <w:pPr>
              <w:autoSpaceDE w:val="0"/>
              <w:autoSpaceDN w:val="0"/>
              <w:adjustRightInd w:val="0"/>
              <w:rPr>
                <w:rFonts w:ascii="Arial Narrow" w:hAnsi="Arial Narrow" w:cs="Calibri"/>
                <w:sz w:val="18"/>
                <w:szCs w:val="18"/>
              </w:rPr>
            </w:pPr>
          </w:p>
          <w:p w:rsidR="00957CBF" w:rsidRPr="00B46BBA" w:rsidRDefault="00957CBF" w:rsidP="00BC4D43">
            <w:pPr>
              <w:autoSpaceDE w:val="0"/>
              <w:autoSpaceDN w:val="0"/>
              <w:adjustRightInd w:val="0"/>
              <w:rPr>
                <w:rFonts w:ascii="Arial Narrow" w:hAnsi="Arial Narrow" w:cs="Calibri"/>
                <w:sz w:val="18"/>
                <w:szCs w:val="18"/>
              </w:rPr>
            </w:pP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0.455</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(0.282, 0.733)</w:t>
            </w:r>
          </w:p>
          <w:p w:rsidR="00BC4D43" w:rsidRPr="00B46BBA" w:rsidRDefault="00BC4D43" w:rsidP="00BC4D43">
            <w:pPr>
              <w:pStyle w:val="ListParagraph"/>
              <w:ind w:left="0"/>
              <w:jc w:val="both"/>
              <w:rPr>
                <w:rFonts w:ascii="Arial Narrow" w:hAnsi="Arial Narrow"/>
                <w:sz w:val="18"/>
                <w:szCs w:val="18"/>
              </w:rPr>
            </w:pPr>
            <w:r w:rsidRPr="00B46BBA">
              <w:rPr>
                <w:rFonts w:ascii="Arial Narrow" w:hAnsi="Arial Narrow" w:cs="Calibri"/>
                <w:sz w:val="18"/>
                <w:szCs w:val="18"/>
              </w:rPr>
              <w:t>P = 0.0012</w:t>
            </w:r>
          </w:p>
        </w:tc>
        <w:tc>
          <w:tcPr>
            <w:tcW w:w="1228" w:type="dxa"/>
          </w:tcPr>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2.75</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(1.76, 3.74)</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P &lt; 0.0001</w:t>
            </w:r>
          </w:p>
          <w:p w:rsidR="00957CBF" w:rsidRPr="00B46BBA" w:rsidRDefault="00957CBF" w:rsidP="00BC4D43">
            <w:pPr>
              <w:autoSpaceDE w:val="0"/>
              <w:autoSpaceDN w:val="0"/>
              <w:adjustRightInd w:val="0"/>
              <w:rPr>
                <w:rFonts w:ascii="Arial Narrow" w:hAnsi="Arial Narrow" w:cs="Calibri"/>
                <w:sz w:val="18"/>
                <w:szCs w:val="18"/>
              </w:rPr>
            </w:pPr>
          </w:p>
          <w:p w:rsidR="00957CBF" w:rsidRPr="00B46BBA" w:rsidRDefault="00957CBF" w:rsidP="00BC4D43">
            <w:pPr>
              <w:autoSpaceDE w:val="0"/>
              <w:autoSpaceDN w:val="0"/>
              <w:adjustRightInd w:val="0"/>
              <w:rPr>
                <w:rFonts w:ascii="Arial Narrow" w:hAnsi="Arial Narrow" w:cs="Calibri"/>
                <w:sz w:val="18"/>
                <w:szCs w:val="18"/>
              </w:rPr>
            </w:pP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2.71</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(1.33, 4.09)</w:t>
            </w:r>
          </w:p>
          <w:p w:rsidR="00BC4D43" w:rsidRPr="00B46BBA" w:rsidRDefault="00BC4D43" w:rsidP="00BC4D43">
            <w:pPr>
              <w:pStyle w:val="ListParagraph"/>
              <w:ind w:left="0"/>
              <w:jc w:val="both"/>
              <w:rPr>
                <w:rFonts w:ascii="Arial Narrow" w:hAnsi="Arial Narrow"/>
                <w:sz w:val="18"/>
                <w:szCs w:val="18"/>
              </w:rPr>
            </w:pPr>
            <w:r w:rsidRPr="00B46BBA">
              <w:rPr>
                <w:rFonts w:ascii="Arial Narrow" w:hAnsi="Arial Narrow" w:cs="Calibri"/>
                <w:sz w:val="18"/>
                <w:szCs w:val="18"/>
              </w:rPr>
              <w:t>P = 0.0001</w:t>
            </w:r>
          </w:p>
        </w:tc>
        <w:tc>
          <w:tcPr>
            <w:tcW w:w="1323" w:type="dxa"/>
          </w:tcPr>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8.08</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(4.73, 11.42)</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P &lt; 0.0001</w:t>
            </w:r>
          </w:p>
          <w:p w:rsidR="00957CBF" w:rsidRPr="00B46BBA" w:rsidRDefault="00957CBF" w:rsidP="00BC4D43">
            <w:pPr>
              <w:autoSpaceDE w:val="0"/>
              <w:autoSpaceDN w:val="0"/>
              <w:adjustRightInd w:val="0"/>
              <w:rPr>
                <w:rFonts w:ascii="Arial Narrow" w:hAnsi="Arial Narrow" w:cs="Calibri"/>
                <w:sz w:val="18"/>
                <w:szCs w:val="18"/>
              </w:rPr>
            </w:pPr>
          </w:p>
          <w:p w:rsidR="00957CBF" w:rsidRPr="00B46BBA" w:rsidRDefault="00957CBF" w:rsidP="00BC4D43">
            <w:pPr>
              <w:autoSpaceDE w:val="0"/>
              <w:autoSpaceDN w:val="0"/>
              <w:adjustRightInd w:val="0"/>
              <w:rPr>
                <w:rFonts w:ascii="Arial Narrow" w:hAnsi="Arial Narrow" w:cs="Calibri"/>
                <w:sz w:val="18"/>
                <w:szCs w:val="18"/>
              </w:rPr>
            </w:pP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8.60</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(5.32, 11.87)</w:t>
            </w:r>
          </w:p>
          <w:p w:rsidR="00BC4D43" w:rsidRPr="00B46BBA" w:rsidRDefault="00BC4D43" w:rsidP="00BC4D43">
            <w:pPr>
              <w:pStyle w:val="ListParagraph"/>
              <w:ind w:left="0"/>
              <w:jc w:val="both"/>
              <w:rPr>
                <w:rFonts w:ascii="Arial Narrow" w:hAnsi="Arial Narrow"/>
                <w:sz w:val="18"/>
                <w:szCs w:val="18"/>
              </w:rPr>
            </w:pPr>
            <w:r w:rsidRPr="00B46BBA">
              <w:rPr>
                <w:rFonts w:ascii="Arial Narrow" w:hAnsi="Arial Narrow" w:cs="Calibri"/>
                <w:sz w:val="18"/>
                <w:szCs w:val="18"/>
              </w:rPr>
              <w:t>P &lt; 0.0001</w:t>
            </w:r>
          </w:p>
        </w:tc>
      </w:tr>
      <w:tr w:rsidR="00B46BBA" w:rsidRPr="00B46BBA" w:rsidTr="00171158">
        <w:tc>
          <w:tcPr>
            <w:tcW w:w="1214" w:type="dxa"/>
          </w:tcPr>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ENVISION</w:t>
            </w:r>
          </w:p>
          <w:p w:rsidR="00BC4D43" w:rsidRPr="00B46BBA" w:rsidRDefault="00BC4D43" w:rsidP="00BC4D43">
            <w:pPr>
              <w:autoSpaceDE w:val="0"/>
              <w:autoSpaceDN w:val="0"/>
              <w:adjustRightInd w:val="0"/>
              <w:rPr>
                <w:rFonts w:ascii="Arial Narrow" w:hAnsi="Arial Narrow" w:cs="Calibri"/>
                <w:sz w:val="18"/>
                <w:szCs w:val="18"/>
                <w:u w:val="single"/>
              </w:rPr>
            </w:pPr>
            <w:r w:rsidRPr="00B46BBA">
              <w:rPr>
                <w:rFonts w:ascii="Arial Narrow" w:hAnsi="Arial Narrow" w:cs="Calibri"/>
                <w:sz w:val="18"/>
                <w:szCs w:val="18"/>
                <w:u w:val="single"/>
              </w:rPr>
              <w:t>To Week 24:</w:t>
            </w:r>
          </w:p>
          <w:p w:rsidR="00957CBF" w:rsidRPr="00B46BBA" w:rsidRDefault="00957CBF" w:rsidP="00BC4D43">
            <w:pPr>
              <w:autoSpaceDE w:val="0"/>
              <w:autoSpaceDN w:val="0"/>
              <w:adjustRightInd w:val="0"/>
              <w:rPr>
                <w:rFonts w:ascii="Arial Narrow" w:hAnsi="Arial Narrow" w:cs="Calibri"/>
                <w:sz w:val="18"/>
                <w:szCs w:val="18"/>
                <w:u w:val="single"/>
              </w:rPr>
            </w:pPr>
          </w:p>
          <w:p w:rsidR="00957CBF" w:rsidRPr="00B46BBA" w:rsidRDefault="00957CBF" w:rsidP="00BC4D43">
            <w:pPr>
              <w:autoSpaceDE w:val="0"/>
              <w:autoSpaceDN w:val="0"/>
              <w:adjustRightInd w:val="0"/>
              <w:rPr>
                <w:rFonts w:ascii="Arial Narrow" w:hAnsi="Arial Narrow" w:cs="Calibri"/>
                <w:sz w:val="18"/>
                <w:szCs w:val="18"/>
                <w:u w:val="single"/>
              </w:rPr>
            </w:pPr>
          </w:p>
          <w:p w:rsidR="00957CBF" w:rsidRPr="00B46BBA" w:rsidRDefault="00957CBF" w:rsidP="00BC4D43">
            <w:pPr>
              <w:autoSpaceDE w:val="0"/>
              <w:autoSpaceDN w:val="0"/>
              <w:adjustRightInd w:val="0"/>
              <w:rPr>
                <w:rFonts w:ascii="Arial Narrow" w:hAnsi="Arial Narrow" w:cs="Calibri"/>
                <w:sz w:val="18"/>
                <w:szCs w:val="18"/>
                <w:u w:val="single"/>
              </w:rPr>
            </w:pPr>
          </w:p>
          <w:p w:rsidR="00BC4D43" w:rsidRPr="00B46BBA" w:rsidRDefault="00BC4D43" w:rsidP="00BC4D43">
            <w:pPr>
              <w:pStyle w:val="ListParagraph"/>
              <w:ind w:left="0"/>
              <w:jc w:val="both"/>
              <w:rPr>
                <w:rFonts w:ascii="Arial Narrow" w:hAnsi="Arial Narrow"/>
                <w:sz w:val="18"/>
                <w:szCs w:val="18"/>
              </w:rPr>
            </w:pPr>
            <w:r w:rsidRPr="00B46BBA">
              <w:rPr>
                <w:rFonts w:ascii="Arial Narrow" w:hAnsi="Arial Narrow" w:cs="Calibri"/>
                <w:sz w:val="18"/>
                <w:szCs w:val="18"/>
                <w:u w:val="single"/>
              </w:rPr>
              <w:t>To Week 48:</w:t>
            </w:r>
          </w:p>
        </w:tc>
        <w:tc>
          <w:tcPr>
            <w:tcW w:w="914" w:type="dxa"/>
          </w:tcPr>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40% to</w:t>
            </w:r>
          </w:p>
          <w:p w:rsidR="00BC4D43" w:rsidRPr="00B46BBA" w:rsidRDefault="00BC4D43" w:rsidP="00BC4D43">
            <w:pPr>
              <w:pStyle w:val="ListParagraph"/>
              <w:ind w:left="0"/>
              <w:jc w:val="both"/>
              <w:rPr>
                <w:rFonts w:ascii="Arial Narrow" w:hAnsi="Arial Narrow"/>
                <w:sz w:val="18"/>
                <w:szCs w:val="18"/>
              </w:rPr>
            </w:pPr>
            <w:r w:rsidRPr="00B46BBA">
              <w:rPr>
                <w:rFonts w:ascii="Arial Narrow" w:hAnsi="Arial Narrow" w:cs="Calibri"/>
                <w:sz w:val="18"/>
                <w:szCs w:val="18"/>
              </w:rPr>
              <w:t>105%</w:t>
            </w:r>
          </w:p>
        </w:tc>
        <w:tc>
          <w:tcPr>
            <w:tcW w:w="1271" w:type="dxa"/>
          </w:tcPr>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12.45</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(6.56, 18.34)</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P &lt; 0.0001</w:t>
            </w:r>
          </w:p>
          <w:p w:rsidR="00957CBF" w:rsidRPr="00B46BBA" w:rsidRDefault="00957CBF" w:rsidP="00BC4D43">
            <w:pPr>
              <w:autoSpaceDE w:val="0"/>
              <w:autoSpaceDN w:val="0"/>
              <w:adjustRightInd w:val="0"/>
              <w:rPr>
                <w:rFonts w:ascii="Arial Narrow" w:hAnsi="Arial Narrow" w:cs="Calibri"/>
                <w:sz w:val="18"/>
                <w:szCs w:val="18"/>
              </w:rPr>
            </w:pPr>
          </w:p>
          <w:p w:rsidR="00957CBF" w:rsidRPr="00B46BBA" w:rsidRDefault="00957CBF" w:rsidP="00BC4D43">
            <w:pPr>
              <w:autoSpaceDE w:val="0"/>
              <w:autoSpaceDN w:val="0"/>
              <w:adjustRightInd w:val="0"/>
              <w:rPr>
                <w:rFonts w:ascii="Arial Narrow" w:hAnsi="Arial Narrow" w:cs="Calibri"/>
                <w:sz w:val="18"/>
                <w:szCs w:val="18"/>
              </w:rPr>
            </w:pPr>
          </w:p>
          <w:p w:rsidR="00957CBF"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9.99</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(4.52, 15.47)</w:t>
            </w:r>
          </w:p>
          <w:p w:rsidR="00BC4D43" w:rsidRPr="00B46BBA" w:rsidRDefault="00BC4D43" w:rsidP="00BC4D43">
            <w:pPr>
              <w:pStyle w:val="ListParagraph"/>
              <w:ind w:left="0"/>
              <w:jc w:val="both"/>
              <w:rPr>
                <w:rFonts w:ascii="Arial Narrow" w:hAnsi="Arial Narrow"/>
                <w:sz w:val="18"/>
                <w:szCs w:val="18"/>
              </w:rPr>
            </w:pPr>
            <w:r w:rsidRPr="00B46BBA">
              <w:rPr>
                <w:rFonts w:ascii="Arial Narrow" w:hAnsi="Arial Narrow" w:cs="Calibri"/>
                <w:sz w:val="18"/>
                <w:szCs w:val="18"/>
              </w:rPr>
              <w:t>P = 0.0006</w:t>
            </w:r>
          </w:p>
        </w:tc>
        <w:tc>
          <w:tcPr>
            <w:tcW w:w="1227" w:type="dxa"/>
          </w:tcPr>
          <w:p w:rsidR="00BC4D43" w:rsidRPr="00B46BBA" w:rsidRDefault="00BC4D43" w:rsidP="00BC4D43">
            <w:pPr>
              <w:autoSpaceDE w:val="0"/>
              <w:autoSpaceDN w:val="0"/>
              <w:adjustRightInd w:val="0"/>
              <w:rPr>
                <w:rFonts w:ascii="Arial Narrow" w:hAnsi="Arial Narrow" w:cs="Calibri"/>
                <w:sz w:val="18"/>
                <w:szCs w:val="18"/>
              </w:rPr>
            </w:pPr>
            <w:r w:rsidRPr="00B46BBA">
              <w:rPr>
                <w:rFonts w:ascii="Cambria Math" w:hAnsi="Cambria Math" w:cs="Cambria Math"/>
                <w:sz w:val="18"/>
                <w:szCs w:val="18"/>
              </w:rPr>
              <w:t>‐</w:t>
            </w:r>
            <w:r w:rsidRPr="00B46BBA">
              <w:rPr>
                <w:rFonts w:ascii="Arial Narrow" w:hAnsi="Arial Narrow" w:cs="Calibri"/>
                <w:sz w:val="18"/>
                <w:szCs w:val="18"/>
              </w:rPr>
              <w:t>54.32</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w:t>
            </w:r>
            <w:r w:rsidRPr="00B46BBA">
              <w:rPr>
                <w:rFonts w:ascii="Cambria Math" w:hAnsi="Cambria Math" w:cs="Cambria Math"/>
                <w:sz w:val="18"/>
                <w:szCs w:val="18"/>
              </w:rPr>
              <w:t>‐</w:t>
            </w:r>
            <w:r w:rsidRPr="00B46BBA">
              <w:rPr>
                <w:rFonts w:ascii="Arial Narrow" w:hAnsi="Arial Narrow" w:cs="Calibri"/>
                <w:sz w:val="18"/>
                <w:szCs w:val="18"/>
              </w:rPr>
              <w:t xml:space="preserve">61.83, </w:t>
            </w:r>
            <w:r w:rsidRPr="00B46BBA">
              <w:rPr>
                <w:rFonts w:ascii="Cambria Math" w:hAnsi="Cambria Math" w:cs="Cambria Math"/>
                <w:sz w:val="18"/>
                <w:szCs w:val="18"/>
              </w:rPr>
              <w:t>‐</w:t>
            </w:r>
            <w:r w:rsidRPr="00B46BBA">
              <w:rPr>
                <w:rFonts w:ascii="Arial Narrow" w:hAnsi="Arial Narrow" w:cs="Calibri"/>
                <w:sz w:val="18"/>
                <w:szCs w:val="18"/>
              </w:rPr>
              <w:t>46.82)</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P &lt; 0.0001</w:t>
            </w:r>
          </w:p>
          <w:p w:rsidR="00957CBF" w:rsidRPr="00B46BBA" w:rsidRDefault="00957CBF" w:rsidP="00BC4D43">
            <w:pPr>
              <w:autoSpaceDE w:val="0"/>
              <w:autoSpaceDN w:val="0"/>
              <w:adjustRightInd w:val="0"/>
              <w:rPr>
                <w:rFonts w:ascii="Arial Narrow" w:hAnsi="Arial Narrow" w:cs="Calibri"/>
                <w:sz w:val="18"/>
                <w:szCs w:val="18"/>
              </w:rPr>
            </w:pPr>
          </w:p>
          <w:p w:rsidR="00BC4D43" w:rsidRPr="00B46BBA" w:rsidRDefault="00BC4D43" w:rsidP="00BC4D43">
            <w:pPr>
              <w:autoSpaceDE w:val="0"/>
              <w:autoSpaceDN w:val="0"/>
              <w:adjustRightInd w:val="0"/>
              <w:rPr>
                <w:rFonts w:ascii="Arial Narrow" w:hAnsi="Arial Narrow" w:cs="Calibri"/>
                <w:sz w:val="18"/>
                <w:szCs w:val="18"/>
              </w:rPr>
            </w:pPr>
            <w:r w:rsidRPr="00B46BBA">
              <w:rPr>
                <w:rFonts w:ascii="Cambria Math" w:hAnsi="Cambria Math" w:cs="Cambria Math"/>
                <w:sz w:val="18"/>
                <w:szCs w:val="18"/>
              </w:rPr>
              <w:t>‐</w:t>
            </w:r>
            <w:r w:rsidRPr="00B46BBA">
              <w:rPr>
                <w:rFonts w:ascii="Arial Narrow" w:hAnsi="Arial Narrow" w:cs="Calibri"/>
                <w:sz w:val="18"/>
                <w:szCs w:val="18"/>
              </w:rPr>
              <w:t>53.47</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w:t>
            </w:r>
            <w:r w:rsidRPr="00B46BBA">
              <w:rPr>
                <w:rFonts w:ascii="Cambria Math" w:hAnsi="Cambria Math" w:cs="Cambria Math"/>
                <w:sz w:val="18"/>
                <w:szCs w:val="18"/>
              </w:rPr>
              <w:t>‐</w:t>
            </w:r>
            <w:r w:rsidRPr="00B46BBA">
              <w:rPr>
                <w:rFonts w:ascii="Arial Narrow" w:hAnsi="Arial Narrow" w:cs="Calibri"/>
                <w:sz w:val="18"/>
                <w:szCs w:val="18"/>
              </w:rPr>
              <w:t xml:space="preserve">60.92, </w:t>
            </w:r>
            <w:r w:rsidRPr="00B46BBA">
              <w:rPr>
                <w:rFonts w:ascii="Cambria Math" w:hAnsi="Cambria Math" w:cs="Cambria Math"/>
                <w:sz w:val="18"/>
                <w:szCs w:val="18"/>
              </w:rPr>
              <w:t>‐</w:t>
            </w:r>
            <w:r w:rsidRPr="00B46BBA">
              <w:rPr>
                <w:rFonts w:ascii="Arial Narrow" w:hAnsi="Arial Narrow" w:cs="Calibri"/>
                <w:sz w:val="18"/>
                <w:szCs w:val="18"/>
              </w:rPr>
              <w:t>46.02)</w:t>
            </w:r>
          </w:p>
          <w:p w:rsidR="00BC4D43" w:rsidRPr="00B46BBA" w:rsidRDefault="00BC4D43" w:rsidP="00BC4D43">
            <w:pPr>
              <w:pStyle w:val="ListParagraph"/>
              <w:ind w:left="0"/>
              <w:jc w:val="both"/>
              <w:rPr>
                <w:rFonts w:ascii="Arial Narrow" w:hAnsi="Arial Narrow"/>
                <w:sz w:val="18"/>
                <w:szCs w:val="18"/>
              </w:rPr>
            </w:pPr>
            <w:r w:rsidRPr="00B46BBA">
              <w:rPr>
                <w:rFonts w:ascii="Arial Narrow" w:hAnsi="Arial Narrow" w:cs="Calibri"/>
                <w:sz w:val="18"/>
                <w:szCs w:val="18"/>
              </w:rPr>
              <w:t>P &lt; 0.0001</w:t>
            </w:r>
          </w:p>
        </w:tc>
        <w:tc>
          <w:tcPr>
            <w:tcW w:w="1186" w:type="dxa"/>
          </w:tcPr>
          <w:p w:rsidR="00BC4D43" w:rsidRPr="00B46BBA" w:rsidRDefault="00BC4D43" w:rsidP="0006694D">
            <w:pPr>
              <w:pStyle w:val="ListParagraph"/>
              <w:ind w:left="0"/>
              <w:jc w:val="both"/>
              <w:rPr>
                <w:rFonts w:ascii="Arial Narrow" w:hAnsi="Arial Narrow"/>
                <w:sz w:val="18"/>
                <w:szCs w:val="18"/>
              </w:rPr>
            </w:pPr>
            <w:r w:rsidRPr="00B46BBA">
              <w:rPr>
                <w:rFonts w:ascii="Arial Narrow" w:hAnsi="Arial Narrow" w:cs="Calibri"/>
                <w:sz w:val="18"/>
                <w:szCs w:val="18"/>
              </w:rPr>
              <w:t>N/A</w:t>
            </w:r>
          </w:p>
        </w:tc>
        <w:tc>
          <w:tcPr>
            <w:tcW w:w="1228" w:type="dxa"/>
          </w:tcPr>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1.90</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(0.86, 2.94)</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P = 0.0004</w:t>
            </w:r>
          </w:p>
          <w:p w:rsidR="00957CBF" w:rsidRPr="00B46BBA" w:rsidRDefault="00957CBF" w:rsidP="00BC4D43">
            <w:pPr>
              <w:autoSpaceDE w:val="0"/>
              <w:autoSpaceDN w:val="0"/>
              <w:adjustRightInd w:val="0"/>
              <w:rPr>
                <w:rFonts w:ascii="Arial Narrow" w:hAnsi="Arial Narrow" w:cs="Calibri"/>
                <w:sz w:val="18"/>
                <w:szCs w:val="18"/>
              </w:rPr>
            </w:pPr>
          </w:p>
          <w:p w:rsidR="00957CBF" w:rsidRPr="00B46BBA" w:rsidRDefault="00957CBF" w:rsidP="00BC4D43">
            <w:pPr>
              <w:autoSpaceDE w:val="0"/>
              <w:autoSpaceDN w:val="0"/>
              <w:adjustRightInd w:val="0"/>
              <w:rPr>
                <w:rFonts w:ascii="Arial Narrow" w:hAnsi="Arial Narrow" w:cs="Calibri"/>
                <w:sz w:val="18"/>
                <w:szCs w:val="18"/>
              </w:rPr>
            </w:pPr>
          </w:p>
          <w:p w:rsidR="00957CBF" w:rsidRPr="00B46BBA" w:rsidRDefault="00957CBF" w:rsidP="00BC4D43">
            <w:pPr>
              <w:autoSpaceDE w:val="0"/>
              <w:autoSpaceDN w:val="0"/>
              <w:adjustRightInd w:val="0"/>
              <w:rPr>
                <w:rFonts w:ascii="Arial Narrow" w:hAnsi="Arial Narrow" w:cs="Calibri"/>
                <w:sz w:val="18"/>
                <w:szCs w:val="18"/>
              </w:rPr>
            </w:pP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2.77</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(1.31, 4.23)</w:t>
            </w:r>
          </w:p>
          <w:p w:rsidR="00BC4D43" w:rsidRPr="00B46BBA" w:rsidRDefault="00BC4D43" w:rsidP="00BC4D43">
            <w:pPr>
              <w:pStyle w:val="ListParagraph"/>
              <w:ind w:left="0"/>
              <w:jc w:val="both"/>
              <w:rPr>
                <w:rFonts w:ascii="Arial Narrow" w:hAnsi="Arial Narrow"/>
                <w:sz w:val="18"/>
                <w:szCs w:val="18"/>
              </w:rPr>
            </w:pPr>
            <w:r w:rsidRPr="00B46BBA">
              <w:rPr>
                <w:rFonts w:ascii="Arial Narrow" w:hAnsi="Arial Narrow" w:cs="Calibri"/>
                <w:sz w:val="18"/>
                <w:szCs w:val="18"/>
              </w:rPr>
              <w:t>P = 0.0002</w:t>
            </w:r>
          </w:p>
        </w:tc>
        <w:tc>
          <w:tcPr>
            <w:tcW w:w="1323" w:type="dxa"/>
          </w:tcPr>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5.93</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(0.50, 11.36)</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P = 0.0330</w:t>
            </w:r>
          </w:p>
          <w:p w:rsidR="00957CBF" w:rsidRPr="00B46BBA" w:rsidRDefault="00957CBF" w:rsidP="00BC4D43">
            <w:pPr>
              <w:autoSpaceDE w:val="0"/>
              <w:autoSpaceDN w:val="0"/>
              <w:adjustRightInd w:val="0"/>
              <w:rPr>
                <w:rFonts w:ascii="Arial Narrow" w:hAnsi="Arial Narrow" w:cs="Calibri"/>
                <w:sz w:val="18"/>
                <w:szCs w:val="18"/>
              </w:rPr>
            </w:pPr>
          </w:p>
          <w:p w:rsidR="00957CBF" w:rsidRPr="00B46BBA" w:rsidRDefault="00957CBF" w:rsidP="00BC4D43">
            <w:pPr>
              <w:autoSpaceDE w:val="0"/>
              <w:autoSpaceDN w:val="0"/>
              <w:adjustRightInd w:val="0"/>
              <w:rPr>
                <w:rFonts w:ascii="Arial Narrow" w:hAnsi="Arial Narrow" w:cs="Calibri"/>
                <w:sz w:val="18"/>
                <w:szCs w:val="18"/>
              </w:rPr>
            </w:pPr>
          </w:p>
          <w:p w:rsidR="00957CBF" w:rsidRPr="00B46BBA" w:rsidRDefault="00957CBF" w:rsidP="00BC4D43">
            <w:pPr>
              <w:autoSpaceDE w:val="0"/>
              <w:autoSpaceDN w:val="0"/>
              <w:adjustRightInd w:val="0"/>
              <w:rPr>
                <w:rFonts w:ascii="Arial Narrow" w:hAnsi="Arial Narrow" w:cs="Calibri"/>
                <w:sz w:val="18"/>
                <w:szCs w:val="18"/>
              </w:rPr>
            </w:pP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4.88</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w:t>
            </w:r>
            <w:r w:rsidRPr="00B46BBA">
              <w:rPr>
                <w:rFonts w:ascii="Cambria Math" w:hAnsi="Cambria Math" w:cs="Cambria Math"/>
                <w:sz w:val="18"/>
                <w:szCs w:val="18"/>
              </w:rPr>
              <w:t>‐</w:t>
            </w:r>
            <w:r w:rsidRPr="00B46BBA">
              <w:rPr>
                <w:rFonts w:ascii="Arial Narrow" w:hAnsi="Arial Narrow" w:cs="Calibri"/>
                <w:sz w:val="18"/>
                <w:szCs w:val="18"/>
              </w:rPr>
              <w:t>0.44, 10.20)</w:t>
            </w:r>
          </w:p>
          <w:p w:rsidR="00BC4D43" w:rsidRPr="00B46BBA" w:rsidRDefault="00BC4D43" w:rsidP="00BC4D43">
            <w:pPr>
              <w:pStyle w:val="ListParagraph"/>
              <w:ind w:left="0"/>
              <w:jc w:val="both"/>
              <w:rPr>
                <w:rFonts w:ascii="Arial Narrow" w:hAnsi="Arial Narrow"/>
                <w:sz w:val="18"/>
                <w:szCs w:val="18"/>
              </w:rPr>
            </w:pPr>
            <w:r w:rsidRPr="00B46BBA">
              <w:rPr>
                <w:rFonts w:ascii="Arial Narrow" w:hAnsi="Arial Narrow" w:cs="Calibri"/>
                <w:sz w:val="18"/>
                <w:szCs w:val="18"/>
              </w:rPr>
              <w:t>P = 0.0713</w:t>
            </w:r>
          </w:p>
        </w:tc>
      </w:tr>
      <w:tr w:rsidR="00B46BBA" w:rsidRPr="00B46BBA" w:rsidTr="00171158">
        <w:tc>
          <w:tcPr>
            <w:tcW w:w="1214" w:type="dxa"/>
          </w:tcPr>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KONNECTION</w:t>
            </w:r>
          </w:p>
          <w:p w:rsidR="00BC4D43" w:rsidRPr="00B46BBA" w:rsidRDefault="00BC4D43" w:rsidP="00BC4D43">
            <w:pPr>
              <w:pStyle w:val="ListParagraph"/>
              <w:ind w:left="0"/>
              <w:jc w:val="both"/>
              <w:rPr>
                <w:rFonts w:ascii="Arial Narrow" w:hAnsi="Arial Narrow"/>
                <w:sz w:val="18"/>
                <w:szCs w:val="18"/>
                <w:u w:val="single"/>
              </w:rPr>
            </w:pPr>
            <w:r w:rsidRPr="00B46BBA">
              <w:rPr>
                <w:rFonts w:ascii="Arial Narrow" w:hAnsi="Arial Narrow" w:cs="Calibri"/>
                <w:sz w:val="18"/>
                <w:szCs w:val="18"/>
                <w:u w:val="single"/>
              </w:rPr>
              <w:t>To Week 8</w:t>
            </w:r>
            <w:r w:rsidR="00957CBF" w:rsidRPr="00B46BBA">
              <w:rPr>
                <w:rFonts w:ascii="Arial Narrow" w:hAnsi="Arial Narrow" w:cs="Calibri"/>
                <w:sz w:val="18"/>
                <w:szCs w:val="18"/>
                <w:u w:val="single"/>
              </w:rPr>
              <w:t>:</w:t>
            </w:r>
          </w:p>
        </w:tc>
        <w:tc>
          <w:tcPr>
            <w:tcW w:w="914" w:type="dxa"/>
          </w:tcPr>
          <w:p w:rsidR="00BC4D43" w:rsidRPr="00B46BBA" w:rsidRDefault="00BC4D43" w:rsidP="0006694D">
            <w:pPr>
              <w:pStyle w:val="ListParagraph"/>
              <w:ind w:left="0"/>
              <w:jc w:val="both"/>
              <w:rPr>
                <w:rFonts w:ascii="Arial Narrow" w:hAnsi="Arial Narrow"/>
                <w:sz w:val="18"/>
                <w:szCs w:val="18"/>
              </w:rPr>
            </w:pPr>
            <w:r w:rsidRPr="00B46BBA">
              <w:rPr>
                <w:rFonts w:ascii="Arial Narrow" w:hAnsi="Arial Narrow" w:cs="Calibri"/>
                <w:sz w:val="18"/>
                <w:szCs w:val="18"/>
              </w:rPr>
              <w:t>&gt;40%</w:t>
            </w:r>
          </w:p>
        </w:tc>
        <w:tc>
          <w:tcPr>
            <w:tcW w:w="1271" w:type="dxa"/>
          </w:tcPr>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10.678</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(7.256, 14.100)</w:t>
            </w:r>
          </w:p>
          <w:p w:rsidR="00BC4D43" w:rsidRPr="00B46BBA" w:rsidRDefault="00BC4D43" w:rsidP="00BC4D43">
            <w:pPr>
              <w:pStyle w:val="ListParagraph"/>
              <w:ind w:left="0"/>
              <w:jc w:val="both"/>
              <w:rPr>
                <w:rFonts w:ascii="Arial Narrow" w:hAnsi="Arial Narrow"/>
                <w:sz w:val="18"/>
                <w:szCs w:val="18"/>
              </w:rPr>
            </w:pPr>
            <w:r w:rsidRPr="00B46BBA">
              <w:rPr>
                <w:rFonts w:ascii="Arial Narrow" w:hAnsi="Arial Narrow" w:cs="Calibri"/>
                <w:sz w:val="18"/>
                <w:szCs w:val="18"/>
              </w:rPr>
              <w:t>P&lt;0.0001</w:t>
            </w:r>
          </w:p>
        </w:tc>
        <w:tc>
          <w:tcPr>
            <w:tcW w:w="1227" w:type="dxa"/>
          </w:tcPr>
          <w:p w:rsidR="00BC4D43" w:rsidRPr="00B46BBA" w:rsidRDefault="00BC4D43" w:rsidP="00BC4D43">
            <w:pPr>
              <w:autoSpaceDE w:val="0"/>
              <w:autoSpaceDN w:val="0"/>
              <w:adjustRightInd w:val="0"/>
              <w:rPr>
                <w:rFonts w:ascii="Arial Narrow" w:hAnsi="Arial Narrow" w:cs="Calibri"/>
                <w:sz w:val="18"/>
                <w:szCs w:val="18"/>
              </w:rPr>
            </w:pPr>
            <w:r w:rsidRPr="00B46BBA">
              <w:rPr>
                <w:rFonts w:ascii="Cambria Math" w:hAnsi="Cambria Math" w:cs="Cambria Math"/>
                <w:sz w:val="18"/>
                <w:szCs w:val="18"/>
              </w:rPr>
              <w:t>‐</w:t>
            </w:r>
            <w:r w:rsidRPr="00B46BBA">
              <w:rPr>
                <w:rFonts w:ascii="Arial Narrow" w:hAnsi="Arial Narrow" w:cs="Calibri"/>
                <w:sz w:val="18"/>
                <w:szCs w:val="18"/>
              </w:rPr>
              <w:t>49.167</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w:t>
            </w:r>
            <w:r w:rsidRPr="00B46BBA">
              <w:rPr>
                <w:rFonts w:ascii="Cambria Math" w:hAnsi="Cambria Math" w:cs="Cambria Math"/>
                <w:sz w:val="18"/>
                <w:szCs w:val="18"/>
              </w:rPr>
              <w:t>‐</w:t>
            </w:r>
            <w:r w:rsidRPr="00B46BBA">
              <w:rPr>
                <w:rFonts w:ascii="Arial Narrow" w:hAnsi="Arial Narrow" w:cs="Calibri"/>
                <w:sz w:val="18"/>
                <w:szCs w:val="18"/>
              </w:rPr>
              <w:t xml:space="preserve">56.953, </w:t>
            </w:r>
            <w:r w:rsidRPr="00B46BBA">
              <w:rPr>
                <w:rFonts w:ascii="Cambria Math" w:hAnsi="Cambria Math" w:cs="Cambria Math"/>
                <w:sz w:val="18"/>
                <w:szCs w:val="18"/>
              </w:rPr>
              <w:t>‐</w:t>
            </w:r>
            <w:r w:rsidRPr="00B46BBA">
              <w:rPr>
                <w:rFonts w:ascii="Arial Narrow" w:hAnsi="Arial Narrow" w:cs="Calibri"/>
                <w:sz w:val="18"/>
                <w:szCs w:val="18"/>
              </w:rPr>
              <w:t>41.380)</w:t>
            </w:r>
          </w:p>
          <w:p w:rsidR="00BC4D43" w:rsidRPr="00B46BBA" w:rsidRDefault="00BC4D43" w:rsidP="00BC4D43">
            <w:pPr>
              <w:pStyle w:val="ListParagraph"/>
              <w:ind w:left="0"/>
              <w:jc w:val="both"/>
              <w:rPr>
                <w:rFonts w:ascii="Arial Narrow" w:hAnsi="Arial Narrow"/>
                <w:sz w:val="18"/>
                <w:szCs w:val="18"/>
              </w:rPr>
            </w:pPr>
            <w:r w:rsidRPr="00B46BBA">
              <w:rPr>
                <w:rFonts w:ascii="Arial Narrow" w:hAnsi="Arial Narrow" w:cs="Calibri"/>
                <w:sz w:val="18"/>
                <w:szCs w:val="18"/>
              </w:rPr>
              <w:t>P&lt;0.0001</w:t>
            </w:r>
          </w:p>
        </w:tc>
        <w:tc>
          <w:tcPr>
            <w:tcW w:w="1186" w:type="dxa"/>
          </w:tcPr>
          <w:p w:rsidR="00BC4D43" w:rsidRPr="00B46BBA" w:rsidRDefault="00BC4D43" w:rsidP="0006694D">
            <w:pPr>
              <w:pStyle w:val="ListParagraph"/>
              <w:ind w:left="0"/>
              <w:jc w:val="both"/>
              <w:rPr>
                <w:rFonts w:ascii="Arial Narrow" w:hAnsi="Arial Narrow"/>
                <w:sz w:val="18"/>
                <w:szCs w:val="18"/>
              </w:rPr>
            </w:pPr>
            <w:r w:rsidRPr="00B46BBA">
              <w:rPr>
                <w:rFonts w:ascii="Arial Narrow" w:hAnsi="Arial Narrow" w:cs="Calibri"/>
                <w:sz w:val="18"/>
                <w:szCs w:val="18"/>
              </w:rPr>
              <w:t>N/A</w:t>
            </w:r>
          </w:p>
        </w:tc>
        <w:tc>
          <w:tcPr>
            <w:tcW w:w="1228" w:type="dxa"/>
          </w:tcPr>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1.667</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(0.710, 2.626)</w:t>
            </w:r>
          </w:p>
          <w:p w:rsidR="00BC4D43" w:rsidRPr="00B46BBA" w:rsidRDefault="00BC4D43" w:rsidP="00BC4D43">
            <w:pPr>
              <w:pStyle w:val="ListParagraph"/>
              <w:ind w:left="0"/>
              <w:jc w:val="both"/>
              <w:rPr>
                <w:rFonts w:ascii="Arial Narrow" w:hAnsi="Arial Narrow"/>
                <w:sz w:val="18"/>
                <w:szCs w:val="18"/>
              </w:rPr>
            </w:pPr>
            <w:r w:rsidRPr="00B46BBA">
              <w:rPr>
                <w:rFonts w:ascii="Arial Narrow" w:hAnsi="Arial Narrow" w:cs="Calibri"/>
                <w:sz w:val="18"/>
                <w:szCs w:val="18"/>
              </w:rPr>
              <w:t>P=0.0007</w:t>
            </w:r>
          </w:p>
        </w:tc>
        <w:tc>
          <w:tcPr>
            <w:tcW w:w="1323" w:type="dxa"/>
          </w:tcPr>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9.611</w:t>
            </w:r>
          </w:p>
          <w:p w:rsidR="00BC4D43" w:rsidRPr="00B46BBA" w:rsidRDefault="00BC4D43" w:rsidP="00BC4D43">
            <w:pPr>
              <w:autoSpaceDE w:val="0"/>
              <w:autoSpaceDN w:val="0"/>
              <w:adjustRightInd w:val="0"/>
              <w:rPr>
                <w:rFonts w:ascii="Arial Narrow" w:hAnsi="Arial Narrow" w:cs="Calibri"/>
                <w:sz w:val="18"/>
                <w:szCs w:val="18"/>
              </w:rPr>
            </w:pPr>
            <w:r w:rsidRPr="00B46BBA">
              <w:rPr>
                <w:rFonts w:ascii="Arial Narrow" w:hAnsi="Arial Narrow" w:cs="Calibri"/>
                <w:sz w:val="18"/>
                <w:szCs w:val="18"/>
              </w:rPr>
              <w:t>(4.487, 14.734)</w:t>
            </w:r>
          </w:p>
          <w:p w:rsidR="00BC4D43" w:rsidRPr="00B46BBA" w:rsidRDefault="00BC4D43" w:rsidP="00BC4D43">
            <w:pPr>
              <w:pStyle w:val="ListParagraph"/>
              <w:ind w:left="0"/>
              <w:jc w:val="both"/>
              <w:rPr>
                <w:rFonts w:ascii="Arial Narrow" w:hAnsi="Arial Narrow"/>
                <w:sz w:val="18"/>
                <w:szCs w:val="18"/>
              </w:rPr>
            </w:pPr>
            <w:r w:rsidRPr="00B46BBA">
              <w:rPr>
                <w:rFonts w:ascii="Arial Narrow" w:hAnsi="Arial Narrow" w:cs="Calibri"/>
                <w:sz w:val="18"/>
                <w:szCs w:val="18"/>
              </w:rPr>
              <w:t>P=0.0004</w:t>
            </w:r>
          </w:p>
        </w:tc>
      </w:tr>
      <w:tr w:rsidR="00B46BBA" w:rsidRPr="00B46BBA" w:rsidTr="00171158">
        <w:tc>
          <w:tcPr>
            <w:tcW w:w="1214" w:type="dxa"/>
          </w:tcPr>
          <w:p w:rsidR="00BC4D43" w:rsidRPr="00B46BBA" w:rsidRDefault="00BC4D43" w:rsidP="0006694D">
            <w:pPr>
              <w:pStyle w:val="ListParagraph"/>
              <w:ind w:left="0"/>
              <w:jc w:val="both"/>
              <w:rPr>
                <w:rFonts w:ascii="Arial Narrow" w:hAnsi="Arial Narrow"/>
                <w:sz w:val="18"/>
                <w:szCs w:val="18"/>
              </w:rPr>
            </w:pPr>
          </w:p>
        </w:tc>
        <w:tc>
          <w:tcPr>
            <w:tcW w:w="914" w:type="dxa"/>
          </w:tcPr>
          <w:p w:rsidR="00BC4D43" w:rsidRPr="00B46BBA" w:rsidRDefault="00BC4D43" w:rsidP="0006694D">
            <w:pPr>
              <w:pStyle w:val="ListParagraph"/>
              <w:ind w:left="0"/>
              <w:jc w:val="both"/>
              <w:rPr>
                <w:rFonts w:ascii="Arial Narrow" w:hAnsi="Arial Narrow"/>
                <w:sz w:val="18"/>
                <w:szCs w:val="18"/>
              </w:rPr>
            </w:pPr>
          </w:p>
        </w:tc>
        <w:tc>
          <w:tcPr>
            <w:tcW w:w="1271" w:type="dxa"/>
          </w:tcPr>
          <w:p w:rsidR="00BC4D43" w:rsidRPr="00B46BBA" w:rsidRDefault="00BC4D43" w:rsidP="0006694D">
            <w:pPr>
              <w:pStyle w:val="ListParagraph"/>
              <w:ind w:left="0"/>
              <w:jc w:val="both"/>
              <w:rPr>
                <w:rFonts w:ascii="Arial Narrow" w:hAnsi="Arial Narrow"/>
                <w:sz w:val="18"/>
                <w:szCs w:val="18"/>
              </w:rPr>
            </w:pPr>
          </w:p>
        </w:tc>
        <w:tc>
          <w:tcPr>
            <w:tcW w:w="1227" w:type="dxa"/>
          </w:tcPr>
          <w:p w:rsidR="00BC4D43" w:rsidRPr="00B46BBA" w:rsidRDefault="00BC4D43" w:rsidP="0006694D">
            <w:pPr>
              <w:pStyle w:val="ListParagraph"/>
              <w:ind w:left="0"/>
              <w:jc w:val="both"/>
              <w:rPr>
                <w:rFonts w:ascii="Arial Narrow" w:hAnsi="Arial Narrow"/>
                <w:sz w:val="18"/>
                <w:szCs w:val="18"/>
              </w:rPr>
            </w:pPr>
          </w:p>
        </w:tc>
        <w:tc>
          <w:tcPr>
            <w:tcW w:w="1186" w:type="dxa"/>
          </w:tcPr>
          <w:p w:rsidR="00BC4D43" w:rsidRPr="00B46BBA" w:rsidRDefault="00BC4D43" w:rsidP="0006694D">
            <w:pPr>
              <w:pStyle w:val="ListParagraph"/>
              <w:ind w:left="0"/>
              <w:jc w:val="both"/>
              <w:rPr>
                <w:rFonts w:ascii="Arial Narrow" w:hAnsi="Arial Narrow"/>
                <w:sz w:val="18"/>
                <w:szCs w:val="18"/>
              </w:rPr>
            </w:pPr>
          </w:p>
        </w:tc>
        <w:tc>
          <w:tcPr>
            <w:tcW w:w="1228" w:type="dxa"/>
          </w:tcPr>
          <w:p w:rsidR="00BC4D43" w:rsidRPr="00B46BBA" w:rsidRDefault="00BC4D43" w:rsidP="0006694D">
            <w:pPr>
              <w:pStyle w:val="ListParagraph"/>
              <w:ind w:left="0"/>
              <w:jc w:val="both"/>
              <w:rPr>
                <w:rFonts w:ascii="Arial Narrow" w:hAnsi="Arial Narrow"/>
                <w:sz w:val="18"/>
                <w:szCs w:val="18"/>
              </w:rPr>
            </w:pPr>
          </w:p>
        </w:tc>
        <w:tc>
          <w:tcPr>
            <w:tcW w:w="1323" w:type="dxa"/>
          </w:tcPr>
          <w:p w:rsidR="00BC4D43" w:rsidRPr="00B46BBA" w:rsidRDefault="00BC4D43" w:rsidP="0006694D">
            <w:pPr>
              <w:pStyle w:val="ListParagraph"/>
              <w:ind w:left="0"/>
              <w:jc w:val="both"/>
              <w:rPr>
                <w:rFonts w:ascii="Arial Narrow" w:hAnsi="Arial Narrow"/>
                <w:sz w:val="18"/>
                <w:szCs w:val="18"/>
              </w:rPr>
            </w:pPr>
          </w:p>
        </w:tc>
      </w:tr>
    </w:tbl>
    <w:p w:rsidR="00BC4D43" w:rsidRPr="00B46BBA" w:rsidRDefault="00BC4D43" w:rsidP="00BC4D43">
      <w:pPr>
        <w:pStyle w:val="TableFooter"/>
        <w:keepNext/>
        <w:ind w:left="720" w:hanging="11"/>
        <w:rPr>
          <w:i/>
        </w:rPr>
      </w:pPr>
      <w:r w:rsidRPr="00B46BBA">
        <w:rPr>
          <w:i/>
        </w:rPr>
        <w:t>Source: Table 7 of the minor submission</w:t>
      </w:r>
    </w:p>
    <w:p w:rsidR="00BC4D43" w:rsidRPr="00B46BBA" w:rsidRDefault="00BC4D43" w:rsidP="00BC4D43">
      <w:pPr>
        <w:pStyle w:val="TableFooter"/>
        <w:ind w:firstLine="720"/>
        <w:rPr>
          <w:i/>
        </w:rPr>
      </w:pPr>
      <w:r w:rsidRPr="00B46BBA">
        <w:rPr>
          <w:i/>
        </w:rPr>
        <w:t>CI = confidence interval</w:t>
      </w:r>
    </w:p>
    <w:p w:rsidR="0006694D" w:rsidRPr="00B46BBA" w:rsidRDefault="00957CBF" w:rsidP="0006694D">
      <w:pPr>
        <w:pStyle w:val="ListParagraph"/>
        <w:ind w:left="709"/>
        <w:jc w:val="both"/>
        <w:rPr>
          <w:rFonts w:ascii="Arial Narrow" w:hAnsi="Arial Narrow"/>
          <w:sz w:val="18"/>
          <w:szCs w:val="18"/>
        </w:rPr>
      </w:pPr>
      <w:r w:rsidRPr="00B46BBA">
        <w:rPr>
          <w:rFonts w:ascii="Arial Narrow" w:hAnsi="Arial Narrow" w:cs="Calibri-Bold"/>
          <w:bCs/>
          <w:sz w:val="18"/>
          <w:szCs w:val="18"/>
        </w:rPr>
        <w:t>CFQ-R</w:t>
      </w:r>
      <w:r w:rsidRPr="00B46BBA">
        <w:rPr>
          <w:rFonts w:ascii="Arial Narrow" w:hAnsi="Arial Narrow" w:cs="Calibri"/>
          <w:sz w:val="18"/>
          <w:szCs w:val="18"/>
        </w:rPr>
        <w:t xml:space="preserve"> = </w:t>
      </w:r>
      <w:r w:rsidR="00BC4D43" w:rsidRPr="00B46BBA">
        <w:rPr>
          <w:rFonts w:ascii="Arial Narrow" w:hAnsi="Arial Narrow" w:cs="Calibri"/>
          <w:sz w:val="18"/>
          <w:szCs w:val="18"/>
        </w:rPr>
        <w:t>the respiratory domain of the Cystic Fibrosis Questionnaire-Revised</w:t>
      </w:r>
    </w:p>
    <w:p w:rsidR="002029B3" w:rsidRPr="00B46BBA" w:rsidRDefault="002029B3" w:rsidP="002029B3">
      <w:pPr>
        <w:jc w:val="both"/>
        <w:rPr>
          <w:rFonts w:ascii="Arial" w:hAnsi="Arial"/>
          <w:sz w:val="22"/>
          <w:szCs w:val="22"/>
        </w:rPr>
      </w:pPr>
    </w:p>
    <w:p w:rsidR="002029B3" w:rsidRPr="00171158" w:rsidRDefault="002029B3" w:rsidP="002029B3">
      <w:pPr>
        <w:jc w:val="both"/>
        <w:rPr>
          <w:rFonts w:ascii="Arial" w:hAnsi="Arial"/>
          <w:b/>
          <w:sz w:val="22"/>
          <w:szCs w:val="22"/>
        </w:rPr>
      </w:pPr>
      <w:r w:rsidRPr="00171158">
        <w:rPr>
          <w:rFonts w:ascii="Arial" w:hAnsi="Arial"/>
          <w:b/>
          <w:sz w:val="22"/>
          <w:szCs w:val="22"/>
        </w:rPr>
        <w:t>Clinical claim</w:t>
      </w:r>
    </w:p>
    <w:p w:rsidR="002029B3" w:rsidRPr="00B46BBA" w:rsidRDefault="002029B3" w:rsidP="002029B3">
      <w:pPr>
        <w:jc w:val="both"/>
        <w:rPr>
          <w:rFonts w:ascii="Arial" w:hAnsi="Arial"/>
          <w:sz w:val="22"/>
          <w:szCs w:val="22"/>
        </w:rPr>
      </w:pPr>
    </w:p>
    <w:p w:rsidR="00BB7EC3" w:rsidRPr="00B46BBA" w:rsidRDefault="009B0F67" w:rsidP="00171158">
      <w:pPr>
        <w:pStyle w:val="ListParagraph"/>
        <w:numPr>
          <w:ilvl w:val="1"/>
          <w:numId w:val="25"/>
        </w:numPr>
        <w:ind w:left="709" w:hanging="709"/>
        <w:jc w:val="both"/>
        <w:rPr>
          <w:rFonts w:ascii="Arial" w:hAnsi="Arial"/>
          <w:sz w:val="22"/>
          <w:szCs w:val="22"/>
        </w:rPr>
      </w:pPr>
      <w:r w:rsidRPr="00B46BBA">
        <w:rPr>
          <w:rFonts w:ascii="Arial" w:hAnsi="Arial"/>
          <w:sz w:val="22"/>
          <w:szCs w:val="22"/>
        </w:rPr>
        <w:lastRenderedPageBreak/>
        <w:t>The submission claim</w:t>
      </w:r>
      <w:r w:rsidR="00260E70">
        <w:rPr>
          <w:rFonts w:ascii="Arial" w:hAnsi="Arial"/>
          <w:sz w:val="22"/>
          <w:szCs w:val="22"/>
        </w:rPr>
        <w:t>ed</w:t>
      </w:r>
      <w:r w:rsidR="00BB7EC3" w:rsidRPr="00B46BBA">
        <w:rPr>
          <w:rFonts w:ascii="Arial" w:hAnsi="Arial"/>
          <w:sz w:val="22"/>
          <w:szCs w:val="22"/>
        </w:rPr>
        <w:t xml:space="preserve"> </w:t>
      </w:r>
      <w:r w:rsidR="002029B3" w:rsidRPr="00B46BBA">
        <w:rPr>
          <w:rFonts w:ascii="Arial" w:hAnsi="Arial"/>
          <w:sz w:val="22"/>
          <w:szCs w:val="22"/>
        </w:rPr>
        <w:t xml:space="preserve">that in the KONNECTION trial, ivacaftor has superior </w:t>
      </w:r>
      <w:r w:rsidR="00BB7EC3" w:rsidRPr="00B46BBA">
        <w:rPr>
          <w:rFonts w:ascii="Arial" w:hAnsi="Arial"/>
          <w:sz w:val="22"/>
          <w:szCs w:val="22"/>
        </w:rPr>
        <w:t>comparative effectiveness compared with</w:t>
      </w:r>
      <w:r w:rsidR="002029B3" w:rsidRPr="00B46BBA">
        <w:rPr>
          <w:rFonts w:ascii="Arial" w:hAnsi="Arial"/>
          <w:sz w:val="22"/>
          <w:szCs w:val="22"/>
        </w:rPr>
        <w:t xml:space="preserve"> placebo. </w:t>
      </w:r>
    </w:p>
    <w:p w:rsidR="00EA5F0B" w:rsidRPr="00B46BBA" w:rsidRDefault="00EA5F0B" w:rsidP="00EA5F0B">
      <w:pPr>
        <w:jc w:val="both"/>
        <w:rPr>
          <w:rFonts w:ascii="Arial" w:hAnsi="Arial"/>
          <w:sz w:val="22"/>
          <w:szCs w:val="22"/>
        </w:rPr>
      </w:pPr>
    </w:p>
    <w:p w:rsidR="00571C7C" w:rsidRPr="001A3048" w:rsidRDefault="002029B3" w:rsidP="00171158">
      <w:pPr>
        <w:pStyle w:val="ListParagraph"/>
        <w:numPr>
          <w:ilvl w:val="1"/>
          <w:numId w:val="25"/>
        </w:numPr>
        <w:ind w:left="709" w:hanging="709"/>
        <w:jc w:val="both"/>
        <w:rPr>
          <w:rFonts w:ascii="Arial" w:hAnsi="Arial"/>
          <w:sz w:val="22"/>
          <w:szCs w:val="22"/>
        </w:rPr>
      </w:pPr>
      <w:r w:rsidRPr="001A3048">
        <w:rPr>
          <w:rFonts w:ascii="Arial" w:hAnsi="Arial"/>
          <w:sz w:val="22"/>
          <w:szCs w:val="22"/>
        </w:rPr>
        <w:t xml:space="preserve">The submission </w:t>
      </w:r>
      <w:r w:rsidR="00571C7C" w:rsidRPr="001A3048">
        <w:rPr>
          <w:rFonts w:ascii="Arial" w:hAnsi="Arial"/>
          <w:sz w:val="22"/>
          <w:szCs w:val="22"/>
        </w:rPr>
        <w:t>claim</w:t>
      </w:r>
      <w:r w:rsidR="00260E70">
        <w:rPr>
          <w:rFonts w:ascii="Arial" w:hAnsi="Arial"/>
          <w:sz w:val="22"/>
          <w:szCs w:val="22"/>
        </w:rPr>
        <w:t>ed</w:t>
      </w:r>
      <w:r w:rsidRPr="001A3048">
        <w:rPr>
          <w:rFonts w:ascii="Arial" w:hAnsi="Arial"/>
          <w:sz w:val="22"/>
          <w:szCs w:val="22"/>
        </w:rPr>
        <w:t xml:space="preserve"> that the efficacy and safety of ivacaftor in </w:t>
      </w:r>
      <w:r w:rsidRPr="001A3048">
        <w:rPr>
          <w:rFonts w:ascii="Arial" w:hAnsi="Arial"/>
          <w:iCs/>
          <w:sz w:val="22"/>
          <w:szCs w:val="22"/>
        </w:rPr>
        <w:t>non</w:t>
      </w:r>
      <w:r w:rsidRPr="001A3048">
        <w:rPr>
          <w:rFonts w:ascii="Cambria Math" w:hAnsi="Cambria Math" w:cs="Cambria Math"/>
          <w:iCs/>
          <w:sz w:val="22"/>
          <w:szCs w:val="22"/>
        </w:rPr>
        <w:t>‐</w:t>
      </w:r>
      <w:r w:rsidRPr="001A3048">
        <w:rPr>
          <w:rFonts w:ascii="Arial" w:hAnsi="Arial"/>
          <w:iCs/>
          <w:sz w:val="22"/>
          <w:szCs w:val="22"/>
        </w:rPr>
        <w:t xml:space="preserve">G551D </w:t>
      </w:r>
      <w:r w:rsidRPr="001A3048">
        <w:rPr>
          <w:rFonts w:ascii="Arial" w:hAnsi="Arial"/>
          <w:sz w:val="22"/>
          <w:szCs w:val="22"/>
        </w:rPr>
        <w:t xml:space="preserve">patients is equivalent to that in </w:t>
      </w:r>
      <w:r w:rsidRPr="001A3048">
        <w:rPr>
          <w:rFonts w:ascii="Arial" w:hAnsi="Arial"/>
          <w:iCs/>
          <w:sz w:val="22"/>
          <w:szCs w:val="22"/>
        </w:rPr>
        <w:t xml:space="preserve">G551D </w:t>
      </w:r>
      <w:r w:rsidRPr="001A3048">
        <w:rPr>
          <w:rFonts w:ascii="Arial" w:hAnsi="Arial"/>
          <w:sz w:val="22"/>
          <w:szCs w:val="22"/>
        </w:rPr>
        <w:t>patients</w:t>
      </w:r>
      <w:r w:rsidR="00571C7C" w:rsidRPr="001A3048">
        <w:rPr>
          <w:rFonts w:ascii="Arial" w:hAnsi="Arial"/>
          <w:sz w:val="22"/>
          <w:szCs w:val="22"/>
        </w:rPr>
        <w:t xml:space="preserve">. </w:t>
      </w:r>
    </w:p>
    <w:p w:rsidR="00D61683" w:rsidRPr="00B46BBA" w:rsidRDefault="00D61683" w:rsidP="00D61683">
      <w:pPr>
        <w:jc w:val="both"/>
        <w:rPr>
          <w:rFonts w:ascii="Arial" w:hAnsi="Arial"/>
          <w:sz w:val="22"/>
          <w:szCs w:val="22"/>
        </w:rPr>
      </w:pPr>
    </w:p>
    <w:p w:rsidR="00571C7C" w:rsidRPr="00B46BBA" w:rsidRDefault="00571C7C" w:rsidP="00171158">
      <w:pPr>
        <w:pStyle w:val="ListParagraph"/>
        <w:numPr>
          <w:ilvl w:val="1"/>
          <w:numId w:val="25"/>
        </w:numPr>
        <w:ind w:left="709" w:hanging="709"/>
        <w:jc w:val="both"/>
        <w:rPr>
          <w:rFonts w:ascii="Arial" w:hAnsi="Arial"/>
          <w:sz w:val="22"/>
          <w:szCs w:val="22"/>
        </w:rPr>
      </w:pPr>
      <w:r w:rsidRPr="00B46BBA">
        <w:rPr>
          <w:rFonts w:ascii="Arial" w:hAnsi="Arial"/>
          <w:sz w:val="22"/>
          <w:szCs w:val="22"/>
        </w:rPr>
        <w:t>The submission claim</w:t>
      </w:r>
      <w:r w:rsidR="00260E70">
        <w:rPr>
          <w:rFonts w:ascii="Arial" w:hAnsi="Arial"/>
          <w:sz w:val="22"/>
          <w:szCs w:val="22"/>
        </w:rPr>
        <w:t>ed</w:t>
      </w:r>
      <w:r w:rsidRPr="00B46BBA">
        <w:rPr>
          <w:rFonts w:ascii="Arial" w:hAnsi="Arial"/>
          <w:sz w:val="22"/>
          <w:szCs w:val="22"/>
        </w:rPr>
        <w:t xml:space="preserve"> that ‘overall, a range of clinical trials including a range of gating mutations, demonstrates the effectiveness of ivacaftor across an array of clinically relevant pulmonary and non</w:t>
      </w:r>
      <w:r w:rsidRPr="00B46BBA">
        <w:rPr>
          <w:rFonts w:ascii="Cambria Math" w:hAnsi="Cambria Math" w:cs="Cambria Math"/>
          <w:sz w:val="22"/>
          <w:szCs w:val="22"/>
        </w:rPr>
        <w:t>‐</w:t>
      </w:r>
      <w:r w:rsidRPr="00B46BBA">
        <w:rPr>
          <w:rFonts w:ascii="Arial" w:hAnsi="Arial"/>
          <w:sz w:val="22"/>
          <w:szCs w:val="22"/>
        </w:rPr>
        <w:t>pulmonary endpoints. The results of all phase III trials (STRIVE, ENVISION and KONNECTION) were consistent with regard to improvements in percent predicted FEV1 and weight gain.’</w:t>
      </w:r>
    </w:p>
    <w:p w:rsidR="00F57A6D" w:rsidRPr="00B46BBA" w:rsidRDefault="00F57A6D" w:rsidP="00882085">
      <w:pPr>
        <w:ind w:left="720" w:hanging="720"/>
        <w:jc w:val="both"/>
        <w:rPr>
          <w:rFonts w:ascii="Arial" w:hAnsi="Arial"/>
          <w:sz w:val="22"/>
          <w:szCs w:val="22"/>
        </w:rPr>
      </w:pPr>
    </w:p>
    <w:p w:rsidR="005A3173" w:rsidRPr="00171158" w:rsidRDefault="005A3173" w:rsidP="00882085">
      <w:pPr>
        <w:ind w:left="720" w:hanging="720"/>
        <w:jc w:val="both"/>
        <w:rPr>
          <w:rFonts w:ascii="Arial" w:hAnsi="Arial"/>
          <w:b/>
          <w:sz w:val="22"/>
          <w:szCs w:val="22"/>
        </w:rPr>
      </w:pPr>
      <w:r w:rsidRPr="00171158">
        <w:rPr>
          <w:rFonts w:ascii="Arial" w:hAnsi="Arial"/>
          <w:b/>
          <w:sz w:val="22"/>
          <w:szCs w:val="22"/>
        </w:rPr>
        <w:t>Economic analysis</w:t>
      </w:r>
    </w:p>
    <w:p w:rsidR="005A3173" w:rsidRPr="00B46BBA" w:rsidRDefault="005A3173" w:rsidP="00882085">
      <w:pPr>
        <w:ind w:left="720" w:hanging="720"/>
        <w:jc w:val="both"/>
        <w:rPr>
          <w:rFonts w:ascii="Arial" w:hAnsi="Arial"/>
          <w:sz w:val="22"/>
          <w:szCs w:val="22"/>
        </w:rPr>
      </w:pPr>
    </w:p>
    <w:p w:rsidR="009B0F67" w:rsidRPr="00B46BBA" w:rsidRDefault="009B0F67" w:rsidP="00171158">
      <w:pPr>
        <w:pStyle w:val="ListParagraph"/>
        <w:numPr>
          <w:ilvl w:val="1"/>
          <w:numId w:val="25"/>
        </w:numPr>
        <w:ind w:left="709" w:hanging="709"/>
        <w:jc w:val="both"/>
        <w:rPr>
          <w:rFonts w:ascii="Arial" w:hAnsi="Arial"/>
          <w:sz w:val="22"/>
          <w:szCs w:val="22"/>
        </w:rPr>
      </w:pPr>
      <w:r w:rsidRPr="00B46BBA">
        <w:rPr>
          <w:rFonts w:ascii="Arial" w:hAnsi="Arial"/>
          <w:sz w:val="22"/>
          <w:szCs w:val="22"/>
        </w:rPr>
        <w:t>As a minor submission, there is no economic comparison presented</w:t>
      </w:r>
      <w:r w:rsidR="0056034A" w:rsidRPr="00B46BBA">
        <w:rPr>
          <w:rFonts w:ascii="Arial" w:hAnsi="Arial"/>
          <w:sz w:val="22"/>
          <w:szCs w:val="22"/>
        </w:rPr>
        <w:t>.</w:t>
      </w:r>
    </w:p>
    <w:p w:rsidR="005963BB" w:rsidRPr="00B46BBA" w:rsidRDefault="005963BB" w:rsidP="0056034A">
      <w:pPr>
        <w:jc w:val="both"/>
        <w:rPr>
          <w:rFonts w:ascii="Arial" w:hAnsi="Arial"/>
          <w:sz w:val="22"/>
          <w:szCs w:val="22"/>
        </w:rPr>
      </w:pPr>
    </w:p>
    <w:p w:rsidR="005A3173" w:rsidRPr="00171158" w:rsidRDefault="005A3173" w:rsidP="00882085">
      <w:pPr>
        <w:ind w:left="720" w:hanging="720"/>
        <w:jc w:val="both"/>
        <w:rPr>
          <w:rFonts w:ascii="Arial" w:hAnsi="Arial"/>
          <w:b/>
          <w:sz w:val="22"/>
          <w:szCs w:val="22"/>
        </w:rPr>
      </w:pPr>
      <w:r w:rsidRPr="00171158">
        <w:rPr>
          <w:rFonts w:ascii="Arial" w:hAnsi="Arial"/>
          <w:b/>
          <w:sz w:val="22"/>
          <w:szCs w:val="22"/>
        </w:rPr>
        <w:t>Estimated PBS usage &amp; financial implications</w:t>
      </w:r>
    </w:p>
    <w:p w:rsidR="005A3173" w:rsidRPr="00B46BBA" w:rsidRDefault="005A3173" w:rsidP="00882085">
      <w:pPr>
        <w:ind w:left="720" w:hanging="720"/>
        <w:jc w:val="both"/>
        <w:rPr>
          <w:rFonts w:ascii="Arial" w:hAnsi="Arial"/>
          <w:b/>
          <w:i/>
          <w:sz w:val="22"/>
          <w:szCs w:val="22"/>
        </w:rPr>
      </w:pPr>
    </w:p>
    <w:p w:rsidR="007B18BA" w:rsidRPr="00744DB2" w:rsidRDefault="007B18BA" w:rsidP="00171158">
      <w:pPr>
        <w:pStyle w:val="ListParagraph"/>
        <w:numPr>
          <w:ilvl w:val="1"/>
          <w:numId w:val="25"/>
        </w:numPr>
        <w:ind w:left="709" w:hanging="709"/>
        <w:jc w:val="both"/>
        <w:rPr>
          <w:rFonts w:ascii="Arial" w:hAnsi="Arial" w:cs="Arial"/>
          <w:iCs/>
          <w:sz w:val="22"/>
          <w:szCs w:val="22"/>
        </w:rPr>
      </w:pPr>
      <w:r w:rsidRPr="00744DB2">
        <w:rPr>
          <w:rFonts w:ascii="Arial" w:hAnsi="Arial" w:cs="Arial"/>
          <w:sz w:val="22"/>
          <w:szCs w:val="22"/>
        </w:rPr>
        <w:t>The minor submission state</w:t>
      </w:r>
      <w:r w:rsidR="00260E70">
        <w:rPr>
          <w:rFonts w:ascii="Arial" w:hAnsi="Arial" w:cs="Arial"/>
          <w:sz w:val="22"/>
          <w:szCs w:val="22"/>
        </w:rPr>
        <w:t>d</w:t>
      </w:r>
      <w:r w:rsidRPr="00744DB2">
        <w:rPr>
          <w:rFonts w:ascii="Arial" w:hAnsi="Arial" w:cs="Arial"/>
          <w:sz w:val="22"/>
          <w:szCs w:val="22"/>
        </w:rPr>
        <w:t xml:space="preserve"> that ‘The Australian Cystic Fibrosis Data Registry Annual Report 2012 identifies </w:t>
      </w:r>
      <w:r w:rsidRPr="00744DB2">
        <w:rPr>
          <w:rFonts w:ascii="Arial" w:hAnsi="Arial" w:cs="Arial"/>
          <w:bCs/>
          <w:sz w:val="22"/>
          <w:szCs w:val="22"/>
        </w:rPr>
        <w:t>5 patients</w:t>
      </w:r>
      <w:r w:rsidRPr="00744DB2">
        <w:rPr>
          <w:rFonts w:ascii="Arial" w:hAnsi="Arial" w:cs="Arial"/>
          <w:b/>
          <w:bCs/>
          <w:sz w:val="22"/>
          <w:szCs w:val="22"/>
        </w:rPr>
        <w:t xml:space="preserve"> </w:t>
      </w:r>
      <w:r w:rsidRPr="00744DB2">
        <w:rPr>
          <w:rFonts w:ascii="Arial" w:hAnsi="Arial" w:cs="Arial"/>
          <w:sz w:val="22"/>
          <w:szCs w:val="22"/>
        </w:rPr>
        <w:t xml:space="preserve">with </w:t>
      </w:r>
      <w:r w:rsidRPr="00744DB2">
        <w:rPr>
          <w:rFonts w:ascii="Arial" w:hAnsi="Arial" w:cs="Arial"/>
          <w:iCs/>
          <w:sz w:val="22"/>
          <w:szCs w:val="22"/>
        </w:rPr>
        <w:t>non</w:t>
      </w:r>
      <w:r w:rsidRPr="00744DB2">
        <w:rPr>
          <w:rFonts w:ascii="Cambria Math" w:hAnsi="Cambria Math" w:cs="Cambria Math"/>
          <w:iCs/>
          <w:sz w:val="22"/>
          <w:szCs w:val="22"/>
        </w:rPr>
        <w:t>‐</w:t>
      </w:r>
      <w:r w:rsidRPr="00744DB2">
        <w:rPr>
          <w:rFonts w:ascii="Arial" w:hAnsi="Arial" w:cs="Arial"/>
          <w:iCs/>
          <w:sz w:val="22"/>
          <w:szCs w:val="22"/>
        </w:rPr>
        <w:t xml:space="preserve">G551D </w:t>
      </w:r>
      <w:r w:rsidRPr="00744DB2">
        <w:rPr>
          <w:rFonts w:ascii="Arial" w:hAnsi="Arial" w:cs="Arial"/>
          <w:sz w:val="22"/>
          <w:szCs w:val="22"/>
        </w:rPr>
        <w:t>mutations. (Correspondence with the ACFDR suggested that number is expected to slightly increase; hence in the November 2013 Major Resubmission Vertex included the estimate of approximately 10 patients.)’</w:t>
      </w:r>
    </w:p>
    <w:p w:rsidR="00FD5A0F" w:rsidRPr="00744DB2" w:rsidRDefault="00FD5A0F" w:rsidP="00FD5A0F">
      <w:pPr>
        <w:jc w:val="both"/>
        <w:rPr>
          <w:rFonts w:ascii="Arial" w:hAnsi="Arial" w:cs="Arial"/>
          <w:sz w:val="22"/>
          <w:szCs w:val="22"/>
        </w:rPr>
      </w:pPr>
    </w:p>
    <w:p w:rsidR="00BB7EC3" w:rsidRPr="00744DB2" w:rsidRDefault="00FD5A0F" w:rsidP="00171158">
      <w:pPr>
        <w:pStyle w:val="ListParagraph"/>
        <w:numPr>
          <w:ilvl w:val="1"/>
          <w:numId w:val="25"/>
        </w:numPr>
        <w:ind w:left="709" w:hanging="709"/>
        <w:jc w:val="both"/>
        <w:rPr>
          <w:rFonts w:ascii="Arial" w:hAnsi="Arial" w:cs="Arial"/>
          <w:sz w:val="22"/>
          <w:szCs w:val="22"/>
        </w:rPr>
      </w:pPr>
      <w:r w:rsidRPr="00744DB2">
        <w:rPr>
          <w:rFonts w:ascii="Arial" w:hAnsi="Arial" w:cs="Arial"/>
          <w:sz w:val="22"/>
          <w:szCs w:val="22"/>
        </w:rPr>
        <w:t>The Commentary</w:t>
      </w:r>
      <w:r w:rsidR="00130A04" w:rsidRPr="00744DB2">
        <w:rPr>
          <w:rFonts w:ascii="Arial" w:hAnsi="Arial" w:cs="Arial"/>
          <w:sz w:val="22"/>
          <w:szCs w:val="22"/>
        </w:rPr>
        <w:t xml:space="preserve"> [7.6 COM.48] </w:t>
      </w:r>
      <w:r w:rsidRPr="00744DB2">
        <w:rPr>
          <w:rFonts w:ascii="Arial" w:hAnsi="Arial" w:cs="Arial"/>
          <w:sz w:val="22"/>
          <w:szCs w:val="22"/>
        </w:rPr>
        <w:t xml:space="preserve">of the March 2014 major submission stated that the estimates reported in the resubmission do not include the non-G551D class III (gating) mutation category. This is explained in Table E.1.1 of the submission, which states that these </w:t>
      </w:r>
      <w:r w:rsidR="008D4099">
        <w:rPr>
          <w:rFonts w:ascii="Arial" w:hAnsi="Arial" w:cs="Arial"/>
          <w:noProof/>
          <w:color w:val="000000"/>
          <w:sz w:val="22"/>
          <w:szCs w:val="22"/>
          <w:highlight w:val="black"/>
        </w:rPr>
        <w:t>''''''''''''''''''''''''''''''''''' '''''' ''''''''''''''''''' ''''''' ''''''''''''''''''' '''' ''''''''' ''''''''''''''' ''''''''' '''''''''''''''''''''''</w:t>
      </w:r>
      <w:r w:rsidRPr="00744DB2">
        <w:rPr>
          <w:rFonts w:ascii="Arial" w:hAnsi="Arial" w:cs="Arial"/>
          <w:sz w:val="22"/>
          <w:szCs w:val="22"/>
        </w:rPr>
        <w:t xml:space="preserve"> in Section F. </w:t>
      </w:r>
    </w:p>
    <w:p w:rsidR="00515039" w:rsidRPr="00744DB2" w:rsidRDefault="00515039" w:rsidP="00515039">
      <w:pPr>
        <w:pStyle w:val="ListParagraph"/>
        <w:rPr>
          <w:rFonts w:ascii="Arial" w:hAnsi="Arial" w:cs="Arial"/>
          <w:sz w:val="22"/>
          <w:szCs w:val="22"/>
        </w:rPr>
      </w:pPr>
    </w:p>
    <w:p w:rsidR="00515039" w:rsidRDefault="00515039" w:rsidP="00171158">
      <w:pPr>
        <w:pStyle w:val="ListParagraph"/>
        <w:numPr>
          <w:ilvl w:val="1"/>
          <w:numId w:val="25"/>
        </w:numPr>
        <w:ind w:left="709" w:hanging="709"/>
        <w:jc w:val="both"/>
        <w:rPr>
          <w:rFonts w:ascii="Arial" w:hAnsi="Arial" w:cs="Arial"/>
          <w:sz w:val="22"/>
          <w:szCs w:val="22"/>
        </w:rPr>
      </w:pPr>
      <w:r w:rsidRPr="00744DB2">
        <w:rPr>
          <w:rFonts w:ascii="Arial" w:hAnsi="Arial" w:cs="Arial"/>
          <w:sz w:val="22"/>
          <w:szCs w:val="22"/>
        </w:rPr>
        <w:t xml:space="preserve">The pre-PBAC response of the March 2014 submission proposed </w:t>
      </w:r>
      <w:r w:rsidR="008D4099">
        <w:rPr>
          <w:rFonts w:ascii="Arial" w:hAnsi="Arial" w:cs="Arial"/>
          <w:noProof/>
          <w:color w:val="000000"/>
          <w:sz w:val="22"/>
          <w:szCs w:val="22"/>
          <w:highlight w:val="black"/>
        </w:rPr>
        <w:t>'''' ''''''''''''' '''''''''' '''''' '''''''''''''''' ''''''''''''''''''''''</w:t>
      </w:r>
      <w:r w:rsidRPr="00744DB2">
        <w:rPr>
          <w:rFonts w:ascii="Arial" w:hAnsi="Arial" w:cs="Arial"/>
          <w:sz w:val="22"/>
          <w:szCs w:val="22"/>
        </w:rPr>
        <w:t xml:space="preserve"> </w:t>
      </w:r>
      <w:r w:rsidR="00870A11" w:rsidRPr="00744DB2">
        <w:rPr>
          <w:rFonts w:ascii="Arial" w:hAnsi="Arial" w:cs="Arial"/>
          <w:sz w:val="22"/>
          <w:szCs w:val="22"/>
        </w:rPr>
        <w:t xml:space="preserve">as per the original submission for G551D alone and </w:t>
      </w:r>
      <w:r w:rsidRPr="00744DB2">
        <w:rPr>
          <w:rFonts w:ascii="Arial" w:hAnsi="Arial" w:cs="Arial"/>
          <w:sz w:val="22"/>
          <w:szCs w:val="22"/>
        </w:rPr>
        <w:t xml:space="preserve">reiterated that </w:t>
      </w:r>
      <w:r w:rsidR="008D4099">
        <w:rPr>
          <w:rFonts w:ascii="Arial" w:hAnsi="Arial" w:cs="Arial"/>
          <w:noProof/>
          <w:color w:val="000000"/>
          <w:sz w:val="22"/>
          <w:szCs w:val="22"/>
          <w:highlight w:val="black"/>
        </w:rPr>
        <w:t>'''''''''' '''''''''''''''''''''' ''''''''''''''''''''''''''' ''''' '''''''''''''''''''' '''''''' '''''''''''''''''''''''' '''''''''''''''''''' ''''''''''''''' ''''''''' '''''''''</w:t>
      </w:r>
      <w:r w:rsidR="00870A11" w:rsidRPr="00744DB2">
        <w:rPr>
          <w:rFonts w:ascii="Arial" w:hAnsi="Arial" w:cs="Arial"/>
          <w:sz w:val="22"/>
          <w:szCs w:val="22"/>
        </w:rPr>
        <w:t>.</w:t>
      </w:r>
    </w:p>
    <w:p w:rsidR="00260E70" w:rsidRPr="00260E70" w:rsidRDefault="00260E70" w:rsidP="00260E70">
      <w:pPr>
        <w:pStyle w:val="ListParagraph"/>
        <w:rPr>
          <w:rFonts w:ascii="Arial" w:hAnsi="Arial" w:cs="Arial"/>
          <w:sz w:val="22"/>
          <w:szCs w:val="22"/>
        </w:rPr>
      </w:pPr>
    </w:p>
    <w:p w:rsidR="00260E70" w:rsidRPr="00260E70" w:rsidRDefault="00260E70" w:rsidP="00171158">
      <w:pPr>
        <w:pStyle w:val="ListParagraph"/>
        <w:numPr>
          <w:ilvl w:val="1"/>
          <w:numId w:val="25"/>
        </w:numPr>
        <w:ind w:left="709" w:hanging="709"/>
        <w:jc w:val="both"/>
        <w:rPr>
          <w:rFonts w:ascii="Arial" w:hAnsi="Arial" w:cs="Arial"/>
          <w:sz w:val="22"/>
          <w:szCs w:val="22"/>
        </w:rPr>
      </w:pPr>
      <w:r>
        <w:rPr>
          <w:rFonts w:ascii="Arial" w:hAnsi="Arial" w:cs="Arial"/>
          <w:sz w:val="22"/>
          <w:szCs w:val="22"/>
        </w:rPr>
        <w:t xml:space="preserve">The </w:t>
      </w:r>
      <w:r w:rsidR="0016229C">
        <w:rPr>
          <w:rFonts w:ascii="Arial" w:hAnsi="Arial" w:cs="Arial"/>
          <w:sz w:val="22"/>
          <w:szCs w:val="22"/>
        </w:rPr>
        <w:t>sponsor noted</w:t>
      </w:r>
      <w:r>
        <w:rPr>
          <w:rFonts w:ascii="Arial" w:hAnsi="Arial" w:cs="Arial"/>
          <w:sz w:val="22"/>
          <w:szCs w:val="22"/>
        </w:rPr>
        <w:t xml:space="preserve"> ‘</w:t>
      </w:r>
      <w:r w:rsidRPr="00260E70">
        <w:rPr>
          <w:rFonts w:ascii="Arial" w:hAnsi="Arial" w:cs="Arial"/>
          <w:sz w:val="22"/>
          <w:szCs w:val="22"/>
        </w:rPr>
        <w:t>Since the minor submission for the November 2014 PBAC meeting several additional patients</w:t>
      </w:r>
      <w:r>
        <w:rPr>
          <w:rFonts w:ascii="Arial" w:hAnsi="Arial" w:cs="Arial"/>
          <w:sz w:val="22"/>
          <w:szCs w:val="22"/>
        </w:rPr>
        <w:t xml:space="preserve"> </w:t>
      </w:r>
      <w:r w:rsidRPr="00260E70">
        <w:rPr>
          <w:rFonts w:ascii="Arial" w:hAnsi="Arial" w:cs="Arial"/>
          <w:sz w:val="22"/>
          <w:szCs w:val="22"/>
        </w:rPr>
        <w:t>with a gating (class III) mutation in the CFTR gene other than G551D have been identified as a consequence of a CFTR mutation testing program</w:t>
      </w:r>
      <w:r>
        <w:rPr>
          <w:rFonts w:ascii="Arial" w:hAnsi="Arial" w:cs="Arial"/>
          <w:sz w:val="22"/>
          <w:szCs w:val="22"/>
        </w:rPr>
        <w:t>’</w:t>
      </w:r>
      <w:r w:rsidRPr="00260E70">
        <w:rPr>
          <w:rFonts w:ascii="Arial" w:hAnsi="Arial" w:cs="Arial"/>
          <w:sz w:val="22"/>
          <w:szCs w:val="22"/>
        </w:rPr>
        <w:t>.</w:t>
      </w:r>
      <w:r>
        <w:rPr>
          <w:rFonts w:ascii="Arial" w:hAnsi="Arial" w:cs="Arial"/>
          <w:sz w:val="22"/>
          <w:szCs w:val="22"/>
        </w:rPr>
        <w:t xml:space="preserve"> </w:t>
      </w:r>
      <w:r w:rsidR="008D4099">
        <w:rPr>
          <w:rFonts w:ascii="Arial" w:hAnsi="Arial" w:cs="Arial"/>
          <w:noProof/>
          <w:color w:val="000000"/>
          <w:sz w:val="22"/>
          <w:szCs w:val="22"/>
          <w:highlight w:val="black"/>
        </w:rPr>
        <w:t>''''''''' ''''''''''''''''''' '''''''''''''''''''''' '''''''' '''''''''''''''''''''''''' '''''' ''''''''''''''''''''' '''''''''''' '''''''''''''''''''''' '''''''''''''''''''' ''''''''''''' ''''''''' ''''''''''''' ''''''''''''''''''' '''''''''''''' '''''''''</w:t>
      </w:r>
      <w:r>
        <w:rPr>
          <w:rFonts w:ascii="Arial" w:hAnsi="Arial" w:cs="Arial"/>
          <w:sz w:val="22"/>
          <w:szCs w:val="22"/>
        </w:rPr>
        <w:t>.</w:t>
      </w:r>
    </w:p>
    <w:p w:rsidR="00870A11" w:rsidRPr="00744DB2" w:rsidRDefault="00870A11" w:rsidP="00870A11">
      <w:pPr>
        <w:pStyle w:val="ListParagraph"/>
        <w:rPr>
          <w:rFonts w:ascii="Arial" w:hAnsi="Arial" w:cs="Arial"/>
          <w:sz w:val="22"/>
          <w:szCs w:val="22"/>
        </w:rPr>
      </w:pPr>
    </w:p>
    <w:p w:rsidR="00870A11" w:rsidRPr="00744DB2" w:rsidRDefault="00870A11" w:rsidP="00171158">
      <w:pPr>
        <w:pStyle w:val="ListParagraph"/>
        <w:numPr>
          <w:ilvl w:val="1"/>
          <w:numId w:val="25"/>
        </w:numPr>
        <w:ind w:left="709" w:hanging="709"/>
        <w:jc w:val="both"/>
        <w:rPr>
          <w:rFonts w:ascii="Arial" w:hAnsi="Arial" w:cs="Arial"/>
          <w:iCs/>
          <w:sz w:val="22"/>
          <w:szCs w:val="22"/>
        </w:rPr>
      </w:pPr>
      <w:r w:rsidRPr="00744DB2">
        <w:rPr>
          <w:rFonts w:ascii="Arial" w:hAnsi="Arial" w:cs="Arial"/>
          <w:sz w:val="22"/>
          <w:szCs w:val="22"/>
        </w:rPr>
        <w:t xml:space="preserve">Estimated financial implications </w:t>
      </w:r>
      <w:r w:rsidR="004B64E9">
        <w:rPr>
          <w:rFonts w:ascii="Arial" w:hAnsi="Arial" w:cs="Arial"/>
          <w:sz w:val="22"/>
          <w:szCs w:val="22"/>
        </w:rPr>
        <w:t>were</w:t>
      </w:r>
      <w:r w:rsidRPr="00744DB2">
        <w:rPr>
          <w:rFonts w:ascii="Arial" w:hAnsi="Arial" w:cs="Arial"/>
          <w:sz w:val="22"/>
          <w:szCs w:val="22"/>
        </w:rPr>
        <w:t xml:space="preserve"> not presented in the Minor Submission. </w:t>
      </w:r>
    </w:p>
    <w:p w:rsidR="00870A11" w:rsidRPr="00C93F7F" w:rsidRDefault="00870A11" w:rsidP="00C93F7F">
      <w:pPr>
        <w:jc w:val="both"/>
        <w:rPr>
          <w:rFonts w:ascii="Arial" w:hAnsi="Arial" w:cs="Arial"/>
          <w:sz w:val="22"/>
          <w:szCs w:val="22"/>
        </w:rPr>
      </w:pPr>
    </w:p>
    <w:p w:rsidR="00A236EB" w:rsidRDefault="00A236EB">
      <w:pPr>
        <w:rPr>
          <w:rFonts w:ascii="Arial" w:hAnsi="Arial" w:cs="Arial"/>
          <w:sz w:val="22"/>
          <w:szCs w:val="22"/>
        </w:rPr>
      </w:pPr>
    </w:p>
    <w:p w:rsidR="00BB7EC3" w:rsidRPr="00D11BDE" w:rsidRDefault="000F2820" w:rsidP="00171158">
      <w:pPr>
        <w:pStyle w:val="Header"/>
        <w:numPr>
          <w:ilvl w:val="0"/>
          <w:numId w:val="25"/>
        </w:numPr>
        <w:tabs>
          <w:tab w:val="clear" w:pos="4153"/>
          <w:tab w:val="clear" w:pos="8306"/>
        </w:tabs>
        <w:jc w:val="both"/>
        <w:rPr>
          <w:rFonts w:ascii="Arial" w:hAnsi="Arial"/>
          <w:sz w:val="22"/>
          <w:szCs w:val="22"/>
        </w:rPr>
      </w:pPr>
      <w:r w:rsidRPr="000F2820">
        <w:rPr>
          <w:rFonts w:ascii="Arial" w:hAnsi="Arial"/>
          <w:b/>
          <w:sz w:val="22"/>
          <w:szCs w:val="22"/>
        </w:rPr>
        <w:t>PBAC Outcome</w:t>
      </w:r>
    </w:p>
    <w:p w:rsidR="00D11BDE" w:rsidRDefault="00D11BDE" w:rsidP="00D11BDE">
      <w:pPr>
        <w:pStyle w:val="Header"/>
        <w:tabs>
          <w:tab w:val="clear" w:pos="4153"/>
          <w:tab w:val="clear" w:pos="8306"/>
        </w:tabs>
        <w:jc w:val="both"/>
        <w:rPr>
          <w:rFonts w:ascii="Arial" w:hAnsi="Arial"/>
          <w:sz w:val="22"/>
          <w:szCs w:val="22"/>
        </w:rPr>
      </w:pPr>
    </w:p>
    <w:p w:rsidR="000F2820" w:rsidRDefault="00260E70" w:rsidP="00171158">
      <w:pPr>
        <w:pStyle w:val="ListParagraph"/>
        <w:numPr>
          <w:ilvl w:val="1"/>
          <w:numId w:val="25"/>
        </w:numPr>
        <w:ind w:left="709" w:hanging="709"/>
        <w:jc w:val="both"/>
        <w:rPr>
          <w:rFonts w:ascii="Arial" w:hAnsi="Arial"/>
          <w:sz w:val="22"/>
          <w:szCs w:val="22"/>
        </w:rPr>
      </w:pPr>
      <w:r>
        <w:rPr>
          <w:rFonts w:ascii="Arial" w:hAnsi="Arial" w:cs="Arial"/>
          <w:bCs/>
          <w:snapToGrid w:val="0"/>
          <w:sz w:val="22"/>
          <w:szCs w:val="22"/>
        </w:rPr>
        <w:t>T</w:t>
      </w:r>
      <w:r w:rsidR="00461EC9" w:rsidRPr="00C710FF">
        <w:rPr>
          <w:rFonts w:ascii="Arial" w:hAnsi="Arial" w:cs="Arial"/>
          <w:bCs/>
          <w:snapToGrid w:val="0"/>
          <w:sz w:val="22"/>
          <w:szCs w:val="22"/>
        </w:rPr>
        <w:t xml:space="preserve">he PBAC recommended </w:t>
      </w:r>
      <w:r w:rsidR="00461EC9">
        <w:rPr>
          <w:rFonts w:ascii="Arial" w:hAnsi="Arial"/>
          <w:sz w:val="22"/>
          <w:szCs w:val="22"/>
        </w:rPr>
        <w:t>to extend</w:t>
      </w:r>
      <w:r w:rsidR="00461EC9" w:rsidRPr="00B46BBA">
        <w:rPr>
          <w:rFonts w:ascii="Arial" w:hAnsi="Arial"/>
          <w:sz w:val="22"/>
          <w:szCs w:val="22"/>
        </w:rPr>
        <w:t xml:space="preserve"> the previous recommendation for the PBS listing of ivacaftor as a Section 100 (Highly Specialised Drugs Program) benefit for the treatment of cystic fibrosis (CF) in patients aged six years and older who have a G551D mutation in the cystic fibrosis transmembrane conductance regulator (CFTR) gene to include other gating (class III) mutation in the CFTR gene</w:t>
      </w:r>
      <w:r w:rsidR="00415A81">
        <w:rPr>
          <w:rFonts w:ascii="Arial" w:hAnsi="Arial"/>
          <w:sz w:val="22"/>
          <w:szCs w:val="22"/>
        </w:rPr>
        <w:t xml:space="preserve">. </w:t>
      </w:r>
    </w:p>
    <w:p w:rsidR="005369AC" w:rsidRPr="005369AC" w:rsidRDefault="005369AC" w:rsidP="005369AC">
      <w:pPr>
        <w:jc w:val="both"/>
        <w:rPr>
          <w:rFonts w:ascii="Arial" w:hAnsi="Arial"/>
          <w:sz w:val="22"/>
          <w:szCs w:val="22"/>
        </w:rPr>
      </w:pPr>
    </w:p>
    <w:p w:rsidR="00415A81" w:rsidRPr="005369AC" w:rsidRDefault="00415A81" w:rsidP="00171158">
      <w:pPr>
        <w:pStyle w:val="ListParagraph"/>
        <w:numPr>
          <w:ilvl w:val="1"/>
          <w:numId w:val="25"/>
        </w:numPr>
        <w:ind w:left="709" w:hanging="709"/>
        <w:jc w:val="both"/>
        <w:rPr>
          <w:rFonts w:ascii="Arial" w:hAnsi="Arial"/>
          <w:sz w:val="22"/>
          <w:szCs w:val="22"/>
        </w:rPr>
      </w:pPr>
      <w:r>
        <w:rPr>
          <w:rFonts w:ascii="Arial" w:hAnsi="Arial"/>
          <w:sz w:val="22"/>
          <w:szCs w:val="22"/>
        </w:rPr>
        <w:t>The PBAC noted that i</w:t>
      </w:r>
      <w:r w:rsidRPr="00E17829">
        <w:rPr>
          <w:rFonts w:ascii="Arial" w:hAnsi="Arial"/>
          <w:sz w:val="22"/>
          <w:szCs w:val="22"/>
        </w:rPr>
        <w:t xml:space="preserve">vacaftor was </w:t>
      </w:r>
      <w:r>
        <w:rPr>
          <w:rFonts w:ascii="Arial" w:hAnsi="Arial"/>
          <w:sz w:val="22"/>
          <w:szCs w:val="22"/>
        </w:rPr>
        <w:t xml:space="preserve">now </w:t>
      </w:r>
      <w:r w:rsidRPr="00E17829">
        <w:rPr>
          <w:rFonts w:ascii="Arial" w:hAnsi="Arial"/>
          <w:sz w:val="22"/>
          <w:szCs w:val="22"/>
        </w:rPr>
        <w:t xml:space="preserve">listed on the </w:t>
      </w:r>
      <w:r>
        <w:rPr>
          <w:rFonts w:ascii="Arial" w:hAnsi="Arial"/>
          <w:sz w:val="22"/>
          <w:szCs w:val="22"/>
        </w:rPr>
        <w:t>ARTG</w:t>
      </w:r>
      <w:r w:rsidRPr="00E17829">
        <w:rPr>
          <w:rFonts w:ascii="Arial" w:hAnsi="Arial"/>
          <w:sz w:val="22"/>
          <w:szCs w:val="22"/>
        </w:rPr>
        <w:t xml:space="preserve"> </w:t>
      </w:r>
      <w:r w:rsidR="00D3111F">
        <w:rPr>
          <w:rFonts w:ascii="Arial" w:hAnsi="Arial"/>
          <w:i/>
          <w:sz w:val="22"/>
          <w:szCs w:val="22"/>
        </w:rPr>
        <w:t>‘</w:t>
      </w:r>
      <w:r w:rsidRPr="00E17829">
        <w:rPr>
          <w:rFonts w:ascii="Arial" w:hAnsi="Arial"/>
          <w:i/>
          <w:sz w:val="22"/>
          <w:szCs w:val="22"/>
        </w:rPr>
        <w:t>…for the treatment of cystic fibrosis (CF) in patients age 6 years and older who have a G551D or other gating (class III) mutation in the CFTR gene.</w:t>
      </w:r>
      <w:r w:rsidR="00D3111F">
        <w:rPr>
          <w:rFonts w:ascii="Arial" w:hAnsi="Arial"/>
          <w:i/>
          <w:sz w:val="22"/>
          <w:szCs w:val="22"/>
        </w:rPr>
        <w:t>’</w:t>
      </w:r>
    </w:p>
    <w:p w:rsidR="005369AC" w:rsidRPr="005369AC" w:rsidRDefault="005369AC" w:rsidP="005369AC">
      <w:pPr>
        <w:jc w:val="both"/>
        <w:rPr>
          <w:rFonts w:ascii="Arial" w:hAnsi="Arial"/>
          <w:sz w:val="22"/>
          <w:szCs w:val="22"/>
        </w:rPr>
      </w:pPr>
    </w:p>
    <w:p w:rsidR="00415A81" w:rsidRDefault="008B192E" w:rsidP="00171158">
      <w:pPr>
        <w:pStyle w:val="ListParagraph"/>
        <w:numPr>
          <w:ilvl w:val="1"/>
          <w:numId w:val="25"/>
        </w:numPr>
        <w:ind w:left="709" w:hanging="709"/>
        <w:jc w:val="both"/>
        <w:rPr>
          <w:rFonts w:ascii="Arial" w:hAnsi="Arial"/>
          <w:sz w:val="22"/>
          <w:szCs w:val="22"/>
        </w:rPr>
      </w:pPr>
      <w:r>
        <w:rPr>
          <w:rFonts w:ascii="Arial" w:hAnsi="Arial"/>
          <w:sz w:val="22"/>
          <w:szCs w:val="22"/>
        </w:rPr>
        <w:t>The</w:t>
      </w:r>
      <w:r w:rsidR="005369AC">
        <w:rPr>
          <w:rFonts w:ascii="Arial" w:hAnsi="Arial"/>
          <w:sz w:val="22"/>
          <w:szCs w:val="22"/>
        </w:rPr>
        <w:t xml:space="preserve"> PBAC accepted the clinical claim in the submission </w:t>
      </w:r>
      <w:r w:rsidR="005369AC" w:rsidRPr="00B46BBA">
        <w:rPr>
          <w:rFonts w:ascii="Arial" w:hAnsi="Arial"/>
          <w:sz w:val="22"/>
          <w:szCs w:val="22"/>
        </w:rPr>
        <w:t>that in the KONNECTION trial, ivacaftor ha</w:t>
      </w:r>
      <w:r w:rsidR="005369AC">
        <w:rPr>
          <w:rFonts w:ascii="Arial" w:hAnsi="Arial"/>
          <w:sz w:val="22"/>
          <w:szCs w:val="22"/>
        </w:rPr>
        <w:t>s</w:t>
      </w:r>
      <w:r w:rsidR="005369AC" w:rsidRPr="00B46BBA">
        <w:rPr>
          <w:rFonts w:ascii="Arial" w:hAnsi="Arial"/>
          <w:sz w:val="22"/>
          <w:szCs w:val="22"/>
        </w:rPr>
        <w:t xml:space="preserve"> superior comparative effectiveness compared with placebo</w:t>
      </w:r>
      <w:r w:rsidR="005369AC">
        <w:rPr>
          <w:rFonts w:ascii="Arial" w:hAnsi="Arial"/>
          <w:sz w:val="22"/>
          <w:szCs w:val="22"/>
        </w:rPr>
        <w:t xml:space="preserve">. </w:t>
      </w:r>
    </w:p>
    <w:p w:rsidR="008B192E" w:rsidRPr="008B192E" w:rsidRDefault="008B192E" w:rsidP="008B192E">
      <w:pPr>
        <w:pStyle w:val="ListParagraph"/>
        <w:rPr>
          <w:rFonts w:ascii="Arial" w:hAnsi="Arial"/>
          <w:sz w:val="22"/>
          <w:szCs w:val="22"/>
        </w:rPr>
      </w:pPr>
    </w:p>
    <w:p w:rsidR="008B192E" w:rsidRDefault="008B192E" w:rsidP="00171158">
      <w:pPr>
        <w:pStyle w:val="ListParagraph"/>
        <w:numPr>
          <w:ilvl w:val="1"/>
          <w:numId w:val="25"/>
        </w:numPr>
        <w:ind w:left="709" w:hanging="709"/>
        <w:jc w:val="both"/>
        <w:rPr>
          <w:rFonts w:ascii="Arial" w:hAnsi="Arial"/>
          <w:sz w:val="22"/>
          <w:szCs w:val="22"/>
        </w:rPr>
      </w:pPr>
      <w:r>
        <w:rPr>
          <w:rFonts w:ascii="Arial" w:hAnsi="Arial"/>
          <w:sz w:val="22"/>
          <w:szCs w:val="22"/>
        </w:rPr>
        <w:t>The PBAC noted that the submission compared the efficacy of ivacaftor in</w:t>
      </w:r>
      <w:r w:rsidR="004F245F">
        <w:rPr>
          <w:rFonts w:ascii="Arial" w:hAnsi="Arial"/>
          <w:sz w:val="22"/>
          <w:szCs w:val="22"/>
        </w:rPr>
        <w:t xml:space="preserve"> non-G551D</w:t>
      </w:r>
      <w:r>
        <w:rPr>
          <w:rFonts w:ascii="Arial" w:hAnsi="Arial"/>
          <w:sz w:val="22"/>
          <w:szCs w:val="22"/>
        </w:rPr>
        <w:t xml:space="preserve"> patients </w:t>
      </w:r>
      <w:r w:rsidR="001D47CF">
        <w:rPr>
          <w:rFonts w:ascii="Arial" w:hAnsi="Arial"/>
          <w:sz w:val="22"/>
          <w:szCs w:val="22"/>
        </w:rPr>
        <w:t xml:space="preserve">after 8 weeks of treatment to the efficacy in </w:t>
      </w:r>
      <w:r w:rsidR="004F245F">
        <w:rPr>
          <w:rFonts w:ascii="Arial" w:hAnsi="Arial"/>
          <w:sz w:val="22"/>
          <w:szCs w:val="22"/>
        </w:rPr>
        <w:t xml:space="preserve">G551D </w:t>
      </w:r>
      <w:r w:rsidR="001D47CF">
        <w:rPr>
          <w:rFonts w:ascii="Arial" w:hAnsi="Arial"/>
          <w:sz w:val="22"/>
          <w:szCs w:val="22"/>
        </w:rPr>
        <w:t xml:space="preserve">patients after 24 and 48 weeks of treatment. The PBAC noted that </w:t>
      </w:r>
      <w:r w:rsidR="00DC518A">
        <w:rPr>
          <w:rFonts w:ascii="Arial" w:hAnsi="Arial"/>
          <w:sz w:val="22"/>
          <w:szCs w:val="22"/>
        </w:rPr>
        <w:t xml:space="preserve">the </w:t>
      </w:r>
      <w:r w:rsidR="001D47CF">
        <w:rPr>
          <w:rFonts w:ascii="Arial" w:hAnsi="Arial"/>
          <w:sz w:val="22"/>
          <w:szCs w:val="22"/>
        </w:rPr>
        <w:t>trial outcomes in the KONNECTION trial were in the same order of magnitude as in the STRIVE and</w:t>
      </w:r>
      <w:r w:rsidR="001D47CF" w:rsidRPr="00B46BBA">
        <w:rPr>
          <w:rFonts w:ascii="Arial" w:hAnsi="Arial"/>
          <w:sz w:val="22"/>
          <w:szCs w:val="22"/>
        </w:rPr>
        <w:t xml:space="preserve"> ENVISION </w:t>
      </w:r>
      <w:r w:rsidR="001D47CF">
        <w:rPr>
          <w:rFonts w:ascii="Arial" w:hAnsi="Arial"/>
          <w:sz w:val="22"/>
          <w:szCs w:val="22"/>
        </w:rPr>
        <w:t>trials. The PBAC recalled that clinical efficacy in patients with the G551D mutation remained stable between 8 weeks and 24 weeks after treatment. Overall, the PBAC considered</w:t>
      </w:r>
      <w:r w:rsidR="004F245F">
        <w:rPr>
          <w:rFonts w:ascii="Arial" w:hAnsi="Arial"/>
          <w:sz w:val="22"/>
          <w:szCs w:val="22"/>
        </w:rPr>
        <w:t>, with the data presented in the submission</w:t>
      </w:r>
      <w:r w:rsidR="00DC518A">
        <w:rPr>
          <w:rFonts w:ascii="Arial" w:hAnsi="Arial"/>
          <w:sz w:val="22"/>
          <w:szCs w:val="22"/>
        </w:rPr>
        <w:t>, that</w:t>
      </w:r>
      <w:r w:rsidR="001D47CF">
        <w:rPr>
          <w:rFonts w:ascii="Arial" w:hAnsi="Arial"/>
          <w:sz w:val="22"/>
          <w:szCs w:val="22"/>
        </w:rPr>
        <w:t xml:space="preserve"> </w:t>
      </w:r>
      <w:r w:rsidR="001D47CF" w:rsidRPr="001A3048">
        <w:rPr>
          <w:rFonts w:ascii="Arial" w:hAnsi="Arial"/>
          <w:sz w:val="22"/>
          <w:szCs w:val="22"/>
        </w:rPr>
        <w:t xml:space="preserve">the efficacy and safety of ivacaftor in </w:t>
      </w:r>
      <w:r w:rsidR="001D47CF" w:rsidRPr="001A3048">
        <w:rPr>
          <w:rFonts w:ascii="Arial" w:hAnsi="Arial"/>
          <w:iCs/>
          <w:sz w:val="22"/>
          <w:szCs w:val="22"/>
        </w:rPr>
        <w:t>non</w:t>
      </w:r>
      <w:r w:rsidR="001D47CF" w:rsidRPr="001A3048">
        <w:rPr>
          <w:rFonts w:ascii="Cambria Math" w:hAnsi="Cambria Math" w:cs="Cambria Math"/>
          <w:iCs/>
          <w:sz w:val="22"/>
          <w:szCs w:val="22"/>
        </w:rPr>
        <w:t>‐</w:t>
      </w:r>
      <w:r w:rsidR="001D47CF" w:rsidRPr="001A3048">
        <w:rPr>
          <w:rFonts w:ascii="Arial" w:hAnsi="Arial"/>
          <w:iCs/>
          <w:sz w:val="22"/>
          <w:szCs w:val="22"/>
        </w:rPr>
        <w:t xml:space="preserve">G551D </w:t>
      </w:r>
      <w:r w:rsidR="001D47CF" w:rsidRPr="001A3048">
        <w:rPr>
          <w:rFonts w:ascii="Arial" w:hAnsi="Arial"/>
          <w:sz w:val="22"/>
          <w:szCs w:val="22"/>
        </w:rPr>
        <w:t xml:space="preserve">patients is equivalent to that in </w:t>
      </w:r>
      <w:r w:rsidR="001D47CF" w:rsidRPr="001A3048">
        <w:rPr>
          <w:rFonts w:ascii="Arial" w:hAnsi="Arial"/>
          <w:iCs/>
          <w:sz w:val="22"/>
          <w:szCs w:val="22"/>
        </w:rPr>
        <w:t xml:space="preserve">G551D </w:t>
      </w:r>
      <w:r w:rsidR="001D47CF" w:rsidRPr="001A3048">
        <w:rPr>
          <w:rFonts w:ascii="Arial" w:hAnsi="Arial"/>
          <w:sz w:val="22"/>
          <w:szCs w:val="22"/>
        </w:rPr>
        <w:t>patients</w:t>
      </w:r>
      <w:r w:rsidR="004F245F">
        <w:rPr>
          <w:rFonts w:ascii="Arial" w:hAnsi="Arial"/>
          <w:sz w:val="22"/>
          <w:szCs w:val="22"/>
        </w:rPr>
        <w:t xml:space="preserve"> in the short term.</w:t>
      </w:r>
    </w:p>
    <w:p w:rsidR="005369AC" w:rsidRPr="005369AC" w:rsidRDefault="005369AC" w:rsidP="005369AC">
      <w:pPr>
        <w:pStyle w:val="ListParagraph"/>
        <w:rPr>
          <w:rFonts w:ascii="Arial" w:hAnsi="Arial"/>
          <w:sz w:val="22"/>
          <w:szCs w:val="22"/>
        </w:rPr>
      </w:pPr>
    </w:p>
    <w:p w:rsidR="005369AC" w:rsidRDefault="005369AC" w:rsidP="00171158">
      <w:pPr>
        <w:pStyle w:val="ListParagraph"/>
        <w:numPr>
          <w:ilvl w:val="1"/>
          <w:numId w:val="25"/>
        </w:numPr>
        <w:ind w:left="709" w:hanging="709"/>
        <w:jc w:val="both"/>
        <w:rPr>
          <w:rFonts w:ascii="Arial" w:hAnsi="Arial"/>
          <w:sz w:val="22"/>
          <w:szCs w:val="22"/>
        </w:rPr>
      </w:pPr>
      <w:r>
        <w:rPr>
          <w:rFonts w:ascii="Arial" w:hAnsi="Arial"/>
          <w:sz w:val="22"/>
          <w:szCs w:val="22"/>
        </w:rPr>
        <w:t xml:space="preserve">The </w:t>
      </w:r>
      <w:r w:rsidR="0016229C">
        <w:rPr>
          <w:rFonts w:ascii="Arial" w:hAnsi="Arial"/>
          <w:sz w:val="22"/>
          <w:szCs w:val="22"/>
        </w:rPr>
        <w:t xml:space="preserve">PBAC noted, during consideration of the item, that </w:t>
      </w:r>
      <w:r w:rsidR="00F07D79">
        <w:rPr>
          <w:rFonts w:ascii="Arial" w:hAnsi="Arial"/>
          <w:sz w:val="22"/>
          <w:szCs w:val="22"/>
        </w:rPr>
        <w:t xml:space="preserve">the sponsor suggested that </w:t>
      </w:r>
      <w:r w:rsidR="00C60410">
        <w:rPr>
          <w:rFonts w:ascii="Arial" w:hAnsi="Arial"/>
          <w:sz w:val="22"/>
          <w:szCs w:val="22"/>
        </w:rPr>
        <w:t>‘</w:t>
      </w:r>
      <w:r w:rsidR="00F07D79">
        <w:rPr>
          <w:rFonts w:ascii="Arial" w:hAnsi="Arial"/>
          <w:sz w:val="22"/>
          <w:szCs w:val="22"/>
        </w:rPr>
        <w:t xml:space="preserve">there </w:t>
      </w:r>
      <w:r w:rsidR="00F07D79" w:rsidRPr="00F07D79">
        <w:rPr>
          <w:rFonts w:ascii="Arial" w:hAnsi="Arial"/>
          <w:sz w:val="22"/>
          <w:szCs w:val="22"/>
        </w:rPr>
        <w:t xml:space="preserve">may be as many as </w:t>
      </w:r>
      <w:r w:rsidR="008D4099">
        <w:rPr>
          <w:rFonts w:ascii="Arial" w:hAnsi="Arial"/>
          <w:noProof/>
          <w:color w:val="000000"/>
          <w:sz w:val="22"/>
          <w:szCs w:val="22"/>
          <w:highlight w:val="black"/>
        </w:rPr>
        <w:t>''''''</w:t>
      </w:r>
      <w:r w:rsidR="00F07D79" w:rsidRPr="00F07D79">
        <w:rPr>
          <w:rFonts w:ascii="Arial" w:hAnsi="Arial"/>
          <w:sz w:val="22"/>
          <w:szCs w:val="22"/>
        </w:rPr>
        <w:t xml:space="preserve"> patients in Australia with a non</w:t>
      </w:r>
      <w:r w:rsidR="00DC518A">
        <w:rPr>
          <w:rFonts w:ascii="Arial" w:hAnsi="Arial"/>
          <w:sz w:val="22"/>
          <w:szCs w:val="22"/>
        </w:rPr>
        <w:t>-</w:t>
      </w:r>
      <w:r w:rsidR="00F07D79" w:rsidRPr="00F07D79">
        <w:rPr>
          <w:rFonts w:ascii="Arial" w:hAnsi="Arial"/>
          <w:sz w:val="22"/>
          <w:szCs w:val="22"/>
        </w:rPr>
        <w:t xml:space="preserve">G551D gating mutation, of which </w:t>
      </w:r>
      <w:r w:rsidR="008D4099">
        <w:rPr>
          <w:rFonts w:ascii="Arial" w:hAnsi="Arial"/>
          <w:noProof/>
          <w:color w:val="000000"/>
          <w:sz w:val="22"/>
          <w:szCs w:val="22"/>
          <w:highlight w:val="black"/>
        </w:rPr>
        <w:t>''''''</w:t>
      </w:r>
      <w:r w:rsidR="00F07D79" w:rsidRPr="00F07D79">
        <w:rPr>
          <w:rFonts w:ascii="Arial" w:hAnsi="Arial"/>
          <w:sz w:val="22"/>
          <w:szCs w:val="22"/>
        </w:rPr>
        <w:t xml:space="preserve"> patients may be eligible for treatment with ivacaftor</w:t>
      </w:r>
      <w:r w:rsidR="00C60410">
        <w:rPr>
          <w:rFonts w:ascii="Arial" w:hAnsi="Arial"/>
          <w:sz w:val="22"/>
          <w:szCs w:val="22"/>
        </w:rPr>
        <w:t xml:space="preserve">’, which is greater than </w:t>
      </w:r>
      <w:r w:rsidR="008D4099">
        <w:rPr>
          <w:rFonts w:ascii="Arial" w:hAnsi="Arial"/>
          <w:noProof/>
          <w:color w:val="000000"/>
          <w:sz w:val="22"/>
          <w:szCs w:val="22"/>
          <w:highlight w:val="black"/>
        </w:rPr>
        <w:t>'''</w:t>
      </w:r>
      <w:r w:rsidR="00C60410">
        <w:rPr>
          <w:rFonts w:ascii="Arial" w:hAnsi="Arial"/>
          <w:sz w:val="22"/>
          <w:szCs w:val="22"/>
        </w:rPr>
        <w:t>-</w:t>
      </w:r>
      <w:r w:rsidR="008D4099">
        <w:rPr>
          <w:rFonts w:ascii="Arial" w:hAnsi="Arial"/>
          <w:noProof/>
          <w:color w:val="000000"/>
          <w:sz w:val="22"/>
          <w:szCs w:val="22"/>
          <w:highlight w:val="black"/>
        </w:rPr>
        <w:t>'''''</w:t>
      </w:r>
      <w:r w:rsidR="00C60410">
        <w:rPr>
          <w:rFonts w:ascii="Arial" w:hAnsi="Arial"/>
          <w:sz w:val="22"/>
          <w:szCs w:val="22"/>
        </w:rPr>
        <w:t xml:space="preserve"> patients estimated in the submission for the March 2014 meeting. The PBAC considered that amending listing to allow non-G551D patients to be treated under the same criteria as G551D patient</w:t>
      </w:r>
      <w:r w:rsidR="00103D46">
        <w:rPr>
          <w:rFonts w:ascii="Arial" w:hAnsi="Arial"/>
          <w:sz w:val="22"/>
          <w:szCs w:val="22"/>
        </w:rPr>
        <w:t>s</w:t>
      </w:r>
      <w:r w:rsidR="00C60410">
        <w:rPr>
          <w:rFonts w:ascii="Arial" w:hAnsi="Arial"/>
          <w:sz w:val="22"/>
          <w:szCs w:val="22"/>
        </w:rPr>
        <w:t xml:space="preserve"> will afford access to a group of CF patients for whom ivacaftor is likely to offer a clinical benefit.</w:t>
      </w:r>
      <w:r w:rsidR="00F07D79" w:rsidRPr="00F07D79">
        <w:rPr>
          <w:rFonts w:ascii="Arial" w:hAnsi="Arial"/>
          <w:sz w:val="22"/>
          <w:szCs w:val="22"/>
        </w:rPr>
        <w:t xml:space="preserve"> </w:t>
      </w:r>
    </w:p>
    <w:p w:rsidR="004B64E9" w:rsidRDefault="004B64E9" w:rsidP="00103D46">
      <w:pPr>
        <w:pStyle w:val="ListParagraph"/>
        <w:ind w:left="709"/>
        <w:jc w:val="both"/>
        <w:rPr>
          <w:rFonts w:ascii="Arial" w:hAnsi="Arial"/>
          <w:sz w:val="22"/>
          <w:szCs w:val="22"/>
        </w:rPr>
      </w:pPr>
    </w:p>
    <w:p w:rsidR="004B64E9" w:rsidRDefault="004B64E9" w:rsidP="00171158">
      <w:pPr>
        <w:pStyle w:val="ListParagraph"/>
        <w:numPr>
          <w:ilvl w:val="1"/>
          <w:numId w:val="25"/>
        </w:numPr>
        <w:ind w:left="709" w:hanging="709"/>
        <w:jc w:val="both"/>
        <w:rPr>
          <w:rFonts w:ascii="Arial" w:hAnsi="Arial"/>
          <w:sz w:val="22"/>
          <w:szCs w:val="22"/>
        </w:rPr>
      </w:pPr>
      <w:r>
        <w:rPr>
          <w:rFonts w:ascii="Arial" w:hAnsi="Arial"/>
          <w:sz w:val="22"/>
          <w:szCs w:val="22"/>
        </w:rPr>
        <w:t>The PBAC noted that the new patient group would need to meet the eligibility and continuation criteria as had been previously recommended for the remainder of the target CF population.</w:t>
      </w:r>
    </w:p>
    <w:p w:rsidR="004B64E9" w:rsidRDefault="004B64E9" w:rsidP="00103D46">
      <w:pPr>
        <w:pStyle w:val="ListParagraph"/>
        <w:ind w:left="709"/>
        <w:jc w:val="both"/>
        <w:rPr>
          <w:rFonts w:ascii="Arial" w:hAnsi="Arial"/>
          <w:sz w:val="22"/>
          <w:szCs w:val="22"/>
        </w:rPr>
      </w:pPr>
    </w:p>
    <w:p w:rsidR="004B64E9" w:rsidRPr="00F07D79" w:rsidRDefault="004B64E9" w:rsidP="00171158">
      <w:pPr>
        <w:pStyle w:val="ListParagraph"/>
        <w:numPr>
          <w:ilvl w:val="1"/>
          <w:numId w:val="25"/>
        </w:numPr>
        <w:ind w:left="709" w:hanging="709"/>
        <w:jc w:val="both"/>
        <w:rPr>
          <w:rFonts w:ascii="Arial" w:hAnsi="Arial"/>
          <w:sz w:val="22"/>
          <w:szCs w:val="22"/>
        </w:rPr>
      </w:pPr>
      <w:r>
        <w:rPr>
          <w:rFonts w:ascii="Arial" w:hAnsi="Arial"/>
          <w:sz w:val="22"/>
          <w:szCs w:val="22"/>
        </w:rPr>
        <w:t xml:space="preserve">The PBAC also noted that </w:t>
      </w:r>
      <w:r w:rsidR="008D4099">
        <w:rPr>
          <w:rFonts w:ascii="Arial" w:hAnsi="Arial"/>
          <w:noProof/>
          <w:color w:val="000000"/>
          <w:sz w:val="22"/>
          <w:szCs w:val="22"/>
          <w:highlight w:val="black"/>
        </w:rPr>
        <w:t>'''''' ''''''' '''''''''''''''''''''' '''''''''''''''''' ''''''''''''' '''''' ''''''''''''''''''''''' ''''''''''''''' ''''''''' '''''''''''''''''''' '''''''''' '''''''''''' '''''''''''''''''' '''''' '''''' '''''''''''''''''''''''' '''''''''''''''''''' '''''''''''''''''''''''''''''' '''''' '''''''' '''''''''''''''''''''''''''''''''</w:t>
      </w:r>
      <w:r>
        <w:rPr>
          <w:rFonts w:ascii="Arial" w:hAnsi="Arial"/>
          <w:sz w:val="22"/>
          <w:szCs w:val="22"/>
        </w:rPr>
        <w:t>.</w:t>
      </w:r>
    </w:p>
    <w:p w:rsidR="000F2820" w:rsidRDefault="000F2820" w:rsidP="000F2820">
      <w:pPr>
        <w:jc w:val="both"/>
        <w:rPr>
          <w:rFonts w:ascii="Arial" w:hAnsi="Arial"/>
          <w:sz w:val="22"/>
          <w:szCs w:val="22"/>
        </w:rPr>
      </w:pPr>
    </w:p>
    <w:p w:rsidR="00C93F7F" w:rsidRDefault="00C93F7F" w:rsidP="000F2820">
      <w:pPr>
        <w:jc w:val="both"/>
        <w:rPr>
          <w:rFonts w:ascii="Arial" w:hAnsi="Arial"/>
          <w:sz w:val="22"/>
          <w:szCs w:val="22"/>
        </w:rPr>
      </w:pPr>
    </w:p>
    <w:p w:rsidR="000F2820" w:rsidRDefault="000F2820" w:rsidP="000F2820">
      <w:pPr>
        <w:jc w:val="both"/>
        <w:rPr>
          <w:rFonts w:ascii="Arial" w:hAnsi="Arial"/>
          <w:b/>
          <w:sz w:val="22"/>
          <w:szCs w:val="22"/>
        </w:rPr>
      </w:pPr>
      <w:r>
        <w:rPr>
          <w:rFonts w:ascii="Arial" w:hAnsi="Arial"/>
          <w:b/>
          <w:sz w:val="22"/>
          <w:szCs w:val="22"/>
        </w:rPr>
        <w:t>Outcome:</w:t>
      </w:r>
    </w:p>
    <w:p w:rsidR="000F2820" w:rsidRPr="000F2820" w:rsidRDefault="000F2820" w:rsidP="000F2820">
      <w:pPr>
        <w:jc w:val="both"/>
        <w:rPr>
          <w:rFonts w:ascii="Arial" w:hAnsi="Arial"/>
          <w:sz w:val="22"/>
          <w:szCs w:val="22"/>
        </w:rPr>
      </w:pPr>
      <w:r>
        <w:rPr>
          <w:rFonts w:ascii="Arial" w:hAnsi="Arial"/>
          <w:sz w:val="22"/>
          <w:szCs w:val="22"/>
        </w:rPr>
        <w:t>Recommended</w:t>
      </w:r>
    </w:p>
    <w:p w:rsidR="000F2820" w:rsidRDefault="000F2820" w:rsidP="000F2820">
      <w:pPr>
        <w:jc w:val="both"/>
        <w:rPr>
          <w:rFonts w:ascii="Arial" w:hAnsi="Arial"/>
          <w:sz w:val="22"/>
          <w:szCs w:val="22"/>
        </w:rPr>
      </w:pPr>
    </w:p>
    <w:p w:rsidR="00171158" w:rsidRPr="000F2820" w:rsidRDefault="00171158" w:rsidP="000F2820">
      <w:pPr>
        <w:jc w:val="both"/>
        <w:rPr>
          <w:rFonts w:ascii="Arial" w:hAnsi="Arial"/>
          <w:sz w:val="22"/>
          <w:szCs w:val="22"/>
        </w:rPr>
      </w:pPr>
    </w:p>
    <w:p w:rsidR="000F2820" w:rsidRPr="00171158" w:rsidRDefault="000F2820" w:rsidP="00171158">
      <w:pPr>
        <w:pStyle w:val="Header"/>
        <w:numPr>
          <w:ilvl w:val="0"/>
          <w:numId w:val="25"/>
        </w:numPr>
        <w:tabs>
          <w:tab w:val="clear" w:pos="4153"/>
          <w:tab w:val="clear" w:pos="8306"/>
        </w:tabs>
        <w:jc w:val="both"/>
        <w:rPr>
          <w:rFonts w:ascii="Arial" w:hAnsi="Arial"/>
          <w:b/>
          <w:sz w:val="22"/>
          <w:szCs w:val="22"/>
        </w:rPr>
      </w:pPr>
      <w:r w:rsidRPr="00171158">
        <w:rPr>
          <w:rFonts w:ascii="Arial" w:hAnsi="Arial" w:cs="Arial"/>
          <w:b/>
          <w:sz w:val="22"/>
          <w:szCs w:val="22"/>
        </w:rPr>
        <w:t>Recommended listing</w:t>
      </w:r>
    </w:p>
    <w:p w:rsidR="00171158" w:rsidRPr="000F2820" w:rsidRDefault="00171158" w:rsidP="00171158">
      <w:pPr>
        <w:pStyle w:val="Header"/>
        <w:tabs>
          <w:tab w:val="clear" w:pos="4153"/>
          <w:tab w:val="clear" w:pos="8306"/>
        </w:tabs>
        <w:jc w:val="both"/>
        <w:rPr>
          <w:rFonts w:ascii="Arial" w:hAnsi="Arial"/>
          <w:sz w:val="22"/>
          <w:szCs w:val="22"/>
        </w:rPr>
      </w:pPr>
    </w:p>
    <w:p w:rsidR="000F2820" w:rsidRDefault="003E5C2D" w:rsidP="00171158">
      <w:pPr>
        <w:pStyle w:val="ListParagraph"/>
        <w:numPr>
          <w:ilvl w:val="1"/>
          <w:numId w:val="25"/>
        </w:numPr>
        <w:ind w:left="709" w:hanging="709"/>
        <w:jc w:val="both"/>
        <w:rPr>
          <w:rFonts w:ascii="Arial" w:hAnsi="Arial"/>
          <w:sz w:val="22"/>
          <w:szCs w:val="22"/>
        </w:rPr>
      </w:pPr>
      <w:r>
        <w:rPr>
          <w:rFonts w:ascii="Arial" w:hAnsi="Arial"/>
          <w:sz w:val="22"/>
          <w:szCs w:val="22"/>
        </w:rPr>
        <w:t>A</w:t>
      </w:r>
      <w:r w:rsidRPr="005F3E57">
        <w:rPr>
          <w:rFonts w:ascii="Arial" w:hAnsi="Arial"/>
          <w:sz w:val="22"/>
          <w:szCs w:val="22"/>
        </w:rPr>
        <w:t>mend existing and recommended listings as follows:</w:t>
      </w:r>
    </w:p>
    <w:p w:rsidR="003E5C2D" w:rsidRDefault="003E5C2D" w:rsidP="003E5C2D">
      <w:pPr>
        <w:jc w:val="both"/>
        <w:rPr>
          <w:rFonts w:ascii="Arial" w:hAnsi="Arial"/>
          <w:sz w:val="22"/>
          <w:szCs w:val="22"/>
        </w:rPr>
      </w:pPr>
    </w:p>
    <w:p w:rsidR="003E5C2D" w:rsidRPr="00171158" w:rsidRDefault="003E5C2D" w:rsidP="009B3C6F">
      <w:pPr>
        <w:ind w:left="709"/>
        <w:jc w:val="both"/>
        <w:rPr>
          <w:rFonts w:ascii="Arial Narrow" w:hAnsi="Arial Narrow"/>
          <w:b/>
          <w:sz w:val="20"/>
          <w:szCs w:val="20"/>
        </w:rPr>
      </w:pPr>
      <w:r w:rsidRPr="00171158">
        <w:rPr>
          <w:rFonts w:ascii="Arial Narrow" w:hAnsi="Arial Narrow"/>
          <w:b/>
          <w:sz w:val="20"/>
          <w:szCs w:val="20"/>
        </w:rPr>
        <w:t>Clinical criteria includes:</w:t>
      </w:r>
    </w:p>
    <w:p w:rsidR="003E5C2D" w:rsidRDefault="003E5C2D" w:rsidP="009B3C6F">
      <w:pPr>
        <w:ind w:left="709"/>
        <w:jc w:val="both"/>
        <w:rPr>
          <w:rFonts w:ascii="Arial" w:hAnsi="Arial"/>
          <w:b/>
          <w:sz w:val="22"/>
          <w:szCs w:val="22"/>
        </w:rPr>
      </w:pPr>
    </w:p>
    <w:p w:rsidR="003E5C2D" w:rsidRPr="00171158" w:rsidRDefault="003E5C2D" w:rsidP="009B3C6F">
      <w:pPr>
        <w:ind w:left="709"/>
        <w:rPr>
          <w:rFonts w:ascii="Arial Narrow" w:hAnsi="Arial Narrow" w:cs="Arial"/>
          <w:color w:val="00B0F0"/>
          <w:sz w:val="20"/>
          <w:szCs w:val="20"/>
        </w:rPr>
      </w:pPr>
      <w:r w:rsidRPr="00171158">
        <w:rPr>
          <w:rFonts w:ascii="Arial Narrow" w:hAnsi="Arial Narrow" w:cs="Arial"/>
          <w:sz w:val="20"/>
          <w:szCs w:val="20"/>
        </w:rPr>
        <w:t xml:space="preserve">Patient must have G551D mutation in the cystic fibrosis transmembrane conductance regulator (CFTR) gene on at least 1 allele </w:t>
      </w:r>
    </w:p>
    <w:p w:rsidR="003E5C2D" w:rsidRPr="00171158" w:rsidRDefault="003E5C2D" w:rsidP="009B3C6F">
      <w:pPr>
        <w:ind w:left="709"/>
        <w:rPr>
          <w:rFonts w:ascii="Arial Narrow" w:hAnsi="Arial Narrow" w:cs="Arial"/>
          <w:sz w:val="20"/>
          <w:szCs w:val="20"/>
        </w:rPr>
      </w:pPr>
    </w:p>
    <w:p w:rsidR="003E5C2D" w:rsidRDefault="003E5C2D" w:rsidP="009B3C6F">
      <w:pPr>
        <w:ind w:left="709"/>
        <w:rPr>
          <w:rFonts w:ascii="Arial Narrow" w:hAnsi="Arial Narrow" w:cs="Arial"/>
          <w:sz w:val="20"/>
          <w:szCs w:val="20"/>
        </w:rPr>
      </w:pPr>
      <w:r w:rsidRPr="00171158">
        <w:rPr>
          <w:rFonts w:ascii="Arial Narrow" w:hAnsi="Arial Narrow" w:cs="Arial"/>
          <w:sz w:val="20"/>
          <w:szCs w:val="20"/>
        </w:rPr>
        <w:t>OR</w:t>
      </w:r>
    </w:p>
    <w:p w:rsidR="00AE7FB1" w:rsidRPr="00171158" w:rsidRDefault="00AE7FB1" w:rsidP="009B3C6F">
      <w:pPr>
        <w:ind w:left="709"/>
        <w:rPr>
          <w:rFonts w:ascii="Arial Narrow" w:hAnsi="Arial Narrow" w:cs="Arial"/>
          <w:sz w:val="20"/>
          <w:szCs w:val="20"/>
        </w:rPr>
      </w:pPr>
    </w:p>
    <w:p w:rsidR="003E5C2D" w:rsidRDefault="003E5C2D" w:rsidP="009B3C6F">
      <w:pPr>
        <w:ind w:left="709"/>
        <w:rPr>
          <w:rFonts w:ascii="Arial Narrow" w:hAnsi="Arial Narrow" w:cs="Arial"/>
          <w:sz w:val="20"/>
          <w:szCs w:val="20"/>
        </w:rPr>
      </w:pPr>
      <w:r w:rsidRPr="00171158">
        <w:rPr>
          <w:rFonts w:ascii="Arial Narrow" w:hAnsi="Arial Narrow" w:cs="Arial"/>
          <w:sz w:val="20"/>
          <w:szCs w:val="20"/>
        </w:rPr>
        <w:t>Patient must have other gating (class III) mutation in the CFTR gene on at least 1 allele</w:t>
      </w:r>
    </w:p>
    <w:p w:rsidR="00C93F7F" w:rsidRPr="00C93F7F" w:rsidRDefault="00C93F7F" w:rsidP="00C93F7F">
      <w:pPr>
        <w:pStyle w:val="ListParagraph"/>
        <w:jc w:val="both"/>
        <w:rPr>
          <w:rFonts w:ascii="Arial" w:hAnsi="Arial"/>
          <w:sz w:val="22"/>
          <w:szCs w:val="22"/>
        </w:rPr>
      </w:pPr>
    </w:p>
    <w:p w:rsidR="00C93F7F" w:rsidRPr="00C93F7F" w:rsidRDefault="00C93F7F" w:rsidP="00C93F7F">
      <w:pPr>
        <w:pStyle w:val="ListParagraph"/>
        <w:jc w:val="both"/>
        <w:rPr>
          <w:rFonts w:ascii="Arial" w:hAnsi="Arial"/>
          <w:sz w:val="22"/>
          <w:szCs w:val="22"/>
        </w:rPr>
      </w:pPr>
    </w:p>
    <w:p w:rsidR="00537996" w:rsidRDefault="00537996" w:rsidP="00537996">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537996" w:rsidRPr="00D4420F" w:rsidRDefault="00537996" w:rsidP="00537996">
      <w:pPr>
        <w:pStyle w:val="ListParagraph"/>
        <w:jc w:val="both"/>
        <w:rPr>
          <w:rFonts w:ascii="Arial" w:hAnsi="Arial" w:cs="Arial"/>
          <w:b/>
          <w:sz w:val="22"/>
        </w:rPr>
      </w:pPr>
    </w:p>
    <w:p w:rsidR="00537996" w:rsidRPr="00D4420F" w:rsidRDefault="00537996" w:rsidP="00537996">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37996" w:rsidRDefault="00537996" w:rsidP="00537996">
      <w:pPr>
        <w:jc w:val="both"/>
        <w:rPr>
          <w:rFonts w:ascii="Arial" w:hAnsi="Arial" w:cs="Arial"/>
          <w:sz w:val="22"/>
        </w:rPr>
      </w:pPr>
    </w:p>
    <w:p w:rsidR="00240B9C" w:rsidRPr="00D4420F" w:rsidRDefault="00240B9C" w:rsidP="00537996">
      <w:pPr>
        <w:jc w:val="both"/>
        <w:rPr>
          <w:rFonts w:ascii="Arial" w:hAnsi="Arial" w:cs="Arial"/>
          <w:sz w:val="22"/>
        </w:rPr>
      </w:pPr>
    </w:p>
    <w:p w:rsidR="00537996" w:rsidRDefault="00537996" w:rsidP="00537996">
      <w:pPr>
        <w:pStyle w:val="ListParagraph"/>
        <w:numPr>
          <w:ilvl w:val="0"/>
          <w:numId w:val="25"/>
        </w:numPr>
        <w:jc w:val="both"/>
        <w:rPr>
          <w:rFonts w:ascii="Arial" w:hAnsi="Arial" w:cs="Arial"/>
          <w:b/>
          <w:sz w:val="22"/>
        </w:rPr>
      </w:pPr>
      <w:r w:rsidRPr="00D4420F">
        <w:rPr>
          <w:rFonts w:ascii="Arial" w:hAnsi="Arial" w:cs="Arial"/>
          <w:b/>
          <w:sz w:val="22"/>
        </w:rPr>
        <w:t>Sponsor’s Comment</w:t>
      </w:r>
    </w:p>
    <w:p w:rsidR="00537996" w:rsidRDefault="00537996" w:rsidP="00655296">
      <w:pPr>
        <w:ind w:left="720"/>
        <w:rPr>
          <w:rFonts w:ascii="Arial Narrow" w:hAnsi="Arial Narrow" w:cs="Arial"/>
          <w:sz w:val="20"/>
          <w:szCs w:val="20"/>
        </w:rPr>
      </w:pPr>
    </w:p>
    <w:p w:rsidR="00655296" w:rsidRPr="00655296" w:rsidRDefault="00655296" w:rsidP="00655296">
      <w:pPr>
        <w:ind w:left="720"/>
        <w:jc w:val="both"/>
        <w:rPr>
          <w:rFonts w:ascii="Arial" w:hAnsi="Arial" w:cs="Arial"/>
          <w:sz w:val="22"/>
        </w:rPr>
      </w:pPr>
      <w:r w:rsidRPr="00655296">
        <w:rPr>
          <w:rFonts w:ascii="Arial" w:hAnsi="Arial" w:cs="Arial"/>
          <w:sz w:val="22"/>
        </w:rPr>
        <w:t>The sponsor had no comment.</w:t>
      </w:r>
    </w:p>
    <w:sectPr w:rsidR="00655296" w:rsidRPr="00655296" w:rsidSect="0010164F">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16DAD9" w15:done="0"/>
  <w15:commentEx w15:paraId="18D6A1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099" w:rsidRDefault="008D4099">
      <w:r>
        <w:separator/>
      </w:r>
    </w:p>
  </w:endnote>
  <w:endnote w:type="continuationSeparator" w:id="0">
    <w:p w:rsidR="008D4099" w:rsidRDefault="008D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054B0" w:rsidTr="005A3173">
      <w:trPr>
        <w:trHeight w:val="151"/>
      </w:trPr>
      <w:tc>
        <w:tcPr>
          <w:tcW w:w="2250" w:type="pct"/>
          <w:tcBorders>
            <w:top w:val="nil"/>
            <w:left w:val="nil"/>
            <w:bottom w:val="single" w:sz="4" w:space="0" w:color="4F81BD"/>
            <w:right w:val="nil"/>
          </w:tcBorders>
        </w:tcPr>
        <w:p w:rsidR="00D054B0" w:rsidRPr="005A3173" w:rsidRDefault="00D054B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054B0" w:rsidRPr="005A3173" w:rsidRDefault="00D054B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054B0" w:rsidRPr="005A3173" w:rsidRDefault="00D054B0" w:rsidP="005A3173">
          <w:pPr>
            <w:pStyle w:val="Header"/>
            <w:spacing w:line="276" w:lineRule="auto"/>
            <w:rPr>
              <w:rFonts w:ascii="Calibri" w:eastAsia="MS Gothic" w:hAnsi="Calibri"/>
              <w:b/>
              <w:bCs/>
              <w:color w:val="4F81BD"/>
            </w:rPr>
          </w:pPr>
        </w:p>
      </w:tc>
    </w:tr>
    <w:tr w:rsidR="00D054B0" w:rsidTr="005A3173">
      <w:trPr>
        <w:trHeight w:val="150"/>
      </w:trPr>
      <w:tc>
        <w:tcPr>
          <w:tcW w:w="2250" w:type="pct"/>
          <w:tcBorders>
            <w:top w:val="single" w:sz="4" w:space="0" w:color="4F81BD"/>
            <w:left w:val="nil"/>
            <w:bottom w:val="nil"/>
            <w:right w:val="nil"/>
          </w:tcBorders>
        </w:tcPr>
        <w:p w:rsidR="00D054B0" w:rsidRPr="005A3173" w:rsidRDefault="00D054B0" w:rsidP="005A3173">
          <w:pPr>
            <w:pStyle w:val="Header"/>
            <w:spacing w:line="276" w:lineRule="auto"/>
            <w:rPr>
              <w:rFonts w:ascii="Calibri" w:eastAsia="MS Gothic" w:hAnsi="Calibri"/>
              <w:b/>
              <w:bCs/>
              <w:color w:val="4F81BD"/>
            </w:rPr>
          </w:pPr>
        </w:p>
      </w:tc>
      <w:tc>
        <w:tcPr>
          <w:tcW w:w="0" w:type="auto"/>
          <w:vMerge/>
          <w:vAlign w:val="center"/>
          <w:hideMark/>
        </w:tcPr>
        <w:p w:rsidR="00D054B0" w:rsidRPr="005A3173" w:rsidRDefault="00D054B0" w:rsidP="005A3173">
          <w:pPr>
            <w:rPr>
              <w:rFonts w:ascii="Calibri" w:hAnsi="Calibri"/>
              <w:color w:val="365F91"/>
              <w:sz w:val="22"/>
              <w:szCs w:val="22"/>
            </w:rPr>
          </w:pPr>
        </w:p>
      </w:tc>
      <w:tc>
        <w:tcPr>
          <w:tcW w:w="2250" w:type="pct"/>
          <w:tcBorders>
            <w:top w:val="single" w:sz="4" w:space="0" w:color="4F81BD"/>
            <w:left w:val="nil"/>
            <w:bottom w:val="nil"/>
            <w:right w:val="nil"/>
          </w:tcBorders>
        </w:tcPr>
        <w:p w:rsidR="00D054B0" w:rsidRPr="005A3173" w:rsidRDefault="00D054B0" w:rsidP="005A3173">
          <w:pPr>
            <w:pStyle w:val="Header"/>
            <w:spacing w:line="276" w:lineRule="auto"/>
            <w:rPr>
              <w:rFonts w:ascii="Calibri" w:eastAsia="MS Gothic" w:hAnsi="Calibri"/>
              <w:b/>
              <w:bCs/>
              <w:color w:val="4F81BD"/>
            </w:rPr>
          </w:pPr>
        </w:p>
      </w:tc>
    </w:tr>
  </w:tbl>
  <w:p w:rsidR="00D054B0" w:rsidRDefault="00D054B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54B0" w:rsidRDefault="00D054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4B0" w:rsidRDefault="00D054B0" w:rsidP="00EF44A0">
    <w:pPr>
      <w:pStyle w:val="Footer"/>
    </w:pPr>
  </w:p>
  <w:p w:rsidR="00D054B0" w:rsidRPr="00C93F7F" w:rsidRDefault="007520C6">
    <w:pPr>
      <w:pStyle w:val="Footer"/>
      <w:jc w:val="center"/>
      <w:rPr>
        <w:rFonts w:ascii="Arial" w:hAnsi="Arial" w:cs="Arial"/>
        <w:sz w:val="22"/>
      </w:rPr>
    </w:pPr>
    <w:sdt>
      <w:sdtPr>
        <w:id w:val="-769395430"/>
        <w:docPartObj>
          <w:docPartGallery w:val="Page Numbers (Bottom of Page)"/>
          <w:docPartUnique/>
        </w:docPartObj>
      </w:sdtPr>
      <w:sdtEndPr>
        <w:rPr>
          <w:rFonts w:ascii="Arial" w:hAnsi="Arial" w:cs="Arial"/>
          <w:noProof/>
          <w:sz w:val="22"/>
        </w:rPr>
      </w:sdtEndPr>
      <w:sdtContent>
        <w:r w:rsidR="00D054B0" w:rsidRPr="00C93F7F">
          <w:rPr>
            <w:rFonts w:ascii="Arial" w:hAnsi="Arial" w:cs="Arial"/>
            <w:sz w:val="22"/>
          </w:rPr>
          <w:fldChar w:fldCharType="begin"/>
        </w:r>
        <w:r w:rsidR="00D054B0" w:rsidRPr="00C93F7F">
          <w:rPr>
            <w:rFonts w:ascii="Arial" w:hAnsi="Arial" w:cs="Arial"/>
            <w:sz w:val="22"/>
          </w:rPr>
          <w:instrText xml:space="preserve"> PAGE   \* MERGEFORMAT </w:instrText>
        </w:r>
        <w:r w:rsidR="00D054B0" w:rsidRPr="00C93F7F">
          <w:rPr>
            <w:rFonts w:ascii="Arial" w:hAnsi="Arial" w:cs="Arial"/>
            <w:sz w:val="22"/>
          </w:rPr>
          <w:fldChar w:fldCharType="separate"/>
        </w:r>
        <w:r>
          <w:rPr>
            <w:rFonts w:ascii="Arial" w:hAnsi="Arial" w:cs="Arial"/>
            <w:noProof/>
            <w:sz w:val="22"/>
          </w:rPr>
          <w:t>1</w:t>
        </w:r>
        <w:r w:rsidR="00D054B0" w:rsidRPr="00C93F7F">
          <w:rPr>
            <w:rFonts w:ascii="Arial" w:hAnsi="Arial" w:cs="Arial"/>
            <w:noProof/>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D054B0" w:rsidTr="005A3173">
      <w:trPr>
        <w:trHeight w:val="151"/>
      </w:trPr>
      <w:tc>
        <w:tcPr>
          <w:tcW w:w="2250" w:type="pct"/>
          <w:tcBorders>
            <w:top w:val="nil"/>
            <w:left w:val="nil"/>
            <w:bottom w:val="single" w:sz="4" w:space="0" w:color="4F81BD"/>
            <w:right w:val="nil"/>
          </w:tcBorders>
        </w:tcPr>
        <w:p w:rsidR="00D054B0" w:rsidRPr="005A3173" w:rsidRDefault="00D054B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054B0" w:rsidRPr="005A3173" w:rsidRDefault="00D054B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054B0" w:rsidRPr="005A3173" w:rsidRDefault="00D054B0" w:rsidP="005A3173">
          <w:pPr>
            <w:pStyle w:val="Header"/>
            <w:spacing w:line="276" w:lineRule="auto"/>
            <w:rPr>
              <w:rFonts w:ascii="Calibri" w:eastAsia="MS Gothic" w:hAnsi="Calibri"/>
              <w:b/>
              <w:bCs/>
              <w:color w:val="4F81BD"/>
            </w:rPr>
          </w:pPr>
        </w:p>
      </w:tc>
    </w:tr>
    <w:tr w:rsidR="00D054B0" w:rsidTr="005A3173">
      <w:trPr>
        <w:trHeight w:val="150"/>
      </w:trPr>
      <w:tc>
        <w:tcPr>
          <w:tcW w:w="2250" w:type="pct"/>
          <w:tcBorders>
            <w:top w:val="single" w:sz="4" w:space="0" w:color="4F81BD"/>
            <w:left w:val="nil"/>
            <w:bottom w:val="nil"/>
            <w:right w:val="nil"/>
          </w:tcBorders>
        </w:tcPr>
        <w:p w:rsidR="00D054B0" w:rsidRPr="005A3173" w:rsidRDefault="00D054B0" w:rsidP="005A3173">
          <w:pPr>
            <w:pStyle w:val="Header"/>
            <w:spacing w:line="276" w:lineRule="auto"/>
            <w:rPr>
              <w:rFonts w:ascii="Calibri" w:eastAsia="MS Gothic" w:hAnsi="Calibri"/>
              <w:b/>
              <w:bCs/>
              <w:color w:val="4F81BD"/>
            </w:rPr>
          </w:pPr>
        </w:p>
      </w:tc>
      <w:tc>
        <w:tcPr>
          <w:tcW w:w="0" w:type="auto"/>
          <w:vMerge/>
          <w:vAlign w:val="center"/>
          <w:hideMark/>
        </w:tcPr>
        <w:p w:rsidR="00D054B0" w:rsidRPr="005A3173" w:rsidRDefault="00D054B0" w:rsidP="005A3173">
          <w:pPr>
            <w:rPr>
              <w:rFonts w:ascii="Calibri" w:hAnsi="Calibri"/>
              <w:color w:val="365F91"/>
              <w:sz w:val="22"/>
              <w:szCs w:val="22"/>
            </w:rPr>
          </w:pPr>
        </w:p>
      </w:tc>
      <w:tc>
        <w:tcPr>
          <w:tcW w:w="2250" w:type="pct"/>
          <w:tcBorders>
            <w:top w:val="single" w:sz="4" w:space="0" w:color="4F81BD"/>
            <w:left w:val="nil"/>
            <w:bottom w:val="nil"/>
            <w:right w:val="nil"/>
          </w:tcBorders>
        </w:tcPr>
        <w:p w:rsidR="00D054B0" w:rsidRPr="005A3173" w:rsidRDefault="00D054B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054B0" w:rsidTr="005A3173">
      <w:trPr>
        <w:trHeight w:val="151"/>
      </w:trPr>
      <w:tc>
        <w:tcPr>
          <w:tcW w:w="2250" w:type="pct"/>
          <w:tcBorders>
            <w:top w:val="nil"/>
            <w:left w:val="nil"/>
            <w:bottom w:val="single" w:sz="4" w:space="0" w:color="4F81BD"/>
            <w:right w:val="nil"/>
          </w:tcBorders>
        </w:tcPr>
        <w:p w:rsidR="00D054B0" w:rsidRPr="005A3173" w:rsidRDefault="00D054B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054B0" w:rsidRPr="005A3173" w:rsidRDefault="00D054B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054B0" w:rsidRPr="005A3173" w:rsidRDefault="00D054B0" w:rsidP="005A3173">
          <w:pPr>
            <w:pStyle w:val="Header"/>
            <w:spacing w:line="276" w:lineRule="auto"/>
            <w:rPr>
              <w:rFonts w:ascii="Calibri" w:eastAsia="MS Gothic" w:hAnsi="Calibri"/>
              <w:b/>
              <w:bCs/>
              <w:color w:val="4F81BD"/>
            </w:rPr>
          </w:pPr>
        </w:p>
      </w:tc>
    </w:tr>
    <w:tr w:rsidR="00D054B0" w:rsidTr="005A3173">
      <w:trPr>
        <w:trHeight w:val="150"/>
      </w:trPr>
      <w:tc>
        <w:tcPr>
          <w:tcW w:w="2250" w:type="pct"/>
          <w:tcBorders>
            <w:top w:val="single" w:sz="4" w:space="0" w:color="4F81BD"/>
            <w:left w:val="nil"/>
            <w:bottom w:val="nil"/>
            <w:right w:val="nil"/>
          </w:tcBorders>
        </w:tcPr>
        <w:p w:rsidR="00D054B0" w:rsidRPr="005A3173" w:rsidRDefault="00D054B0" w:rsidP="005A3173">
          <w:pPr>
            <w:pStyle w:val="Header"/>
            <w:spacing w:line="276" w:lineRule="auto"/>
            <w:rPr>
              <w:rFonts w:ascii="Calibri" w:eastAsia="MS Gothic" w:hAnsi="Calibri"/>
              <w:b/>
              <w:bCs/>
              <w:color w:val="4F81BD"/>
            </w:rPr>
          </w:pPr>
        </w:p>
      </w:tc>
      <w:tc>
        <w:tcPr>
          <w:tcW w:w="0" w:type="auto"/>
          <w:vMerge/>
          <w:vAlign w:val="center"/>
          <w:hideMark/>
        </w:tcPr>
        <w:p w:rsidR="00D054B0" w:rsidRPr="005A3173" w:rsidRDefault="00D054B0" w:rsidP="005A3173">
          <w:pPr>
            <w:rPr>
              <w:rFonts w:ascii="Calibri" w:hAnsi="Calibri"/>
              <w:color w:val="365F91"/>
              <w:sz w:val="22"/>
              <w:szCs w:val="22"/>
            </w:rPr>
          </w:pPr>
        </w:p>
      </w:tc>
      <w:tc>
        <w:tcPr>
          <w:tcW w:w="2250" w:type="pct"/>
          <w:tcBorders>
            <w:top w:val="single" w:sz="4" w:space="0" w:color="4F81BD"/>
            <w:left w:val="nil"/>
            <w:bottom w:val="nil"/>
            <w:right w:val="nil"/>
          </w:tcBorders>
        </w:tcPr>
        <w:p w:rsidR="00D054B0" w:rsidRPr="005A3173" w:rsidRDefault="00D054B0" w:rsidP="005A3173">
          <w:pPr>
            <w:pStyle w:val="Header"/>
            <w:spacing w:line="276" w:lineRule="auto"/>
            <w:rPr>
              <w:rFonts w:ascii="Calibri" w:eastAsia="MS Gothic" w:hAnsi="Calibri"/>
              <w:b/>
              <w:bCs/>
              <w:color w:val="4F81BD"/>
            </w:rPr>
          </w:pPr>
        </w:p>
      </w:tc>
    </w:tr>
  </w:tbl>
  <w:p w:rsidR="00D054B0" w:rsidRPr="007C0F57" w:rsidRDefault="00D054B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054B0" w:rsidRPr="007C0F57" w:rsidRDefault="00D054B0"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099" w:rsidRDefault="008D4099">
      <w:r>
        <w:separator/>
      </w:r>
    </w:p>
  </w:footnote>
  <w:footnote w:type="continuationSeparator" w:id="0">
    <w:p w:rsidR="008D4099" w:rsidRDefault="008D4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054B0" w:rsidRPr="008E0D90" w:rsidTr="00A06225">
      <w:trPr>
        <w:trHeight w:val="151"/>
      </w:trPr>
      <w:tc>
        <w:tcPr>
          <w:tcW w:w="2389" w:type="pct"/>
          <w:tcBorders>
            <w:top w:val="nil"/>
            <w:left w:val="nil"/>
            <w:bottom w:val="single" w:sz="4" w:space="0" w:color="4F81BD"/>
            <w:right w:val="nil"/>
          </w:tcBorders>
        </w:tcPr>
        <w:p w:rsidR="00D054B0" w:rsidRPr="00A06225" w:rsidRDefault="00D054B0">
          <w:pPr>
            <w:pStyle w:val="Header"/>
            <w:spacing w:line="276" w:lineRule="auto"/>
            <w:rPr>
              <w:rFonts w:ascii="Cambria" w:eastAsia="MS Gothic" w:hAnsi="Cambria"/>
              <w:b/>
              <w:bCs/>
              <w:color w:val="4F81BD"/>
            </w:rPr>
          </w:pPr>
        </w:p>
      </w:tc>
      <w:tc>
        <w:tcPr>
          <w:tcW w:w="333" w:type="pct"/>
          <w:vMerge w:val="restart"/>
          <w:noWrap/>
          <w:vAlign w:val="center"/>
          <w:hideMark/>
        </w:tcPr>
        <w:p w:rsidR="00D054B0" w:rsidRPr="00A06225" w:rsidRDefault="00D054B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054B0" w:rsidRPr="00A06225" w:rsidRDefault="00D054B0">
          <w:pPr>
            <w:pStyle w:val="Header"/>
            <w:spacing w:line="276" w:lineRule="auto"/>
            <w:rPr>
              <w:rFonts w:ascii="Cambria" w:eastAsia="MS Gothic" w:hAnsi="Cambria"/>
              <w:b/>
              <w:bCs/>
              <w:color w:val="4F81BD"/>
            </w:rPr>
          </w:pPr>
        </w:p>
      </w:tc>
    </w:tr>
    <w:tr w:rsidR="00D054B0" w:rsidRPr="008E0D90" w:rsidTr="00A06225">
      <w:trPr>
        <w:trHeight w:val="150"/>
      </w:trPr>
      <w:tc>
        <w:tcPr>
          <w:tcW w:w="2389" w:type="pct"/>
          <w:tcBorders>
            <w:top w:val="single" w:sz="4" w:space="0" w:color="4F81BD"/>
            <w:left w:val="nil"/>
            <w:bottom w:val="nil"/>
            <w:right w:val="nil"/>
          </w:tcBorders>
        </w:tcPr>
        <w:p w:rsidR="00D054B0" w:rsidRPr="00A06225" w:rsidRDefault="00D054B0">
          <w:pPr>
            <w:pStyle w:val="Header"/>
            <w:spacing w:line="276" w:lineRule="auto"/>
            <w:rPr>
              <w:rFonts w:ascii="Cambria" w:eastAsia="MS Gothic" w:hAnsi="Cambria"/>
              <w:b/>
              <w:bCs/>
              <w:color w:val="4F81BD"/>
            </w:rPr>
          </w:pPr>
        </w:p>
      </w:tc>
      <w:tc>
        <w:tcPr>
          <w:tcW w:w="0" w:type="auto"/>
          <w:vMerge/>
          <w:vAlign w:val="center"/>
          <w:hideMark/>
        </w:tcPr>
        <w:p w:rsidR="00D054B0" w:rsidRPr="00A06225" w:rsidRDefault="00D054B0">
          <w:pPr>
            <w:rPr>
              <w:rFonts w:ascii="Cambria" w:hAnsi="Cambria"/>
              <w:color w:val="4F81BD"/>
              <w:sz w:val="22"/>
              <w:szCs w:val="22"/>
            </w:rPr>
          </w:pPr>
        </w:p>
      </w:tc>
      <w:tc>
        <w:tcPr>
          <w:tcW w:w="2278" w:type="pct"/>
          <w:tcBorders>
            <w:top w:val="single" w:sz="4" w:space="0" w:color="4F81BD"/>
            <w:left w:val="nil"/>
            <w:bottom w:val="nil"/>
            <w:right w:val="nil"/>
          </w:tcBorders>
        </w:tcPr>
        <w:p w:rsidR="00D054B0" w:rsidRPr="00A06225" w:rsidRDefault="00D054B0">
          <w:pPr>
            <w:pStyle w:val="Header"/>
            <w:spacing w:line="276" w:lineRule="auto"/>
            <w:rPr>
              <w:rFonts w:ascii="Cambria" w:eastAsia="MS Gothic" w:hAnsi="Cambria"/>
              <w:b/>
              <w:bCs/>
              <w:color w:val="4F81BD"/>
            </w:rPr>
          </w:pPr>
        </w:p>
      </w:tc>
    </w:tr>
  </w:tbl>
  <w:p w:rsidR="00D054B0" w:rsidRDefault="00D054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679" w:rsidRPr="00DF217D" w:rsidRDefault="00DE319B" w:rsidP="00E40679">
    <w:pPr>
      <w:pStyle w:val="Header"/>
      <w:ind w:left="360"/>
      <w:jc w:val="center"/>
      <w:rPr>
        <w:rFonts w:ascii="Arial" w:hAnsi="Arial" w:cs="Arial"/>
        <w:i/>
        <w:color w:val="808080"/>
        <w:sz w:val="22"/>
      </w:rPr>
    </w:pPr>
    <w:r>
      <w:rPr>
        <w:rFonts w:ascii="Arial" w:hAnsi="Arial" w:cs="Arial"/>
        <w:i/>
        <w:color w:val="808080"/>
        <w:sz w:val="22"/>
      </w:rPr>
      <w:t>Public Summary Document</w:t>
    </w:r>
    <w:r w:rsidR="00E40679">
      <w:rPr>
        <w:rFonts w:ascii="Arial" w:hAnsi="Arial" w:cs="Arial"/>
        <w:i/>
        <w:color w:val="808080"/>
        <w:sz w:val="22"/>
      </w:rPr>
      <w:t xml:space="preserve"> </w:t>
    </w:r>
    <w:r w:rsidR="00E40679" w:rsidRPr="00DF217D">
      <w:rPr>
        <w:rFonts w:ascii="Arial" w:hAnsi="Arial" w:cs="Arial"/>
        <w:i/>
        <w:color w:val="808080"/>
        <w:sz w:val="22"/>
      </w:rPr>
      <w:t xml:space="preserve">– </w:t>
    </w:r>
    <w:r w:rsidR="00E40679">
      <w:rPr>
        <w:rFonts w:ascii="Arial" w:hAnsi="Arial" w:cs="Arial"/>
        <w:i/>
        <w:color w:val="808080"/>
        <w:sz w:val="22"/>
      </w:rPr>
      <w:t xml:space="preserve">November 2014 </w:t>
    </w:r>
    <w:r w:rsidR="00E40679" w:rsidRPr="00DF217D">
      <w:rPr>
        <w:rFonts w:ascii="Arial" w:hAnsi="Arial" w:cs="Arial"/>
        <w:i/>
        <w:color w:val="808080"/>
        <w:sz w:val="22"/>
      </w:rPr>
      <w:t>PBAC</w:t>
    </w:r>
    <w:r w:rsidR="00E40679">
      <w:rPr>
        <w:rFonts w:ascii="Arial" w:hAnsi="Arial" w:cs="Arial"/>
        <w:i/>
        <w:color w:val="808080"/>
        <w:sz w:val="22"/>
      </w:rPr>
      <w:t xml:space="preserve"> </w:t>
    </w:r>
    <w:r w:rsidR="00E40679" w:rsidRPr="00DF217D">
      <w:rPr>
        <w:rFonts w:ascii="Arial" w:hAnsi="Arial" w:cs="Arial"/>
        <w:i/>
        <w:color w:val="808080"/>
        <w:sz w:val="22"/>
      </w:rPr>
      <w:t>Meeting</w:t>
    </w:r>
  </w:p>
  <w:p w:rsidR="00E40679" w:rsidRDefault="00E406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8">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9">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4">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9BC5196"/>
    <w:multiLevelType w:val="multilevel"/>
    <w:tmpl w:val="F4005898"/>
    <w:lvl w:ilvl="0">
      <w:start w:val="6"/>
      <w:numFmt w:val="decimal"/>
      <w:lvlText w:val="%1"/>
      <w:lvlJc w:val="left"/>
      <w:pPr>
        <w:ind w:left="360" w:hanging="360"/>
      </w:pPr>
      <w:rPr>
        <w:rFonts w:hint="default"/>
        <w:b/>
        <w:i w:val="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1">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3">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4">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5">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6">
    <w:nsid w:val="784D033C"/>
    <w:multiLevelType w:val="multilevel"/>
    <w:tmpl w:val="905EF0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32"/>
  </w:num>
  <w:num w:numId="3">
    <w:abstractNumId w:val="19"/>
  </w:num>
  <w:num w:numId="4">
    <w:abstractNumId w:val="0"/>
  </w:num>
  <w:num w:numId="5">
    <w:abstractNumId w:val="5"/>
  </w:num>
  <w:num w:numId="6">
    <w:abstractNumId w:val="18"/>
  </w:num>
  <w:num w:numId="7">
    <w:abstractNumId w:val="15"/>
  </w:num>
  <w:num w:numId="8">
    <w:abstractNumId w:val="4"/>
  </w:num>
  <w:num w:numId="9">
    <w:abstractNumId w:val="7"/>
  </w:num>
  <w:num w:numId="10">
    <w:abstractNumId w:val="30"/>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3"/>
  </w:num>
  <w:num w:numId="15">
    <w:abstractNumId w:val="26"/>
  </w:num>
  <w:num w:numId="16">
    <w:abstractNumId w:val="22"/>
  </w:num>
  <w:num w:numId="17">
    <w:abstractNumId w:val="35"/>
  </w:num>
  <w:num w:numId="18">
    <w:abstractNumId w:val="12"/>
  </w:num>
  <w:num w:numId="19">
    <w:abstractNumId w:val="17"/>
  </w:num>
  <w:num w:numId="20">
    <w:abstractNumId w:val="3"/>
  </w:num>
  <w:num w:numId="21">
    <w:abstractNumId w:val="29"/>
  </w:num>
  <w:num w:numId="22">
    <w:abstractNumId w:val="31"/>
  </w:num>
  <w:num w:numId="23">
    <w:abstractNumId w:val="37"/>
  </w:num>
  <w:num w:numId="24">
    <w:abstractNumId w:val="14"/>
  </w:num>
  <w:num w:numId="25">
    <w:abstractNumId w:val="36"/>
  </w:num>
  <w:num w:numId="26">
    <w:abstractNumId w:val="27"/>
  </w:num>
  <w:num w:numId="27">
    <w:abstractNumId w:val="11"/>
  </w:num>
  <w:num w:numId="28">
    <w:abstractNumId w:val="6"/>
  </w:num>
  <w:num w:numId="29">
    <w:abstractNumId w:val="24"/>
  </w:num>
  <w:num w:numId="30">
    <w:abstractNumId w:val="2"/>
  </w:num>
  <w:num w:numId="31">
    <w:abstractNumId w:val="25"/>
  </w:num>
  <w:num w:numId="32">
    <w:abstractNumId w:val="34"/>
  </w:num>
  <w:num w:numId="33">
    <w:abstractNumId w:val="23"/>
  </w:num>
  <w:num w:numId="34">
    <w:abstractNumId w:val="38"/>
  </w:num>
  <w:num w:numId="35">
    <w:abstractNumId w:val="10"/>
  </w:num>
  <w:num w:numId="36">
    <w:abstractNumId w:val="21"/>
  </w:num>
  <w:num w:numId="37">
    <w:abstractNumId w:val="28"/>
  </w:num>
  <w:num w:numId="38">
    <w:abstractNumId w:val="8"/>
  </w:num>
  <w:num w:numId="39">
    <w:abstractNumId w:val="16"/>
  </w:num>
  <w:num w:numId="40">
    <w:abstractNumId w:val="1"/>
  </w:num>
  <w:num w:numId="4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Buttery">
    <w15:presenceInfo w15:providerId="AD" w15:userId="S-1-5-21-2256462057-1280619349-680702702-5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421A1"/>
    <w:rsid w:val="0004240E"/>
    <w:rsid w:val="00045E26"/>
    <w:rsid w:val="000514B5"/>
    <w:rsid w:val="00060E64"/>
    <w:rsid w:val="000651DA"/>
    <w:rsid w:val="00066755"/>
    <w:rsid w:val="0006694D"/>
    <w:rsid w:val="000969AD"/>
    <w:rsid w:val="000B558D"/>
    <w:rsid w:val="000C6996"/>
    <w:rsid w:val="000D23BA"/>
    <w:rsid w:val="000E681E"/>
    <w:rsid w:val="000F2820"/>
    <w:rsid w:val="000F4E6A"/>
    <w:rsid w:val="0010164F"/>
    <w:rsid w:val="00103D46"/>
    <w:rsid w:val="001107BF"/>
    <w:rsid w:val="0011750D"/>
    <w:rsid w:val="0012417C"/>
    <w:rsid w:val="00130A04"/>
    <w:rsid w:val="00142395"/>
    <w:rsid w:val="00142714"/>
    <w:rsid w:val="001452ED"/>
    <w:rsid w:val="0016229C"/>
    <w:rsid w:val="00171158"/>
    <w:rsid w:val="001830CE"/>
    <w:rsid w:val="00196307"/>
    <w:rsid w:val="001A3048"/>
    <w:rsid w:val="001B017F"/>
    <w:rsid w:val="001B5129"/>
    <w:rsid w:val="001B634F"/>
    <w:rsid w:val="001C1195"/>
    <w:rsid w:val="001D47CF"/>
    <w:rsid w:val="0020021F"/>
    <w:rsid w:val="0020232C"/>
    <w:rsid w:val="002029B3"/>
    <w:rsid w:val="00213CFB"/>
    <w:rsid w:val="00231783"/>
    <w:rsid w:val="00240B9C"/>
    <w:rsid w:val="00260E70"/>
    <w:rsid w:val="00271BA1"/>
    <w:rsid w:val="00277505"/>
    <w:rsid w:val="0029458F"/>
    <w:rsid w:val="002A104C"/>
    <w:rsid w:val="002A4960"/>
    <w:rsid w:val="002A64B0"/>
    <w:rsid w:val="002B1AE6"/>
    <w:rsid w:val="002B30F8"/>
    <w:rsid w:val="002C212F"/>
    <w:rsid w:val="002E1882"/>
    <w:rsid w:val="002E72CA"/>
    <w:rsid w:val="00320D74"/>
    <w:rsid w:val="00326E79"/>
    <w:rsid w:val="003367EF"/>
    <w:rsid w:val="00341AE4"/>
    <w:rsid w:val="00382F58"/>
    <w:rsid w:val="003A5B4A"/>
    <w:rsid w:val="003B23C5"/>
    <w:rsid w:val="003B2A75"/>
    <w:rsid w:val="003D4AC4"/>
    <w:rsid w:val="003D63B7"/>
    <w:rsid w:val="003E468B"/>
    <w:rsid w:val="003E5C2D"/>
    <w:rsid w:val="003F3ECF"/>
    <w:rsid w:val="003F5C8C"/>
    <w:rsid w:val="00412EF4"/>
    <w:rsid w:val="00415A81"/>
    <w:rsid w:val="0043021C"/>
    <w:rsid w:val="004465BD"/>
    <w:rsid w:val="00461EC9"/>
    <w:rsid w:val="00466ADA"/>
    <w:rsid w:val="00476245"/>
    <w:rsid w:val="00485940"/>
    <w:rsid w:val="004A5A85"/>
    <w:rsid w:val="004B5640"/>
    <w:rsid w:val="004B64E9"/>
    <w:rsid w:val="004C1BD7"/>
    <w:rsid w:val="004C691D"/>
    <w:rsid w:val="004D12AC"/>
    <w:rsid w:val="004D6A1C"/>
    <w:rsid w:val="004E692D"/>
    <w:rsid w:val="004E730E"/>
    <w:rsid w:val="004F245F"/>
    <w:rsid w:val="00514CD7"/>
    <w:rsid w:val="00515039"/>
    <w:rsid w:val="00534E2E"/>
    <w:rsid w:val="005369AC"/>
    <w:rsid w:val="00537996"/>
    <w:rsid w:val="00544552"/>
    <w:rsid w:val="005579D6"/>
    <w:rsid w:val="0056034A"/>
    <w:rsid w:val="00571C7C"/>
    <w:rsid w:val="00581932"/>
    <w:rsid w:val="005963BB"/>
    <w:rsid w:val="005A3173"/>
    <w:rsid w:val="005A3223"/>
    <w:rsid w:val="005A3DA3"/>
    <w:rsid w:val="005A52C4"/>
    <w:rsid w:val="005C1FAF"/>
    <w:rsid w:val="005C2E36"/>
    <w:rsid w:val="005D03AB"/>
    <w:rsid w:val="005D5017"/>
    <w:rsid w:val="00601A91"/>
    <w:rsid w:val="00602BA3"/>
    <w:rsid w:val="00614159"/>
    <w:rsid w:val="00617C00"/>
    <w:rsid w:val="00626182"/>
    <w:rsid w:val="006263BF"/>
    <w:rsid w:val="00630A2C"/>
    <w:rsid w:val="00651169"/>
    <w:rsid w:val="00653D69"/>
    <w:rsid w:val="00655296"/>
    <w:rsid w:val="00670A76"/>
    <w:rsid w:val="006711AA"/>
    <w:rsid w:val="00675622"/>
    <w:rsid w:val="006840BD"/>
    <w:rsid w:val="006906DB"/>
    <w:rsid w:val="006A12A5"/>
    <w:rsid w:val="006B0D94"/>
    <w:rsid w:val="006B485D"/>
    <w:rsid w:val="006C708E"/>
    <w:rsid w:val="006D3161"/>
    <w:rsid w:val="006D6EC7"/>
    <w:rsid w:val="006F5125"/>
    <w:rsid w:val="00715498"/>
    <w:rsid w:val="007174BB"/>
    <w:rsid w:val="00723FEB"/>
    <w:rsid w:val="00740AC7"/>
    <w:rsid w:val="00744DB2"/>
    <w:rsid w:val="007520C6"/>
    <w:rsid w:val="0076420C"/>
    <w:rsid w:val="007753C2"/>
    <w:rsid w:val="007838B8"/>
    <w:rsid w:val="007B18BA"/>
    <w:rsid w:val="007B3704"/>
    <w:rsid w:val="007B51A3"/>
    <w:rsid w:val="007B657B"/>
    <w:rsid w:val="007C0F57"/>
    <w:rsid w:val="007C40B6"/>
    <w:rsid w:val="007C729F"/>
    <w:rsid w:val="007D2141"/>
    <w:rsid w:val="007E1D28"/>
    <w:rsid w:val="007F2641"/>
    <w:rsid w:val="007F7C36"/>
    <w:rsid w:val="00806796"/>
    <w:rsid w:val="00826F6D"/>
    <w:rsid w:val="00856DDD"/>
    <w:rsid w:val="00863E68"/>
    <w:rsid w:val="00870A11"/>
    <w:rsid w:val="00882085"/>
    <w:rsid w:val="00883188"/>
    <w:rsid w:val="00897D58"/>
    <w:rsid w:val="008A1956"/>
    <w:rsid w:val="008A4937"/>
    <w:rsid w:val="008B192E"/>
    <w:rsid w:val="008B2A94"/>
    <w:rsid w:val="008C77AB"/>
    <w:rsid w:val="008D3C82"/>
    <w:rsid w:val="008D4099"/>
    <w:rsid w:val="008D447E"/>
    <w:rsid w:val="008D7A41"/>
    <w:rsid w:val="008E3680"/>
    <w:rsid w:val="008E5870"/>
    <w:rsid w:val="008F1434"/>
    <w:rsid w:val="008F7355"/>
    <w:rsid w:val="009067B7"/>
    <w:rsid w:val="00924D47"/>
    <w:rsid w:val="00930937"/>
    <w:rsid w:val="00933E6C"/>
    <w:rsid w:val="00942160"/>
    <w:rsid w:val="00957CBF"/>
    <w:rsid w:val="009602C5"/>
    <w:rsid w:val="00974C21"/>
    <w:rsid w:val="009B0F67"/>
    <w:rsid w:val="009B3C6F"/>
    <w:rsid w:val="009C703C"/>
    <w:rsid w:val="009D3CAA"/>
    <w:rsid w:val="009F4E46"/>
    <w:rsid w:val="009F5B65"/>
    <w:rsid w:val="009F5F2E"/>
    <w:rsid w:val="00A06225"/>
    <w:rsid w:val="00A236EB"/>
    <w:rsid w:val="00A37C8D"/>
    <w:rsid w:val="00A5273B"/>
    <w:rsid w:val="00A53A9D"/>
    <w:rsid w:val="00A62C1A"/>
    <w:rsid w:val="00A6426D"/>
    <w:rsid w:val="00A70622"/>
    <w:rsid w:val="00A70977"/>
    <w:rsid w:val="00A8390C"/>
    <w:rsid w:val="00A91511"/>
    <w:rsid w:val="00A969A9"/>
    <w:rsid w:val="00AA4D1C"/>
    <w:rsid w:val="00AC5206"/>
    <w:rsid w:val="00AD5415"/>
    <w:rsid w:val="00AE11A5"/>
    <w:rsid w:val="00AE7FB1"/>
    <w:rsid w:val="00AF68CC"/>
    <w:rsid w:val="00B205AA"/>
    <w:rsid w:val="00B22E84"/>
    <w:rsid w:val="00B25F75"/>
    <w:rsid w:val="00B43E90"/>
    <w:rsid w:val="00B46BBA"/>
    <w:rsid w:val="00B56118"/>
    <w:rsid w:val="00B6773F"/>
    <w:rsid w:val="00BB69F5"/>
    <w:rsid w:val="00BB7EC3"/>
    <w:rsid w:val="00BC08EF"/>
    <w:rsid w:val="00BC4B9A"/>
    <w:rsid w:val="00BC4D43"/>
    <w:rsid w:val="00BD62C9"/>
    <w:rsid w:val="00BD784C"/>
    <w:rsid w:val="00BF4CB6"/>
    <w:rsid w:val="00C00DA7"/>
    <w:rsid w:val="00C12376"/>
    <w:rsid w:val="00C12768"/>
    <w:rsid w:val="00C35996"/>
    <w:rsid w:val="00C5342C"/>
    <w:rsid w:val="00C60410"/>
    <w:rsid w:val="00C6256A"/>
    <w:rsid w:val="00C833A1"/>
    <w:rsid w:val="00C91449"/>
    <w:rsid w:val="00C92D10"/>
    <w:rsid w:val="00C93F7F"/>
    <w:rsid w:val="00CB521C"/>
    <w:rsid w:val="00CE10C4"/>
    <w:rsid w:val="00CE27B5"/>
    <w:rsid w:val="00D0321E"/>
    <w:rsid w:val="00D054B0"/>
    <w:rsid w:val="00D06283"/>
    <w:rsid w:val="00D11BDE"/>
    <w:rsid w:val="00D1455A"/>
    <w:rsid w:val="00D3111F"/>
    <w:rsid w:val="00D3280C"/>
    <w:rsid w:val="00D3406A"/>
    <w:rsid w:val="00D4088A"/>
    <w:rsid w:val="00D469B2"/>
    <w:rsid w:val="00D61683"/>
    <w:rsid w:val="00D741EB"/>
    <w:rsid w:val="00D85C52"/>
    <w:rsid w:val="00D86795"/>
    <w:rsid w:val="00D91271"/>
    <w:rsid w:val="00DA2CB5"/>
    <w:rsid w:val="00DA4BAC"/>
    <w:rsid w:val="00DC518A"/>
    <w:rsid w:val="00DE319B"/>
    <w:rsid w:val="00DE6D27"/>
    <w:rsid w:val="00DF1C78"/>
    <w:rsid w:val="00DF217D"/>
    <w:rsid w:val="00DF26A7"/>
    <w:rsid w:val="00E1237D"/>
    <w:rsid w:val="00E164B3"/>
    <w:rsid w:val="00E16910"/>
    <w:rsid w:val="00E17829"/>
    <w:rsid w:val="00E261C0"/>
    <w:rsid w:val="00E40679"/>
    <w:rsid w:val="00E5262A"/>
    <w:rsid w:val="00E65E54"/>
    <w:rsid w:val="00E80155"/>
    <w:rsid w:val="00E848C0"/>
    <w:rsid w:val="00E91B96"/>
    <w:rsid w:val="00E93BF8"/>
    <w:rsid w:val="00E941A1"/>
    <w:rsid w:val="00E95CE3"/>
    <w:rsid w:val="00EA2825"/>
    <w:rsid w:val="00EA5F0B"/>
    <w:rsid w:val="00EB5088"/>
    <w:rsid w:val="00ED1644"/>
    <w:rsid w:val="00EF44A0"/>
    <w:rsid w:val="00F050BD"/>
    <w:rsid w:val="00F05657"/>
    <w:rsid w:val="00F07D79"/>
    <w:rsid w:val="00F23A8A"/>
    <w:rsid w:val="00F25578"/>
    <w:rsid w:val="00F258E5"/>
    <w:rsid w:val="00F300BC"/>
    <w:rsid w:val="00F3334E"/>
    <w:rsid w:val="00F50EC4"/>
    <w:rsid w:val="00F52ADF"/>
    <w:rsid w:val="00F57A6D"/>
    <w:rsid w:val="00F638CC"/>
    <w:rsid w:val="00F80B9F"/>
    <w:rsid w:val="00F8247A"/>
    <w:rsid w:val="00F82645"/>
    <w:rsid w:val="00F9629A"/>
    <w:rsid w:val="00FA5883"/>
    <w:rsid w:val="00FA6055"/>
    <w:rsid w:val="00FB322F"/>
    <w:rsid w:val="00FB442F"/>
    <w:rsid w:val="00FC1929"/>
    <w:rsid w:val="00FC2BCB"/>
    <w:rsid w:val="00FC5B46"/>
    <w:rsid w:val="00FD313A"/>
    <w:rsid w:val="00FD5A0F"/>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annotation reference" w:uiPriority="99"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TableFooter">
    <w:name w:val="Table Footer"/>
    <w:basedOn w:val="Normal"/>
    <w:qFormat/>
    <w:rsid w:val="00BC4D43"/>
    <w:pPr>
      <w:widowControl w:val="0"/>
      <w:jc w:val="both"/>
    </w:pPr>
    <w:rPr>
      <w:rFonts w:ascii="Arial Narrow" w:hAnsi="Arial Narrow" w:cs="Arial"/>
      <w:snapToGrid w:val="0"/>
      <w:sz w:val="18"/>
      <w:szCs w:val="20"/>
      <w:lang w:eastAsia="en-US"/>
    </w:rPr>
  </w:style>
  <w:style w:type="paragraph" w:styleId="Revision">
    <w:name w:val="Revision"/>
    <w:hidden/>
    <w:uiPriority w:val="71"/>
    <w:semiHidden/>
    <w:rsid w:val="00103D46"/>
    <w:rPr>
      <w:sz w:val="24"/>
      <w:szCs w:val="24"/>
    </w:rPr>
  </w:style>
  <w:style w:type="character" w:customStyle="1" w:styleId="ListParagraphChar">
    <w:name w:val="List Paragraph Char"/>
    <w:basedOn w:val="DefaultParagraphFont"/>
    <w:link w:val="ListParagraph"/>
    <w:uiPriority w:val="72"/>
    <w:rsid w:val="0053799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annotation reference" w:uiPriority="99"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TableFooter">
    <w:name w:val="Table Footer"/>
    <w:basedOn w:val="Normal"/>
    <w:qFormat/>
    <w:rsid w:val="00BC4D43"/>
    <w:pPr>
      <w:widowControl w:val="0"/>
      <w:jc w:val="both"/>
    </w:pPr>
    <w:rPr>
      <w:rFonts w:ascii="Arial Narrow" w:hAnsi="Arial Narrow" w:cs="Arial"/>
      <w:snapToGrid w:val="0"/>
      <w:sz w:val="18"/>
      <w:szCs w:val="20"/>
      <w:lang w:eastAsia="en-US"/>
    </w:rPr>
  </w:style>
  <w:style w:type="paragraph" w:styleId="Revision">
    <w:name w:val="Revision"/>
    <w:hidden/>
    <w:uiPriority w:val="71"/>
    <w:semiHidden/>
    <w:rsid w:val="00103D46"/>
    <w:rPr>
      <w:sz w:val="24"/>
      <w:szCs w:val="24"/>
    </w:rPr>
  </w:style>
  <w:style w:type="character" w:customStyle="1" w:styleId="ListParagraphChar">
    <w:name w:val="List Paragraph Char"/>
    <w:basedOn w:val="DefaultParagraphFont"/>
    <w:link w:val="ListParagraph"/>
    <w:uiPriority w:val="72"/>
    <w:rsid w:val="005379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43705544">
      <w:bodyDiv w:val="1"/>
      <w:marLeft w:val="0"/>
      <w:marRight w:val="0"/>
      <w:marTop w:val="0"/>
      <w:marBottom w:val="0"/>
      <w:divBdr>
        <w:top w:val="none" w:sz="0" w:space="0" w:color="auto"/>
        <w:left w:val="none" w:sz="0" w:space="0" w:color="auto"/>
        <w:bottom w:val="none" w:sz="0" w:space="0" w:color="auto"/>
        <w:right w:val="none" w:sz="0" w:space="0" w:color="auto"/>
      </w:divBdr>
      <w:divsChild>
        <w:div w:id="1240485573">
          <w:marLeft w:val="0"/>
          <w:marRight w:val="0"/>
          <w:marTop w:val="240"/>
          <w:marBottom w:val="480"/>
          <w:divBdr>
            <w:top w:val="none" w:sz="0" w:space="0" w:color="auto"/>
            <w:left w:val="none" w:sz="0" w:space="0" w:color="auto"/>
            <w:bottom w:val="none" w:sz="0" w:space="0" w:color="auto"/>
            <w:right w:val="none" w:sz="0" w:space="0" w:color="auto"/>
          </w:divBdr>
          <w:divsChild>
            <w:div w:id="1128472557">
              <w:marLeft w:val="0"/>
              <w:marRight w:val="0"/>
              <w:marTop w:val="0"/>
              <w:marBottom w:val="0"/>
              <w:divBdr>
                <w:top w:val="none" w:sz="0" w:space="0" w:color="auto"/>
                <w:left w:val="none" w:sz="0" w:space="0" w:color="auto"/>
                <w:bottom w:val="none" w:sz="0" w:space="0" w:color="auto"/>
                <w:right w:val="none" w:sz="0" w:space="0" w:color="auto"/>
              </w:divBdr>
              <w:divsChild>
                <w:div w:id="654191234">
                  <w:marLeft w:val="0"/>
                  <w:marRight w:val="0"/>
                  <w:marTop w:val="0"/>
                  <w:marBottom w:val="0"/>
                  <w:divBdr>
                    <w:top w:val="none" w:sz="0" w:space="0" w:color="auto"/>
                    <w:left w:val="none" w:sz="0" w:space="0" w:color="auto"/>
                    <w:bottom w:val="none" w:sz="0" w:space="0" w:color="auto"/>
                    <w:right w:val="none" w:sz="0" w:space="0" w:color="auto"/>
                  </w:divBdr>
                  <w:divsChild>
                    <w:div w:id="11257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432AB-0457-498C-94BB-9CB4ECC0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2302</Words>
  <Characters>12794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2015-02-23T06:58:00Z</dcterms:created>
  <dcterms:modified xsi:type="dcterms:W3CDTF">2015-03-03T03:18:00Z</dcterms:modified>
</cp:coreProperties>
</file>