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BA" w:rsidRDefault="00EB0D5C" w:rsidP="00EB0D5C">
      <w:pPr>
        <w:ind w:left="720" w:hanging="720"/>
        <w:rPr>
          <w:rFonts w:ascii="Arial" w:hAnsi="Arial"/>
          <w:b/>
          <w:sz w:val="28"/>
          <w:szCs w:val="28"/>
        </w:rPr>
      </w:pPr>
      <w:bookmarkStart w:id="0" w:name="_GoBack"/>
      <w:bookmarkEnd w:id="0"/>
      <w:r>
        <w:rPr>
          <w:rFonts w:ascii="Arial" w:hAnsi="Arial"/>
          <w:b/>
          <w:sz w:val="28"/>
          <w:szCs w:val="28"/>
        </w:rPr>
        <w:t>6.12</w:t>
      </w:r>
      <w:r w:rsidR="007C0F57" w:rsidRPr="006D6EC7">
        <w:rPr>
          <w:rFonts w:ascii="Arial" w:hAnsi="Arial"/>
          <w:b/>
          <w:sz w:val="28"/>
          <w:szCs w:val="28"/>
        </w:rPr>
        <w:tab/>
      </w:r>
      <w:r w:rsidRPr="00EB0D5C">
        <w:rPr>
          <w:rFonts w:ascii="Arial" w:hAnsi="Arial"/>
          <w:b/>
          <w:sz w:val="28"/>
          <w:szCs w:val="28"/>
        </w:rPr>
        <w:t>OMALIZUMAB</w:t>
      </w:r>
    </w:p>
    <w:p w:rsidR="00D3280C" w:rsidRPr="006D6EC7" w:rsidRDefault="00EB0D5C" w:rsidP="005924BA">
      <w:pPr>
        <w:ind w:left="720"/>
        <w:rPr>
          <w:rFonts w:ascii="Arial" w:hAnsi="Arial"/>
          <w:b/>
          <w:sz w:val="28"/>
          <w:szCs w:val="28"/>
        </w:rPr>
      </w:pPr>
      <w:r w:rsidRPr="00EB0D5C">
        <w:rPr>
          <w:rFonts w:ascii="Arial" w:hAnsi="Arial"/>
          <w:b/>
          <w:sz w:val="28"/>
          <w:szCs w:val="28"/>
        </w:rPr>
        <w:t>75 mg/0.5 m</w:t>
      </w:r>
      <w:r w:rsidR="005924BA">
        <w:rPr>
          <w:rFonts w:ascii="Arial" w:hAnsi="Arial"/>
          <w:b/>
          <w:sz w:val="28"/>
          <w:szCs w:val="28"/>
        </w:rPr>
        <w:t>L injection, 1 x 0.5 mL syringe,</w:t>
      </w:r>
      <w:r w:rsidRPr="00EB0D5C">
        <w:rPr>
          <w:rFonts w:ascii="Arial" w:hAnsi="Arial"/>
          <w:b/>
          <w:sz w:val="28"/>
          <w:szCs w:val="28"/>
        </w:rPr>
        <w:t xml:space="preserve"> 150 mg/mL injection, 1 x 1 mL syringe; 150 mg injection [1 x 150 mg vial] (&amp;) inert substance diluent [1 x 1.2 mL ampoule], </w:t>
      </w:r>
      <w:r w:rsidR="005924BA">
        <w:rPr>
          <w:rFonts w:ascii="Arial" w:hAnsi="Arial"/>
          <w:b/>
          <w:sz w:val="28"/>
          <w:szCs w:val="28"/>
        </w:rPr>
        <w:t xml:space="preserve">1 pack; </w:t>
      </w:r>
      <w:proofErr w:type="spellStart"/>
      <w:r w:rsidR="005924BA">
        <w:rPr>
          <w:rFonts w:ascii="Arial" w:hAnsi="Arial"/>
          <w:b/>
          <w:sz w:val="28"/>
          <w:szCs w:val="28"/>
        </w:rPr>
        <w:t>Xolair</w:t>
      </w:r>
      <w:proofErr w:type="spellEnd"/>
      <w:r w:rsidR="005924BA">
        <w:rPr>
          <w:rFonts w:ascii="Arial" w:hAnsi="Arial"/>
          <w:b/>
          <w:sz w:val="28"/>
          <w:szCs w:val="28"/>
        </w:rPr>
        <w:t>®;</w:t>
      </w:r>
      <w:r w:rsidRPr="00EB0D5C">
        <w:rPr>
          <w:rFonts w:ascii="Arial" w:hAnsi="Arial"/>
          <w:b/>
          <w:sz w:val="28"/>
          <w:szCs w:val="28"/>
        </w:rPr>
        <w:t xml:space="preserve"> Novartis Pharmaceuticals Australia Pty Ltd</w:t>
      </w:r>
      <w:r w:rsidR="005924BA">
        <w:rPr>
          <w:rFonts w:ascii="Arial" w:hAnsi="Arial"/>
          <w:b/>
          <w:sz w:val="28"/>
          <w:szCs w:val="28"/>
        </w:rPr>
        <w:t>.</w:t>
      </w:r>
    </w:p>
    <w:p w:rsidR="00CE10C4" w:rsidRDefault="00CE10C4" w:rsidP="00A5273B">
      <w:pPr>
        <w:rPr>
          <w:rFonts w:ascii="Arial" w:hAnsi="Arial"/>
          <w:b/>
        </w:rPr>
      </w:pPr>
    </w:p>
    <w:p w:rsidR="00816666" w:rsidRDefault="00816666" w:rsidP="00A5273B">
      <w:pPr>
        <w:rPr>
          <w:rFonts w:ascii="Arial" w:hAnsi="Arial"/>
          <w:b/>
        </w:rPr>
      </w:pPr>
    </w:p>
    <w:p w:rsidR="00CE10C4" w:rsidRPr="00882085" w:rsidRDefault="00CE10C4" w:rsidP="005924BA">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F44A0" w:rsidRPr="00A46E56" w:rsidRDefault="00EF44A0" w:rsidP="00F9629A">
      <w:pPr>
        <w:pStyle w:val="ListParagraph"/>
        <w:numPr>
          <w:ilvl w:val="1"/>
          <w:numId w:val="25"/>
        </w:numPr>
        <w:jc w:val="both"/>
        <w:rPr>
          <w:rFonts w:ascii="Arial" w:hAnsi="Arial"/>
          <w:b/>
          <w:sz w:val="22"/>
          <w:szCs w:val="22"/>
        </w:rPr>
      </w:pPr>
      <w:r w:rsidRPr="00A46E56">
        <w:rPr>
          <w:rFonts w:ascii="Arial" w:hAnsi="Arial"/>
          <w:sz w:val="22"/>
          <w:szCs w:val="22"/>
        </w:rPr>
        <w:t xml:space="preserve">The minor submission </w:t>
      </w:r>
      <w:r w:rsidR="00066706">
        <w:rPr>
          <w:rFonts w:ascii="Arial" w:hAnsi="Arial"/>
          <w:sz w:val="22"/>
          <w:szCs w:val="22"/>
        </w:rPr>
        <w:t>sought</w:t>
      </w:r>
      <w:r w:rsidR="00066706" w:rsidRPr="00A46E56">
        <w:rPr>
          <w:rFonts w:ascii="Arial" w:hAnsi="Arial"/>
          <w:sz w:val="22"/>
          <w:szCs w:val="22"/>
        </w:rPr>
        <w:t xml:space="preserve"> </w:t>
      </w:r>
      <w:r w:rsidRPr="00A46E56">
        <w:rPr>
          <w:rFonts w:ascii="Arial" w:hAnsi="Arial"/>
          <w:sz w:val="22"/>
          <w:szCs w:val="22"/>
        </w:rPr>
        <w:t>to</w:t>
      </w:r>
      <w:r w:rsidR="00EB0D5C" w:rsidRPr="00A46E56">
        <w:rPr>
          <w:rFonts w:ascii="Arial" w:hAnsi="Arial"/>
          <w:sz w:val="22"/>
          <w:szCs w:val="22"/>
        </w:rPr>
        <w:t xml:space="preserve"> </w:t>
      </w:r>
      <w:r w:rsidRPr="00A46E56">
        <w:rPr>
          <w:rFonts w:ascii="Arial" w:hAnsi="Arial"/>
          <w:sz w:val="22"/>
          <w:szCs w:val="22"/>
        </w:rPr>
        <w:t>amend</w:t>
      </w:r>
      <w:r w:rsidR="00A46E56" w:rsidRPr="00A46E56">
        <w:rPr>
          <w:rFonts w:ascii="Arial" w:hAnsi="Arial"/>
          <w:sz w:val="22"/>
          <w:szCs w:val="22"/>
        </w:rPr>
        <w:t xml:space="preserve"> the current restriction for </w:t>
      </w:r>
      <w:proofErr w:type="spellStart"/>
      <w:r w:rsidR="00A46E56" w:rsidRPr="00A46E56">
        <w:rPr>
          <w:rFonts w:ascii="Arial" w:hAnsi="Arial"/>
          <w:sz w:val="22"/>
          <w:szCs w:val="22"/>
        </w:rPr>
        <w:t>omalizumab</w:t>
      </w:r>
      <w:proofErr w:type="spellEnd"/>
      <w:r w:rsidR="00A46E56" w:rsidRPr="00A46E56">
        <w:rPr>
          <w:rFonts w:ascii="Arial" w:hAnsi="Arial"/>
          <w:sz w:val="22"/>
          <w:szCs w:val="22"/>
        </w:rPr>
        <w:t>.</w:t>
      </w:r>
    </w:p>
    <w:p w:rsidR="00EF44A0" w:rsidRDefault="00EF44A0" w:rsidP="001B77DE">
      <w:pPr>
        <w:jc w:val="both"/>
        <w:rPr>
          <w:rFonts w:ascii="Arial" w:hAnsi="Arial"/>
          <w:b/>
          <w:sz w:val="22"/>
          <w:szCs w:val="22"/>
        </w:rPr>
      </w:pPr>
    </w:p>
    <w:p w:rsidR="00816666" w:rsidRDefault="00816666" w:rsidP="001B77DE">
      <w:pPr>
        <w:jc w:val="both"/>
        <w:rPr>
          <w:rFonts w:ascii="Arial" w:hAnsi="Arial"/>
          <w:b/>
          <w:sz w:val="22"/>
          <w:szCs w:val="22"/>
        </w:rPr>
      </w:pPr>
    </w:p>
    <w:p w:rsidR="001F5C25" w:rsidRPr="005924BA" w:rsidRDefault="001F5C25" w:rsidP="005924BA">
      <w:pPr>
        <w:pStyle w:val="ListParagraph"/>
        <w:numPr>
          <w:ilvl w:val="0"/>
          <w:numId w:val="25"/>
        </w:numPr>
        <w:jc w:val="both"/>
        <w:rPr>
          <w:rFonts w:ascii="Arial" w:hAnsi="Arial"/>
          <w:b/>
          <w:sz w:val="22"/>
          <w:szCs w:val="22"/>
        </w:rPr>
      </w:pPr>
      <w:r w:rsidRPr="00882085">
        <w:rPr>
          <w:rFonts w:ascii="Arial" w:hAnsi="Arial"/>
          <w:b/>
          <w:sz w:val="22"/>
          <w:szCs w:val="22"/>
        </w:rPr>
        <w:t>Background</w:t>
      </w:r>
    </w:p>
    <w:p w:rsidR="001F5C25" w:rsidRPr="00882085" w:rsidRDefault="001F5C25" w:rsidP="001F5C25">
      <w:pPr>
        <w:jc w:val="both"/>
        <w:rPr>
          <w:rFonts w:ascii="Arial" w:hAnsi="Arial"/>
          <w:sz w:val="22"/>
          <w:szCs w:val="22"/>
        </w:rPr>
      </w:pPr>
    </w:p>
    <w:p w:rsidR="001F5C25" w:rsidRDefault="001F5C25" w:rsidP="001F5C25">
      <w:pPr>
        <w:pStyle w:val="ListParagraph"/>
        <w:numPr>
          <w:ilvl w:val="1"/>
          <w:numId w:val="25"/>
        </w:numPr>
        <w:jc w:val="both"/>
        <w:rPr>
          <w:rFonts w:ascii="Arial" w:hAnsi="Arial"/>
          <w:sz w:val="22"/>
          <w:szCs w:val="22"/>
        </w:rPr>
      </w:pPr>
      <w:r>
        <w:rPr>
          <w:rFonts w:ascii="Arial" w:hAnsi="Arial"/>
          <w:sz w:val="22"/>
          <w:szCs w:val="22"/>
        </w:rPr>
        <w:t xml:space="preserve">The PBAC rejected </w:t>
      </w:r>
      <w:proofErr w:type="spellStart"/>
      <w:r>
        <w:rPr>
          <w:rFonts w:ascii="Arial" w:hAnsi="Arial"/>
          <w:sz w:val="22"/>
          <w:szCs w:val="22"/>
        </w:rPr>
        <w:t>omalizumab</w:t>
      </w:r>
      <w:proofErr w:type="spellEnd"/>
      <w:r>
        <w:rPr>
          <w:rFonts w:ascii="Arial" w:hAnsi="Arial"/>
          <w:sz w:val="22"/>
          <w:szCs w:val="22"/>
        </w:rPr>
        <w:t xml:space="preserve"> for listing for the treatment of patients with uncontrolled severe allergic asthma in November 2009. Following this outcome, a post-PBAC meeting was held in December 2009 and a PBAC-convened stakeholder meeting was held in April 2010. A resubmission was considered and approved by the PBAC for listing in November 2010. The resubmission included the restrictions that were agreed to at the April 2010 stakeholder meeting. </w:t>
      </w:r>
    </w:p>
    <w:p w:rsidR="001F5C25" w:rsidRPr="001052F9" w:rsidRDefault="001F5C25" w:rsidP="001F5C25">
      <w:pPr>
        <w:pStyle w:val="ListParagraph"/>
        <w:rPr>
          <w:rFonts w:ascii="Arial" w:hAnsi="Arial"/>
          <w:sz w:val="22"/>
          <w:szCs w:val="22"/>
        </w:rPr>
      </w:pPr>
    </w:p>
    <w:p w:rsidR="001F5C25" w:rsidRDefault="001F5C25" w:rsidP="001F5C25">
      <w:pPr>
        <w:pStyle w:val="ListParagraph"/>
        <w:numPr>
          <w:ilvl w:val="1"/>
          <w:numId w:val="25"/>
        </w:numPr>
        <w:jc w:val="both"/>
        <w:rPr>
          <w:rFonts w:ascii="Arial" w:hAnsi="Arial"/>
          <w:sz w:val="22"/>
          <w:szCs w:val="22"/>
        </w:rPr>
      </w:pPr>
      <w:r>
        <w:rPr>
          <w:rFonts w:ascii="Arial" w:hAnsi="Arial"/>
          <w:sz w:val="22"/>
          <w:szCs w:val="22"/>
        </w:rPr>
        <w:t xml:space="preserve">In February 2013, DUSC considered the utilisation of </w:t>
      </w:r>
      <w:proofErr w:type="spellStart"/>
      <w:r>
        <w:rPr>
          <w:rFonts w:ascii="Arial" w:hAnsi="Arial"/>
          <w:sz w:val="22"/>
          <w:szCs w:val="22"/>
        </w:rPr>
        <w:t>omalizumab</w:t>
      </w:r>
      <w:proofErr w:type="spellEnd"/>
      <w:r>
        <w:rPr>
          <w:rFonts w:ascii="Arial" w:hAnsi="Arial"/>
          <w:sz w:val="22"/>
          <w:szCs w:val="22"/>
        </w:rPr>
        <w:t xml:space="preserve"> over the first 12 months of listing, which was approximately </w:t>
      </w:r>
      <w:r w:rsidR="00DA0274">
        <w:rPr>
          <w:rFonts w:ascii="Arial" w:hAnsi="Arial"/>
          <w:noProof/>
          <w:color w:val="000000"/>
          <w:sz w:val="22"/>
          <w:szCs w:val="22"/>
          <w:highlight w:val="black"/>
        </w:rPr>
        <w:t>''''''</w:t>
      </w:r>
      <w:r>
        <w:rPr>
          <w:rFonts w:ascii="Arial" w:hAnsi="Arial"/>
          <w:sz w:val="22"/>
          <w:szCs w:val="22"/>
        </w:rPr>
        <w:t xml:space="preserve">% of predicted. In April 2013, the PBAC considered that access to appropriately qualified prescribers, establishing eligibility to access PBS-subsidised </w:t>
      </w:r>
      <w:proofErr w:type="spellStart"/>
      <w:r>
        <w:rPr>
          <w:rFonts w:ascii="Arial" w:hAnsi="Arial"/>
          <w:sz w:val="22"/>
          <w:szCs w:val="22"/>
        </w:rPr>
        <w:t>omalizumab</w:t>
      </w:r>
      <w:proofErr w:type="spellEnd"/>
      <w:r>
        <w:rPr>
          <w:rFonts w:ascii="Arial" w:hAnsi="Arial"/>
          <w:sz w:val="22"/>
          <w:szCs w:val="22"/>
        </w:rPr>
        <w:t xml:space="preserve">; and the requirement to maintain patients on long-term corticosteroids contributed to the low uptake of </w:t>
      </w:r>
      <w:proofErr w:type="spellStart"/>
      <w:r>
        <w:rPr>
          <w:rFonts w:ascii="Arial" w:hAnsi="Arial"/>
          <w:sz w:val="22"/>
          <w:szCs w:val="22"/>
        </w:rPr>
        <w:t>omalizumab</w:t>
      </w:r>
      <w:proofErr w:type="spellEnd"/>
      <w:r>
        <w:rPr>
          <w:rFonts w:ascii="Arial" w:hAnsi="Arial"/>
          <w:sz w:val="22"/>
          <w:szCs w:val="22"/>
        </w:rPr>
        <w:t xml:space="preserve">. </w:t>
      </w:r>
    </w:p>
    <w:p w:rsidR="001F5C25" w:rsidRPr="001052F9" w:rsidRDefault="001F5C25" w:rsidP="001F5C25">
      <w:pPr>
        <w:pStyle w:val="ListParagraph"/>
        <w:rPr>
          <w:rFonts w:ascii="Arial" w:hAnsi="Arial"/>
          <w:sz w:val="22"/>
          <w:szCs w:val="22"/>
        </w:rPr>
      </w:pPr>
    </w:p>
    <w:p w:rsidR="001F5C25" w:rsidRPr="00466D75" w:rsidRDefault="001F5C25" w:rsidP="001F5C25">
      <w:pPr>
        <w:pStyle w:val="ListParagraph"/>
        <w:numPr>
          <w:ilvl w:val="1"/>
          <w:numId w:val="25"/>
        </w:numPr>
        <w:jc w:val="both"/>
        <w:rPr>
          <w:rFonts w:ascii="Arial" w:hAnsi="Arial"/>
          <w:sz w:val="22"/>
          <w:szCs w:val="22"/>
        </w:rPr>
      </w:pPr>
      <w:r w:rsidRPr="00046397">
        <w:rPr>
          <w:rFonts w:ascii="Arial" w:hAnsi="Arial"/>
          <w:sz w:val="22"/>
          <w:szCs w:val="22"/>
        </w:rPr>
        <w:t xml:space="preserve">In June 2014, DUSC </w:t>
      </w:r>
      <w:r w:rsidRPr="00466D75">
        <w:rPr>
          <w:rFonts w:ascii="Arial" w:hAnsi="Arial"/>
          <w:sz w:val="22"/>
          <w:szCs w:val="22"/>
        </w:rPr>
        <w:t xml:space="preserve">considered the utilisation of </w:t>
      </w:r>
      <w:proofErr w:type="spellStart"/>
      <w:r w:rsidRPr="00466D75">
        <w:rPr>
          <w:rFonts w:ascii="Arial" w:hAnsi="Arial"/>
          <w:sz w:val="22"/>
          <w:szCs w:val="22"/>
        </w:rPr>
        <w:t>omalizumab</w:t>
      </w:r>
      <w:proofErr w:type="spellEnd"/>
      <w:r w:rsidRPr="00466D75">
        <w:rPr>
          <w:rFonts w:ascii="Arial" w:hAnsi="Arial"/>
          <w:sz w:val="22"/>
          <w:szCs w:val="22"/>
        </w:rPr>
        <w:t xml:space="preserve"> over the first 24 months of listing, which was approximately </w:t>
      </w:r>
      <w:r w:rsidR="00DA0274">
        <w:rPr>
          <w:rFonts w:ascii="Arial" w:hAnsi="Arial"/>
          <w:noProof/>
          <w:color w:val="000000"/>
          <w:sz w:val="22"/>
          <w:szCs w:val="22"/>
          <w:highlight w:val="black"/>
        </w:rPr>
        <w:t>''''''</w:t>
      </w:r>
      <w:r w:rsidRPr="00466D75">
        <w:rPr>
          <w:rFonts w:ascii="Arial" w:hAnsi="Arial"/>
          <w:sz w:val="22"/>
          <w:szCs w:val="22"/>
        </w:rPr>
        <w:t xml:space="preserve">% of predicted in the second year. In July 2014, the PBAC recalled that a stakeholder meeting in 2010 had been required to finalise the restriction, and requested that such a group be reconvened to discuss potential changes.  The PBAC particularly noted the elements of the current restriction referring to oral corticosteroid use were developed in consultation with the stakeholder group and reflected the best practice guidelines at the time.  The PBAC recalled that oral corticosteroid use had been an important element in cost effectiveness analysis underpinning the original recommendation. The PBAC considered therefore that a change to the restriction could influence the cost effectiveness of </w:t>
      </w:r>
      <w:proofErr w:type="spellStart"/>
      <w:r w:rsidRPr="00466D75">
        <w:rPr>
          <w:rFonts w:ascii="Arial" w:hAnsi="Arial"/>
          <w:sz w:val="22"/>
          <w:szCs w:val="22"/>
        </w:rPr>
        <w:t>omalizumab</w:t>
      </w:r>
      <w:proofErr w:type="spellEnd"/>
      <w:r w:rsidRPr="00466D75">
        <w:rPr>
          <w:rFonts w:ascii="Arial" w:hAnsi="Arial"/>
          <w:sz w:val="22"/>
          <w:szCs w:val="22"/>
        </w:rPr>
        <w:t>.</w:t>
      </w:r>
    </w:p>
    <w:p w:rsidR="001F5C25" w:rsidRPr="00466D75" w:rsidRDefault="001F5C25" w:rsidP="001F5C25">
      <w:pPr>
        <w:jc w:val="both"/>
        <w:rPr>
          <w:rFonts w:ascii="Arial" w:hAnsi="Arial"/>
          <w:sz w:val="22"/>
          <w:szCs w:val="22"/>
        </w:rPr>
      </w:pPr>
    </w:p>
    <w:p w:rsidR="001F5C25" w:rsidRPr="001B77DE" w:rsidRDefault="001F5C25" w:rsidP="001F5C25">
      <w:pPr>
        <w:pStyle w:val="ListParagraph"/>
        <w:numPr>
          <w:ilvl w:val="1"/>
          <w:numId w:val="25"/>
        </w:numPr>
        <w:jc w:val="both"/>
        <w:rPr>
          <w:rFonts w:ascii="Arial" w:hAnsi="Arial"/>
          <w:sz w:val="22"/>
          <w:szCs w:val="22"/>
        </w:rPr>
      </w:pPr>
      <w:r w:rsidRPr="00466D75">
        <w:rPr>
          <w:rFonts w:ascii="Arial" w:hAnsi="Arial"/>
          <w:sz w:val="22"/>
          <w:szCs w:val="22"/>
        </w:rPr>
        <w:t xml:space="preserve">The sponsor </w:t>
      </w:r>
      <w:r w:rsidR="00066706" w:rsidRPr="00466D75">
        <w:rPr>
          <w:rFonts w:ascii="Arial" w:hAnsi="Arial"/>
          <w:sz w:val="22"/>
          <w:szCs w:val="22"/>
        </w:rPr>
        <w:t>note</w:t>
      </w:r>
      <w:r w:rsidR="00066706">
        <w:rPr>
          <w:rFonts w:ascii="Arial" w:hAnsi="Arial"/>
          <w:sz w:val="22"/>
          <w:szCs w:val="22"/>
        </w:rPr>
        <w:t>d</w:t>
      </w:r>
      <w:r w:rsidR="00066706" w:rsidRPr="00466D75">
        <w:rPr>
          <w:rFonts w:ascii="Arial" w:hAnsi="Arial"/>
          <w:sz w:val="22"/>
          <w:szCs w:val="22"/>
        </w:rPr>
        <w:t xml:space="preserve"> </w:t>
      </w:r>
      <w:r w:rsidRPr="00466D75">
        <w:rPr>
          <w:rFonts w:ascii="Arial" w:hAnsi="Arial"/>
          <w:sz w:val="22"/>
          <w:szCs w:val="22"/>
        </w:rPr>
        <w:t>that while the r</w:t>
      </w:r>
      <w:r>
        <w:rPr>
          <w:rFonts w:ascii="Arial" w:hAnsi="Arial"/>
          <w:sz w:val="22"/>
          <w:szCs w:val="22"/>
        </w:rPr>
        <w:t xml:space="preserve">estriction for </w:t>
      </w:r>
      <w:proofErr w:type="spellStart"/>
      <w:r>
        <w:rPr>
          <w:rFonts w:ascii="Arial" w:hAnsi="Arial"/>
          <w:sz w:val="22"/>
          <w:szCs w:val="22"/>
        </w:rPr>
        <w:t>omalizumab</w:t>
      </w:r>
      <w:proofErr w:type="spellEnd"/>
      <w:r>
        <w:rPr>
          <w:rFonts w:ascii="Arial" w:hAnsi="Arial"/>
          <w:sz w:val="22"/>
          <w:szCs w:val="22"/>
        </w:rPr>
        <w:t xml:space="preserve"> would be considered through the review of Authority </w:t>
      </w:r>
      <w:proofErr w:type="gramStart"/>
      <w:r>
        <w:rPr>
          <w:rFonts w:ascii="Arial" w:hAnsi="Arial"/>
          <w:sz w:val="22"/>
          <w:szCs w:val="22"/>
        </w:rPr>
        <w:t>Required</w:t>
      </w:r>
      <w:proofErr w:type="gramEnd"/>
      <w:r>
        <w:rPr>
          <w:rFonts w:ascii="Arial" w:hAnsi="Arial"/>
          <w:sz w:val="22"/>
          <w:szCs w:val="22"/>
        </w:rPr>
        <w:t xml:space="preserve"> listings, the scope may not allow for a detailed analysis of the eligibility criteria and this would not occur until the third round of reviews.</w:t>
      </w:r>
    </w:p>
    <w:p w:rsidR="001F5C25" w:rsidRDefault="001F5C25" w:rsidP="001B77DE">
      <w:pPr>
        <w:jc w:val="both"/>
        <w:rPr>
          <w:rFonts w:ascii="Arial" w:hAnsi="Arial"/>
          <w:b/>
          <w:sz w:val="22"/>
          <w:szCs w:val="22"/>
        </w:rPr>
      </w:pPr>
    </w:p>
    <w:p w:rsidR="00816666" w:rsidRPr="001B77DE" w:rsidRDefault="00816666" w:rsidP="001B77DE">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154D77" w:rsidRPr="00154D77" w:rsidRDefault="00EF44A0" w:rsidP="00154D77">
      <w:pPr>
        <w:pStyle w:val="ListParagraph"/>
        <w:numPr>
          <w:ilvl w:val="1"/>
          <w:numId w:val="25"/>
        </w:numPr>
        <w:jc w:val="both"/>
        <w:rPr>
          <w:rFonts w:ascii="Arial" w:hAnsi="Arial"/>
          <w:sz w:val="22"/>
          <w:szCs w:val="22"/>
        </w:rPr>
      </w:pPr>
      <w:r w:rsidRPr="00066706">
        <w:rPr>
          <w:rFonts w:ascii="Arial" w:hAnsi="Arial"/>
          <w:sz w:val="22"/>
          <w:szCs w:val="22"/>
        </w:rPr>
        <w:lastRenderedPageBreak/>
        <w:t xml:space="preserve">The submission </w:t>
      </w:r>
      <w:r w:rsidR="00066706" w:rsidRPr="0036304A">
        <w:rPr>
          <w:rFonts w:ascii="Arial" w:hAnsi="Arial"/>
          <w:sz w:val="22"/>
          <w:szCs w:val="22"/>
        </w:rPr>
        <w:t xml:space="preserve">sought </w:t>
      </w:r>
      <w:r w:rsidR="00637444" w:rsidRPr="0036304A">
        <w:rPr>
          <w:rFonts w:ascii="Arial" w:hAnsi="Arial"/>
          <w:sz w:val="22"/>
          <w:szCs w:val="22"/>
        </w:rPr>
        <w:t xml:space="preserve">a number of </w:t>
      </w:r>
      <w:r w:rsidRPr="00066706">
        <w:rPr>
          <w:rFonts w:ascii="Arial" w:hAnsi="Arial"/>
          <w:sz w:val="22"/>
          <w:szCs w:val="22"/>
        </w:rPr>
        <w:t xml:space="preserve">changes to the existing </w:t>
      </w:r>
      <w:r w:rsidR="0076420C" w:rsidRPr="00066706">
        <w:rPr>
          <w:rFonts w:ascii="Arial" w:hAnsi="Arial"/>
          <w:sz w:val="22"/>
          <w:szCs w:val="22"/>
        </w:rPr>
        <w:t>restriction</w:t>
      </w:r>
      <w:r w:rsidR="00637444" w:rsidRPr="00066706">
        <w:rPr>
          <w:rFonts w:ascii="Arial" w:hAnsi="Arial"/>
          <w:sz w:val="22"/>
          <w:szCs w:val="22"/>
        </w:rPr>
        <w:t xml:space="preserve">, outlined in the </w:t>
      </w:r>
      <w:r w:rsidR="00154D77">
        <w:rPr>
          <w:rFonts w:ascii="Arial" w:hAnsi="Arial"/>
          <w:sz w:val="22"/>
          <w:szCs w:val="22"/>
        </w:rPr>
        <w:t xml:space="preserve">following </w:t>
      </w:r>
      <w:r w:rsidR="00637444" w:rsidRPr="00066706">
        <w:rPr>
          <w:rFonts w:ascii="Arial" w:hAnsi="Arial"/>
          <w:sz w:val="22"/>
          <w:szCs w:val="22"/>
        </w:rPr>
        <w:t xml:space="preserve">table. </w:t>
      </w:r>
      <w:r w:rsidR="00154D77" w:rsidRPr="00154D77">
        <w:rPr>
          <w:rFonts w:ascii="Arial" w:hAnsi="Arial"/>
          <w:sz w:val="22"/>
          <w:szCs w:val="22"/>
        </w:rPr>
        <w:t>The submission claim</w:t>
      </w:r>
      <w:r w:rsidR="00154D77">
        <w:rPr>
          <w:rFonts w:ascii="Arial" w:hAnsi="Arial"/>
          <w:sz w:val="22"/>
          <w:szCs w:val="22"/>
        </w:rPr>
        <w:t>ed</w:t>
      </w:r>
      <w:r w:rsidR="00154D77" w:rsidRPr="00154D77">
        <w:rPr>
          <w:rFonts w:ascii="Arial" w:hAnsi="Arial"/>
          <w:sz w:val="22"/>
          <w:szCs w:val="22"/>
        </w:rPr>
        <w:t xml:space="preserve"> these changes are aimed at improving patient care and reducing the administrative burden for health professionals. </w:t>
      </w:r>
    </w:p>
    <w:p w:rsidR="009D0C15" w:rsidRDefault="009D0C15">
      <w:pPr>
        <w:rPr>
          <w:rFonts w:ascii="Arial" w:hAnsi="Arial"/>
          <w:b/>
          <w:color w:val="FF00FF"/>
          <w:sz w:val="22"/>
          <w:szCs w:val="22"/>
        </w:rPr>
      </w:pPr>
    </w:p>
    <w:tbl>
      <w:tblPr>
        <w:tblStyle w:val="TableGrid"/>
        <w:tblW w:w="4558" w:type="pct"/>
        <w:tblInd w:w="817" w:type="dxa"/>
        <w:tblLayout w:type="fixed"/>
        <w:tblLook w:val="04A0" w:firstRow="1" w:lastRow="0" w:firstColumn="1" w:lastColumn="0" w:noHBand="0" w:noVBand="1"/>
      </w:tblPr>
      <w:tblGrid>
        <w:gridCol w:w="710"/>
        <w:gridCol w:w="2834"/>
        <w:gridCol w:w="4881"/>
      </w:tblGrid>
      <w:tr w:rsidR="00154D77" w:rsidRPr="000273A4" w:rsidTr="00991B60">
        <w:trPr>
          <w:cantSplit/>
          <w:tblHeader/>
        </w:trPr>
        <w:tc>
          <w:tcPr>
            <w:tcW w:w="421" w:type="pct"/>
          </w:tcPr>
          <w:p w:rsidR="00154D77" w:rsidRPr="000273A4" w:rsidRDefault="00154D77" w:rsidP="00826F6D">
            <w:pPr>
              <w:pStyle w:val="ListParagraph"/>
              <w:ind w:left="0"/>
              <w:jc w:val="both"/>
              <w:rPr>
                <w:rFonts w:ascii="Arial Narrow" w:hAnsi="Arial Narrow"/>
                <w:b/>
                <w:sz w:val="22"/>
                <w:szCs w:val="22"/>
              </w:rPr>
            </w:pPr>
            <w:r w:rsidRPr="000273A4">
              <w:rPr>
                <w:rFonts w:ascii="Arial Narrow" w:hAnsi="Arial Narrow"/>
                <w:b/>
                <w:sz w:val="22"/>
                <w:szCs w:val="22"/>
              </w:rPr>
              <w:t>Row</w:t>
            </w:r>
          </w:p>
        </w:tc>
        <w:tc>
          <w:tcPr>
            <w:tcW w:w="1682" w:type="pct"/>
            <w:tcBorders>
              <w:bottom w:val="single" w:sz="4" w:space="0" w:color="auto"/>
            </w:tcBorders>
          </w:tcPr>
          <w:p w:rsidR="00154D77" w:rsidRPr="000273A4" w:rsidRDefault="00154D77" w:rsidP="00826F6D">
            <w:pPr>
              <w:pStyle w:val="ListParagraph"/>
              <w:ind w:left="0"/>
              <w:jc w:val="both"/>
              <w:rPr>
                <w:rFonts w:ascii="Arial Narrow" w:hAnsi="Arial Narrow"/>
                <w:b/>
                <w:sz w:val="22"/>
                <w:szCs w:val="22"/>
              </w:rPr>
            </w:pPr>
            <w:r w:rsidRPr="000273A4">
              <w:rPr>
                <w:rFonts w:ascii="Arial Narrow" w:hAnsi="Arial Narrow"/>
                <w:b/>
                <w:sz w:val="22"/>
                <w:szCs w:val="22"/>
              </w:rPr>
              <w:t>Current criteria</w:t>
            </w:r>
          </w:p>
        </w:tc>
        <w:tc>
          <w:tcPr>
            <w:tcW w:w="2897" w:type="pct"/>
            <w:tcBorders>
              <w:bottom w:val="single" w:sz="4" w:space="0" w:color="auto"/>
            </w:tcBorders>
          </w:tcPr>
          <w:p w:rsidR="00154D77" w:rsidRPr="000273A4" w:rsidRDefault="00154D77" w:rsidP="00826F6D">
            <w:pPr>
              <w:pStyle w:val="ListParagraph"/>
              <w:ind w:left="0"/>
              <w:jc w:val="both"/>
              <w:rPr>
                <w:rFonts w:ascii="Arial Narrow" w:hAnsi="Arial Narrow"/>
                <w:b/>
                <w:sz w:val="22"/>
                <w:szCs w:val="22"/>
              </w:rPr>
            </w:pPr>
            <w:r>
              <w:rPr>
                <w:rFonts w:ascii="Arial Narrow" w:hAnsi="Arial Narrow"/>
                <w:b/>
                <w:sz w:val="22"/>
                <w:szCs w:val="22"/>
              </w:rPr>
              <w:t>Requested revision/comments</w:t>
            </w:r>
          </w:p>
        </w:tc>
      </w:tr>
      <w:tr w:rsidR="00154D77" w:rsidRPr="000273A4" w:rsidTr="00991B60">
        <w:trPr>
          <w:cantSplit/>
        </w:trPr>
        <w:tc>
          <w:tcPr>
            <w:tcW w:w="421" w:type="pct"/>
            <w:tcBorders>
              <w:bottom w:val="single" w:sz="4" w:space="0" w:color="auto"/>
            </w:tcBorders>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1</w:t>
            </w:r>
          </w:p>
        </w:tc>
        <w:tc>
          <w:tcPr>
            <w:tcW w:w="4579" w:type="pct"/>
            <w:gridSpan w:val="2"/>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Bold"/>
                <w:b/>
                <w:bCs/>
                <w:sz w:val="22"/>
                <w:szCs w:val="22"/>
              </w:rPr>
              <w:t xml:space="preserve">ELIGIBILITY CRITERIA for </w:t>
            </w:r>
            <w:r w:rsidRPr="000273A4">
              <w:rPr>
                <w:rFonts w:ascii="Arial Narrow" w:hAnsi="Arial Narrow" w:cs="Sabon-Bold"/>
                <w:b/>
                <w:bCs/>
                <w:sz w:val="22"/>
                <w:szCs w:val="22"/>
                <w:u w:val="single"/>
              </w:rPr>
              <w:t>INITIAL</w:t>
            </w:r>
            <w:r w:rsidRPr="000273A4">
              <w:rPr>
                <w:rFonts w:ascii="Arial Narrow" w:hAnsi="Arial Narrow" w:cs="Sabon-Bold"/>
                <w:b/>
                <w:bCs/>
                <w:sz w:val="22"/>
                <w:szCs w:val="22"/>
              </w:rPr>
              <w:t xml:space="preserve"> treatment</w:t>
            </w:r>
          </w:p>
        </w:tc>
      </w:tr>
      <w:tr w:rsidR="00154D77" w:rsidRPr="000273A4" w:rsidTr="00991B60">
        <w:trPr>
          <w:cantSplit/>
        </w:trPr>
        <w:tc>
          <w:tcPr>
            <w:tcW w:w="421" w:type="pct"/>
            <w:tcBorders>
              <w:bottom w:val="single" w:sz="4" w:space="0" w:color="auto"/>
            </w:tcBorders>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1.1</w:t>
            </w:r>
          </w:p>
        </w:tc>
        <w:tc>
          <w:tcPr>
            <w:tcW w:w="1682" w:type="pct"/>
          </w:tcPr>
          <w:p w:rsidR="00154D77" w:rsidRPr="000273A4" w:rsidRDefault="00154D77" w:rsidP="00D47104">
            <w:pPr>
              <w:pStyle w:val="ListParagraph"/>
              <w:ind w:left="24" w:hanging="24"/>
              <w:jc w:val="both"/>
              <w:rPr>
                <w:rFonts w:ascii="Arial Narrow" w:hAnsi="Arial Narrow"/>
                <w:sz w:val="22"/>
                <w:szCs w:val="22"/>
              </w:rPr>
            </w:pPr>
            <w:r w:rsidRPr="000273A4">
              <w:rPr>
                <w:rFonts w:ascii="Arial Narrow" w:hAnsi="Arial Narrow"/>
                <w:sz w:val="22"/>
                <w:szCs w:val="22"/>
              </w:rPr>
              <w:t xml:space="preserve">Initial PBS-subsidised treatment with </w:t>
            </w:r>
            <w:proofErr w:type="spellStart"/>
            <w:r w:rsidRPr="000273A4">
              <w:rPr>
                <w:rFonts w:ascii="Arial Narrow" w:hAnsi="Arial Narrow"/>
                <w:sz w:val="22"/>
                <w:szCs w:val="22"/>
              </w:rPr>
              <w:t>omalizumab</w:t>
            </w:r>
            <w:proofErr w:type="spellEnd"/>
            <w:r w:rsidRPr="000273A4">
              <w:rPr>
                <w:rFonts w:ascii="Arial Narrow" w:hAnsi="Arial Narrow"/>
                <w:sz w:val="22"/>
                <w:szCs w:val="22"/>
              </w:rPr>
              <w:t xml:space="preserve"> by a respiratory physician, clinical immunologist, allergist or general physician experienced in the management of patients with severe asthma, of a patient aged 12 years or older with uncontrolled severe allergic asthma who has been under the care of this physician for at least 12 months</w:t>
            </w:r>
          </w:p>
        </w:tc>
        <w:tc>
          <w:tcPr>
            <w:tcW w:w="2897" w:type="pct"/>
            <w:tcBorders>
              <w:bottom w:val="single" w:sz="4" w:space="0" w:color="auto"/>
            </w:tcBorders>
          </w:tcPr>
          <w:p w:rsidR="009D0C15"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Initial PBS-subsidised treatment with </w:t>
            </w:r>
            <w:proofErr w:type="spellStart"/>
            <w:r w:rsidRPr="000273A4">
              <w:rPr>
                <w:rFonts w:ascii="Arial Narrow" w:hAnsi="Arial Narrow" w:cs="Sabon"/>
                <w:sz w:val="22"/>
                <w:szCs w:val="22"/>
              </w:rPr>
              <w:t>omalizumab</w:t>
            </w:r>
            <w:proofErr w:type="spellEnd"/>
            <w:r w:rsidRPr="000273A4">
              <w:rPr>
                <w:rFonts w:ascii="Arial Narrow" w:hAnsi="Arial Narrow" w:cs="Sabon"/>
                <w:sz w:val="22"/>
                <w:szCs w:val="22"/>
              </w:rPr>
              <w:t xml:space="preserve"> by a respiratory physician, clinical immunologist, allergist or general physician experienced in the management of patients with severe asthma, of a patient aged 12 years or older with uncontrolled severe allergic asthma who has been under the care of this physician for at least 6 months. </w:t>
            </w:r>
          </w:p>
          <w:p w:rsidR="009D0C15" w:rsidRDefault="009D0C15" w:rsidP="00D47104">
            <w:pPr>
              <w:autoSpaceDE w:val="0"/>
              <w:autoSpaceDN w:val="0"/>
              <w:adjustRightInd w:val="0"/>
              <w:rPr>
                <w:rFonts w:ascii="Arial Narrow" w:hAnsi="Arial Narrow" w:cs="Sabon"/>
                <w:sz w:val="22"/>
                <w:szCs w:val="22"/>
              </w:rPr>
            </w:pP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On the Medicare application form change the tick box question from “</w:t>
            </w:r>
            <w:r w:rsidRPr="000273A4">
              <w:rPr>
                <w:rFonts w:ascii="Arial Narrow" w:hAnsi="Arial Narrow" w:cs="Sabon-Italic"/>
                <w:i/>
                <w:iCs/>
                <w:sz w:val="22"/>
                <w:szCs w:val="22"/>
              </w:rPr>
              <w:t>has</w:t>
            </w:r>
            <w:r w:rsidRPr="000273A4">
              <w:rPr>
                <w:rFonts w:ascii="Arial Narrow" w:hAnsi="Arial Narrow" w:cs="Sabon"/>
                <w:sz w:val="22"/>
                <w:szCs w:val="22"/>
              </w:rPr>
              <w:t xml:space="preserve"> </w:t>
            </w:r>
            <w:r w:rsidRPr="000273A4">
              <w:rPr>
                <w:rFonts w:ascii="Arial Narrow" w:hAnsi="Arial Narrow" w:cs="Sabon-Italic"/>
                <w:i/>
                <w:iCs/>
                <w:sz w:val="22"/>
                <w:szCs w:val="22"/>
              </w:rPr>
              <w:t>been in my care for at least 12 months</w:t>
            </w:r>
            <w:r w:rsidRPr="000273A4">
              <w:rPr>
                <w:rFonts w:ascii="Arial Narrow" w:hAnsi="Arial Narrow" w:cs="Sabon"/>
                <w:sz w:val="22"/>
                <w:szCs w:val="22"/>
              </w:rPr>
              <w:t>”</w:t>
            </w: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to</w:t>
            </w:r>
          </w:p>
          <w:p w:rsidR="00154D77" w:rsidRPr="00E36B99" w:rsidRDefault="00154D77" w:rsidP="00D47104">
            <w:pPr>
              <w:autoSpaceDE w:val="0"/>
              <w:autoSpaceDN w:val="0"/>
              <w:adjustRightInd w:val="0"/>
              <w:rPr>
                <w:rFonts w:ascii="Arial Narrow" w:hAnsi="Arial Narrow" w:cs="Sabon-Italic"/>
                <w:i/>
                <w:iCs/>
                <w:sz w:val="22"/>
                <w:szCs w:val="22"/>
              </w:rPr>
            </w:pPr>
            <w:r w:rsidRPr="000273A4">
              <w:rPr>
                <w:rFonts w:ascii="Arial Narrow" w:hAnsi="Arial Narrow" w:cs="Sabon"/>
                <w:sz w:val="22"/>
                <w:szCs w:val="22"/>
              </w:rPr>
              <w:t>“</w:t>
            </w:r>
            <w:proofErr w:type="gramStart"/>
            <w:r w:rsidRPr="000273A4">
              <w:rPr>
                <w:rFonts w:ascii="Arial Narrow" w:hAnsi="Arial Narrow" w:cs="Sabon-Italic"/>
                <w:i/>
                <w:iCs/>
                <w:sz w:val="22"/>
                <w:szCs w:val="22"/>
              </w:rPr>
              <w:t>has</w:t>
            </w:r>
            <w:proofErr w:type="gramEnd"/>
            <w:r w:rsidRPr="000273A4">
              <w:rPr>
                <w:rFonts w:ascii="Arial Narrow" w:hAnsi="Arial Narrow" w:cs="Sabon-Italic"/>
                <w:i/>
                <w:iCs/>
                <w:sz w:val="22"/>
                <w:szCs w:val="22"/>
              </w:rPr>
              <w:t xml:space="preserve"> been in my care for at least 6 months</w:t>
            </w:r>
            <w:r w:rsidRPr="000273A4">
              <w:rPr>
                <w:rFonts w:ascii="Arial Narrow" w:hAnsi="Arial Narrow" w:cs="Sabon"/>
                <w:sz w:val="22"/>
                <w:szCs w:val="22"/>
              </w:rPr>
              <w:t>”, and</w:t>
            </w:r>
            <w:r>
              <w:rPr>
                <w:rFonts w:ascii="Arial Narrow" w:hAnsi="Arial Narrow" w:cs="Sabon-Italic"/>
                <w:i/>
                <w:iCs/>
                <w:sz w:val="22"/>
                <w:szCs w:val="22"/>
              </w:rPr>
              <w:t xml:space="preserve"> </w:t>
            </w:r>
            <w:r w:rsidRPr="000273A4">
              <w:rPr>
                <w:rFonts w:ascii="Arial Narrow" w:hAnsi="Arial Narrow" w:cs="Sabon"/>
                <w:sz w:val="22"/>
                <w:szCs w:val="22"/>
              </w:rPr>
              <w:t xml:space="preserve">remove the requirement to provide the </w:t>
            </w:r>
            <w:r w:rsidRPr="000273A4">
              <w:rPr>
                <w:rFonts w:ascii="Arial Narrow" w:hAnsi="Arial Narrow" w:cs="Sabon-Italic"/>
                <w:i/>
                <w:iCs/>
                <w:sz w:val="22"/>
                <w:szCs w:val="22"/>
              </w:rPr>
              <w:t>date of initial visit</w:t>
            </w:r>
            <w:r w:rsidRPr="000273A4">
              <w:rPr>
                <w:rFonts w:ascii="Arial Narrow" w:hAnsi="Arial Narrow" w:cs="Sabon"/>
                <w:sz w:val="22"/>
                <w:szCs w:val="22"/>
              </w:rPr>
              <w:t>.</w:t>
            </w: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Also allow co-signing of applications by treating physicians where appropriate (on a case-by-case basis).</w:t>
            </w:r>
          </w:p>
        </w:tc>
      </w:tr>
      <w:tr w:rsidR="00C04FE2" w:rsidRPr="000273A4" w:rsidTr="00D3346E">
        <w:trPr>
          <w:cantSplit/>
          <w:trHeight w:val="292"/>
        </w:trPr>
        <w:tc>
          <w:tcPr>
            <w:tcW w:w="421" w:type="pct"/>
            <w:tcBorders>
              <w:bottom w:val="nil"/>
            </w:tcBorders>
          </w:tcPr>
          <w:p w:rsidR="00C04FE2" w:rsidRPr="000273A4" w:rsidRDefault="00C04FE2" w:rsidP="00826F6D">
            <w:pPr>
              <w:pStyle w:val="ListParagraph"/>
              <w:ind w:left="0"/>
              <w:jc w:val="both"/>
              <w:rPr>
                <w:rFonts w:ascii="Arial Narrow" w:hAnsi="Arial Narrow"/>
                <w:sz w:val="22"/>
                <w:szCs w:val="22"/>
              </w:rPr>
            </w:pPr>
            <w:r w:rsidRPr="000273A4">
              <w:rPr>
                <w:rFonts w:ascii="Arial Narrow" w:hAnsi="Arial Narrow"/>
                <w:sz w:val="22"/>
                <w:szCs w:val="22"/>
              </w:rPr>
              <w:t>1.2</w:t>
            </w:r>
          </w:p>
        </w:tc>
        <w:tc>
          <w:tcPr>
            <w:tcW w:w="1682" w:type="pct"/>
          </w:tcPr>
          <w:p w:rsidR="00C04FE2" w:rsidRPr="000273A4" w:rsidRDefault="00C04FE2"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(a) has a diagnosis of asthma confirmed and documented by a respiratory physician, clinical immunologist, allergist or general physician experienced in the management of patients with severe asthma, defined by standard clinical features, including:</w:t>
            </w:r>
          </w:p>
        </w:tc>
        <w:tc>
          <w:tcPr>
            <w:tcW w:w="2897" w:type="pct"/>
            <w:vMerge w:val="restart"/>
          </w:tcPr>
          <w:p w:rsidR="00C04FE2" w:rsidRDefault="00C04FE2"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Has a diagnosis of asthma confirmed by a respiratory physician, clinical immunologist, allergist or general physician experienced in the management of patients with severe asthma, defined by standard clinical features and in accordance with the Australian Asthma Handbook 2014 (</w:t>
            </w:r>
            <w:r w:rsidRPr="00DA0274">
              <w:rPr>
                <w:rFonts w:ascii="Arial Narrow" w:hAnsi="Arial Narrow" w:cs="Sabon"/>
                <w:sz w:val="22"/>
                <w:szCs w:val="22"/>
              </w:rPr>
              <w:t>http://www.asthmahandbook.org.au/diagnosis/adults/making-a-diagnosis</w:t>
            </w:r>
            <w:r w:rsidRPr="000273A4">
              <w:rPr>
                <w:rFonts w:ascii="Arial Narrow" w:hAnsi="Arial Narrow" w:cs="Sabon"/>
                <w:color w:val="000000"/>
                <w:sz w:val="22"/>
                <w:szCs w:val="22"/>
              </w:rPr>
              <w:t>)</w:t>
            </w:r>
            <w:r>
              <w:rPr>
                <w:rFonts w:ascii="Arial Narrow" w:hAnsi="Arial Narrow" w:cs="Sabon"/>
                <w:color w:val="000000"/>
                <w:sz w:val="22"/>
                <w:szCs w:val="22"/>
              </w:rPr>
              <w:t>.</w:t>
            </w:r>
          </w:p>
          <w:p w:rsidR="00C04FE2" w:rsidRDefault="00C04FE2" w:rsidP="00D47104">
            <w:pPr>
              <w:autoSpaceDE w:val="0"/>
              <w:autoSpaceDN w:val="0"/>
              <w:adjustRightInd w:val="0"/>
              <w:rPr>
                <w:rFonts w:ascii="Arial Narrow" w:hAnsi="Arial Narrow" w:cs="Sabon"/>
                <w:color w:val="000000"/>
                <w:sz w:val="22"/>
                <w:szCs w:val="22"/>
              </w:rPr>
            </w:pPr>
          </w:p>
          <w:p w:rsidR="00C04FE2" w:rsidRPr="00775ED6" w:rsidRDefault="00C04FE2"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For patients taking preventer medication where variable airflow limitation cannot be demonstrated, further investigations may be required (</w:t>
            </w:r>
            <w:r w:rsidRPr="0005416B">
              <w:rPr>
                <w:rFonts w:ascii="Arial Narrow" w:hAnsi="Arial Narrow" w:cs="Sabon"/>
                <w:color w:val="0000FF"/>
                <w:sz w:val="22"/>
                <w:szCs w:val="22"/>
                <w:u w:val="single"/>
              </w:rPr>
              <w:t>http://www.asthmahandbook.org.au/table/show/9</w:t>
            </w:r>
            <w:r w:rsidRPr="000273A4">
              <w:rPr>
                <w:rFonts w:ascii="Arial Narrow" w:hAnsi="Arial Narrow" w:cs="Sabon"/>
                <w:color w:val="000000"/>
                <w:sz w:val="22"/>
                <w:szCs w:val="22"/>
              </w:rPr>
              <w:t>) and diseases other than asthma must be excluded</w:t>
            </w:r>
          </w:p>
          <w:p w:rsidR="00C04FE2" w:rsidRPr="000273A4" w:rsidRDefault="00C04FE2" w:rsidP="00C04FE2">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w:t>
            </w:r>
            <w:r w:rsidRPr="0005416B">
              <w:rPr>
                <w:rFonts w:ascii="Arial Narrow" w:hAnsi="Arial Narrow" w:cs="Sabon"/>
                <w:color w:val="0000FF"/>
                <w:sz w:val="22"/>
                <w:szCs w:val="22"/>
                <w:u w:val="single"/>
              </w:rPr>
              <w:t>http://www.asthmahandbook.org.au/diagnosis/adults/alternative-diagnoses</w:t>
            </w:r>
            <w:r w:rsidRPr="000273A4">
              <w:rPr>
                <w:rFonts w:ascii="Arial Narrow" w:hAnsi="Arial Narrow" w:cs="Sabon"/>
                <w:color w:val="000000"/>
                <w:sz w:val="22"/>
                <w:szCs w:val="22"/>
              </w:rPr>
              <w:t>)</w:t>
            </w:r>
          </w:p>
          <w:p w:rsidR="00C04FE2" w:rsidRPr="000273A4" w:rsidRDefault="00C04FE2" w:rsidP="00C04FE2">
            <w:pPr>
              <w:autoSpaceDE w:val="0"/>
              <w:autoSpaceDN w:val="0"/>
              <w:adjustRightInd w:val="0"/>
              <w:rPr>
                <w:rFonts w:ascii="Arial Narrow" w:hAnsi="Arial Narrow" w:cs="Sabon"/>
                <w:color w:val="000000"/>
                <w:sz w:val="22"/>
                <w:szCs w:val="22"/>
              </w:rPr>
            </w:pPr>
          </w:p>
          <w:p w:rsidR="00C04FE2" w:rsidRPr="000273A4" w:rsidRDefault="00C04FE2" w:rsidP="00C04FE2">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 xml:space="preserve">On the </w:t>
            </w:r>
            <w:r w:rsidRPr="000273A4">
              <w:rPr>
                <w:rFonts w:ascii="Arial Narrow" w:hAnsi="Arial Narrow" w:cs="Sabon"/>
                <w:color w:val="000000"/>
                <w:sz w:val="22"/>
                <w:szCs w:val="22"/>
                <w:u w:val="single"/>
              </w:rPr>
              <w:t>Medicare application</w:t>
            </w:r>
            <w:r w:rsidRPr="000273A4">
              <w:rPr>
                <w:rFonts w:ascii="Arial Narrow" w:hAnsi="Arial Narrow" w:cs="Sabon"/>
                <w:color w:val="000000"/>
                <w:sz w:val="22"/>
                <w:szCs w:val="22"/>
              </w:rPr>
              <w:t xml:space="preserve"> form retain the question:</w:t>
            </w:r>
          </w:p>
          <w:p w:rsidR="00C04FE2" w:rsidRPr="000273A4" w:rsidRDefault="00C04FE2" w:rsidP="00C04FE2">
            <w:pPr>
              <w:autoSpaceDE w:val="0"/>
              <w:autoSpaceDN w:val="0"/>
              <w:adjustRightInd w:val="0"/>
              <w:rPr>
                <w:rFonts w:ascii="Arial Narrow" w:hAnsi="Arial Narrow" w:cs="Sabon-Italic"/>
                <w:i/>
                <w:iCs/>
                <w:color w:val="000000"/>
                <w:sz w:val="22"/>
                <w:szCs w:val="22"/>
              </w:rPr>
            </w:pPr>
            <w:r w:rsidRPr="000273A4">
              <w:rPr>
                <w:rFonts w:ascii="Arial Narrow" w:hAnsi="Arial Narrow" w:cs="Sabon"/>
                <w:color w:val="000000"/>
                <w:sz w:val="22"/>
                <w:szCs w:val="22"/>
              </w:rPr>
              <w:t>“</w:t>
            </w:r>
            <w:r w:rsidRPr="000273A4">
              <w:rPr>
                <w:rFonts w:ascii="Arial Narrow" w:hAnsi="Arial Narrow" w:cs="Sabon-Italic"/>
                <w:i/>
                <w:iCs/>
                <w:color w:val="000000"/>
                <w:sz w:val="22"/>
                <w:szCs w:val="22"/>
              </w:rPr>
              <w:t>has a diagnosis of asthma defined by</w:t>
            </w:r>
          </w:p>
          <w:p w:rsidR="00C04FE2" w:rsidRDefault="00C04FE2" w:rsidP="00C04FE2">
            <w:pPr>
              <w:autoSpaceDE w:val="0"/>
              <w:autoSpaceDN w:val="0"/>
              <w:adjustRightInd w:val="0"/>
              <w:rPr>
                <w:rFonts w:ascii="Arial Narrow" w:hAnsi="Arial Narrow" w:cs="Sabon"/>
                <w:color w:val="000000"/>
                <w:sz w:val="22"/>
                <w:szCs w:val="22"/>
              </w:rPr>
            </w:pPr>
            <w:r w:rsidRPr="000273A4">
              <w:rPr>
                <w:rFonts w:ascii="Arial Narrow" w:hAnsi="Arial Narrow" w:cs="Sabon-Italic"/>
                <w:i/>
                <w:iCs/>
                <w:color w:val="000000"/>
                <w:sz w:val="22"/>
                <w:szCs w:val="22"/>
              </w:rPr>
              <w:t>standard clinical features”</w:t>
            </w:r>
          </w:p>
          <w:p w:rsidR="00C04FE2" w:rsidRPr="00775ED6" w:rsidRDefault="00C04FE2" w:rsidP="00775ED6">
            <w:pPr>
              <w:autoSpaceDE w:val="0"/>
              <w:autoSpaceDN w:val="0"/>
              <w:adjustRightInd w:val="0"/>
              <w:rPr>
                <w:rFonts w:ascii="Arial Narrow" w:hAnsi="Arial Narrow" w:cs="Sabon"/>
                <w:color w:val="000000"/>
                <w:sz w:val="22"/>
                <w:szCs w:val="22"/>
              </w:rPr>
            </w:pPr>
            <w:proofErr w:type="gramStart"/>
            <w:r w:rsidRPr="000273A4">
              <w:rPr>
                <w:rFonts w:ascii="Arial Narrow" w:hAnsi="Arial Narrow" w:cs="Sabon"/>
                <w:color w:val="000000"/>
                <w:sz w:val="22"/>
                <w:szCs w:val="22"/>
              </w:rPr>
              <w:t>but</w:t>
            </w:r>
            <w:proofErr w:type="gramEnd"/>
            <w:r w:rsidRPr="000273A4">
              <w:rPr>
                <w:rFonts w:ascii="Arial Narrow" w:hAnsi="Arial Narrow" w:cs="Sabon"/>
                <w:color w:val="000000"/>
                <w:sz w:val="22"/>
                <w:szCs w:val="22"/>
              </w:rPr>
              <w:t xml:space="preserve"> remove the sub-questions on </w:t>
            </w:r>
            <w:r w:rsidRPr="000273A4">
              <w:rPr>
                <w:rFonts w:ascii="Arial Narrow" w:hAnsi="Arial Narrow" w:cs="Sabon-Italic"/>
                <w:i/>
                <w:iCs/>
                <w:color w:val="000000"/>
                <w:sz w:val="22"/>
                <w:szCs w:val="22"/>
              </w:rPr>
              <w:t xml:space="preserve">FEV1 reversibility, airway </w:t>
            </w:r>
            <w:proofErr w:type="spellStart"/>
            <w:r w:rsidRPr="000273A4">
              <w:rPr>
                <w:rFonts w:ascii="Arial Narrow" w:hAnsi="Arial Narrow" w:cs="Sabon-Italic"/>
                <w:i/>
                <w:iCs/>
                <w:color w:val="000000"/>
                <w:sz w:val="22"/>
                <w:szCs w:val="22"/>
              </w:rPr>
              <w:t>hyperresponsiveness</w:t>
            </w:r>
            <w:proofErr w:type="spellEnd"/>
            <w:r w:rsidRPr="000273A4">
              <w:rPr>
                <w:rFonts w:ascii="Arial Narrow" w:hAnsi="Arial Narrow" w:cs="Sabon-Italic"/>
                <w:i/>
                <w:iCs/>
                <w:color w:val="000000"/>
                <w:sz w:val="22"/>
                <w:szCs w:val="22"/>
              </w:rPr>
              <w:t xml:space="preserve"> and peak expiratory flow variability</w:t>
            </w:r>
            <w:r w:rsidRPr="000273A4">
              <w:rPr>
                <w:rFonts w:ascii="Arial Narrow" w:hAnsi="Arial Narrow" w:cs="Sabon"/>
                <w:color w:val="000000"/>
                <w:sz w:val="22"/>
                <w:szCs w:val="22"/>
              </w:rPr>
              <w:t>.</w:t>
            </w:r>
          </w:p>
        </w:tc>
      </w:tr>
      <w:tr w:rsidR="00C04FE2" w:rsidRPr="000273A4" w:rsidTr="007631AF">
        <w:trPr>
          <w:cantSplit/>
          <w:trHeight w:val="1469"/>
        </w:trPr>
        <w:tc>
          <w:tcPr>
            <w:tcW w:w="421" w:type="pct"/>
            <w:tcBorders>
              <w:top w:val="nil"/>
              <w:bottom w:val="single" w:sz="4" w:space="0" w:color="auto"/>
            </w:tcBorders>
          </w:tcPr>
          <w:p w:rsidR="00C04FE2" w:rsidRPr="000273A4" w:rsidRDefault="00C04FE2" w:rsidP="00826F6D">
            <w:pPr>
              <w:pStyle w:val="ListParagraph"/>
              <w:ind w:left="0"/>
              <w:jc w:val="both"/>
              <w:rPr>
                <w:rFonts w:ascii="Arial Narrow" w:hAnsi="Arial Narrow"/>
                <w:sz w:val="22"/>
                <w:szCs w:val="22"/>
              </w:rPr>
            </w:pPr>
          </w:p>
        </w:tc>
        <w:tc>
          <w:tcPr>
            <w:tcW w:w="1682" w:type="pct"/>
          </w:tcPr>
          <w:p w:rsidR="00C04FE2" w:rsidRPr="000273A4" w:rsidRDefault="00C04FE2"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w:t>
            </w:r>
            <w:proofErr w:type="spellStart"/>
            <w:r w:rsidRPr="000273A4">
              <w:rPr>
                <w:rFonts w:ascii="Arial Narrow" w:hAnsi="Arial Narrow" w:cs="Sabon"/>
                <w:sz w:val="22"/>
                <w:szCs w:val="22"/>
              </w:rPr>
              <w:t>i</w:t>
            </w:r>
            <w:proofErr w:type="spellEnd"/>
            <w:r w:rsidRPr="000273A4">
              <w:rPr>
                <w:rFonts w:ascii="Arial Narrow" w:hAnsi="Arial Narrow" w:cs="Sabon"/>
                <w:sz w:val="22"/>
                <w:szCs w:val="22"/>
              </w:rPr>
              <w:t>) forced expiratory volume (FEV</w:t>
            </w:r>
            <w:r w:rsidRPr="000273A4">
              <w:rPr>
                <w:rFonts w:ascii="Arial Narrow" w:hAnsi="Arial Narrow" w:cs="Sabon"/>
                <w:sz w:val="14"/>
                <w:szCs w:val="14"/>
              </w:rPr>
              <w:t>1</w:t>
            </w:r>
            <w:r w:rsidRPr="000273A4">
              <w:rPr>
                <w:rFonts w:ascii="Arial Narrow" w:hAnsi="Arial Narrow" w:cs="Sabon"/>
                <w:sz w:val="22"/>
                <w:szCs w:val="22"/>
              </w:rPr>
              <w:t>) reversibility greater than or equal to 12% and greater than or equal to 200 mL at baseline within 30 minutes after administration of salbutamol (200 - 400 micrograms), OR</w:t>
            </w:r>
          </w:p>
        </w:tc>
        <w:tc>
          <w:tcPr>
            <w:tcW w:w="2897" w:type="pct"/>
            <w:vMerge/>
          </w:tcPr>
          <w:p w:rsidR="00C04FE2" w:rsidRPr="000273A4" w:rsidRDefault="00C04FE2" w:rsidP="00775ED6">
            <w:pPr>
              <w:autoSpaceDE w:val="0"/>
              <w:autoSpaceDN w:val="0"/>
              <w:adjustRightInd w:val="0"/>
              <w:rPr>
                <w:rFonts w:ascii="Arial Narrow" w:hAnsi="Arial Narrow" w:cs="Sabon"/>
                <w:color w:val="000000"/>
                <w:sz w:val="22"/>
                <w:szCs w:val="22"/>
              </w:rPr>
            </w:pPr>
          </w:p>
        </w:tc>
      </w:tr>
      <w:tr w:rsidR="00C04FE2" w:rsidRPr="000273A4" w:rsidTr="007631AF">
        <w:trPr>
          <w:cantSplit/>
          <w:trHeight w:val="1545"/>
        </w:trPr>
        <w:tc>
          <w:tcPr>
            <w:tcW w:w="421" w:type="pct"/>
            <w:tcBorders>
              <w:top w:val="single" w:sz="4" w:space="0" w:color="auto"/>
              <w:bottom w:val="nil"/>
            </w:tcBorders>
          </w:tcPr>
          <w:p w:rsidR="00C04FE2" w:rsidRPr="000273A4" w:rsidRDefault="00C04FE2" w:rsidP="00826F6D">
            <w:pPr>
              <w:pStyle w:val="ListParagraph"/>
              <w:ind w:left="0"/>
              <w:jc w:val="both"/>
              <w:rPr>
                <w:rFonts w:ascii="Arial Narrow" w:hAnsi="Arial Narrow"/>
                <w:sz w:val="22"/>
                <w:szCs w:val="22"/>
              </w:rPr>
            </w:pPr>
          </w:p>
        </w:tc>
        <w:tc>
          <w:tcPr>
            <w:tcW w:w="1682" w:type="pct"/>
          </w:tcPr>
          <w:p w:rsidR="00C04FE2" w:rsidRPr="000273A4" w:rsidRDefault="00C04FE2"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(ii) airway </w:t>
            </w:r>
            <w:proofErr w:type="spellStart"/>
            <w:r w:rsidRPr="000273A4">
              <w:rPr>
                <w:rFonts w:ascii="Arial Narrow" w:hAnsi="Arial Narrow" w:cs="Sabon"/>
                <w:sz w:val="22"/>
                <w:szCs w:val="22"/>
              </w:rPr>
              <w:t>hyperresponsiveness</w:t>
            </w:r>
            <w:proofErr w:type="spellEnd"/>
            <w:r w:rsidRPr="000273A4">
              <w:rPr>
                <w:rFonts w:ascii="Arial Narrow" w:hAnsi="Arial Narrow" w:cs="Sabon"/>
                <w:sz w:val="22"/>
                <w:szCs w:val="22"/>
              </w:rPr>
              <w:t xml:space="preserve"> defined as a greater than 20% decline in FEV1 during a direct bronchial provocation test or greater than 15% decline during an indirect bronchial provocation test, OR</w:t>
            </w:r>
          </w:p>
        </w:tc>
        <w:tc>
          <w:tcPr>
            <w:tcW w:w="2897" w:type="pct"/>
            <w:vMerge/>
          </w:tcPr>
          <w:p w:rsidR="00C04FE2" w:rsidRPr="00775ED6" w:rsidRDefault="00C04FE2" w:rsidP="00775ED6">
            <w:pPr>
              <w:autoSpaceDE w:val="0"/>
              <w:autoSpaceDN w:val="0"/>
              <w:adjustRightInd w:val="0"/>
              <w:rPr>
                <w:rFonts w:ascii="Arial Narrow" w:hAnsi="Arial Narrow" w:cs="Sabon-Italic"/>
                <w:i/>
                <w:iCs/>
                <w:color w:val="000000"/>
                <w:sz w:val="22"/>
                <w:szCs w:val="22"/>
              </w:rPr>
            </w:pPr>
          </w:p>
        </w:tc>
      </w:tr>
      <w:tr w:rsidR="00C04FE2" w:rsidRPr="000273A4" w:rsidTr="007631AF">
        <w:trPr>
          <w:cantSplit/>
          <w:trHeight w:val="1115"/>
        </w:trPr>
        <w:tc>
          <w:tcPr>
            <w:tcW w:w="421" w:type="pct"/>
            <w:tcBorders>
              <w:top w:val="nil"/>
            </w:tcBorders>
          </w:tcPr>
          <w:p w:rsidR="00C04FE2" w:rsidRPr="000273A4" w:rsidRDefault="00C04FE2" w:rsidP="00826F6D">
            <w:pPr>
              <w:pStyle w:val="ListParagraph"/>
              <w:ind w:left="0"/>
              <w:jc w:val="both"/>
              <w:rPr>
                <w:rFonts w:ascii="Arial Narrow" w:hAnsi="Arial Narrow"/>
                <w:sz w:val="22"/>
                <w:szCs w:val="22"/>
              </w:rPr>
            </w:pPr>
          </w:p>
        </w:tc>
        <w:tc>
          <w:tcPr>
            <w:tcW w:w="1682" w:type="pct"/>
          </w:tcPr>
          <w:p w:rsidR="00C04FE2" w:rsidRPr="000273A4" w:rsidRDefault="00C04FE2"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(iii) </w:t>
            </w:r>
            <w:proofErr w:type="gramStart"/>
            <w:r w:rsidRPr="000273A4">
              <w:rPr>
                <w:rFonts w:ascii="Arial Narrow" w:hAnsi="Arial Narrow" w:cs="Sabon"/>
                <w:sz w:val="22"/>
                <w:szCs w:val="22"/>
              </w:rPr>
              <w:t>peak</w:t>
            </w:r>
            <w:proofErr w:type="gramEnd"/>
            <w:r w:rsidRPr="000273A4">
              <w:rPr>
                <w:rFonts w:ascii="Arial Narrow" w:hAnsi="Arial Narrow" w:cs="Sabon"/>
                <w:sz w:val="22"/>
                <w:szCs w:val="22"/>
              </w:rPr>
              <w:t xml:space="preserve"> expiratory flow (PEF) variability of greater than 15% between the two highest and two lowest peak expiratory flow rates during 14 days.</w:t>
            </w:r>
          </w:p>
        </w:tc>
        <w:tc>
          <w:tcPr>
            <w:tcW w:w="2897" w:type="pct"/>
            <w:vMerge/>
          </w:tcPr>
          <w:p w:rsidR="00C04FE2" w:rsidRPr="000273A4" w:rsidRDefault="00C04FE2" w:rsidP="00D47104">
            <w:pPr>
              <w:autoSpaceDE w:val="0"/>
              <w:autoSpaceDN w:val="0"/>
              <w:adjustRightInd w:val="0"/>
              <w:rPr>
                <w:rFonts w:ascii="Arial Narrow" w:hAnsi="Arial Narrow" w:cs="Sabon"/>
                <w:color w:val="000000"/>
                <w:sz w:val="22"/>
                <w:szCs w:val="22"/>
              </w:rPr>
            </w:pPr>
          </w:p>
        </w:tc>
      </w:tr>
      <w:tr w:rsidR="00154D77" w:rsidRPr="000273A4" w:rsidTr="00991B60">
        <w:trPr>
          <w:cantSplit/>
        </w:trPr>
        <w:tc>
          <w:tcPr>
            <w:tcW w:w="421" w:type="pct"/>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lastRenderedPageBreak/>
              <w:t>1.3</w:t>
            </w:r>
          </w:p>
        </w:tc>
        <w:tc>
          <w:tcPr>
            <w:tcW w:w="1682" w:type="pct"/>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w:t>
            </w:r>
            <w:r w:rsidRPr="000273A4">
              <w:rPr>
                <w:rFonts w:ascii="Arial Narrow" w:hAnsi="Arial Narrow" w:cs="Sabon"/>
                <w:sz w:val="22"/>
                <w:szCs w:val="22"/>
              </w:rPr>
              <w:t>b) duration of asthma of at least 1 year</w:t>
            </w:r>
          </w:p>
        </w:tc>
        <w:tc>
          <w:tcPr>
            <w:tcW w:w="2897" w:type="pct"/>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Propose to retain the question on the Medicare form:</w:t>
            </w:r>
          </w:p>
          <w:p w:rsidR="00154D77" w:rsidRPr="000273A4" w:rsidRDefault="00154D77" w:rsidP="00D47104">
            <w:pPr>
              <w:autoSpaceDE w:val="0"/>
              <w:autoSpaceDN w:val="0"/>
              <w:adjustRightInd w:val="0"/>
              <w:rPr>
                <w:rFonts w:ascii="Arial Narrow" w:hAnsi="Arial Narrow" w:cs="Sabon-Italic"/>
                <w:i/>
                <w:iCs/>
                <w:sz w:val="22"/>
                <w:szCs w:val="22"/>
              </w:rPr>
            </w:pPr>
            <w:r w:rsidRPr="000273A4">
              <w:rPr>
                <w:rFonts w:ascii="Arial Narrow" w:hAnsi="Arial Narrow" w:cs="Sabon"/>
                <w:sz w:val="22"/>
                <w:szCs w:val="22"/>
              </w:rPr>
              <w:t>“</w:t>
            </w:r>
            <w:r w:rsidRPr="000273A4">
              <w:rPr>
                <w:rFonts w:ascii="Arial Narrow" w:hAnsi="Arial Narrow" w:cs="Sabon-Italic"/>
                <w:i/>
                <w:iCs/>
                <w:sz w:val="22"/>
                <w:szCs w:val="22"/>
              </w:rPr>
              <w:t>has a diagnosis of asthma for at least one year</w:t>
            </w:r>
            <w:r w:rsidRPr="000273A4">
              <w:rPr>
                <w:rFonts w:ascii="Arial Narrow" w:hAnsi="Arial Narrow" w:cs="Sabon"/>
                <w:sz w:val="22"/>
                <w:szCs w:val="22"/>
              </w:rPr>
              <w:t>”,</w:t>
            </w:r>
          </w:p>
          <w:p w:rsidR="00154D77" w:rsidRDefault="00154D77" w:rsidP="00D47104">
            <w:pPr>
              <w:autoSpaceDE w:val="0"/>
              <w:autoSpaceDN w:val="0"/>
              <w:adjustRightInd w:val="0"/>
              <w:rPr>
                <w:rFonts w:ascii="Arial Narrow" w:hAnsi="Arial Narrow" w:cs="Sabon"/>
                <w:sz w:val="22"/>
                <w:szCs w:val="22"/>
              </w:rPr>
            </w:pPr>
            <w:proofErr w:type="gramStart"/>
            <w:r w:rsidRPr="000273A4">
              <w:rPr>
                <w:rFonts w:ascii="Arial Narrow" w:hAnsi="Arial Narrow" w:cs="Sabon"/>
                <w:sz w:val="22"/>
                <w:szCs w:val="22"/>
              </w:rPr>
              <w:t>but</w:t>
            </w:r>
            <w:proofErr w:type="gramEnd"/>
            <w:r w:rsidRPr="000273A4">
              <w:rPr>
                <w:rFonts w:ascii="Arial Narrow" w:hAnsi="Arial Narrow" w:cs="Sabon"/>
                <w:sz w:val="22"/>
                <w:szCs w:val="22"/>
              </w:rPr>
              <w:t xml:space="preserve"> remove the “</w:t>
            </w:r>
            <w:r w:rsidRPr="000273A4">
              <w:rPr>
                <w:rFonts w:ascii="Arial Narrow" w:hAnsi="Arial Narrow" w:cs="Sabon-Italic"/>
                <w:i/>
                <w:iCs/>
                <w:sz w:val="22"/>
                <w:szCs w:val="22"/>
              </w:rPr>
              <w:t>provide date of initial diagnosis</w:t>
            </w:r>
            <w:r w:rsidRPr="000273A4">
              <w:rPr>
                <w:rFonts w:ascii="Arial Narrow" w:hAnsi="Arial Narrow" w:cs="Sabon"/>
                <w:sz w:val="22"/>
                <w:szCs w:val="22"/>
              </w:rPr>
              <w:t>” field.</w:t>
            </w:r>
          </w:p>
          <w:p w:rsidR="00154D77" w:rsidRPr="000273A4" w:rsidRDefault="00154D77" w:rsidP="00D47104">
            <w:pPr>
              <w:autoSpaceDE w:val="0"/>
              <w:autoSpaceDN w:val="0"/>
              <w:adjustRightInd w:val="0"/>
              <w:rPr>
                <w:rFonts w:ascii="Arial Narrow" w:hAnsi="Arial Narrow" w:cs="Sabon-Italic"/>
                <w:i/>
                <w:iCs/>
                <w:sz w:val="22"/>
                <w:szCs w:val="22"/>
              </w:rPr>
            </w:pPr>
          </w:p>
        </w:tc>
      </w:tr>
      <w:tr w:rsidR="00154D77" w:rsidRPr="000273A4" w:rsidTr="00991B60">
        <w:trPr>
          <w:cantSplit/>
        </w:trPr>
        <w:tc>
          <w:tcPr>
            <w:tcW w:w="421" w:type="pct"/>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1.4</w:t>
            </w:r>
          </w:p>
        </w:tc>
        <w:tc>
          <w:tcPr>
            <w:tcW w:w="1682" w:type="pct"/>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(c) FEV1 less than or equal to 80% predicted, documented on 3 or more occasions in the previous 12 months</w:t>
            </w:r>
          </w:p>
        </w:tc>
        <w:tc>
          <w:tcPr>
            <w:tcW w:w="2897" w:type="pct"/>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FEV</w:t>
            </w:r>
            <w:r w:rsidRPr="000273A4">
              <w:rPr>
                <w:rFonts w:ascii="Arial Narrow" w:hAnsi="Arial Narrow" w:cs="Sabon"/>
                <w:sz w:val="14"/>
                <w:szCs w:val="14"/>
              </w:rPr>
              <w:t xml:space="preserve">1 </w:t>
            </w:r>
            <w:r w:rsidRPr="000273A4">
              <w:rPr>
                <w:rFonts w:ascii="Arial Narrow" w:hAnsi="Arial Narrow" w:cs="Sabon"/>
                <w:sz w:val="22"/>
                <w:szCs w:val="22"/>
              </w:rPr>
              <w:t>≤80% predicted, documented on 1 or more occasion in the previous 12 months</w:t>
            </w:r>
          </w:p>
          <w:p w:rsidR="00154D77" w:rsidRPr="000273A4" w:rsidRDefault="00154D77" w:rsidP="00D47104">
            <w:pPr>
              <w:autoSpaceDE w:val="0"/>
              <w:autoSpaceDN w:val="0"/>
              <w:adjustRightInd w:val="0"/>
              <w:rPr>
                <w:rFonts w:ascii="Arial Narrow" w:hAnsi="Arial Narrow" w:cs="Sabon"/>
                <w:sz w:val="22"/>
                <w:szCs w:val="22"/>
              </w:rPr>
            </w:pP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On the Medicare application form</w:t>
            </w: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change the question to</w:t>
            </w:r>
          </w:p>
          <w:p w:rsidR="00154D77" w:rsidRPr="000273A4" w:rsidRDefault="00154D77" w:rsidP="00D47104">
            <w:pPr>
              <w:autoSpaceDE w:val="0"/>
              <w:autoSpaceDN w:val="0"/>
              <w:adjustRightInd w:val="0"/>
              <w:rPr>
                <w:rFonts w:ascii="Arial Narrow" w:hAnsi="Arial Narrow" w:cs="Sabon-Italic"/>
                <w:i/>
                <w:iCs/>
                <w:sz w:val="22"/>
                <w:szCs w:val="22"/>
              </w:rPr>
            </w:pPr>
            <w:r w:rsidRPr="000273A4">
              <w:rPr>
                <w:rFonts w:ascii="Arial Narrow" w:hAnsi="Arial Narrow" w:cs="Sabon"/>
                <w:sz w:val="22"/>
                <w:szCs w:val="22"/>
              </w:rPr>
              <w:t>“</w:t>
            </w:r>
            <w:r w:rsidRPr="000273A4">
              <w:rPr>
                <w:rFonts w:ascii="Arial Narrow" w:hAnsi="Arial Narrow" w:cs="Sabon-Italic"/>
                <w:i/>
                <w:iCs/>
                <w:sz w:val="22"/>
                <w:szCs w:val="22"/>
              </w:rPr>
              <w:t>has FEV</w:t>
            </w:r>
            <w:r w:rsidRPr="000273A4">
              <w:rPr>
                <w:rFonts w:ascii="Arial Narrow" w:hAnsi="Arial Narrow" w:cs="Sabon-Italic"/>
                <w:i/>
                <w:iCs/>
                <w:sz w:val="14"/>
                <w:szCs w:val="14"/>
              </w:rPr>
              <w:t xml:space="preserve">1 </w:t>
            </w:r>
            <w:r w:rsidRPr="000273A4">
              <w:rPr>
                <w:rFonts w:ascii="Arial Narrow" w:hAnsi="Arial Narrow" w:cs="Sabon-Italic"/>
                <w:i/>
                <w:iCs/>
                <w:sz w:val="22"/>
                <w:szCs w:val="22"/>
              </w:rPr>
              <w:t>≤80% predicted, documented on at least one occasion in the previous 12 months</w:t>
            </w:r>
            <w:r w:rsidRPr="000273A4">
              <w:rPr>
                <w:rFonts w:ascii="Arial Narrow" w:hAnsi="Arial Narrow" w:cs="Sabon"/>
                <w:sz w:val="22"/>
                <w:szCs w:val="22"/>
              </w:rPr>
              <w:t>”</w:t>
            </w:r>
          </w:p>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And remove the requirement to provide the dates and results of the 3 FEV</w:t>
            </w:r>
            <w:r w:rsidRPr="000273A4">
              <w:rPr>
                <w:rFonts w:ascii="Arial Narrow" w:hAnsi="Arial Narrow" w:cs="Sabon"/>
                <w:sz w:val="14"/>
                <w:szCs w:val="14"/>
              </w:rPr>
              <w:t>1</w:t>
            </w:r>
            <w:r w:rsidRPr="000273A4">
              <w:rPr>
                <w:rFonts w:ascii="Arial Narrow" w:hAnsi="Arial Narrow" w:cs="Sabon"/>
                <w:sz w:val="22"/>
                <w:szCs w:val="22"/>
              </w:rPr>
              <w:t xml:space="preserve"> assessments and replace with:</w:t>
            </w:r>
          </w:p>
          <w:p w:rsidR="00154D77" w:rsidRDefault="00154D77" w:rsidP="00D47104">
            <w:pPr>
              <w:autoSpaceDE w:val="0"/>
              <w:autoSpaceDN w:val="0"/>
              <w:adjustRightInd w:val="0"/>
              <w:rPr>
                <w:rFonts w:ascii="Arial Narrow" w:hAnsi="Arial Narrow" w:cs="Sabon"/>
                <w:sz w:val="22"/>
                <w:szCs w:val="22"/>
              </w:rPr>
            </w:pPr>
            <w:r w:rsidRPr="000273A4">
              <w:rPr>
                <w:rFonts w:ascii="Arial Narrow" w:hAnsi="Arial Narrow" w:cs="Sabon-Italic"/>
                <w:i/>
                <w:iCs/>
                <w:sz w:val="22"/>
                <w:szCs w:val="22"/>
              </w:rPr>
              <w:t xml:space="preserve">“Provide the FEV1 % predicted result” </w:t>
            </w:r>
            <w:r w:rsidRPr="000273A4">
              <w:rPr>
                <w:rFonts w:ascii="Arial Narrow" w:hAnsi="Arial Narrow" w:cs="Sabon"/>
                <w:sz w:val="22"/>
                <w:szCs w:val="22"/>
              </w:rPr>
              <w:t>or delete this requirement as well.</w:t>
            </w:r>
          </w:p>
          <w:p w:rsidR="00154D77" w:rsidRPr="000273A4" w:rsidRDefault="00154D77" w:rsidP="00D47104">
            <w:pPr>
              <w:autoSpaceDE w:val="0"/>
              <w:autoSpaceDN w:val="0"/>
              <w:adjustRightInd w:val="0"/>
              <w:rPr>
                <w:rFonts w:ascii="Arial Narrow" w:hAnsi="Arial Narrow" w:cs="Sabon-Italic"/>
                <w:i/>
                <w:iCs/>
                <w:sz w:val="22"/>
                <w:szCs w:val="22"/>
              </w:rPr>
            </w:pPr>
          </w:p>
        </w:tc>
      </w:tr>
      <w:tr w:rsidR="00154D77" w:rsidRPr="000273A4" w:rsidTr="00991B60">
        <w:trPr>
          <w:cantSplit/>
        </w:trPr>
        <w:tc>
          <w:tcPr>
            <w:tcW w:w="421" w:type="pct"/>
          </w:tcPr>
          <w:p w:rsidR="00154D77" w:rsidRPr="00D96576" w:rsidRDefault="00154D77" w:rsidP="00826F6D">
            <w:pPr>
              <w:pStyle w:val="ListParagraph"/>
              <w:ind w:left="0"/>
              <w:jc w:val="both"/>
              <w:rPr>
                <w:rFonts w:ascii="Arial Narrow" w:hAnsi="Arial Narrow"/>
                <w:sz w:val="22"/>
                <w:szCs w:val="22"/>
              </w:rPr>
            </w:pPr>
            <w:r w:rsidRPr="00D96576">
              <w:rPr>
                <w:rFonts w:ascii="Arial Narrow" w:hAnsi="Arial Narrow"/>
                <w:sz w:val="22"/>
                <w:szCs w:val="22"/>
              </w:rPr>
              <w:t>1.5</w:t>
            </w:r>
          </w:p>
        </w:tc>
        <w:tc>
          <w:tcPr>
            <w:tcW w:w="1682" w:type="pct"/>
          </w:tcPr>
          <w:p w:rsidR="00154D77" w:rsidRPr="00D96576" w:rsidRDefault="00154D77" w:rsidP="00D47104">
            <w:pPr>
              <w:autoSpaceDE w:val="0"/>
              <w:autoSpaceDN w:val="0"/>
              <w:adjustRightInd w:val="0"/>
              <w:rPr>
                <w:rFonts w:ascii="Arial Narrow" w:hAnsi="Arial Narrow" w:cs="Sabon"/>
                <w:sz w:val="22"/>
                <w:szCs w:val="22"/>
              </w:rPr>
            </w:pPr>
            <w:r w:rsidRPr="00D96576">
              <w:rPr>
                <w:rFonts w:ascii="Arial Narrow" w:hAnsi="Arial Narrow" w:cs="Sabon"/>
                <w:sz w:val="22"/>
                <w:szCs w:val="22"/>
              </w:rPr>
              <w:t xml:space="preserve">(d) past or current evidence of </w:t>
            </w:r>
            <w:proofErr w:type="spellStart"/>
            <w:r w:rsidRPr="00D96576">
              <w:rPr>
                <w:rFonts w:ascii="Arial Narrow" w:hAnsi="Arial Narrow" w:cs="Sabon"/>
                <w:sz w:val="22"/>
                <w:szCs w:val="22"/>
              </w:rPr>
              <w:t>atopy</w:t>
            </w:r>
            <w:proofErr w:type="spellEnd"/>
            <w:r w:rsidRPr="00D96576">
              <w:rPr>
                <w:rFonts w:ascii="Arial Narrow" w:hAnsi="Arial Narrow" w:cs="Sabon"/>
                <w:sz w:val="22"/>
                <w:szCs w:val="22"/>
              </w:rPr>
              <w:t>, documented by skin prick testing or RAST</w:t>
            </w:r>
          </w:p>
        </w:tc>
        <w:tc>
          <w:tcPr>
            <w:tcW w:w="2897" w:type="pct"/>
          </w:tcPr>
          <w:p w:rsidR="00154D77" w:rsidRPr="00D96576" w:rsidRDefault="00154D77" w:rsidP="00D47104">
            <w:pPr>
              <w:autoSpaceDE w:val="0"/>
              <w:autoSpaceDN w:val="0"/>
              <w:adjustRightInd w:val="0"/>
              <w:rPr>
                <w:rFonts w:ascii="Arial Narrow" w:hAnsi="Arial Narrow" w:cs="Sabon"/>
                <w:color w:val="000000"/>
                <w:sz w:val="22"/>
                <w:szCs w:val="22"/>
              </w:rPr>
            </w:pPr>
            <w:r w:rsidRPr="00D96576">
              <w:rPr>
                <w:rFonts w:ascii="Arial Narrow" w:hAnsi="Arial Narrow" w:cs="Sabon"/>
                <w:color w:val="000000"/>
                <w:sz w:val="22"/>
                <w:szCs w:val="22"/>
              </w:rPr>
              <w:t xml:space="preserve">Past or current evidence of </w:t>
            </w:r>
            <w:proofErr w:type="spellStart"/>
            <w:r w:rsidRPr="00D96576">
              <w:rPr>
                <w:rFonts w:ascii="Arial Narrow" w:hAnsi="Arial Narrow" w:cs="Sabon"/>
                <w:color w:val="000000"/>
                <w:sz w:val="22"/>
                <w:szCs w:val="22"/>
              </w:rPr>
              <w:t>atopy</w:t>
            </w:r>
            <w:proofErr w:type="spellEnd"/>
            <w:r w:rsidRPr="00D96576">
              <w:rPr>
                <w:rFonts w:ascii="Arial Narrow" w:hAnsi="Arial Narrow" w:cs="Sabon"/>
                <w:color w:val="000000"/>
                <w:sz w:val="22"/>
                <w:szCs w:val="22"/>
              </w:rPr>
              <w:t xml:space="preserve">, documented by skin prick testing or an in vitro measure of specific </w:t>
            </w:r>
            <w:proofErr w:type="spellStart"/>
            <w:r w:rsidRPr="00D96576">
              <w:rPr>
                <w:rFonts w:ascii="Arial Narrow" w:hAnsi="Arial Narrow" w:cs="Sabon"/>
                <w:color w:val="000000"/>
                <w:sz w:val="22"/>
                <w:szCs w:val="22"/>
              </w:rPr>
              <w:t>IgE</w:t>
            </w:r>
            <w:proofErr w:type="spellEnd"/>
            <w:r w:rsidRPr="00D96576">
              <w:rPr>
                <w:rFonts w:ascii="Arial Narrow" w:hAnsi="Arial Narrow" w:cs="Sabon"/>
                <w:color w:val="000000"/>
                <w:sz w:val="22"/>
                <w:szCs w:val="22"/>
              </w:rPr>
              <w:t xml:space="preserve"> (see NOTE if unable to identify the specific allergen).</w:t>
            </w:r>
          </w:p>
          <w:p w:rsidR="00154D77" w:rsidRPr="00D96576" w:rsidRDefault="00154D77" w:rsidP="00D47104">
            <w:pPr>
              <w:autoSpaceDE w:val="0"/>
              <w:autoSpaceDN w:val="0"/>
              <w:adjustRightInd w:val="0"/>
              <w:rPr>
                <w:rFonts w:ascii="Arial Narrow" w:hAnsi="Arial Narrow" w:cs="Sabon"/>
                <w:color w:val="000000"/>
                <w:sz w:val="22"/>
                <w:szCs w:val="22"/>
              </w:rPr>
            </w:pPr>
          </w:p>
          <w:p w:rsidR="00154D77" w:rsidRPr="00D96576" w:rsidRDefault="00154D77" w:rsidP="00D47104">
            <w:pPr>
              <w:autoSpaceDE w:val="0"/>
              <w:autoSpaceDN w:val="0"/>
              <w:adjustRightInd w:val="0"/>
              <w:rPr>
                <w:rFonts w:ascii="Arial Narrow" w:hAnsi="Arial Narrow" w:cs="Sabon"/>
                <w:color w:val="000000"/>
                <w:sz w:val="22"/>
                <w:szCs w:val="22"/>
              </w:rPr>
            </w:pPr>
            <w:r w:rsidRPr="00D96576">
              <w:rPr>
                <w:rFonts w:ascii="Arial Narrow" w:hAnsi="Arial Narrow" w:cs="Sabon"/>
                <w:color w:val="000000"/>
                <w:sz w:val="22"/>
                <w:szCs w:val="22"/>
              </w:rPr>
              <w:t xml:space="preserve">NOTE: Allergy testing should be performed in accordance with the National Asthma Council &amp; Australasian Society of Clinical Immunology and Allergy (ASCIA) Paper for Health Professionals on Asthma &amp; Allergy (available at </w:t>
            </w:r>
            <w:r w:rsidRPr="00D96576">
              <w:rPr>
                <w:rFonts w:ascii="Arial Narrow" w:hAnsi="Arial Narrow" w:cs="Sabon"/>
                <w:color w:val="0000FF"/>
                <w:sz w:val="22"/>
                <w:szCs w:val="22"/>
              </w:rPr>
              <w:t>www.nationalasthma.org.au</w:t>
            </w:r>
            <w:r w:rsidRPr="00D96576">
              <w:rPr>
                <w:rFonts w:ascii="Arial Narrow" w:hAnsi="Arial Narrow" w:cs="Sabon"/>
                <w:color w:val="000000"/>
                <w:sz w:val="22"/>
                <w:szCs w:val="22"/>
              </w:rPr>
              <w:t xml:space="preserve">) and resources available on the ASCIA website (available at </w:t>
            </w:r>
            <w:r w:rsidRPr="00D96576">
              <w:rPr>
                <w:rFonts w:ascii="Arial Narrow" w:hAnsi="Arial Narrow" w:cs="Sabon"/>
                <w:color w:val="0000FF"/>
                <w:sz w:val="22"/>
                <w:szCs w:val="22"/>
              </w:rPr>
              <w:t>www.allergy.org.au</w:t>
            </w:r>
            <w:r w:rsidRPr="00D96576">
              <w:rPr>
                <w:rFonts w:ascii="Arial Narrow" w:hAnsi="Arial Narrow" w:cs="Sabon"/>
                <w:color w:val="000000"/>
                <w:sz w:val="22"/>
                <w:szCs w:val="22"/>
              </w:rPr>
              <w:t xml:space="preserve">). Assessments should be documented in the patient’s medical records and if a specific allergen cannot be identified the application for </w:t>
            </w:r>
            <w:proofErr w:type="spellStart"/>
            <w:r w:rsidRPr="00D96576">
              <w:rPr>
                <w:rFonts w:ascii="Arial Narrow" w:hAnsi="Arial Narrow" w:cs="Sabon"/>
                <w:color w:val="000000"/>
                <w:sz w:val="22"/>
                <w:szCs w:val="22"/>
              </w:rPr>
              <w:t>omalizumab</w:t>
            </w:r>
            <w:proofErr w:type="spellEnd"/>
            <w:r w:rsidRPr="00D96576">
              <w:rPr>
                <w:rFonts w:ascii="Arial Narrow" w:hAnsi="Arial Narrow" w:cs="Sabon"/>
                <w:color w:val="000000"/>
                <w:sz w:val="22"/>
                <w:szCs w:val="22"/>
              </w:rPr>
              <w:t xml:space="preserve"> should be discussed with </w:t>
            </w:r>
            <w:r w:rsidRPr="00D96576">
              <w:rPr>
                <w:rFonts w:ascii="Arial Narrow" w:hAnsi="Arial Narrow" w:cs="Sabon"/>
                <w:sz w:val="22"/>
                <w:szCs w:val="22"/>
              </w:rPr>
              <w:t>Medicare.</w:t>
            </w:r>
          </w:p>
          <w:p w:rsidR="00154D77" w:rsidRDefault="00154D77" w:rsidP="00D47104">
            <w:pPr>
              <w:autoSpaceDE w:val="0"/>
              <w:autoSpaceDN w:val="0"/>
              <w:adjustRightInd w:val="0"/>
              <w:rPr>
                <w:rFonts w:ascii="Arial Narrow" w:hAnsi="Arial Narrow" w:cs="Sabon"/>
                <w:sz w:val="22"/>
                <w:szCs w:val="22"/>
              </w:rPr>
            </w:pPr>
          </w:p>
          <w:p w:rsidR="00154D77" w:rsidRPr="00D96576" w:rsidRDefault="00154D77" w:rsidP="00D47104">
            <w:pPr>
              <w:autoSpaceDE w:val="0"/>
              <w:autoSpaceDN w:val="0"/>
              <w:adjustRightInd w:val="0"/>
              <w:rPr>
                <w:rFonts w:ascii="Arial Narrow" w:hAnsi="Arial Narrow" w:cs="Sabon"/>
                <w:sz w:val="22"/>
                <w:szCs w:val="22"/>
              </w:rPr>
            </w:pPr>
          </w:p>
          <w:p w:rsidR="00154D77" w:rsidRPr="00D96576" w:rsidRDefault="00154D77" w:rsidP="00D47104">
            <w:pPr>
              <w:autoSpaceDE w:val="0"/>
              <w:autoSpaceDN w:val="0"/>
              <w:adjustRightInd w:val="0"/>
              <w:rPr>
                <w:rFonts w:ascii="Arial Narrow" w:hAnsi="Arial Narrow" w:cs="Sabon"/>
                <w:sz w:val="22"/>
                <w:szCs w:val="22"/>
              </w:rPr>
            </w:pPr>
            <w:r w:rsidRPr="00D96576">
              <w:rPr>
                <w:rFonts w:ascii="Arial Narrow" w:hAnsi="Arial Narrow" w:cs="Sabon"/>
                <w:sz w:val="22"/>
                <w:szCs w:val="22"/>
              </w:rPr>
              <w:t>On the Medicare application form: Update the question to include FEIA:</w:t>
            </w:r>
          </w:p>
          <w:p w:rsidR="00154D77" w:rsidRPr="00D96576" w:rsidRDefault="00154D77" w:rsidP="00D47104">
            <w:pPr>
              <w:autoSpaceDE w:val="0"/>
              <w:autoSpaceDN w:val="0"/>
              <w:adjustRightInd w:val="0"/>
              <w:rPr>
                <w:rFonts w:ascii="Arial Narrow" w:hAnsi="Arial Narrow" w:cs="Sabon"/>
                <w:sz w:val="22"/>
                <w:szCs w:val="22"/>
              </w:rPr>
            </w:pPr>
            <w:r w:rsidRPr="00D96576">
              <w:rPr>
                <w:rFonts w:ascii="Arial Narrow" w:hAnsi="Arial Narrow" w:cs="Sabon"/>
                <w:sz w:val="22"/>
                <w:szCs w:val="22"/>
              </w:rPr>
              <w:t>“</w:t>
            </w:r>
            <w:proofErr w:type="gramStart"/>
            <w:r w:rsidRPr="00D96576">
              <w:rPr>
                <w:rFonts w:ascii="Arial Narrow" w:hAnsi="Arial Narrow" w:cs="Sabon-Italic"/>
                <w:i/>
                <w:iCs/>
                <w:sz w:val="22"/>
                <w:szCs w:val="22"/>
              </w:rPr>
              <w:t>has</w:t>
            </w:r>
            <w:proofErr w:type="gramEnd"/>
            <w:r w:rsidRPr="00D96576">
              <w:rPr>
                <w:rFonts w:ascii="Arial Narrow" w:hAnsi="Arial Narrow" w:cs="Sabon-Italic"/>
                <w:i/>
                <w:iCs/>
                <w:sz w:val="22"/>
                <w:szCs w:val="22"/>
              </w:rPr>
              <w:t xml:space="preserve"> past or current evidence of </w:t>
            </w:r>
            <w:proofErr w:type="spellStart"/>
            <w:r w:rsidRPr="00D96576">
              <w:rPr>
                <w:rFonts w:ascii="Arial Narrow" w:hAnsi="Arial Narrow" w:cs="Sabon-Italic"/>
                <w:i/>
                <w:iCs/>
                <w:sz w:val="22"/>
                <w:szCs w:val="22"/>
              </w:rPr>
              <w:t>atopy</w:t>
            </w:r>
            <w:proofErr w:type="spellEnd"/>
            <w:r w:rsidRPr="00D96576">
              <w:rPr>
                <w:rFonts w:ascii="Arial Narrow" w:hAnsi="Arial Narrow" w:cs="Sabon-Italic"/>
                <w:i/>
                <w:iCs/>
                <w:sz w:val="22"/>
                <w:szCs w:val="22"/>
              </w:rPr>
              <w:t xml:space="preserve">, documented by skin prick testing or an in vitro measure of specific </w:t>
            </w:r>
            <w:proofErr w:type="spellStart"/>
            <w:r w:rsidRPr="00D96576">
              <w:rPr>
                <w:rFonts w:ascii="Arial Narrow" w:hAnsi="Arial Narrow" w:cs="Sabon-Italic"/>
                <w:i/>
                <w:iCs/>
                <w:sz w:val="22"/>
                <w:szCs w:val="22"/>
              </w:rPr>
              <w:t>IgE</w:t>
            </w:r>
            <w:proofErr w:type="spellEnd"/>
            <w:r w:rsidRPr="00D96576">
              <w:rPr>
                <w:rFonts w:ascii="Arial Narrow" w:hAnsi="Arial Narrow" w:cs="Sabon"/>
                <w:sz w:val="22"/>
                <w:szCs w:val="22"/>
              </w:rPr>
              <w:t>” and remove the “</w:t>
            </w:r>
            <w:r w:rsidRPr="00D96576">
              <w:rPr>
                <w:rFonts w:ascii="Arial Narrow" w:hAnsi="Arial Narrow" w:cs="Sabon-Italic"/>
                <w:i/>
                <w:iCs/>
                <w:sz w:val="22"/>
                <w:szCs w:val="22"/>
              </w:rPr>
              <w:t>provide date of test</w:t>
            </w:r>
            <w:r w:rsidRPr="00D96576">
              <w:rPr>
                <w:rFonts w:ascii="Arial Narrow" w:hAnsi="Arial Narrow" w:cs="Sabon"/>
                <w:sz w:val="22"/>
                <w:szCs w:val="22"/>
              </w:rPr>
              <w:t>” field.</w:t>
            </w:r>
          </w:p>
          <w:p w:rsidR="00154D77" w:rsidRPr="00D96576" w:rsidRDefault="00154D77" w:rsidP="00D47104">
            <w:pPr>
              <w:autoSpaceDE w:val="0"/>
              <w:autoSpaceDN w:val="0"/>
              <w:adjustRightInd w:val="0"/>
              <w:rPr>
                <w:rFonts w:ascii="Arial Narrow" w:hAnsi="Arial Narrow" w:cs="Sabon-Italic"/>
                <w:i/>
                <w:iCs/>
                <w:sz w:val="22"/>
                <w:szCs w:val="22"/>
              </w:rPr>
            </w:pPr>
          </w:p>
        </w:tc>
      </w:tr>
      <w:tr w:rsidR="00154D77" w:rsidRPr="000273A4" w:rsidTr="00991B60">
        <w:trPr>
          <w:cantSplit/>
        </w:trPr>
        <w:tc>
          <w:tcPr>
            <w:tcW w:w="421" w:type="pct"/>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1.6</w:t>
            </w:r>
          </w:p>
        </w:tc>
        <w:tc>
          <w:tcPr>
            <w:tcW w:w="1682" w:type="pct"/>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(e) total serum human immunoglobulin E (</w:t>
            </w:r>
            <w:proofErr w:type="spellStart"/>
            <w:r w:rsidRPr="000273A4">
              <w:rPr>
                <w:rFonts w:ascii="Arial Narrow" w:hAnsi="Arial Narrow" w:cs="Sabon"/>
                <w:sz w:val="22"/>
                <w:szCs w:val="22"/>
              </w:rPr>
              <w:t>IgE</w:t>
            </w:r>
            <w:proofErr w:type="spellEnd"/>
            <w:r w:rsidRPr="000273A4">
              <w:rPr>
                <w:rFonts w:ascii="Arial Narrow" w:hAnsi="Arial Narrow" w:cs="Sabon"/>
                <w:sz w:val="22"/>
                <w:szCs w:val="22"/>
              </w:rPr>
              <w:t>) greater than or equal to 76 IU/ml and assessed in the previous 12 months</w:t>
            </w:r>
          </w:p>
        </w:tc>
        <w:tc>
          <w:tcPr>
            <w:tcW w:w="2897" w:type="pct"/>
          </w:tcPr>
          <w:p w:rsidR="00154D77" w:rsidRPr="000273A4"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Total serum human immunoglobulin E (</w:t>
            </w:r>
            <w:proofErr w:type="spellStart"/>
            <w:r w:rsidRPr="000273A4">
              <w:rPr>
                <w:rFonts w:ascii="Arial Narrow" w:hAnsi="Arial Narrow" w:cs="Sabon"/>
                <w:sz w:val="22"/>
                <w:szCs w:val="22"/>
              </w:rPr>
              <w:t>IgE</w:t>
            </w:r>
            <w:proofErr w:type="spellEnd"/>
            <w:r w:rsidRPr="000273A4">
              <w:rPr>
                <w:rFonts w:ascii="Arial Narrow" w:hAnsi="Arial Narrow" w:cs="Sabon"/>
                <w:sz w:val="22"/>
                <w:szCs w:val="22"/>
              </w:rPr>
              <w:t>) greater than or equal to 30 IU/ml and assessed in the previous 12 months</w:t>
            </w:r>
          </w:p>
        </w:tc>
      </w:tr>
      <w:tr w:rsidR="00154D77" w:rsidRPr="000273A4" w:rsidTr="00991B60">
        <w:trPr>
          <w:cantSplit/>
        </w:trPr>
        <w:tc>
          <w:tcPr>
            <w:tcW w:w="421" w:type="pct"/>
          </w:tcPr>
          <w:p w:rsidR="00154D77" w:rsidRPr="000273A4"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lastRenderedPageBreak/>
              <w:t>1.8</w:t>
            </w:r>
          </w:p>
        </w:tc>
        <w:tc>
          <w:tcPr>
            <w:tcW w:w="1682" w:type="pct"/>
          </w:tcPr>
          <w:p w:rsidR="00154D77" w:rsidRPr="000273A4" w:rsidRDefault="00154D77"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 xml:space="preserve">(g) </w:t>
            </w:r>
            <w:proofErr w:type="gramStart"/>
            <w:r w:rsidRPr="000273A4">
              <w:rPr>
                <w:rFonts w:ascii="Arial Narrow" w:hAnsi="Arial Narrow" w:cs="Sabon"/>
                <w:color w:val="000000"/>
                <w:sz w:val="22"/>
                <w:szCs w:val="22"/>
              </w:rPr>
              <w:t>has</w:t>
            </w:r>
            <w:proofErr w:type="gramEnd"/>
            <w:r w:rsidRPr="000273A4">
              <w:rPr>
                <w:rFonts w:ascii="Arial Narrow" w:hAnsi="Arial Narrow" w:cs="Sabon"/>
                <w:color w:val="000000"/>
                <w:sz w:val="22"/>
                <w:szCs w:val="22"/>
              </w:rPr>
              <w:t xml:space="preserve"> failed to achieve adequate control with optimised asthma therapy, despite formal assessment of and adherence to correct inhaler technique, which has been documented (see NOTE).</w:t>
            </w:r>
          </w:p>
          <w:p w:rsidR="00154D77" w:rsidRPr="000273A4" w:rsidRDefault="00154D77" w:rsidP="00D47104">
            <w:pPr>
              <w:autoSpaceDE w:val="0"/>
              <w:autoSpaceDN w:val="0"/>
              <w:adjustRightInd w:val="0"/>
              <w:rPr>
                <w:rFonts w:ascii="Arial Narrow" w:hAnsi="Arial Narrow" w:cs="Sabon"/>
                <w:color w:val="000000"/>
                <w:sz w:val="22"/>
                <w:szCs w:val="22"/>
              </w:rPr>
            </w:pPr>
          </w:p>
          <w:p w:rsidR="00154D77" w:rsidRDefault="00154D77"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 xml:space="preserve">NOTE: Formal assessment and correction of inhaler technique should be performed in accordance with the National Asthma Council (NAC) Information Paper for Health Professionals on Inhaler Technique (available at </w:t>
            </w:r>
            <w:r w:rsidRPr="000273A4">
              <w:rPr>
                <w:rFonts w:ascii="Arial Narrow" w:hAnsi="Arial Narrow" w:cs="Sabon"/>
                <w:color w:val="0000FF"/>
                <w:sz w:val="22"/>
                <w:szCs w:val="22"/>
              </w:rPr>
              <w:t xml:space="preserve">www.medicareaustralia.gov.au </w:t>
            </w:r>
            <w:r w:rsidRPr="000273A4">
              <w:rPr>
                <w:rFonts w:ascii="Arial Narrow" w:hAnsi="Arial Narrow" w:cs="Sabon"/>
                <w:color w:val="000000"/>
                <w:sz w:val="22"/>
                <w:szCs w:val="22"/>
              </w:rPr>
              <w:t xml:space="preserve">or </w:t>
            </w:r>
            <w:r w:rsidRPr="000273A4">
              <w:rPr>
                <w:rFonts w:ascii="Arial Narrow" w:hAnsi="Arial Narrow" w:cs="Sabon"/>
                <w:color w:val="0000FF"/>
                <w:sz w:val="22"/>
                <w:szCs w:val="22"/>
              </w:rPr>
              <w:t>www.nationalasthma.org.au</w:t>
            </w:r>
            <w:r w:rsidRPr="000273A4">
              <w:rPr>
                <w:rFonts w:ascii="Arial Narrow" w:hAnsi="Arial Narrow" w:cs="Sabon"/>
                <w:color w:val="000000"/>
                <w:sz w:val="22"/>
                <w:szCs w:val="22"/>
              </w:rPr>
              <w:t>); the assessment and adherence to correct technique should be documented in the patient's medical records. Patients can obtain support with inhaler technique through their local Asthma Foundation (1800645130).</w:t>
            </w:r>
          </w:p>
          <w:p w:rsidR="00154D77" w:rsidRPr="000273A4" w:rsidRDefault="00154D77" w:rsidP="00D47104">
            <w:pPr>
              <w:autoSpaceDE w:val="0"/>
              <w:autoSpaceDN w:val="0"/>
              <w:adjustRightInd w:val="0"/>
              <w:rPr>
                <w:rFonts w:ascii="Arial Narrow" w:hAnsi="Arial Narrow" w:cs="Sabon"/>
                <w:color w:val="000000"/>
                <w:sz w:val="22"/>
                <w:szCs w:val="22"/>
              </w:rPr>
            </w:pPr>
          </w:p>
        </w:tc>
        <w:tc>
          <w:tcPr>
            <w:tcW w:w="2897" w:type="pct"/>
          </w:tcPr>
          <w:p w:rsidR="00154D77" w:rsidRPr="000273A4" w:rsidRDefault="00154D77"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 xml:space="preserve">Has failed to achieve adequate control with optimised asthma therapy, despite formal assessment of and adherence to correct inhaler technique, which has been documented (see NOTE). </w:t>
            </w:r>
          </w:p>
          <w:p w:rsidR="00154D77" w:rsidRPr="000273A4" w:rsidRDefault="00154D77" w:rsidP="00D47104">
            <w:pPr>
              <w:autoSpaceDE w:val="0"/>
              <w:autoSpaceDN w:val="0"/>
              <w:adjustRightInd w:val="0"/>
              <w:rPr>
                <w:rFonts w:ascii="Arial Narrow" w:hAnsi="Arial Narrow" w:cs="Sabon"/>
                <w:color w:val="000000"/>
                <w:sz w:val="22"/>
                <w:szCs w:val="22"/>
              </w:rPr>
            </w:pPr>
          </w:p>
          <w:p w:rsidR="00154D77" w:rsidRPr="000273A4" w:rsidRDefault="00154D77" w:rsidP="00D47104">
            <w:pPr>
              <w:autoSpaceDE w:val="0"/>
              <w:autoSpaceDN w:val="0"/>
              <w:adjustRightInd w:val="0"/>
              <w:rPr>
                <w:rFonts w:ascii="Arial Narrow" w:hAnsi="Arial Narrow" w:cs="Sabon"/>
                <w:color w:val="000000"/>
                <w:sz w:val="22"/>
                <w:szCs w:val="22"/>
              </w:rPr>
            </w:pPr>
            <w:r w:rsidRPr="000273A4">
              <w:rPr>
                <w:rFonts w:ascii="Arial Narrow" w:hAnsi="Arial Narrow" w:cs="Sabon"/>
                <w:color w:val="000000"/>
                <w:sz w:val="22"/>
                <w:szCs w:val="22"/>
              </w:rPr>
              <w:t xml:space="preserve">NOTE: Formal assessment and correction of inhaler technique should be performed in accordance with the National Asthma Council (NAC) </w:t>
            </w:r>
            <w:r w:rsidRPr="000273A4">
              <w:rPr>
                <w:rFonts w:ascii="Arial Narrow" w:hAnsi="Arial Narrow" w:cs="Sabon-Italic"/>
                <w:i/>
                <w:iCs/>
                <w:color w:val="000000"/>
                <w:sz w:val="22"/>
                <w:szCs w:val="22"/>
              </w:rPr>
              <w:t>information papers and checklists for</w:t>
            </w:r>
            <w:r w:rsidRPr="000273A4">
              <w:rPr>
                <w:rFonts w:ascii="Arial Narrow" w:hAnsi="Arial Narrow" w:cs="Sabon"/>
                <w:color w:val="000000"/>
                <w:sz w:val="22"/>
                <w:szCs w:val="22"/>
              </w:rPr>
              <w:t xml:space="preserve"> </w:t>
            </w:r>
            <w:r w:rsidRPr="000273A4">
              <w:rPr>
                <w:rFonts w:ascii="Arial Narrow" w:hAnsi="Arial Narrow" w:cs="Sabon-Italic"/>
                <w:i/>
                <w:iCs/>
                <w:color w:val="000000"/>
                <w:sz w:val="22"/>
                <w:szCs w:val="22"/>
              </w:rPr>
              <w:t>health professionals on inhaler</w:t>
            </w:r>
            <w:r w:rsidRPr="000273A4">
              <w:rPr>
                <w:rFonts w:ascii="Arial Narrow" w:hAnsi="Arial Narrow" w:cs="Sabon"/>
                <w:color w:val="000000"/>
                <w:sz w:val="22"/>
                <w:szCs w:val="22"/>
              </w:rPr>
              <w:t xml:space="preserve"> </w:t>
            </w:r>
            <w:r w:rsidRPr="000273A4">
              <w:rPr>
                <w:rFonts w:ascii="Arial Narrow" w:hAnsi="Arial Narrow" w:cs="Sabon-Italic"/>
                <w:i/>
                <w:iCs/>
                <w:color w:val="000000"/>
                <w:sz w:val="22"/>
                <w:szCs w:val="22"/>
              </w:rPr>
              <w:t xml:space="preserve">techniques </w:t>
            </w:r>
            <w:r w:rsidRPr="000273A4">
              <w:rPr>
                <w:rFonts w:ascii="Arial Narrow" w:hAnsi="Arial Narrow" w:cs="Sabon"/>
                <w:color w:val="000000"/>
                <w:sz w:val="22"/>
                <w:szCs w:val="22"/>
              </w:rPr>
              <w:t xml:space="preserve">(available at </w:t>
            </w:r>
            <w:r w:rsidRPr="000273A4">
              <w:rPr>
                <w:rFonts w:ascii="Arial Narrow" w:hAnsi="Arial Narrow" w:cs="Sabon"/>
                <w:color w:val="0000FF"/>
                <w:sz w:val="22"/>
                <w:szCs w:val="22"/>
              </w:rPr>
              <w:t xml:space="preserve">www.medicareaustralia.gov.au </w:t>
            </w:r>
            <w:r w:rsidRPr="000273A4">
              <w:rPr>
                <w:rFonts w:ascii="Arial Narrow" w:hAnsi="Arial Narrow" w:cs="Sabon"/>
                <w:color w:val="000000"/>
                <w:sz w:val="22"/>
                <w:szCs w:val="22"/>
              </w:rPr>
              <w:t xml:space="preserve">or </w:t>
            </w:r>
            <w:r w:rsidRPr="000273A4">
              <w:rPr>
                <w:rFonts w:ascii="Arial Narrow" w:hAnsi="Arial Narrow" w:cs="Sabon"/>
                <w:color w:val="0000FF"/>
                <w:sz w:val="22"/>
                <w:szCs w:val="22"/>
              </w:rPr>
              <w:t>www.nationalasthma.org.au</w:t>
            </w:r>
            <w:r w:rsidRPr="000273A4">
              <w:rPr>
                <w:rFonts w:ascii="Arial Narrow" w:hAnsi="Arial Narrow" w:cs="Sabon"/>
                <w:color w:val="000000"/>
                <w:sz w:val="22"/>
                <w:szCs w:val="22"/>
              </w:rPr>
              <w:t>); the assessment and adherence to correct technique should be documented in the patient's medical records. Patients can obtain support with inhaler technique through their local Asthma Foundation (1800645130).</w:t>
            </w:r>
          </w:p>
        </w:tc>
      </w:tr>
      <w:tr w:rsidR="00154D77" w:rsidRPr="000273A4" w:rsidTr="00991B60">
        <w:trPr>
          <w:cantSplit/>
        </w:trPr>
        <w:tc>
          <w:tcPr>
            <w:tcW w:w="421" w:type="pct"/>
          </w:tcPr>
          <w:p w:rsidR="00154D77" w:rsidRPr="00506038" w:rsidRDefault="00154D77" w:rsidP="00826F6D">
            <w:pPr>
              <w:pStyle w:val="ListParagraph"/>
              <w:ind w:left="0"/>
              <w:jc w:val="both"/>
              <w:rPr>
                <w:rFonts w:ascii="Arial Narrow" w:hAnsi="Arial Narrow"/>
                <w:sz w:val="22"/>
                <w:szCs w:val="22"/>
              </w:rPr>
            </w:pPr>
            <w:r w:rsidRPr="00506038">
              <w:rPr>
                <w:rFonts w:ascii="Arial Narrow" w:hAnsi="Arial Narrow"/>
                <w:sz w:val="22"/>
                <w:szCs w:val="22"/>
              </w:rPr>
              <w:t>1.8b</w:t>
            </w:r>
          </w:p>
        </w:tc>
        <w:tc>
          <w:tcPr>
            <w:tcW w:w="1682" w:type="pct"/>
          </w:tcPr>
          <w:p w:rsidR="00154D77" w:rsidRPr="00506038" w:rsidRDefault="00154D77" w:rsidP="00D47104">
            <w:pPr>
              <w:autoSpaceDE w:val="0"/>
              <w:autoSpaceDN w:val="0"/>
              <w:adjustRightInd w:val="0"/>
              <w:rPr>
                <w:rFonts w:ascii="Arial Narrow" w:hAnsi="Arial Narrow" w:cs="Sabon"/>
                <w:sz w:val="22"/>
                <w:szCs w:val="22"/>
              </w:rPr>
            </w:pPr>
            <w:r w:rsidRPr="00506038">
              <w:rPr>
                <w:rFonts w:ascii="Arial Narrow" w:hAnsi="Arial Narrow" w:cs="Sabon"/>
                <w:sz w:val="22"/>
                <w:szCs w:val="22"/>
              </w:rPr>
              <w:t xml:space="preserve">(g) </w:t>
            </w:r>
            <w:proofErr w:type="gramStart"/>
            <w:r w:rsidRPr="00506038">
              <w:rPr>
                <w:rFonts w:ascii="Arial Narrow" w:hAnsi="Arial Narrow" w:cs="Sabon"/>
                <w:sz w:val="22"/>
                <w:szCs w:val="22"/>
              </w:rPr>
              <w:t>has</w:t>
            </w:r>
            <w:proofErr w:type="gramEnd"/>
            <w:r w:rsidRPr="00506038">
              <w:rPr>
                <w:rFonts w:ascii="Arial Narrow" w:hAnsi="Arial Narrow" w:cs="Sabon"/>
                <w:sz w:val="22"/>
                <w:szCs w:val="22"/>
              </w:rPr>
              <w:t xml:space="preserve"> failed to achieve adequate control with optimised asthma therapy, despite formal assessment of and adherence to correct inhaler technique, which has been documented.</w:t>
            </w:r>
          </w:p>
          <w:p w:rsidR="00154D77" w:rsidRPr="00506038" w:rsidRDefault="00154D77" w:rsidP="00D47104">
            <w:pPr>
              <w:autoSpaceDE w:val="0"/>
              <w:autoSpaceDN w:val="0"/>
              <w:adjustRightInd w:val="0"/>
              <w:rPr>
                <w:rFonts w:ascii="Arial Narrow" w:hAnsi="Arial Narrow" w:cs="Sabon"/>
                <w:sz w:val="22"/>
                <w:szCs w:val="22"/>
              </w:rPr>
            </w:pPr>
            <w:r w:rsidRPr="00506038">
              <w:rPr>
                <w:rFonts w:ascii="Arial Narrow" w:hAnsi="Arial Narrow" w:cs="Sabon"/>
                <w:sz w:val="22"/>
                <w:szCs w:val="22"/>
              </w:rPr>
              <w:t>OAT includes:</w:t>
            </w:r>
          </w:p>
          <w:p w:rsidR="00154D77" w:rsidRPr="00506038" w:rsidRDefault="00154D77" w:rsidP="00D47104">
            <w:pPr>
              <w:autoSpaceDE w:val="0"/>
              <w:autoSpaceDN w:val="0"/>
              <w:adjustRightInd w:val="0"/>
              <w:rPr>
                <w:rFonts w:ascii="Arial Narrow" w:hAnsi="Arial Narrow" w:cs="Sabon"/>
                <w:sz w:val="22"/>
                <w:szCs w:val="22"/>
              </w:rPr>
            </w:pPr>
            <w:r w:rsidRPr="00506038">
              <w:rPr>
                <w:rFonts w:ascii="Arial Narrow" w:hAnsi="Arial Narrow" w:cs="Sabon"/>
                <w:sz w:val="22"/>
                <w:szCs w:val="22"/>
              </w:rPr>
              <w:t>(</w:t>
            </w:r>
            <w:proofErr w:type="spellStart"/>
            <w:r w:rsidRPr="00506038">
              <w:rPr>
                <w:rFonts w:ascii="Arial Narrow" w:hAnsi="Arial Narrow" w:cs="Sabon"/>
                <w:sz w:val="22"/>
                <w:szCs w:val="22"/>
              </w:rPr>
              <w:t>i</w:t>
            </w:r>
            <w:proofErr w:type="spellEnd"/>
            <w:r w:rsidRPr="00506038">
              <w:rPr>
                <w:rFonts w:ascii="Arial Narrow" w:hAnsi="Arial Narrow" w:cs="Sabon"/>
                <w:sz w:val="22"/>
                <w:szCs w:val="22"/>
              </w:rPr>
              <w:t>) adherence to maximal inhaled therapy … AND</w:t>
            </w:r>
          </w:p>
          <w:p w:rsidR="00154D77" w:rsidRPr="00506038" w:rsidRDefault="00154D77" w:rsidP="000273A4">
            <w:pPr>
              <w:autoSpaceDE w:val="0"/>
              <w:autoSpaceDN w:val="0"/>
              <w:adjustRightInd w:val="0"/>
              <w:rPr>
                <w:rFonts w:ascii="Arial Narrow" w:hAnsi="Arial Narrow" w:cs="Sabon"/>
                <w:sz w:val="22"/>
                <w:szCs w:val="22"/>
              </w:rPr>
            </w:pPr>
            <w:r w:rsidRPr="00506038">
              <w:rPr>
                <w:rFonts w:ascii="Arial Narrow" w:hAnsi="Arial Narrow" w:cs="Sabon"/>
                <w:sz w:val="22"/>
                <w:szCs w:val="22"/>
              </w:rPr>
              <w:t xml:space="preserve">(ii) </w:t>
            </w:r>
            <w:proofErr w:type="gramStart"/>
            <w:r w:rsidRPr="00506038">
              <w:rPr>
                <w:rFonts w:ascii="Arial Narrow" w:hAnsi="Arial Narrow" w:cs="Sabon"/>
                <w:sz w:val="22"/>
                <w:szCs w:val="22"/>
              </w:rPr>
              <w:t>oral</w:t>
            </w:r>
            <w:proofErr w:type="gramEnd"/>
            <w:r w:rsidRPr="00506038">
              <w:rPr>
                <w:rFonts w:ascii="Arial Narrow" w:hAnsi="Arial Narrow" w:cs="Sabon"/>
                <w:sz w:val="22"/>
                <w:szCs w:val="22"/>
              </w:rPr>
              <w:t xml:space="preserve"> corticosteroids (at least 10 mg/day prednisolone (or equivalent)) for at least 6 weeks, unless contraindicated or not tolerated.</w:t>
            </w:r>
          </w:p>
        </w:tc>
        <w:tc>
          <w:tcPr>
            <w:tcW w:w="2897" w:type="pct"/>
          </w:tcPr>
          <w:p w:rsidR="00154D77" w:rsidRPr="00506038" w:rsidRDefault="00154D77" w:rsidP="000273A4">
            <w:pPr>
              <w:autoSpaceDE w:val="0"/>
              <w:autoSpaceDN w:val="0"/>
              <w:adjustRightInd w:val="0"/>
              <w:rPr>
                <w:rFonts w:ascii="Arial Narrow" w:hAnsi="Arial Narrow" w:cs="Sabon"/>
                <w:sz w:val="22"/>
                <w:szCs w:val="22"/>
              </w:rPr>
            </w:pPr>
            <w:r w:rsidRPr="00506038">
              <w:rPr>
                <w:rFonts w:ascii="Arial Narrow" w:hAnsi="Arial Narrow" w:cs="Sabon"/>
                <w:sz w:val="22"/>
                <w:szCs w:val="22"/>
              </w:rPr>
              <w:t>Has failed to achieve adequate control with optimised asthma therapy, despite formal assessment of and adherence to correct inhaler technique, which has been documented.</w:t>
            </w:r>
          </w:p>
          <w:p w:rsidR="00154D77" w:rsidRPr="00506038" w:rsidRDefault="00154D77" w:rsidP="000273A4">
            <w:pPr>
              <w:autoSpaceDE w:val="0"/>
              <w:autoSpaceDN w:val="0"/>
              <w:adjustRightInd w:val="0"/>
              <w:rPr>
                <w:rFonts w:ascii="Arial Narrow" w:hAnsi="Arial Narrow" w:cs="Sabon"/>
                <w:sz w:val="22"/>
                <w:szCs w:val="22"/>
              </w:rPr>
            </w:pPr>
            <w:r w:rsidRPr="00506038">
              <w:rPr>
                <w:rFonts w:ascii="Arial Narrow" w:hAnsi="Arial Narrow" w:cs="Sabon"/>
                <w:sz w:val="22"/>
                <w:szCs w:val="22"/>
              </w:rPr>
              <w:t>OAT includes:</w:t>
            </w:r>
          </w:p>
          <w:p w:rsidR="00154D77" w:rsidRPr="00506038" w:rsidRDefault="00154D77" w:rsidP="000273A4">
            <w:pPr>
              <w:autoSpaceDE w:val="0"/>
              <w:autoSpaceDN w:val="0"/>
              <w:adjustRightInd w:val="0"/>
              <w:rPr>
                <w:rFonts w:ascii="Arial Narrow" w:hAnsi="Arial Narrow" w:cs="Sabon"/>
                <w:color w:val="000000"/>
                <w:sz w:val="22"/>
                <w:szCs w:val="22"/>
              </w:rPr>
            </w:pPr>
            <w:r w:rsidRPr="00506038">
              <w:rPr>
                <w:rFonts w:ascii="Arial Narrow" w:hAnsi="Arial Narrow" w:cs="Sabon"/>
                <w:sz w:val="22"/>
                <w:szCs w:val="22"/>
              </w:rPr>
              <w:t>(</w:t>
            </w:r>
            <w:proofErr w:type="spellStart"/>
            <w:r w:rsidRPr="00506038">
              <w:rPr>
                <w:rFonts w:ascii="Arial Narrow" w:hAnsi="Arial Narrow" w:cs="Sabon"/>
                <w:sz w:val="22"/>
                <w:szCs w:val="22"/>
              </w:rPr>
              <w:t>i</w:t>
            </w:r>
            <w:proofErr w:type="spellEnd"/>
            <w:r w:rsidRPr="00506038">
              <w:rPr>
                <w:rFonts w:ascii="Arial Narrow" w:hAnsi="Arial Narrow" w:cs="Sabon"/>
                <w:sz w:val="22"/>
                <w:szCs w:val="22"/>
              </w:rPr>
              <w:t xml:space="preserve">) adherence to maximal inhaled </w:t>
            </w:r>
            <w:r w:rsidRPr="00506038">
              <w:rPr>
                <w:rFonts w:ascii="Arial Narrow" w:hAnsi="Arial Narrow" w:cs="Sabon"/>
                <w:color w:val="000000"/>
                <w:sz w:val="22"/>
                <w:szCs w:val="22"/>
              </w:rPr>
              <w:t>therapy … AND</w:t>
            </w:r>
          </w:p>
          <w:p w:rsidR="00154D77" w:rsidRPr="00506038" w:rsidRDefault="00154D77" w:rsidP="000273A4">
            <w:pPr>
              <w:autoSpaceDE w:val="0"/>
              <w:autoSpaceDN w:val="0"/>
              <w:adjustRightInd w:val="0"/>
              <w:rPr>
                <w:rFonts w:ascii="Arial Narrow" w:hAnsi="Arial Narrow" w:cs="Sabon"/>
                <w:color w:val="000000"/>
                <w:sz w:val="22"/>
                <w:szCs w:val="22"/>
              </w:rPr>
            </w:pPr>
            <w:r w:rsidRPr="00506038">
              <w:rPr>
                <w:rFonts w:ascii="Arial Narrow" w:hAnsi="Arial Narrow" w:cs="Sabon"/>
                <w:color w:val="000000"/>
                <w:sz w:val="22"/>
                <w:szCs w:val="22"/>
              </w:rPr>
              <w:t>(ii) treatment with oral corticosteroids, either:</w:t>
            </w:r>
          </w:p>
          <w:p w:rsidR="00154D77" w:rsidRPr="00506038" w:rsidRDefault="00154D77" w:rsidP="000273A4">
            <w:pPr>
              <w:pStyle w:val="ListParagraph"/>
              <w:numPr>
                <w:ilvl w:val="0"/>
                <w:numId w:val="42"/>
              </w:numPr>
              <w:autoSpaceDE w:val="0"/>
              <w:autoSpaceDN w:val="0"/>
              <w:adjustRightInd w:val="0"/>
              <w:ind w:left="484" w:hanging="283"/>
              <w:rPr>
                <w:rFonts w:ascii="Arial Narrow" w:hAnsi="Arial Narrow" w:cs="Sabon"/>
                <w:color w:val="000000"/>
                <w:sz w:val="22"/>
                <w:szCs w:val="22"/>
              </w:rPr>
            </w:pPr>
            <w:r w:rsidRPr="00506038">
              <w:rPr>
                <w:rFonts w:ascii="Arial Narrow" w:hAnsi="Arial Narrow" w:cs="Sabon"/>
                <w:color w:val="000000"/>
                <w:sz w:val="22"/>
                <w:szCs w:val="22"/>
              </w:rPr>
              <w:t>daily oral corticosteroids for at least 6 weeks</w:t>
            </w:r>
            <w:r w:rsidRPr="00506038">
              <w:rPr>
                <w:rFonts w:ascii="Arial Narrow" w:hAnsi="Arial Narrow" w:cs="Sabon"/>
                <w:color w:val="000000"/>
                <w:sz w:val="22"/>
                <w:szCs w:val="22"/>
              </w:rPr>
              <w:br/>
              <w:t xml:space="preserve">[option to include the statement: </w:t>
            </w:r>
            <w:r w:rsidRPr="00506038">
              <w:rPr>
                <w:rFonts w:ascii="Arial Narrow" w:hAnsi="Arial Narrow" w:cs="Sabon-Italic"/>
                <w:i/>
                <w:iCs/>
                <w:color w:val="000000"/>
                <w:sz w:val="22"/>
                <w:szCs w:val="22"/>
              </w:rPr>
              <w:t xml:space="preserve">recommended dose is </w:t>
            </w:r>
            <w:r w:rsidRPr="00506038">
              <w:rPr>
                <w:rFonts w:ascii="Arial Narrow" w:eastAsia="SymbolMT" w:hAnsi="Arial Narrow" w:cs="SymbolMT"/>
                <w:color w:val="000000"/>
                <w:sz w:val="23"/>
                <w:szCs w:val="23"/>
              </w:rPr>
              <w:t>≤</w:t>
            </w:r>
            <w:r w:rsidRPr="00506038">
              <w:rPr>
                <w:rFonts w:ascii="Arial Narrow" w:hAnsi="Arial Narrow" w:cs="Sabon-Italic"/>
                <w:i/>
                <w:iCs/>
                <w:color w:val="000000"/>
                <w:sz w:val="22"/>
                <w:szCs w:val="22"/>
              </w:rPr>
              <w:t>7.5mg/day</w:t>
            </w:r>
            <w:r w:rsidRPr="00506038">
              <w:rPr>
                <w:rFonts w:ascii="Arial Narrow" w:hAnsi="Arial Narrow" w:cs="Sabon"/>
                <w:color w:val="000000"/>
                <w:sz w:val="22"/>
                <w:szCs w:val="22"/>
              </w:rPr>
              <w:t xml:space="preserve"> </w:t>
            </w:r>
            <w:r w:rsidRPr="00506038">
              <w:rPr>
                <w:rFonts w:ascii="Arial Narrow" w:hAnsi="Arial Narrow" w:cs="Sabon-Italic"/>
                <w:i/>
                <w:iCs/>
                <w:color w:val="000000"/>
                <w:sz w:val="22"/>
                <w:szCs w:val="22"/>
              </w:rPr>
              <w:t>prednisolone equivalent</w:t>
            </w:r>
            <w:r w:rsidRPr="00506038">
              <w:rPr>
                <w:rFonts w:ascii="Arial Narrow" w:hAnsi="Arial Narrow" w:cs="Sabon"/>
                <w:color w:val="000000"/>
                <w:sz w:val="22"/>
                <w:szCs w:val="22"/>
              </w:rPr>
              <w:t xml:space="preserve"> (</w:t>
            </w:r>
            <w:r w:rsidRPr="00DA0274">
              <w:rPr>
                <w:rFonts w:ascii="Arial Narrow" w:hAnsi="Arial Narrow" w:cs="Sabon"/>
                <w:sz w:val="22"/>
                <w:szCs w:val="22"/>
              </w:rPr>
              <w:t>http://www.ginasthma.org</w:t>
            </w:r>
            <w:r w:rsidRPr="00506038">
              <w:rPr>
                <w:rFonts w:ascii="Arial Narrow" w:hAnsi="Arial Narrow" w:cs="Sabon"/>
                <w:color w:val="000000"/>
                <w:sz w:val="22"/>
                <w:szCs w:val="22"/>
              </w:rPr>
              <w:t xml:space="preserve">], unless contraindicated or not tolerated </w:t>
            </w:r>
          </w:p>
          <w:p w:rsidR="00154D77" w:rsidRPr="00506038" w:rsidRDefault="00154D77" w:rsidP="000273A4">
            <w:pPr>
              <w:autoSpaceDE w:val="0"/>
              <w:autoSpaceDN w:val="0"/>
              <w:adjustRightInd w:val="0"/>
              <w:rPr>
                <w:rFonts w:ascii="Arial Narrow" w:hAnsi="Arial Narrow" w:cs="Sabon"/>
                <w:color w:val="000000"/>
                <w:sz w:val="22"/>
                <w:szCs w:val="22"/>
              </w:rPr>
            </w:pPr>
            <w:r w:rsidRPr="00506038">
              <w:rPr>
                <w:rFonts w:ascii="Arial Narrow" w:hAnsi="Arial Narrow" w:cs="Sabon"/>
                <w:color w:val="000000"/>
                <w:sz w:val="22"/>
                <w:szCs w:val="22"/>
              </w:rPr>
              <w:t>OR</w:t>
            </w:r>
          </w:p>
          <w:p w:rsidR="00154D77" w:rsidRPr="00506038" w:rsidRDefault="00154D77" w:rsidP="000273A4">
            <w:pPr>
              <w:pStyle w:val="ListParagraph"/>
              <w:numPr>
                <w:ilvl w:val="0"/>
                <w:numId w:val="42"/>
              </w:numPr>
              <w:autoSpaceDE w:val="0"/>
              <w:autoSpaceDN w:val="0"/>
              <w:adjustRightInd w:val="0"/>
              <w:ind w:left="484" w:hanging="283"/>
              <w:rPr>
                <w:rFonts w:ascii="Arial Narrow" w:hAnsi="Arial Narrow" w:cs="Sabon"/>
                <w:color w:val="000000"/>
                <w:sz w:val="22"/>
                <w:szCs w:val="22"/>
              </w:rPr>
            </w:pPr>
            <w:proofErr w:type="gramStart"/>
            <w:r w:rsidRPr="00506038">
              <w:rPr>
                <w:rFonts w:ascii="Arial Narrow" w:hAnsi="Arial Narrow" w:cs="Sabon"/>
                <w:color w:val="000000"/>
                <w:sz w:val="22"/>
                <w:szCs w:val="22"/>
              </w:rPr>
              <w:t>a</w:t>
            </w:r>
            <w:proofErr w:type="gramEnd"/>
            <w:r w:rsidRPr="00506038">
              <w:rPr>
                <w:rFonts w:ascii="Arial Narrow" w:hAnsi="Arial Narrow" w:cs="Sabon"/>
                <w:color w:val="000000"/>
                <w:sz w:val="22"/>
                <w:szCs w:val="22"/>
              </w:rPr>
              <w:t xml:space="preserve"> cumulative dose of oral corticosteroids of at least 500mg prednisolone equivalent in the previous 12 months.</w:t>
            </w:r>
          </w:p>
          <w:p w:rsidR="00154D77" w:rsidRPr="00506038" w:rsidRDefault="00154D77" w:rsidP="000273A4">
            <w:pPr>
              <w:autoSpaceDE w:val="0"/>
              <w:autoSpaceDN w:val="0"/>
              <w:adjustRightInd w:val="0"/>
              <w:rPr>
                <w:rFonts w:ascii="Arial Narrow" w:hAnsi="Arial Narrow" w:cs="Sabon"/>
                <w:color w:val="000000"/>
                <w:sz w:val="22"/>
                <w:szCs w:val="22"/>
              </w:rPr>
            </w:pPr>
          </w:p>
          <w:p w:rsidR="00154D77" w:rsidRPr="00506038" w:rsidRDefault="00154D77" w:rsidP="000273A4">
            <w:pPr>
              <w:autoSpaceDE w:val="0"/>
              <w:autoSpaceDN w:val="0"/>
              <w:adjustRightInd w:val="0"/>
              <w:rPr>
                <w:rFonts w:ascii="Arial Narrow" w:hAnsi="Arial Narrow" w:cs="Sabon"/>
                <w:color w:val="000000"/>
                <w:sz w:val="22"/>
                <w:szCs w:val="22"/>
              </w:rPr>
            </w:pPr>
            <w:r w:rsidRPr="00506038">
              <w:rPr>
                <w:rFonts w:ascii="Arial Narrow" w:hAnsi="Arial Narrow" w:cs="Sabon"/>
                <w:color w:val="000000"/>
                <w:sz w:val="22"/>
                <w:szCs w:val="22"/>
              </w:rPr>
              <w:t>Amendment of the Medicare application</w:t>
            </w:r>
          </w:p>
          <w:p w:rsidR="00154D77" w:rsidRPr="006045A5" w:rsidRDefault="00154D77" w:rsidP="000273A4">
            <w:pPr>
              <w:pStyle w:val="ListParagraph"/>
              <w:ind w:left="0"/>
              <w:jc w:val="both"/>
              <w:rPr>
                <w:rFonts w:ascii="Arial Narrow" w:hAnsi="Arial Narrow"/>
                <w:sz w:val="22"/>
                <w:szCs w:val="22"/>
                <w:highlight w:val="yellow"/>
              </w:rPr>
            </w:pPr>
            <w:r w:rsidRPr="00506038">
              <w:rPr>
                <w:rFonts w:ascii="Arial Narrow" w:hAnsi="Arial Narrow" w:cs="Sabon"/>
                <w:color w:val="000000"/>
                <w:sz w:val="22"/>
                <w:szCs w:val="22"/>
              </w:rPr>
              <w:t>form to allow for the OR criteria</w:t>
            </w:r>
          </w:p>
        </w:tc>
      </w:tr>
    </w:tbl>
    <w:p w:rsidR="009D0C15" w:rsidRDefault="009D0C15">
      <w:r>
        <w:br w:type="page"/>
      </w:r>
    </w:p>
    <w:tbl>
      <w:tblPr>
        <w:tblStyle w:val="TableGrid"/>
        <w:tblW w:w="4558" w:type="pct"/>
        <w:tblInd w:w="817" w:type="dxa"/>
        <w:tblLayout w:type="fixed"/>
        <w:tblLook w:val="04A0" w:firstRow="1" w:lastRow="0" w:firstColumn="1" w:lastColumn="0" w:noHBand="0" w:noVBand="1"/>
      </w:tblPr>
      <w:tblGrid>
        <w:gridCol w:w="710"/>
        <w:gridCol w:w="2834"/>
        <w:gridCol w:w="4881"/>
      </w:tblGrid>
      <w:tr w:rsidR="00154D77" w:rsidRPr="000273A4" w:rsidTr="00991B60">
        <w:trPr>
          <w:cantSplit/>
        </w:trPr>
        <w:tc>
          <w:tcPr>
            <w:tcW w:w="421" w:type="pct"/>
          </w:tcPr>
          <w:p w:rsidR="00154D77" w:rsidRPr="00506038"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lastRenderedPageBreak/>
              <w:t>2</w:t>
            </w:r>
          </w:p>
        </w:tc>
        <w:tc>
          <w:tcPr>
            <w:tcW w:w="4579" w:type="pct"/>
            <w:gridSpan w:val="2"/>
          </w:tcPr>
          <w:p w:rsidR="00154D77" w:rsidRPr="00506038" w:rsidRDefault="00154D77" w:rsidP="000273A4">
            <w:pPr>
              <w:autoSpaceDE w:val="0"/>
              <w:autoSpaceDN w:val="0"/>
              <w:adjustRightInd w:val="0"/>
              <w:rPr>
                <w:rFonts w:ascii="Arial Narrow" w:hAnsi="Arial Narrow" w:cs="Sabon"/>
                <w:sz w:val="22"/>
                <w:szCs w:val="22"/>
              </w:rPr>
            </w:pPr>
            <w:r w:rsidRPr="000273A4">
              <w:rPr>
                <w:rFonts w:ascii="Arial Narrow" w:hAnsi="Arial Narrow" w:cs="Sabon-Bold"/>
                <w:b/>
                <w:bCs/>
                <w:sz w:val="22"/>
                <w:szCs w:val="22"/>
              </w:rPr>
              <w:t>ELIGIBILITY CRITERIA – failure to achieve adequate control</w:t>
            </w:r>
          </w:p>
        </w:tc>
      </w:tr>
      <w:tr w:rsidR="00154D77" w:rsidRPr="000273A4" w:rsidTr="00991B60">
        <w:trPr>
          <w:cantSplit/>
        </w:trPr>
        <w:tc>
          <w:tcPr>
            <w:tcW w:w="421" w:type="pct"/>
            <w:tcBorders>
              <w:bottom w:val="single" w:sz="4" w:space="0" w:color="auto"/>
            </w:tcBorders>
          </w:tcPr>
          <w:p w:rsidR="00154D77" w:rsidRPr="00506038" w:rsidRDefault="00154D77" w:rsidP="00826F6D">
            <w:pPr>
              <w:pStyle w:val="ListParagraph"/>
              <w:ind w:left="0"/>
              <w:jc w:val="both"/>
              <w:rPr>
                <w:rFonts w:ascii="Arial Narrow" w:hAnsi="Arial Narrow"/>
                <w:sz w:val="22"/>
                <w:szCs w:val="22"/>
              </w:rPr>
            </w:pPr>
            <w:r w:rsidRPr="000273A4">
              <w:rPr>
                <w:rFonts w:ascii="Arial Narrow" w:hAnsi="Arial Narrow"/>
                <w:sz w:val="22"/>
                <w:szCs w:val="22"/>
              </w:rPr>
              <w:t>2.1</w:t>
            </w:r>
          </w:p>
        </w:tc>
        <w:tc>
          <w:tcPr>
            <w:tcW w:w="1682"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Failure to achieve adequate control as demonstrated by:</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 an Asthma Control Questionnaire (ACQ-5) score of at least 2.0, as assessed in the previous month,</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AND</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(b) while on oral corticosteroids and in the past 12 months experienced at least: 1 admission to hospital for a severe asthma exacerbation,</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OR</w:t>
            </w:r>
          </w:p>
          <w:p w:rsidR="00154D77" w:rsidRPr="00506038" w:rsidRDefault="00154D77" w:rsidP="00D47104">
            <w:pPr>
              <w:autoSpaceDE w:val="0"/>
              <w:autoSpaceDN w:val="0"/>
              <w:adjustRightInd w:val="0"/>
              <w:rPr>
                <w:rFonts w:ascii="Arial Narrow" w:hAnsi="Arial Narrow" w:cs="Sabon"/>
                <w:sz w:val="22"/>
                <w:szCs w:val="22"/>
              </w:rPr>
            </w:pPr>
            <w:r w:rsidRPr="000273A4">
              <w:rPr>
                <w:rFonts w:ascii="Arial Narrow" w:hAnsi="Arial Narrow" w:cs="Sabon"/>
                <w:sz w:val="22"/>
                <w:szCs w:val="22"/>
              </w:rPr>
              <w:t>1 severe asthma exacerbation, requiring documented use of systemic corticosteroids (oral corticosteroids initiated or increased for at least 3 days, or parenteral corticosteroids) prescribed/supervised by a physician.</w:t>
            </w:r>
          </w:p>
        </w:tc>
        <w:tc>
          <w:tcPr>
            <w:tcW w:w="2897"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Failure to achieve adequate control as demonstrated by:</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 an Asthma Control Questionnaire (ACQ-5) score of at least 2.0, as assessed in the previous month,</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AND</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b) </w:t>
            </w:r>
            <w:r w:rsidRPr="006045A5">
              <w:rPr>
                <w:rFonts w:ascii="Arial Narrow" w:hAnsi="Arial Narrow" w:cs="Sabon"/>
                <w:i/>
                <w:sz w:val="22"/>
                <w:szCs w:val="22"/>
              </w:rPr>
              <w:t xml:space="preserve">despite continuous or frequent treatment with </w:t>
            </w:r>
            <w:r w:rsidRPr="000273A4">
              <w:rPr>
                <w:rFonts w:ascii="Arial Narrow" w:hAnsi="Arial Narrow" w:cs="Sabon"/>
                <w:sz w:val="22"/>
                <w:szCs w:val="22"/>
              </w:rPr>
              <w:t>oral corticosteroids, experienced in the past 12 months at least:</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1 admission to hospital for a severe asthma exacerbation,</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OR</w:t>
            </w: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1 severe asthma exacerbation, requiring documented use of systemic corticosteroids (oral corticosteroids initiated or increased for at least 3 days, or parenteral corticosteroids) prescribed/supervised by a physician.</w:t>
            </w:r>
          </w:p>
          <w:p w:rsidR="00154D77" w:rsidRPr="000273A4" w:rsidRDefault="00154D77" w:rsidP="00154D77">
            <w:pPr>
              <w:autoSpaceDE w:val="0"/>
              <w:autoSpaceDN w:val="0"/>
              <w:adjustRightInd w:val="0"/>
              <w:rPr>
                <w:rFonts w:ascii="Arial Narrow" w:hAnsi="Arial Narrow" w:cs="Sabon"/>
                <w:sz w:val="22"/>
                <w:szCs w:val="22"/>
              </w:rPr>
            </w:pPr>
          </w:p>
          <w:p w:rsidR="00154D77"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At Medicare level – remove the need for the exacerbation date to match the OCS dates</w:t>
            </w:r>
          </w:p>
          <w:p w:rsidR="00154D77" w:rsidRPr="00506038" w:rsidRDefault="00154D77" w:rsidP="000273A4">
            <w:pPr>
              <w:autoSpaceDE w:val="0"/>
              <w:autoSpaceDN w:val="0"/>
              <w:adjustRightInd w:val="0"/>
              <w:rPr>
                <w:rFonts w:ascii="Arial Narrow" w:hAnsi="Arial Narrow" w:cs="Sabon"/>
                <w:sz w:val="22"/>
                <w:szCs w:val="22"/>
              </w:rPr>
            </w:pPr>
          </w:p>
        </w:tc>
      </w:tr>
      <w:tr w:rsidR="00154D77" w:rsidRPr="000273A4" w:rsidTr="00991B60">
        <w:trPr>
          <w:cantSplit/>
        </w:trPr>
        <w:tc>
          <w:tcPr>
            <w:tcW w:w="421" w:type="pct"/>
            <w:tcBorders>
              <w:bottom w:val="nil"/>
            </w:tcBorders>
          </w:tcPr>
          <w:p w:rsidR="00154D77" w:rsidRPr="000273A4" w:rsidRDefault="00154D77" w:rsidP="00826F6D">
            <w:pPr>
              <w:pStyle w:val="ListParagraph"/>
              <w:ind w:left="0"/>
              <w:jc w:val="both"/>
              <w:rPr>
                <w:rFonts w:ascii="Arial Narrow" w:hAnsi="Arial Narrow"/>
                <w:sz w:val="22"/>
                <w:szCs w:val="22"/>
              </w:rPr>
            </w:pPr>
            <w:r>
              <w:rPr>
                <w:rFonts w:ascii="Arial Narrow" w:hAnsi="Arial Narrow"/>
                <w:sz w:val="22"/>
                <w:szCs w:val="22"/>
              </w:rPr>
              <w:t>3</w:t>
            </w:r>
          </w:p>
        </w:tc>
        <w:tc>
          <w:tcPr>
            <w:tcW w:w="4579" w:type="pct"/>
            <w:gridSpan w:val="2"/>
          </w:tcPr>
          <w:p w:rsidR="00154D77" w:rsidRPr="000273A4" w:rsidRDefault="00154D77" w:rsidP="008D2AEB">
            <w:pPr>
              <w:autoSpaceDE w:val="0"/>
              <w:autoSpaceDN w:val="0"/>
              <w:adjustRightInd w:val="0"/>
              <w:rPr>
                <w:rFonts w:ascii="Arial Narrow" w:hAnsi="Arial Narrow" w:cs="Sabon"/>
                <w:sz w:val="22"/>
                <w:szCs w:val="22"/>
              </w:rPr>
            </w:pPr>
            <w:r>
              <w:rPr>
                <w:rFonts w:ascii="Arial Narrow" w:hAnsi="Arial Narrow" w:cs="Sabon-Bold"/>
                <w:b/>
                <w:bCs/>
                <w:sz w:val="22"/>
                <w:szCs w:val="22"/>
              </w:rPr>
              <w:t>RESPONSE</w:t>
            </w:r>
            <w:r w:rsidRPr="000273A4">
              <w:rPr>
                <w:rFonts w:ascii="Arial Narrow" w:hAnsi="Arial Narrow" w:cs="Sabon-Bold"/>
                <w:b/>
                <w:bCs/>
                <w:sz w:val="22"/>
                <w:szCs w:val="22"/>
              </w:rPr>
              <w:t xml:space="preserve"> CRITERIA </w:t>
            </w:r>
          </w:p>
        </w:tc>
      </w:tr>
      <w:tr w:rsidR="00154D77" w:rsidRPr="000273A4" w:rsidTr="00991B60">
        <w:trPr>
          <w:cantSplit/>
        </w:trPr>
        <w:tc>
          <w:tcPr>
            <w:tcW w:w="421" w:type="pct"/>
            <w:tcBorders>
              <w:top w:val="nil"/>
              <w:bottom w:val="nil"/>
            </w:tcBorders>
          </w:tcPr>
          <w:p w:rsidR="00154D77" w:rsidRPr="000273A4" w:rsidRDefault="00154D77" w:rsidP="00826F6D">
            <w:pPr>
              <w:pStyle w:val="ListParagraph"/>
              <w:ind w:left="0"/>
              <w:jc w:val="both"/>
              <w:rPr>
                <w:rFonts w:ascii="Arial Narrow" w:hAnsi="Arial Narrow"/>
                <w:sz w:val="22"/>
                <w:szCs w:val="22"/>
              </w:rPr>
            </w:pPr>
          </w:p>
        </w:tc>
        <w:tc>
          <w:tcPr>
            <w:tcW w:w="1682"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Administrative requirement to assess the patient for response within a 2 week window</w:t>
            </w:r>
          </w:p>
        </w:tc>
        <w:tc>
          <w:tcPr>
            <w:tcW w:w="2897"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A longer window of 4 weeks for assessment of response is requested: weeks 22-26 for initial response and weeks 18-22 for continuation response.</w:t>
            </w:r>
          </w:p>
        </w:tc>
      </w:tr>
      <w:tr w:rsidR="00154D77" w:rsidRPr="000273A4" w:rsidTr="00991B60">
        <w:trPr>
          <w:cantSplit/>
        </w:trPr>
        <w:tc>
          <w:tcPr>
            <w:tcW w:w="421" w:type="pct"/>
            <w:tcBorders>
              <w:top w:val="nil"/>
            </w:tcBorders>
          </w:tcPr>
          <w:p w:rsidR="00154D77" w:rsidRPr="000273A4" w:rsidRDefault="00154D77" w:rsidP="00826F6D">
            <w:pPr>
              <w:pStyle w:val="ListParagraph"/>
              <w:ind w:left="0"/>
              <w:jc w:val="both"/>
              <w:rPr>
                <w:rFonts w:ascii="Arial Narrow" w:hAnsi="Arial Narrow"/>
                <w:sz w:val="22"/>
                <w:szCs w:val="22"/>
              </w:rPr>
            </w:pPr>
          </w:p>
        </w:tc>
        <w:tc>
          <w:tcPr>
            <w:tcW w:w="1682"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Continuing patients are required to have an assessment of response every 20 to 22 weeks and based on this are authorised to receive 24 weeks of </w:t>
            </w:r>
            <w:proofErr w:type="spellStart"/>
            <w:r w:rsidRPr="000273A4">
              <w:rPr>
                <w:rFonts w:ascii="Arial Narrow" w:hAnsi="Arial Narrow" w:cs="Sabon"/>
                <w:sz w:val="22"/>
                <w:szCs w:val="22"/>
              </w:rPr>
              <w:t>omalizumab</w:t>
            </w:r>
            <w:proofErr w:type="spellEnd"/>
            <w:r w:rsidRPr="000273A4">
              <w:rPr>
                <w:rFonts w:ascii="Arial Narrow" w:hAnsi="Arial Narrow" w:cs="Sabon"/>
                <w:sz w:val="22"/>
                <w:szCs w:val="22"/>
              </w:rPr>
              <w:t>. Thus a written application needs to be completed every 5 months.</w:t>
            </w:r>
          </w:p>
        </w:tc>
        <w:tc>
          <w:tcPr>
            <w:tcW w:w="2897" w:type="pct"/>
          </w:tcPr>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It is proposed that the criteria for </w:t>
            </w:r>
            <w:proofErr w:type="gramStart"/>
            <w:r w:rsidRPr="000273A4">
              <w:rPr>
                <w:rFonts w:ascii="Arial Narrow" w:hAnsi="Arial Narrow" w:cs="Sabon"/>
                <w:sz w:val="22"/>
                <w:szCs w:val="22"/>
              </w:rPr>
              <w:t>assessment of response remain</w:t>
            </w:r>
            <w:proofErr w:type="gramEnd"/>
            <w:r w:rsidRPr="000273A4">
              <w:rPr>
                <w:rFonts w:ascii="Arial Narrow" w:hAnsi="Arial Narrow" w:cs="Sabon"/>
                <w:sz w:val="22"/>
                <w:szCs w:val="22"/>
              </w:rPr>
              <w:t xml:space="preserve"> unchanged, but that administrative burden of written authorities is removed once a patient has clearly and consistently demonstrated response to </w:t>
            </w:r>
            <w:proofErr w:type="spellStart"/>
            <w:r w:rsidRPr="000273A4">
              <w:rPr>
                <w:rFonts w:ascii="Arial Narrow" w:hAnsi="Arial Narrow" w:cs="Sabon"/>
                <w:sz w:val="22"/>
                <w:szCs w:val="22"/>
              </w:rPr>
              <w:t>omalizumab</w:t>
            </w:r>
            <w:proofErr w:type="spellEnd"/>
            <w:r w:rsidRPr="000273A4">
              <w:rPr>
                <w:rFonts w:ascii="Arial Narrow" w:hAnsi="Arial Narrow" w:cs="Sabon"/>
                <w:sz w:val="22"/>
                <w:szCs w:val="22"/>
              </w:rPr>
              <w:t>.</w:t>
            </w:r>
          </w:p>
          <w:p w:rsidR="00154D77" w:rsidRPr="000273A4" w:rsidRDefault="00154D77" w:rsidP="00154D77">
            <w:pPr>
              <w:autoSpaceDE w:val="0"/>
              <w:autoSpaceDN w:val="0"/>
              <w:adjustRightInd w:val="0"/>
              <w:rPr>
                <w:rFonts w:ascii="Arial Narrow" w:hAnsi="Arial Narrow" w:cs="Sabon"/>
                <w:sz w:val="22"/>
                <w:szCs w:val="22"/>
              </w:rPr>
            </w:pPr>
          </w:p>
          <w:p w:rsidR="00154D77" w:rsidRPr="000273A4" w:rsidRDefault="00154D77" w:rsidP="00154D77">
            <w:pPr>
              <w:autoSpaceDE w:val="0"/>
              <w:autoSpaceDN w:val="0"/>
              <w:adjustRightInd w:val="0"/>
              <w:rPr>
                <w:rFonts w:ascii="Arial Narrow" w:hAnsi="Arial Narrow" w:cs="Sabon"/>
                <w:sz w:val="22"/>
                <w:szCs w:val="22"/>
              </w:rPr>
            </w:pPr>
            <w:r w:rsidRPr="000273A4">
              <w:rPr>
                <w:rFonts w:ascii="Arial Narrow" w:hAnsi="Arial Narrow" w:cs="Sabon"/>
                <w:sz w:val="22"/>
                <w:szCs w:val="22"/>
              </w:rPr>
              <w:t xml:space="preserve">Request consideration of allowing transition from a written authority for all approvals to a streamlined (public hospital) and phone authority (private hospital) approval process for patients who have maintained their response to </w:t>
            </w:r>
            <w:proofErr w:type="spellStart"/>
            <w:r w:rsidRPr="000273A4">
              <w:rPr>
                <w:rFonts w:ascii="Arial Narrow" w:hAnsi="Arial Narrow" w:cs="Sabon"/>
                <w:sz w:val="22"/>
                <w:szCs w:val="22"/>
              </w:rPr>
              <w:t>omalizumab</w:t>
            </w:r>
            <w:proofErr w:type="spellEnd"/>
            <w:r w:rsidRPr="000273A4">
              <w:rPr>
                <w:rFonts w:ascii="Arial Narrow" w:hAnsi="Arial Narrow" w:cs="Sabon"/>
                <w:sz w:val="22"/>
                <w:szCs w:val="22"/>
              </w:rPr>
              <w:t xml:space="preserve"> for at least 2 years.</w:t>
            </w:r>
          </w:p>
        </w:tc>
      </w:tr>
    </w:tbl>
    <w:p w:rsidR="00154D77" w:rsidRDefault="00154D77"/>
    <w:p w:rsidR="005924BA" w:rsidRDefault="00635E2A" w:rsidP="005924BA">
      <w:pPr>
        <w:pStyle w:val="ListParagraph"/>
        <w:jc w:val="both"/>
        <w:rPr>
          <w:rFonts w:ascii="Arial" w:hAnsi="Arial"/>
          <w:i/>
          <w:sz w:val="22"/>
          <w:szCs w:val="22"/>
        </w:rPr>
      </w:pPr>
      <w:r w:rsidRPr="006A023D">
        <w:rPr>
          <w:rFonts w:ascii="Arial" w:hAnsi="Arial"/>
          <w:i/>
          <w:sz w:val="22"/>
          <w:szCs w:val="22"/>
        </w:rPr>
        <w:t xml:space="preserve">For more detail on PBAC’s view, see section </w:t>
      </w:r>
      <w:r>
        <w:rPr>
          <w:rFonts w:ascii="Arial" w:hAnsi="Arial"/>
          <w:i/>
          <w:sz w:val="22"/>
          <w:szCs w:val="22"/>
        </w:rPr>
        <w:t>5</w:t>
      </w:r>
      <w:r w:rsidRPr="006A023D">
        <w:rPr>
          <w:rFonts w:ascii="Arial" w:hAnsi="Arial"/>
          <w:i/>
          <w:sz w:val="22"/>
          <w:szCs w:val="22"/>
        </w:rPr>
        <w:t xml:space="preserve"> “PBAC outcome”</w:t>
      </w:r>
    </w:p>
    <w:p w:rsidR="005924BA" w:rsidRDefault="005924BA" w:rsidP="005924BA">
      <w:pPr>
        <w:pStyle w:val="ListParagraph"/>
        <w:jc w:val="both"/>
        <w:rPr>
          <w:rFonts w:ascii="Arial" w:hAnsi="Arial"/>
          <w:i/>
          <w:sz w:val="22"/>
          <w:szCs w:val="22"/>
        </w:rPr>
      </w:pPr>
    </w:p>
    <w:p w:rsidR="005924BA" w:rsidRDefault="005924BA" w:rsidP="005924BA">
      <w:pPr>
        <w:pStyle w:val="ListParagraph"/>
        <w:jc w:val="both"/>
        <w:rPr>
          <w:rFonts w:ascii="Arial" w:hAnsi="Arial"/>
          <w:i/>
          <w:sz w:val="22"/>
          <w:szCs w:val="22"/>
        </w:rPr>
      </w:pPr>
    </w:p>
    <w:p w:rsidR="009E6BFF" w:rsidRPr="005924BA" w:rsidRDefault="005924BA" w:rsidP="005924BA">
      <w:pPr>
        <w:pStyle w:val="ListParagraph"/>
        <w:numPr>
          <w:ilvl w:val="0"/>
          <w:numId w:val="25"/>
        </w:numPr>
        <w:jc w:val="both"/>
        <w:rPr>
          <w:rFonts w:ascii="Arial" w:hAnsi="Arial"/>
          <w:b/>
          <w:sz w:val="22"/>
          <w:szCs w:val="22"/>
        </w:rPr>
      </w:pPr>
      <w:r>
        <w:rPr>
          <w:rFonts w:ascii="Arial" w:hAnsi="Arial"/>
          <w:b/>
          <w:sz w:val="22"/>
          <w:szCs w:val="22"/>
        </w:rPr>
        <w:t>C</w:t>
      </w:r>
      <w:r w:rsidR="009E6BFF" w:rsidRPr="005924BA">
        <w:rPr>
          <w:rFonts w:ascii="Arial" w:hAnsi="Arial"/>
          <w:b/>
          <w:sz w:val="22"/>
          <w:szCs w:val="22"/>
        </w:rPr>
        <w:t>onsideration of the evidence</w:t>
      </w:r>
    </w:p>
    <w:p w:rsidR="009E6BFF" w:rsidRDefault="009E6BFF" w:rsidP="005924BA">
      <w:pPr>
        <w:pStyle w:val="ListParagraph"/>
        <w:jc w:val="both"/>
        <w:rPr>
          <w:rFonts w:ascii="Arial" w:hAnsi="Arial" w:cs="Arial"/>
          <w:b/>
          <w:bCs/>
          <w:sz w:val="22"/>
          <w:szCs w:val="22"/>
        </w:rPr>
      </w:pPr>
    </w:p>
    <w:p w:rsidR="005924BA" w:rsidRDefault="009E6BFF" w:rsidP="005924BA">
      <w:pPr>
        <w:rPr>
          <w:rFonts w:ascii="Arial" w:hAnsi="Arial" w:cs="Arial"/>
          <w:b/>
          <w:bCs/>
          <w:sz w:val="22"/>
          <w:szCs w:val="22"/>
        </w:rPr>
      </w:pPr>
      <w:r w:rsidRPr="005841F9">
        <w:rPr>
          <w:rFonts w:ascii="Arial" w:hAnsi="Arial" w:cs="Arial"/>
          <w:b/>
          <w:bCs/>
          <w:sz w:val="22"/>
          <w:szCs w:val="22"/>
        </w:rPr>
        <w:t>Sponsor hearing</w:t>
      </w:r>
    </w:p>
    <w:p w:rsidR="005924BA" w:rsidRPr="005841F9" w:rsidRDefault="005924BA" w:rsidP="005924BA">
      <w:pPr>
        <w:rPr>
          <w:rFonts w:ascii="Arial" w:hAnsi="Arial" w:cs="Arial"/>
          <w:b/>
          <w:bCs/>
          <w:sz w:val="22"/>
          <w:szCs w:val="22"/>
        </w:rPr>
      </w:pPr>
    </w:p>
    <w:p w:rsidR="009E6BFF" w:rsidRPr="005841F9" w:rsidRDefault="009E6BFF" w:rsidP="009E6BFF">
      <w:pPr>
        <w:numPr>
          <w:ilvl w:val="1"/>
          <w:numId w:val="25"/>
        </w:numPr>
        <w:rPr>
          <w:rFonts w:ascii="Arial" w:hAnsi="Arial" w:cs="Arial"/>
          <w:bCs/>
          <w:sz w:val="22"/>
          <w:szCs w:val="22"/>
        </w:rPr>
      </w:pPr>
      <w:r w:rsidRPr="005841F9">
        <w:rPr>
          <w:rFonts w:ascii="Arial" w:hAnsi="Arial" w:cs="Arial"/>
          <w:bCs/>
          <w:sz w:val="22"/>
          <w:szCs w:val="22"/>
        </w:rPr>
        <w:t>There was no hearing for this item as it was a minor submission.</w:t>
      </w:r>
    </w:p>
    <w:p w:rsidR="009E6BFF" w:rsidRPr="005841F9" w:rsidRDefault="009E6BFF" w:rsidP="009E6BFF">
      <w:pPr>
        <w:rPr>
          <w:rFonts w:ascii="Arial" w:hAnsi="Arial" w:cs="Arial"/>
          <w:bCs/>
          <w:sz w:val="22"/>
          <w:szCs w:val="22"/>
        </w:rPr>
      </w:pPr>
    </w:p>
    <w:p w:rsidR="009E6BFF" w:rsidRPr="005841F9" w:rsidRDefault="009E6BFF" w:rsidP="009E6BFF">
      <w:pPr>
        <w:rPr>
          <w:rFonts w:ascii="Arial" w:hAnsi="Arial" w:cs="Arial"/>
          <w:b/>
          <w:bCs/>
          <w:sz w:val="22"/>
          <w:szCs w:val="22"/>
        </w:rPr>
      </w:pPr>
      <w:r w:rsidRPr="005841F9">
        <w:rPr>
          <w:rFonts w:ascii="Arial" w:hAnsi="Arial" w:cs="Arial"/>
          <w:b/>
          <w:bCs/>
          <w:sz w:val="22"/>
          <w:szCs w:val="22"/>
        </w:rPr>
        <w:t>Consumer comments</w:t>
      </w:r>
    </w:p>
    <w:p w:rsidR="009E6BFF" w:rsidRPr="005841F9" w:rsidRDefault="009E6BFF" w:rsidP="009E6BFF">
      <w:pPr>
        <w:rPr>
          <w:rFonts w:ascii="Arial" w:hAnsi="Arial" w:cs="Arial"/>
          <w:b/>
          <w:bCs/>
          <w:sz w:val="22"/>
          <w:szCs w:val="22"/>
        </w:rPr>
      </w:pPr>
    </w:p>
    <w:p w:rsidR="009E6BFF" w:rsidRPr="009E6BFF" w:rsidRDefault="009E6BFF" w:rsidP="007E2547">
      <w:pPr>
        <w:numPr>
          <w:ilvl w:val="1"/>
          <w:numId w:val="25"/>
        </w:numPr>
        <w:jc w:val="both"/>
        <w:rPr>
          <w:rFonts w:ascii="Arial" w:hAnsi="Arial" w:cs="Arial"/>
          <w:bCs/>
          <w:sz w:val="22"/>
          <w:szCs w:val="22"/>
        </w:rPr>
      </w:pPr>
      <w:r w:rsidRPr="009E6BFF">
        <w:rPr>
          <w:rFonts w:ascii="Arial" w:hAnsi="Arial" w:cs="Arial"/>
          <w:bCs/>
          <w:sz w:val="22"/>
          <w:szCs w:val="22"/>
        </w:rPr>
        <w:t>The PBAC noted and welcomed the input from individuals (</w:t>
      </w:r>
      <w:r w:rsidR="0085212B">
        <w:rPr>
          <w:rFonts w:ascii="Arial" w:hAnsi="Arial" w:cs="Arial"/>
          <w:bCs/>
          <w:sz w:val="22"/>
          <w:szCs w:val="22"/>
        </w:rPr>
        <w:t>5), health care professionals (2</w:t>
      </w:r>
      <w:r w:rsidRPr="009E6BFF">
        <w:rPr>
          <w:rFonts w:ascii="Arial" w:hAnsi="Arial" w:cs="Arial"/>
          <w:bCs/>
          <w:sz w:val="22"/>
          <w:szCs w:val="22"/>
        </w:rPr>
        <w:t>) and organisations (</w:t>
      </w:r>
      <w:r w:rsidR="0085212B">
        <w:rPr>
          <w:rFonts w:ascii="Arial" w:hAnsi="Arial" w:cs="Arial"/>
          <w:bCs/>
          <w:sz w:val="22"/>
          <w:szCs w:val="22"/>
        </w:rPr>
        <w:t>2</w:t>
      </w:r>
      <w:r w:rsidRPr="009E6BFF">
        <w:rPr>
          <w:rFonts w:ascii="Arial" w:hAnsi="Arial" w:cs="Arial"/>
          <w:bCs/>
          <w:sz w:val="22"/>
          <w:szCs w:val="22"/>
        </w:rPr>
        <w:t xml:space="preserve">) via the Consumer Comments facility on the </w:t>
      </w:r>
      <w:r w:rsidRPr="009E6BFF">
        <w:rPr>
          <w:rFonts w:ascii="Arial" w:hAnsi="Arial" w:cs="Arial"/>
          <w:bCs/>
          <w:sz w:val="22"/>
          <w:szCs w:val="22"/>
        </w:rPr>
        <w:lastRenderedPageBreak/>
        <w:t xml:space="preserve">PBS website.  </w:t>
      </w:r>
      <w:r w:rsidR="0085212B">
        <w:rPr>
          <w:rFonts w:ascii="Arial" w:hAnsi="Arial" w:cs="Arial"/>
          <w:bCs/>
          <w:sz w:val="22"/>
          <w:szCs w:val="22"/>
        </w:rPr>
        <w:t xml:space="preserve">The comments described a range of </w:t>
      </w:r>
      <w:r w:rsidR="00503C44">
        <w:rPr>
          <w:rFonts w:ascii="Arial" w:hAnsi="Arial" w:cs="Arial"/>
          <w:bCs/>
          <w:sz w:val="22"/>
          <w:szCs w:val="22"/>
        </w:rPr>
        <w:t>benefits</w:t>
      </w:r>
      <w:r w:rsidR="0085212B">
        <w:rPr>
          <w:rFonts w:ascii="Arial" w:hAnsi="Arial" w:cs="Arial"/>
          <w:bCs/>
          <w:sz w:val="22"/>
          <w:szCs w:val="22"/>
        </w:rPr>
        <w:t xml:space="preserve"> </w:t>
      </w:r>
      <w:r w:rsidR="00503C44">
        <w:rPr>
          <w:rFonts w:ascii="Arial" w:hAnsi="Arial" w:cs="Arial"/>
          <w:bCs/>
          <w:sz w:val="22"/>
          <w:szCs w:val="22"/>
        </w:rPr>
        <w:t xml:space="preserve">of treatment with </w:t>
      </w:r>
      <w:proofErr w:type="spellStart"/>
      <w:r w:rsidR="0085212B">
        <w:rPr>
          <w:rFonts w:ascii="Arial" w:hAnsi="Arial" w:cs="Arial"/>
          <w:bCs/>
          <w:sz w:val="22"/>
          <w:szCs w:val="22"/>
        </w:rPr>
        <w:t>omalizumab</w:t>
      </w:r>
      <w:proofErr w:type="spellEnd"/>
      <w:r w:rsidR="009D7A98">
        <w:rPr>
          <w:rFonts w:ascii="Arial" w:hAnsi="Arial" w:cs="Arial"/>
          <w:bCs/>
          <w:sz w:val="22"/>
          <w:szCs w:val="22"/>
        </w:rPr>
        <w:t xml:space="preserve"> (</w:t>
      </w:r>
      <w:r w:rsidR="0085212B">
        <w:rPr>
          <w:rFonts w:ascii="Arial" w:hAnsi="Arial" w:cs="Arial"/>
          <w:bCs/>
          <w:sz w:val="22"/>
          <w:szCs w:val="22"/>
        </w:rPr>
        <w:t xml:space="preserve">including </w:t>
      </w:r>
      <w:r w:rsidR="00503C44">
        <w:rPr>
          <w:rFonts w:ascii="Arial" w:hAnsi="Arial" w:cs="Arial"/>
          <w:bCs/>
          <w:sz w:val="22"/>
          <w:szCs w:val="22"/>
        </w:rPr>
        <w:t>a reduction in other medications required and reduction in exacerbations</w:t>
      </w:r>
      <w:r w:rsidR="009D7A98">
        <w:rPr>
          <w:rFonts w:ascii="Arial" w:hAnsi="Arial" w:cs="Arial"/>
          <w:bCs/>
          <w:sz w:val="22"/>
          <w:szCs w:val="22"/>
        </w:rPr>
        <w:t>), as well as issues regarding patients excluded under the current listing</w:t>
      </w:r>
      <w:r w:rsidR="00503C44">
        <w:rPr>
          <w:rFonts w:ascii="Arial" w:hAnsi="Arial" w:cs="Arial"/>
          <w:bCs/>
          <w:sz w:val="22"/>
          <w:szCs w:val="22"/>
        </w:rPr>
        <w:t>.</w:t>
      </w:r>
    </w:p>
    <w:p w:rsidR="009E6BFF" w:rsidRPr="009E6BFF" w:rsidRDefault="009E6BFF" w:rsidP="005924BA">
      <w:pPr>
        <w:rPr>
          <w:rFonts w:ascii="Arial" w:hAnsi="Arial"/>
          <w:b/>
          <w:sz w:val="22"/>
          <w:szCs w:val="22"/>
        </w:rPr>
      </w:pPr>
    </w:p>
    <w:p w:rsidR="005963BB" w:rsidRPr="005924BA" w:rsidRDefault="00F81B42" w:rsidP="005924BA">
      <w:pPr>
        <w:rPr>
          <w:rFonts w:ascii="Arial" w:hAnsi="Arial" w:cs="Arial"/>
          <w:b/>
          <w:bCs/>
          <w:sz w:val="22"/>
          <w:szCs w:val="22"/>
        </w:rPr>
      </w:pPr>
      <w:r w:rsidRPr="005924BA">
        <w:rPr>
          <w:rFonts w:ascii="Arial" w:hAnsi="Arial" w:cs="Arial"/>
          <w:b/>
          <w:bCs/>
          <w:sz w:val="22"/>
          <w:szCs w:val="22"/>
        </w:rPr>
        <w:t>Estimated PBS usage &amp; financial implications</w:t>
      </w:r>
    </w:p>
    <w:p w:rsidR="005963BB" w:rsidRPr="00882085" w:rsidRDefault="005963BB" w:rsidP="005924BA">
      <w:pPr>
        <w:rPr>
          <w:rFonts w:ascii="Arial" w:hAnsi="Arial"/>
          <w:sz w:val="22"/>
          <w:szCs w:val="22"/>
        </w:rPr>
      </w:pPr>
    </w:p>
    <w:p w:rsidR="001334B7" w:rsidRDefault="00C00DA7" w:rsidP="001334B7">
      <w:pPr>
        <w:pStyle w:val="ListParagraph"/>
        <w:numPr>
          <w:ilvl w:val="1"/>
          <w:numId w:val="25"/>
        </w:numPr>
        <w:jc w:val="both"/>
        <w:rPr>
          <w:rFonts w:ascii="Arial" w:hAnsi="Arial"/>
          <w:sz w:val="22"/>
          <w:szCs w:val="22"/>
        </w:rPr>
      </w:pPr>
      <w:r w:rsidRPr="00C00DA7">
        <w:rPr>
          <w:rFonts w:ascii="Arial" w:hAnsi="Arial"/>
          <w:sz w:val="22"/>
          <w:szCs w:val="22"/>
        </w:rPr>
        <w:t>The</w:t>
      </w:r>
      <w:r w:rsidR="00F5584A">
        <w:rPr>
          <w:rFonts w:ascii="Arial" w:hAnsi="Arial"/>
          <w:sz w:val="22"/>
          <w:szCs w:val="22"/>
        </w:rPr>
        <w:t xml:space="preserve"> submission present</w:t>
      </w:r>
      <w:r w:rsidR="00AA6007">
        <w:rPr>
          <w:rFonts w:ascii="Arial" w:hAnsi="Arial"/>
          <w:sz w:val="22"/>
          <w:szCs w:val="22"/>
        </w:rPr>
        <w:t>ed</w:t>
      </w:r>
      <w:r w:rsidR="00F5584A">
        <w:rPr>
          <w:rFonts w:ascii="Arial" w:hAnsi="Arial"/>
          <w:sz w:val="22"/>
          <w:szCs w:val="22"/>
        </w:rPr>
        <w:t xml:space="preserve"> financial estimates based on the expected increase in </w:t>
      </w:r>
      <w:r w:rsidR="00390653">
        <w:rPr>
          <w:rFonts w:ascii="Arial" w:hAnsi="Arial"/>
          <w:sz w:val="22"/>
          <w:szCs w:val="22"/>
        </w:rPr>
        <w:t xml:space="preserve">uptake </w:t>
      </w:r>
      <w:r w:rsidR="00F5584A">
        <w:rPr>
          <w:rFonts w:ascii="Arial" w:hAnsi="Arial"/>
          <w:sz w:val="22"/>
          <w:szCs w:val="22"/>
        </w:rPr>
        <w:t xml:space="preserve">and response/continuation rates of </w:t>
      </w:r>
      <w:proofErr w:type="spellStart"/>
      <w:r w:rsidR="00F5584A">
        <w:rPr>
          <w:rFonts w:ascii="Arial" w:hAnsi="Arial"/>
          <w:sz w:val="22"/>
          <w:szCs w:val="22"/>
        </w:rPr>
        <w:t>omalizumab</w:t>
      </w:r>
      <w:proofErr w:type="spellEnd"/>
      <w:r w:rsidR="00F5584A">
        <w:rPr>
          <w:rFonts w:ascii="Arial" w:hAnsi="Arial"/>
          <w:sz w:val="22"/>
          <w:szCs w:val="22"/>
        </w:rPr>
        <w:t xml:space="preserve"> if the requested changes to the restriction were to be implemented. </w:t>
      </w:r>
      <w:r w:rsidR="001334B7">
        <w:rPr>
          <w:rFonts w:ascii="Arial" w:hAnsi="Arial"/>
          <w:sz w:val="22"/>
          <w:szCs w:val="22"/>
        </w:rPr>
        <w:t>The submission note</w:t>
      </w:r>
      <w:r w:rsidR="00AA6007">
        <w:rPr>
          <w:rFonts w:ascii="Arial" w:hAnsi="Arial"/>
          <w:sz w:val="22"/>
          <w:szCs w:val="22"/>
        </w:rPr>
        <w:t>d</w:t>
      </w:r>
      <w:r w:rsidR="001334B7">
        <w:rPr>
          <w:rFonts w:ascii="Arial" w:hAnsi="Arial"/>
          <w:sz w:val="22"/>
          <w:szCs w:val="22"/>
        </w:rPr>
        <w:t xml:space="preserve"> that while </w:t>
      </w:r>
      <w:r w:rsidR="0071111D">
        <w:rPr>
          <w:rFonts w:ascii="Arial" w:hAnsi="Arial"/>
          <w:sz w:val="22"/>
          <w:szCs w:val="22"/>
        </w:rPr>
        <w:t>less than 10,000</w:t>
      </w:r>
      <w:r w:rsidR="001334B7">
        <w:rPr>
          <w:rFonts w:ascii="Arial" w:hAnsi="Arial"/>
          <w:sz w:val="22"/>
          <w:szCs w:val="22"/>
        </w:rPr>
        <w:t xml:space="preserve"> patients are expected to be treated with </w:t>
      </w:r>
      <w:proofErr w:type="spellStart"/>
      <w:r w:rsidR="001334B7">
        <w:rPr>
          <w:rFonts w:ascii="Arial" w:hAnsi="Arial"/>
          <w:sz w:val="22"/>
          <w:szCs w:val="22"/>
        </w:rPr>
        <w:t>omalizumab</w:t>
      </w:r>
      <w:proofErr w:type="spellEnd"/>
      <w:r w:rsidR="001334B7">
        <w:rPr>
          <w:rFonts w:ascii="Arial" w:hAnsi="Arial"/>
          <w:sz w:val="22"/>
          <w:szCs w:val="22"/>
        </w:rPr>
        <w:t xml:space="preserve"> in year 1 under the current restriction, in 2011 the number of patients expected to be treated with </w:t>
      </w:r>
      <w:proofErr w:type="spellStart"/>
      <w:r w:rsidR="001334B7">
        <w:rPr>
          <w:rFonts w:ascii="Arial" w:hAnsi="Arial"/>
          <w:sz w:val="22"/>
          <w:szCs w:val="22"/>
        </w:rPr>
        <w:t>omalizumab</w:t>
      </w:r>
      <w:proofErr w:type="spellEnd"/>
      <w:r w:rsidR="001334B7">
        <w:rPr>
          <w:rFonts w:ascii="Arial" w:hAnsi="Arial"/>
          <w:sz w:val="22"/>
          <w:szCs w:val="22"/>
        </w:rPr>
        <w:t xml:space="preserve"> in that year was </w:t>
      </w:r>
      <w:r w:rsidR="0071111D">
        <w:rPr>
          <w:rFonts w:ascii="Arial" w:hAnsi="Arial"/>
          <w:sz w:val="22"/>
          <w:szCs w:val="22"/>
        </w:rPr>
        <w:t>less than 10,000</w:t>
      </w:r>
      <w:r w:rsidR="001334B7">
        <w:rPr>
          <w:rFonts w:ascii="Arial" w:hAnsi="Arial"/>
          <w:sz w:val="22"/>
          <w:szCs w:val="22"/>
        </w:rPr>
        <w:t xml:space="preserve">. </w:t>
      </w:r>
    </w:p>
    <w:p w:rsidR="001334B7" w:rsidRDefault="001334B7" w:rsidP="001334B7">
      <w:pPr>
        <w:pStyle w:val="ListParagraph"/>
        <w:jc w:val="both"/>
        <w:rPr>
          <w:rFonts w:ascii="Arial" w:hAnsi="Arial"/>
          <w:sz w:val="22"/>
          <w:szCs w:val="22"/>
        </w:rPr>
      </w:pPr>
    </w:p>
    <w:p w:rsidR="00F5584A" w:rsidRPr="001334B7" w:rsidRDefault="00F5584A" w:rsidP="001334B7">
      <w:pPr>
        <w:pStyle w:val="ListParagraph"/>
        <w:numPr>
          <w:ilvl w:val="1"/>
          <w:numId w:val="25"/>
        </w:numPr>
        <w:jc w:val="both"/>
        <w:rPr>
          <w:rFonts w:ascii="Arial" w:hAnsi="Arial"/>
          <w:sz w:val="22"/>
          <w:szCs w:val="22"/>
        </w:rPr>
      </w:pPr>
      <w:r w:rsidRPr="001334B7">
        <w:rPr>
          <w:rFonts w:ascii="Arial" w:hAnsi="Arial"/>
          <w:sz w:val="22"/>
          <w:szCs w:val="22"/>
        </w:rPr>
        <w:t>The minor submission estimate</w:t>
      </w:r>
      <w:r w:rsidR="00AA6007">
        <w:rPr>
          <w:rFonts w:ascii="Arial" w:hAnsi="Arial"/>
          <w:sz w:val="22"/>
          <w:szCs w:val="22"/>
        </w:rPr>
        <w:t>d</w:t>
      </w:r>
      <w:r w:rsidRPr="001334B7">
        <w:rPr>
          <w:rFonts w:ascii="Arial" w:hAnsi="Arial"/>
          <w:sz w:val="22"/>
          <w:szCs w:val="22"/>
        </w:rPr>
        <w:t xml:space="preserve"> a net cost</w:t>
      </w:r>
      <w:r w:rsidR="001334B7">
        <w:rPr>
          <w:rFonts w:ascii="Arial" w:hAnsi="Arial"/>
          <w:sz w:val="22"/>
          <w:szCs w:val="22"/>
        </w:rPr>
        <w:t xml:space="preserve"> to the PBS of </w:t>
      </w:r>
      <w:r w:rsidR="009D0C15">
        <w:rPr>
          <w:rFonts w:ascii="Arial" w:hAnsi="Arial"/>
          <w:sz w:val="22"/>
          <w:szCs w:val="22"/>
        </w:rPr>
        <w:t>less than $10 million</w:t>
      </w:r>
      <w:r w:rsidRPr="001334B7">
        <w:rPr>
          <w:rFonts w:ascii="Arial" w:hAnsi="Arial"/>
          <w:sz w:val="22"/>
          <w:szCs w:val="22"/>
        </w:rPr>
        <w:t xml:space="preserve"> in Year 5 of listing, with a total net cost to the PBS of $</w:t>
      </w:r>
      <w:r w:rsidR="00DA0274">
        <w:rPr>
          <w:rFonts w:ascii="Arial" w:hAnsi="Arial"/>
          <w:noProof/>
          <w:color w:val="000000"/>
          <w:sz w:val="22"/>
          <w:szCs w:val="22"/>
          <w:highlight w:val="black"/>
        </w:rPr>
        <w:t>''''''''''''''''''''''''''</w:t>
      </w:r>
      <w:r w:rsidRPr="001334B7">
        <w:rPr>
          <w:rFonts w:ascii="Arial" w:hAnsi="Arial"/>
          <w:sz w:val="22"/>
          <w:szCs w:val="22"/>
        </w:rPr>
        <w:t xml:space="preserve"> over the first 5 years of listing</w:t>
      </w:r>
      <w:r w:rsidR="001334B7">
        <w:rPr>
          <w:rFonts w:ascii="Arial" w:hAnsi="Arial"/>
          <w:sz w:val="22"/>
          <w:szCs w:val="22"/>
        </w:rPr>
        <w:t xml:space="preserve"> at the </w:t>
      </w:r>
      <w:r w:rsidR="001334B7" w:rsidRPr="0071111D">
        <w:rPr>
          <w:rFonts w:ascii="Arial" w:hAnsi="Arial"/>
          <w:sz w:val="22"/>
          <w:szCs w:val="22"/>
        </w:rPr>
        <w:t>published</w:t>
      </w:r>
      <w:r w:rsidR="001334B7">
        <w:rPr>
          <w:rFonts w:ascii="Arial" w:hAnsi="Arial"/>
          <w:sz w:val="22"/>
          <w:szCs w:val="22"/>
        </w:rPr>
        <w:t xml:space="preserve"> DPMQ</w:t>
      </w:r>
      <w:r w:rsidRPr="001334B7">
        <w:rPr>
          <w:rFonts w:ascii="Arial" w:hAnsi="Arial"/>
          <w:sz w:val="22"/>
          <w:szCs w:val="22"/>
        </w:rPr>
        <w:t>.  This is summarised in the table below.</w:t>
      </w:r>
    </w:p>
    <w:p w:rsidR="00F5584A" w:rsidRPr="00C00DA7" w:rsidRDefault="00F5584A" w:rsidP="00C00DA7">
      <w:pPr>
        <w:pStyle w:val="ListParagraph"/>
        <w:ind w:left="709"/>
        <w:jc w:val="both"/>
        <w:rPr>
          <w:rFonts w:ascii="Arial" w:hAnsi="Arial"/>
          <w:sz w:val="22"/>
          <w:szCs w:val="22"/>
        </w:rPr>
      </w:pPr>
    </w:p>
    <w:p w:rsidR="00DF4640" w:rsidRPr="00DF4640" w:rsidRDefault="00DF4640" w:rsidP="00DF4640">
      <w:pPr>
        <w:keepNext/>
        <w:widowControl w:val="0"/>
        <w:ind w:left="709"/>
        <w:jc w:val="both"/>
        <w:rPr>
          <w:rFonts w:ascii="Arial Narrow" w:hAnsi="Arial Narrow" w:cs="Arial"/>
          <w:b/>
          <w:snapToGrid w:val="0"/>
          <w:sz w:val="20"/>
          <w:lang w:eastAsia="en-US"/>
        </w:rPr>
      </w:pPr>
      <w:r w:rsidRPr="00843560">
        <w:rPr>
          <w:rFonts w:ascii="Arial Narrow" w:hAnsi="Arial Narrow" w:cs="Arial"/>
          <w:b/>
          <w:snapToGrid w:val="0"/>
          <w:sz w:val="20"/>
          <w:lang w:eastAsia="en-US"/>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6"/>
        <w:gridCol w:w="1130"/>
        <w:gridCol w:w="1130"/>
        <w:gridCol w:w="1130"/>
        <w:gridCol w:w="1130"/>
        <w:gridCol w:w="1130"/>
      </w:tblGrid>
      <w:tr w:rsidR="00DF4640" w:rsidRPr="004E2ADC" w:rsidTr="00CD1E4C">
        <w:trPr>
          <w:tblHeader/>
        </w:trPr>
        <w:tc>
          <w:tcPr>
            <w:tcW w:w="1615" w:type="pct"/>
            <w:tcBorders>
              <w:bottom w:val="single" w:sz="4" w:space="0" w:color="auto"/>
            </w:tcBorders>
            <w:shd w:val="clear" w:color="auto" w:fill="auto"/>
            <w:vAlign w:val="center"/>
          </w:tcPr>
          <w:p w:rsidR="00DF4640" w:rsidRPr="004E2ADC" w:rsidRDefault="00DF4640" w:rsidP="00A46E56">
            <w:pPr>
              <w:keepNext/>
              <w:tabs>
                <w:tab w:val="left" w:pos="142"/>
              </w:tabs>
              <w:rPr>
                <w:rFonts w:ascii="Arial Narrow" w:hAnsi="Arial Narrow"/>
                <w:b/>
                <w:sz w:val="20"/>
              </w:rPr>
            </w:pPr>
          </w:p>
        </w:tc>
        <w:tc>
          <w:tcPr>
            <w:tcW w:w="677" w:type="pct"/>
            <w:tcBorders>
              <w:bottom w:val="single" w:sz="4" w:space="0" w:color="auto"/>
            </w:tcBorders>
            <w:shd w:val="clear" w:color="auto" w:fill="auto"/>
            <w:vAlign w:val="center"/>
          </w:tcPr>
          <w:p w:rsidR="00DF4640" w:rsidRPr="004E2ADC" w:rsidRDefault="00DF4640" w:rsidP="00A46E56">
            <w:pPr>
              <w:keepNext/>
              <w:jc w:val="center"/>
              <w:rPr>
                <w:rFonts w:ascii="Arial Narrow" w:hAnsi="Arial Narrow"/>
                <w:b/>
                <w:sz w:val="20"/>
              </w:rPr>
            </w:pPr>
            <w:r w:rsidRPr="004E2ADC">
              <w:rPr>
                <w:rFonts w:ascii="Arial Narrow" w:hAnsi="Arial Narrow"/>
                <w:b/>
                <w:sz w:val="20"/>
              </w:rPr>
              <w:t>Year 1</w:t>
            </w:r>
          </w:p>
        </w:tc>
        <w:tc>
          <w:tcPr>
            <w:tcW w:w="677" w:type="pct"/>
            <w:tcBorders>
              <w:bottom w:val="single" w:sz="4" w:space="0" w:color="auto"/>
            </w:tcBorders>
            <w:shd w:val="clear" w:color="auto" w:fill="auto"/>
            <w:vAlign w:val="center"/>
          </w:tcPr>
          <w:p w:rsidR="00DF4640" w:rsidRPr="004E2ADC" w:rsidRDefault="00DF4640" w:rsidP="00A46E56">
            <w:pPr>
              <w:keepNext/>
              <w:jc w:val="center"/>
              <w:rPr>
                <w:rFonts w:ascii="Arial Narrow" w:hAnsi="Arial Narrow"/>
                <w:b/>
                <w:sz w:val="20"/>
              </w:rPr>
            </w:pPr>
            <w:r w:rsidRPr="004E2ADC">
              <w:rPr>
                <w:rFonts w:ascii="Arial Narrow" w:hAnsi="Arial Narrow"/>
                <w:b/>
                <w:sz w:val="20"/>
              </w:rPr>
              <w:t>Year 2</w:t>
            </w:r>
          </w:p>
        </w:tc>
        <w:tc>
          <w:tcPr>
            <w:tcW w:w="677" w:type="pct"/>
            <w:tcBorders>
              <w:bottom w:val="single" w:sz="4" w:space="0" w:color="auto"/>
            </w:tcBorders>
            <w:shd w:val="clear" w:color="auto" w:fill="auto"/>
            <w:vAlign w:val="center"/>
          </w:tcPr>
          <w:p w:rsidR="00DF4640" w:rsidRPr="004E2ADC" w:rsidRDefault="00DF4640" w:rsidP="00A46E56">
            <w:pPr>
              <w:keepNext/>
              <w:jc w:val="center"/>
              <w:rPr>
                <w:rFonts w:ascii="Arial Narrow" w:hAnsi="Arial Narrow"/>
                <w:b/>
                <w:sz w:val="20"/>
              </w:rPr>
            </w:pPr>
            <w:r w:rsidRPr="004E2ADC">
              <w:rPr>
                <w:rFonts w:ascii="Arial Narrow" w:hAnsi="Arial Narrow"/>
                <w:b/>
                <w:sz w:val="20"/>
              </w:rPr>
              <w:t>Year 3</w:t>
            </w:r>
          </w:p>
        </w:tc>
        <w:tc>
          <w:tcPr>
            <w:tcW w:w="677" w:type="pct"/>
            <w:tcBorders>
              <w:bottom w:val="single" w:sz="4" w:space="0" w:color="auto"/>
            </w:tcBorders>
            <w:shd w:val="clear" w:color="auto" w:fill="auto"/>
            <w:vAlign w:val="center"/>
          </w:tcPr>
          <w:p w:rsidR="00DF4640" w:rsidRPr="004E2ADC" w:rsidRDefault="00DF4640" w:rsidP="00A46E56">
            <w:pPr>
              <w:keepNext/>
              <w:jc w:val="center"/>
              <w:rPr>
                <w:rFonts w:ascii="Arial Narrow" w:hAnsi="Arial Narrow"/>
                <w:b/>
                <w:sz w:val="20"/>
              </w:rPr>
            </w:pPr>
            <w:r w:rsidRPr="004E2ADC">
              <w:rPr>
                <w:rFonts w:ascii="Arial Narrow" w:hAnsi="Arial Narrow"/>
                <w:b/>
                <w:sz w:val="20"/>
              </w:rPr>
              <w:t>Year 4</w:t>
            </w:r>
          </w:p>
        </w:tc>
        <w:tc>
          <w:tcPr>
            <w:tcW w:w="677" w:type="pct"/>
            <w:tcBorders>
              <w:bottom w:val="single" w:sz="4" w:space="0" w:color="auto"/>
            </w:tcBorders>
            <w:shd w:val="clear" w:color="auto" w:fill="auto"/>
            <w:vAlign w:val="center"/>
          </w:tcPr>
          <w:p w:rsidR="00DF4640" w:rsidRPr="004E2ADC" w:rsidRDefault="00DF4640" w:rsidP="00A46E56">
            <w:pPr>
              <w:keepNext/>
              <w:jc w:val="center"/>
              <w:rPr>
                <w:rFonts w:ascii="Arial Narrow" w:hAnsi="Arial Narrow"/>
                <w:b/>
                <w:sz w:val="20"/>
              </w:rPr>
            </w:pPr>
            <w:r w:rsidRPr="004E2ADC">
              <w:rPr>
                <w:rFonts w:ascii="Arial Narrow" w:hAnsi="Arial Narrow"/>
                <w:b/>
                <w:sz w:val="20"/>
              </w:rPr>
              <w:t>Year 5</w:t>
            </w:r>
          </w:p>
        </w:tc>
      </w:tr>
      <w:tr w:rsidR="00CD1E4C" w:rsidRPr="004E2ADC" w:rsidTr="00CD1E4C">
        <w:tc>
          <w:tcPr>
            <w:tcW w:w="1615" w:type="pct"/>
            <w:tcBorders>
              <w:right w:val="nil"/>
            </w:tcBorders>
            <w:shd w:val="clear" w:color="auto" w:fill="auto"/>
            <w:vAlign w:val="center"/>
          </w:tcPr>
          <w:p w:rsidR="00CD1E4C" w:rsidRPr="004E2ADC" w:rsidRDefault="00CD1E4C" w:rsidP="00A46E56">
            <w:pPr>
              <w:keepNext/>
              <w:tabs>
                <w:tab w:val="left" w:pos="142"/>
              </w:tabs>
              <w:rPr>
                <w:rFonts w:ascii="Arial Narrow" w:hAnsi="Arial Narrow"/>
                <w:sz w:val="20"/>
              </w:rPr>
            </w:pPr>
            <w:r w:rsidRPr="004E2ADC">
              <w:rPr>
                <w:rFonts w:ascii="Arial Narrow" w:hAnsi="Arial Narrow"/>
                <w:b/>
                <w:bCs/>
                <w:color w:val="000000"/>
                <w:sz w:val="20"/>
              </w:rPr>
              <w:t>Estimated extent of use</w:t>
            </w:r>
          </w:p>
        </w:tc>
        <w:tc>
          <w:tcPr>
            <w:tcW w:w="677" w:type="pct"/>
            <w:tcBorders>
              <w:left w:val="nil"/>
              <w:right w:val="nil"/>
            </w:tcBorders>
            <w:shd w:val="clear" w:color="auto" w:fill="auto"/>
          </w:tcPr>
          <w:p w:rsidR="00CD1E4C" w:rsidRDefault="00CD1E4C"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CD1E4C" w:rsidRDefault="00CD1E4C"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CD1E4C" w:rsidRDefault="00CD1E4C"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CD1E4C" w:rsidRDefault="00CD1E4C" w:rsidP="001334B7">
            <w:pPr>
              <w:keepNext/>
              <w:jc w:val="center"/>
              <w:rPr>
                <w:rFonts w:ascii="Arial Narrow" w:hAnsi="Arial Narrow"/>
                <w:bCs/>
                <w:color w:val="000000"/>
                <w:sz w:val="20"/>
              </w:rPr>
            </w:pPr>
          </w:p>
        </w:tc>
        <w:tc>
          <w:tcPr>
            <w:tcW w:w="677" w:type="pct"/>
            <w:tcBorders>
              <w:left w:val="nil"/>
            </w:tcBorders>
            <w:shd w:val="clear" w:color="auto" w:fill="auto"/>
          </w:tcPr>
          <w:p w:rsidR="00CD1E4C" w:rsidRDefault="00CD1E4C" w:rsidP="001334B7">
            <w:pPr>
              <w:keepNext/>
              <w:jc w:val="center"/>
              <w:rPr>
                <w:rFonts w:ascii="Arial Narrow" w:hAnsi="Arial Narrow"/>
                <w:bCs/>
                <w:color w:val="000000"/>
                <w:sz w:val="20"/>
              </w:rPr>
            </w:pPr>
          </w:p>
        </w:tc>
      </w:tr>
      <w:tr w:rsidR="00DF4640" w:rsidRPr="004E2ADC" w:rsidTr="001334B7">
        <w:tc>
          <w:tcPr>
            <w:tcW w:w="1615" w:type="pct"/>
            <w:shd w:val="clear" w:color="auto" w:fill="auto"/>
            <w:vAlign w:val="center"/>
          </w:tcPr>
          <w:p w:rsidR="00DF4640" w:rsidRPr="004E2ADC" w:rsidRDefault="00DF4640" w:rsidP="00A46E56">
            <w:pPr>
              <w:keepNext/>
              <w:tabs>
                <w:tab w:val="left" w:pos="142"/>
              </w:tabs>
              <w:rPr>
                <w:rFonts w:ascii="Arial Narrow" w:hAnsi="Arial Narrow"/>
                <w:sz w:val="20"/>
              </w:rPr>
            </w:pPr>
            <w:r w:rsidRPr="004E2ADC">
              <w:rPr>
                <w:rFonts w:ascii="Arial Narrow" w:hAnsi="Arial Narrow"/>
                <w:sz w:val="20"/>
              </w:rPr>
              <w:t xml:space="preserve">Number </w:t>
            </w:r>
            <w:r>
              <w:rPr>
                <w:rFonts w:ascii="Arial Narrow" w:hAnsi="Arial Narrow"/>
                <w:sz w:val="20"/>
              </w:rPr>
              <w:t xml:space="preserve">currently </w:t>
            </w:r>
            <w:r w:rsidRPr="004E2ADC">
              <w:rPr>
                <w:rFonts w:ascii="Arial Narrow" w:hAnsi="Arial Narrow"/>
                <w:sz w:val="20"/>
              </w:rPr>
              <w:t>treated</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DF4640" w:rsidRPr="004E2ADC" w:rsidTr="00CD1E4C">
        <w:tc>
          <w:tcPr>
            <w:tcW w:w="1615" w:type="pct"/>
            <w:tcBorders>
              <w:bottom w:val="single" w:sz="4" w:space="0" w:color="auto"/>
            </w:tcBorders>
            <w:shd w:val="clear" w:color="auto" w:fill="auto"/>
            <w:vAlign w:val="center"/>
          </w:tcPr>
          <w:p w:rsidR="00DF4640" w:rsidRPr="004E2ADC" w:rsidRDefault="00DF4640" w:rsidP="00A46E56">
            <w:pPr>
              <w:keepNext/>
              <w:tabs>
                <w:tab w:val="left" w:pos="142"/>
              </w:tabs>
              <w:rPr>
                <w:rFonts w:ascii="Arial Narrow" w:hAnsi="Arial Narrow"/>
                <w:sz w:val="20"/>
              </w:rPr>
            </w:pPr>
            <w:r>
              <w:rPr>
                <w:rFonts w:ascii="Arial Narrow" w:hAnsi="Arial Narrow"/>
                <w:sz w:val="20"/>
              </w:rPr>
              <w:t xml:space="preserve">Number treated under proposed restriction changes </w:t>
            </w:r>
          </w:p>
        </w:tc>
        <w:tc>
          <w:tcPr>
            <w:tcW w:w="677" w:type="pct"/>
            <w:tcBorders>
              <w:bottom w:val="single" w:sz="4" w:space="0" w:color="auto"/>
            </w:tcBorders>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tcBorders>
              <w:bottom w:val="single" w:sz="4" w:space="0" w:color="auto"/>
            </w:tcBorders>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DF4640" w:rsidRPr="004E2ADC" w:rsidTr="00CD1E4C">
        <w:tc>
          <w:tcPr>
            <w:tcW w:w="1615" w:type="pct"/>
            <w:tcBorders>
              <w:right w:val="nil"/>
            </w:tcBorders>
            <w:shd w:val="clear" w:color="auto" w:fill="auto"/>
            <w:vAlign w:val="center"/>
          </w:tcPr>
          <w:p w:rsidR="00DF4640" w:rsidRPr="0049118B" w:rsidRDefault="00DF4640" w:rsidP="001334B7">
            <w:pPr>
              <w:keepNext/>
              <w:tabs>
                <w:tab w:val="left" w:pos="142"/>
              </w:tabs>
              <w:rPr>
                <w:rFonts w:ascii="Arial Narrow" w:hAnsi="Arial Narrow"/>
                <w:b/>
                <w:sz w:val="20"/>
              </w:rPr>
            </w:pPr>
            <w:r>
              <w:rPr>
                <w:rFonts w:ascii="Arial Narrow" w:hAnsi="Arial Narrow"/>
                <w:b/>
                <w:sz w:val="19"/>
                <w:szCs w:val="19"/>
              </w:rPr>
              <w:t xml:space="preserve">Estimated </w:t>
            </w:r>
            <w:r w:rsidRPr="0049118B">
              <w:rPr>
                <w:rFonts w:ascii="Arial Narrow" w:hAnsi="Arial Narrow"/>
                <w:b/>
                <w:sz w:val="19"/>
                <w:szCs w:val="19"/>
              </w:rPr>
              <w:t>net cost to PBS</w:t>
            </w:r>
            <w:r>
              <w:rPr>
                <w:rFonts w:ascii="Arial Narrow" w:hAnsi="Arial Narrow"/>
                <w:b/>
                <w:sz w:val="19"/>
                <w:szCs w:val="19"/>
              </w:rPr>
              <w:t xml:space="preserve"> </w:t>
            </w:r>
          </w:p>
        </w:tc>
        <w:tc>
          <w:tcPr>
            <w:tcW w:w="677" w:type="pct"/>
            <w:tcBorders>
              <w:left w:val="nil"/>
              <w:right w:val="nil"/>
            </w:tcBorders>
            <w:shd w:val="clear" w:color="auto" w:fill="auto"/>
          </w:tcPr>
          <w:p w:rsidR="00DF4640" w:rsidRPr="00DF4640" w:rsidRDefault="00DF4640"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DF4640" w:rsidRPr="00DF4640" w:rsidRDefault="00DF4640"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DF4640" w:rsidRPr="00DF4640" w:rsidRDefault="00DF4640" w:rsidP="001334B7">
            <w:pPr>
              <w:keepNext/>
              <w:jc w:val="center"/>
              <w:rPr>
                <w:rFonts w:ascii="Arial Narrow" w:hAnsi="Arial Narrow"/>
                <w:bCs/>
                <w:color w:val="000000"/>
                <w:sz w:val="20"/>
              </w:rPr>
            </w:pPr>
          </w:p>
        </w:tc>
        <w:tc>
          <w:tcPr>
            <w:tcW w:w="677" w:type="pct"/>
            <w:tcBorders>
              <w:left w:val="nil"/>
              <w:right w:val="nil"/>
            </w:tcBorders>
            <w:shd w:val="clear" w:color="auto" w:fill="auto"/>
          </w:tcPr>
          <w:p w:rsidR="00DF4640" w:rsidRPr="00DF4640" w:rsidRDefault="00DF4640" w:rsidP="001334B7">
            <w:pPr>
              <w:keepNext/>
              <w:jc w:val="center"/>
              <w:rPr>
                <w:rFonts w:ascii="Arial Narrow" w:hAnsi="Arial Narrow"/>
                <w:bCs/>
                <w:color w:val="000000"/>
                <w:sz w:val="20"/>
              </w:rPr>
            </w:pPr>
          </w:p>
        </w:tc>
        <w:tc>
          <w:tcPr>
            <w:tcW w:w="677" w:type="pct"/>
            <w:tcBorders>
              <w:left w:val="nil"/>
            </w:tcBorders>
            <w:shd w:val="clear" w:color="auto" w:fill="auto"/>
          </w:tcPr>
          <w:p w:rsidR="00DF4640" w:rsidRPr="00DF4640" w:rsidRDefault="00DF4640" w:rsidP="001334B7">
            <w:pPr>
              <w:keepNext/>
              <w:jc w:val="center"/>
              <w:rPr>
                <w:rFonts w:ascii="Arial Narrow" w:hAnsi="Arial Narrow"/>
                <w:bCs/>
                <w:color w:val="000000"/>
                <w:sz w:val="20"/>
              </w:rPr>
            </w:pPr>
          </w:p>
        </w:tc>
      </w:tr>
      <w:tr w:rsidR="00DF4640" w:rsidRPr="004E2ADC" w:rsidTr="001334B7">
        <w:tc>
          <w:tcPr>
            <w:tcW w:w="1615" w:type="pct"/>
            <w:shd w:val="clear" w:color="auto" w:fill="auto"/>
            <w:vAlign w:val="center"/>
          </w:tcPr>
          <w:p w:rsidR="00DF4640" w:rsidRPr="00DF4640" w:rsidRDefault="001334B7" w:rsidP="00DF4640">
            <w:pPr>
              <w:keepNext/>
              <w:tabs>
                <w:tab w:val="left" w:pos="142"/>
              </w:tabs>
              <w:rPr>
                <w:rFonts w:ascii="Arial Narrow" w:hAnsi="Arial Narrow"/>
                <w:sz w:val="19"/>
                <w:szCs w:val="19"/>
              </w:rPr>
            </w:pPr>
            <w:r>
              <w:rPr>
                <w:rFonts w:ascii="Arial Narrow" w:hAnsi="Arial Narrow"/>
                <w:sz w:val="19"/>
                <w:szCs w:val="19"/>
              </w:rPr>
              <w:t xml:space="preserve">Net cost to PBS – </w:t>
            </w:r>
            <w:r w:rsidR="00DF4640" w:rsidRPr="00DF4640">
              <w:rPr>
                <w:rFonts w:ascii="Arial Narrow" w:hAnsi="Arial Narrow"/>
                <w:sz w:val="19"/>
                <w:szCs w:val="19"/>
              </w:rPr>
              <w:t>published</w:t>
            </w:r>
            <w:r>
              <w:rPr>
                <w:rFonts w:ascii="Arial Narrow" w:hAnsi="Arial Narrow"/>
                <w:sz w:val="19"/>
                <w:szCs w:val="19"/>
              </w:rPr>
              <w:t xml:space="preserve"> </w:t>
            </w:r>
            <w:r w:rsidR="00DF4640" w:rsidRPr="00DF4640">
              <w:rPr>
                <w:rFonts w:ascii="Arial Narrow" w:hAnsi="Arial Narrow"/>
                <w:sz w:val="19"/>
                <w:szCs w:val="19"/>
              </w:rPr>
              <w:t xml:space="preserve"> DPMQ</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DF4640" w:rsidRPr="004E2ADC" w:rsidTr="001334B7">
        <w:tc>
          <w:tcPr>
            <w:tcW w:w="1615" w:type="pct"/>
            <w:shd w:val="clear" w:color="auto" w:fill="auto"/>
            <w:vAlign w:val="center"/>
          </w:tcPr>
          <w:p w:rsidR="00DF4640" w:rsidRDefault="001334B7" w:rsidP="00DF4640">
            <w:pPr>
              <w:keepNext/>
              <w:tabs>
                <w:tab w:val="left" w:pos="142"/>
              </w:tabs>
              <w:rPr>
                <w:rFonts w:ascii="Arial Narrow" w:hAnsi="Arial Narrow"/>
                <w:b/>
                <w:sz w:val="19"/>
                <w:szCs w:val="19"/>
              </w:rPr>
            </w:pPr>
            <w:r>
              <w:rPr>
                <w:rFonts w:ascii="Arial Narrow" w:hAnsi="Arial Narrow"/>
                <w:sz w:val="19"/>
                <w:szCs w:val="19"/>
              </w:rPr>
              <w:t xml:space="preserve">Net cost to PBS – </w:t>
            </w:r>
            <w:r w:rsidR="00DF4640">
              <w:rPr>
                <w:rFonts w:ascii="Arial Narrow" w:hAnsi="Arial Narrow"/>
                <w:sz w:val="19"/>
                <w:szCs w:val="19"/>
              </w:rPr>
              <w:t>effective</w:t>
            </w:r>
            <w:r>
              <w:rPr>
                <w:rFonts w:ascii="Arial Narrow" w:hAnsi="Arial Narrow"/>
                <w:sz w:val="19"/>
                <w:szCs w:val="19"/>
              </w:rPr>
              <w:t xml:space="preserve"> </w:t>
            </w:r>
            <w:r w:rsidR="00DF4640">
              <w:rPr>
                <w:rFonts w:ascii="Arial Narrow" w:hAnsi="Arial Narrow"/>
                <w:sz w:val="19"/>
                <w:szCs w:val="19"/>
              </w:rPr>
              <w:t>price</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7" w:type="pct"/>
            <w:shd w:val="clear" w:color="auto" w:fill="auto"/>
          </w:tcPr>
          <w:p w:rsidR="00DF4640" w:rsidRPr="00DA0274" w:rsidRDefault="00DA0274" w:rsidP="001334B7">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bl>
    <w:p w:rsidR="00DF4640" w:rsidRDefault="00DF4640" w:rsidP="00DF4640">
      <w:pPr>
        <w:pStyle w:val="TableFooter"/>
        <w:widowControl/>
        <w:ind w:firstLine="720"/>
        <w:rPr>
          <w:sz w:val="16"/>
          <w:szCs w:val="16"/>
        </w:rPr>
      </w:pPr>
      <w:r w:rsidRPr="00843560">
        <w:rPr>
          <w:sz w:val="16"/>
          <w:szCs w:val="16"/>
        </w:rPr>
        <w:t>Source: Table</w:t>
      </w:r>
      <w:r w:rsidR="001334B7">
        <w:rPr>
          <w:sz w:val="16"/>
          <w:szCs w:val="16"/>
        </w:rPr>
        <w:t xml:space="preserve"> 14 p 44</w:t>
      </w:r>
      <w:r w:rsidRPr="00843560">
        <w:rPr>
          <w:sz w:val="16"/>
          <w:szCs w:val="16"/>
        </w:rPr>
        <w:t xml:space="preserve"> of the submission</w:t>
      </w:r>
      <w:r>
        <w:rPr>
          <w:sz w:val="16"/>
          <w:szCs w:val="16"/>
        </w:rPr>
        <w:t xml:space="preserve"> and the Financial Workbook.</w:t>
      </w:r>
    </w:p>
    <w:p w:rsidR="00DF4640" w:rsidRDefault="00DF4640" w:rsidP="00DF4640">
      <w:pPr>
        <w:jc w:val="both"/>
        <w:rPr>
          <w:rFonts w:ascii="Arial" w:hAnsi="Arial"/>
          <w:sz w:val="22"/>
          <w:szCs w:val="22"/>
        </w:rPr>
      </w:pPr>
    </w:p>
    <w:p w:rsidR="00BB7EC3" w:rsidRPr="00C00DA7" w:rsidRDefault="001334B7" w:rsidP="001334B7">
      <w:pPr>
        <w:pStyle w:val="ListParagraph"/>
        <w:numPr>
          <w:ilvl w:val="1"/>
          <w:numId w:val="25"/>
        </w:numPr>
        <w:jc w:val="both"/>
        <w:rPr>
          <w:rFonts w:ascii="Arial" w:hAnsi="Arial"/>
          <w:sz w:val="22"/>
          <w:szCs w:val="22"/>
        </w:rPr>
      </w:pPr>
      <w:r>
        <w:rPr>
          <w:rFonts w:ascii="Arial" w:hAnsi="Arial"/>
          <w:sz w:val="22"/>
          <w:szCs w:val="22"/>
        </w:rPr>
        <w:t>The submission note</w:t>
      </w:r>
      <w:r w:rsidR="00AA6007">
        <w:rPr>
          <w:rFonts w:ascii="Arial" w:hAnsi="Arial"/>
          <w:sz w:val="22"/>
          <w:szCs w:val="22"/>
        </w:rPr>
        <w:t>d</w:t>
      </w:r>
      <w:r>
        <w:rPr>
          <w:rFonts w:ascii="Arial" w:hAnsi="Arial"/>
          <w:sz w:val="22"/>
          <w:szCs w:val="22"/>
        </w:rPr>
        <w:t xml:space="preserve"> that </w:t>
      </w:r>
      <w:proofErr w:type="spellStart"/>
      <w:r>
        <w:rPr>
          <w:rFonts w:ascii="Arial" w:hAnsi="Arial"/>
          <w:sz w:val="22"/>
          <w:szCs w:val="22"/>
        </w:rPr>
        <w:t>omalizumab</w:t>
      </w:r>
      <w:proofErr w:type="spellEnd"/>
      <w:r>
        <w:rPr>
          <w:rFonts w:ascii="Arial" w:hAnsi="Arial"/>
          <w:sz w:val="22"/>
          <w:szCs w:val="22"/>
        </w:rPr>
        <w:t xml:space="preserve"> is subject to a Deed of Agreement </w:t>
      </w:r>
      <w:r w:rsidR="00DA0274">
        <w:rPr>
          <w:rFonts w:ascii="Arial" w:hAnsi="Arial"/>
          <w:noProof/>
          <w:color w:val="000000"/>
          <w:sz w:val="22"/>
          <w:szCs w:val="22"/>
          <w:highlight w:val="black"/>
        </w:rPr>
        <w:t>''''''''''''' '''''''''''''''' '''''' '''' '''''''''''''' '''''' '''''''''''''' '''''''''''''''''''''''''''''''''''''' '''''''''''''''''''''''''''' '''' ''''''''''''''''''''' '''''' '''''' '''''''''''''''''' '''''''''''''''''''' ''''''''''''' ''''''''' '''' ''''''''''''' '''''''''' '''''''' '''''''''''''''''''''''' ''''''''''''' ''''''''''''''''''''''''' '''''''' ''''''''''''''''''''''''' ''''''''''''' '''''''''' '''''''' '''''''''''''''' '''''''''' ''''' '''''''''''''''''''''''''''' ''''''''''''''' ''''''' '''''''''''''' '''''' ''''''' '''''''' '''''''' ''''''''''' ''''' '''''''' ''''''''''''''''''' '''''''''''' '''' ''''''''' '''''''''''''' '''''''''''''</w:t>
      </w:r>
      <w:r>
        <w:rPr>
          <w:rFonts w:ascii="Arial" w:hAnsi="Arial"/>
          <w:sz w:val="22"/>
          <w:szCs w:val="22"/>
        </w:rPr>
        <w:t xml:space="preserve">. </w:t>
      </w:r>
    </w:p>
    <w:p w:rsidR="00BB7EC3" w:rsidRDefault="00BB7EC3" w:rsidP="00BB7EC3">
      <w:pPr>
        <w:pStyle w:val="ListParagraph"/>
        <w:ind w:left="709"/>
        <w:jc w:val="both"/>
        <w:rPr>
          <w:rFonts w:ascii="Arial" w:hAnsi="Arial"/>
          <w:sz w:val="22"/>
          <w:szCs w:val="22"/>
        </w:rPr>
      </w:pPr>
    </w:p>
    <w:p w:rsidR="009E6BFF" w:rsidRPr="00BB7EC3" w:rsidRDefault="009E6BFF" w:rsidP="009E6BFF">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AA6007">
        <w:rPr>
          <w:rFonts w:ascii="Arial" w:hAnsi="Arial"/>
          <w:i/>
          <w:sz w:val="22"/>
          <w:szCs w:val="22"/>
        </w:rPr>
        <w:t>5</w:t>
      </w:r>
      <w:r>
        <w:rPr>
          <w:rFonts w:ascii="Arial" w:hAnsi="Arial"/>
          <w:i/>
          <w:sz w:val="22"/>
          <w:szCs w:val="22"/>
        </w:rPr>
        <w:t xml:space="preserve"> “PBAC outcome”</w:t>
      </w:r>
    </w:p>
    <w:p w:rsidR="009E6BFF" w:rsidRDefault="009E6BFF" w:rsidP="00BB7EC3">
      <w:pPr>
        <w:pStyle w:val="ListParagraph"/>
        <w:ind w:left="709"/>
        <w:jc w:val="both"/>
        <w:rPr>
          <w:rFonts w:ascii="Arial" w:hAnsi="Arial"/>
          <w:sz w:val="22"/>
          <w:szCs w:val="22"/>
        </w:rPr>
      </w:pPr>
    </w:p>
    <w:p w:rsidR="009D0C15" w:rsidRDefault="009D0C15" w:rsidP="00BB7EC3">
      <w:pPr>
        <w:pStyle w:val="ListParagraph"/>
        <w:ind w:left="709"/>
        <w:jc w:val="both"/>
        <w:rPr>
          <w:rFonts w:ascii="Arial" w:hAnsi="Arial"/>
          <w:sz w:val="22"/>
          <w:szCs w:val="22"/>
        </w:rPr>
      </w:pPr>
    </w:p>
    <w:p w:rsidR="009E6BFF" w:rsidRPr="005924BA" w:rsidRDefault="009E6BFF" w:rsidP="005924BA">
      <w:pPr>
        <w:pStyle w:val="ListParagraph"/>
        <w:numPr>
          <w:ilvl w:val="0"/>
          <w:numId w:val="25"/>
        </w:numPr>
        <w:jc w:val="both"/>
        <w:rPr>
          <w:rFonts w:ascii="Arial" w:hAnsi="Arial"/>
          <w:b/>
          <w:sz w:val="22"/>
          <w:szCs w:val="22"/>
        </w:rPr>
      </w:pPr>
      <w:r w:rsidRPr="005924BA">
        <w:rPr>
          <w:rFonts w:ascii="Arial" w:hAnsi="Arial"/>
          <w:b/>
          <w:sz w:val="22"/>
          <w:szCs w:val="22"/>
        </w:rPr>
        <w:t>PBAC Outcome</w:t>
      </w:r>
    </w:p>
    <w:p w:rsidR="009E6BFF" w:rsidRPr="00277113" w:rsidRDefault="009E6BFF" w:rsidP="005924BA">
      <w:pPr>
        <w:pStyle w:val="ListParagraph"/>
        <w:ind w:left="709"/>
        <w:jc w:val="both"/>
        <w:rPr>
          <w:rFonts w:ascii="Arial" w:hAnsi="Arial" w:cs="Arial"/>
          <w:b/>
          <w:bCs/>
          <w:sz w:val="22"/>
          <w:szCs w:val="22"/>
          <w:lang w:val="en-GB"/>
        </w:rPr>
      </w:pPr>
    </w:p>
    <w:p w:rsidR="009E6BFF" w:rsidRPr="00FD6D1A" w:rsidRDefault="00FD6D1A" w:rsidP="007E2547">
      <w:pPr>
        <w:numPr>
          <w:ilvl w:val="1"/>
          <w:numId w:val="25"/>
        </w:numPr>
        <w:jc w:val="both"/>
        <w:rPr>
          <w:rFonts w:ascii="Arial" w:hAnsi="Arial" w:cs="Arial"/>
          <w:bCs/>
          <w:sz w:val="22"/>
          <w:szCs w:val="22"/>
          <w:lang w:val="en-GB"/>
        </w:rPr>
      </w:pPr>
      <w:r w:rsidRPr="00FD6D1A">
        <w:rPr>
          <w:rFonts w:ascii="Arial" w:hAnsi="Arial" w:cs="Arial"/>
          <w:bCs/>
          <w:sz w:val="22"/>
          <w:szCs w:val="22"/>
          <w:lang w:val="en-GB"/>
        </w:rPr>
        <w:t xml:space="preserve">The PBAC recommended </w:t>
      </w:r>
      <w:r>
        <w:rPr>
          <w:rFonts w:ascii="Arial" w:hAnsi="Arial" w:cs="Arial"/>
          <w:bCs/>
          <w:sz w:val="22"/>
          <w:szCs w:val="22"/>
          <w:lang w:val="en-GB"/>
        </w:rPr>
        <w:t xml:space="preserve">amending the </w:t>
      </w:r>
      <w:r w:rsidR="00AA6007">
        <w:rPr>
          <w:rFonts w:ascii="Arial" w:hAnsi="Arial" w:cs="Arial"/>
          <w:bCs/>
          <w:sz w:val="22"/>
          <w:szCs w:val="22"/>
          <w:lang w:val="en-GB"/>
        </w:rPr>
        <w:t xml:space="preserve">restriction wording </w:t>
      </w:r>
      <w:r>
        <w:rPr>
          <w:rFonts w:ascii="Arial" w:hAnsi="Arial" w:cs="Arial"/>
          <w:bCs/>
          <w:sz w:val="22"/>
          <w:szCs w:val="22"/>
          <w:lang w:val="en-GB"/>
        </w:rPr>
        <w:t xml:space="preserve">of </w:t>
      </w:r>
      <w:proofErr w:type="spellStart"/>
      <w:r>
        <w:rPr>
          <w:rFonts w:ascii="Arial" w:hAnsi="Arial" w:cs="Arial"/>
          <w:bCs/>
          <w:sz w:val="22"/>
          <w:szCs w:val="22"/>
          <w:lang w:val="en-GB"/>
        </w:rPr>
        <w:t>omalizumab</w:t>
      </w:r>
      <w:proofErr w:type="spellEnd"/>
      <w:r w:rsidR="00BC7AC4">
        <w:rPr>
          <w:rFonts w:ascii="Arial" w:hAnsi="Arial" w:cs="Arial"/>
          <w:bCs/>
          <w:sz w:val="22"/>
          <w:szCs w:val="22"/>
          <w:lang w:val="en-GB"/>
        </w:rPr>
        <w:t xml:space="preserve"> </w:t>
      </w:r>
      <w:r>
        <w:rPr>
          <w:rFonts w:ascii="Arial" w:hAnsi="Arial" w:cs="Arial"/>
          <w:bCs/>
          <w:sz w:val="22"/>
          <w:szCs w:val="22"/>
          <w:lang w:val="en-GB"/>
        </w:rPr>
        <w:t xml:space="preserve">to align the definition of optimal asthma therapy </w:t>
      </w:r>
      <w:r w:rsidR="00AA6007">
        <w:rPr>
          <w:rFonts w:ascii="Arial" w:hAnsi="Arial" w:cs="Arial"/>
          <w:bCs/>
          <w:sz w:val="22"/>
          <w:szCs w:val="22"/>
          <w:lang w:val="en-GB"/>
        </w:rPr>
        <w:t xml:space="preserve">with </w:t>
      </w:r>
      <w:r>
        <w:rPr>
          <w:rFonts w:ascii="Arial" w:hAnsi="Arial" w:cs="Arial"/>
          <w:bCs/>
          <w:sz w:val="22"/>
          <w:szCs w:val="22"/>
          <w:lang w:val="en-GB"/>
        </w:rPr>
        <w:t xml:space="preserve">current clinical guidelines </w:t>
      </w:r>
      <w:r w:rsidR="007E2547">
        <w:rPr>
          <w:rFonts w:ascii="Arial" w:hAnsi="Arial" w:cs="Arial"/>
          <w:bCs/>
          <w:sz w:val="22"/>
          <w:szCs w:val="22"/>
          <w:lang w:val="en-GB"/>
        </w:rPr>
        <w:t>(</w:t>
      </w:r>
      <w:r w:rsidR="00AA6007">
        <w:rPr>
          <w:rFonts w:ascii="Arial" w:hAnsi="Arial" w:cs="Arial"/>
          <w:bCs/>
          <w:sz w:val="22"/>
          <w:szCs w:val="22"/>
          <w:lang w:val="en-GB"/>
        </w:rPr>
        <w:t xml:space="preserve">refers to </w:t>
      </w:r>
      <w:r w:rsidR="007E2547">
        <w:rPr>
          <w:rFonts w:ascii="Arial" w:hAnsi="Arial" w:cs="Arial"/>
          <w:bCs/>
          <w:sz w:val="22"/>
          <w:szCs w:val="22"/>
          <w:lang w:val="en-GB"/>
        </w:rPr>
        <w:t>row </w:t>
      </w:r>
      <w:r>
        <w:rPr>
          <w:rFonts w:ascii="Arial" w:hAnsi="Arial" w:cs="Arial"/>
          <w:bCs/>
          <w:sz w:val="22"/>
          <w:szCs w:val="22"/>
          <w:lang w:val="en-GB"/>
        </w:rPr>
        <w:t xml:space="preserve">1.8b </w:t>
      </w:r>
      <w:r w:rsidR="00AA6007">
        <w:rPr>
          <w:rFonts w:ascii="Arial" w:hAnsi="Arial" w:cs="Arial"/>
          <w:bCs/>
          <w:sz w:val="22"/>
          <w:szCs w:val="22"/>
          <w:lang w:val="en-GB"/>
        </w:rPr>
        <w:t>in the table</w:t>
      </w:r>
      <w:r>
        <w:rPr>
          <w:rFonts w:ascii="Arial" w:hAnsi="Arial" w:cs="Arial"/>
          <w:bCs/>
          <w:sz w:val="22"/>
          <w:szCs w:val="22"/>
          <w:lang w:val="en-GB"/>
        </w:rPr>
        <w:t xml:space="preserve">) and to </w:t>
      </w:r>
      <w:r w:rsidR="00AA6007">
        <w:rPr>
          <w:rFonts w:ascii="Arial" w:hAnsi="Arial" w:cs="Arial"/>
          <w:bCs/>
          <w:sz w:val="22"/>
          <w:szCs w:val="22"/>
          <w:lang w:val="en-GB"/>
        </w:rPr>
        <w:t xml:space="preserve">extend </w:t>
      </w:r>
      <w:r>
        <w:rPr>
          <w:rFonts w:ascii="Arial" w:hAnsi="Arial" w:cs="Arial"/>
          <w:bCs/>
          <w:sz w:val="22"/>
          <w:szCs w:val="22"/>
          <w:lang w:val="en-GB"/>
        </w:rPr>
        <w:t>the period fo</w:t>
      </w:r>
      <w:r w:rsidR="007E2547">
        <w:rPr>
          <w:rFonts w:ascii="Arial" w:hAnsi="Arial" w:cs="Arial"/>
          <w:bCs/>
          <w:sz w:val="22"/>
          <w:szCs w:val="22"/>
          <w:lang w:val="en-GB"/>
        </w:rPr>
        <w:t>r assessment of response from 2 </w:t>
      </w:r>
      <w:r>
        <w:rPr>
          <w:rFonts w:ascii="Arial" w:hAnsi="Arial" w:cs="Arial"/>
          <w:bCs/>
          <w:sz w:val="22"/>
          <w:szCs w:val="22"/>
          <w:lang w:val="en-GB"/>
        </w:rPr>
        <w:t>weeks to 4 weeks (</w:t>
      </w:r>
      <w:r w:rsidR="00AA6007">
        <w:rPr>
          <w:rFonts w:ascii="Arial" w:hAnsi="Arial" w:cs="Arial"/>
          <w:bCs/>
          <w:sz w:val="22"/>
          <w:szCs w:val="22"/>
          <w:lang w:val="en-GB"/>
        </w:rPr>
        <w:t xml:space="preserve">refers to </w:t>
      </w:r>
      <w:r>
        <w:rPr>
          <w:rFonts w:ascii="Arial" w:hAnsi="Arial" w:cs="Arial"/>
          <w:bCs/>
          <w:sz w:val="22"/>
          <w:szCs w:val="22"/>
          <w:lang w:val="en-GB"/>
        </w:rPr>
        <w:t xml:space="preserve">row 3). </w:t>
      </w:r>
    </w:p>
    <w:p w:rsidR="009E6BFF" w:rsidRPr="00277113" w:rsidRDefault="009E6BFF" w:rsidP="007E2547">
      <w:pPr>
        <w:jc w:val="both"/>
        <w:rPr>
          <w:rFonts w:ascii="Arial" w:hAnsi="Arial" w:cs="Arial"/>
          <w:b/>
          <w:bCs/>
          <w:sz w:val="22"/>
          <w:szCs w:val="22"/>
          <w:lang w:val="en-GB"/>
        </w:rPr>
      </w:pPr>
    </w:p>
    <w:p w:rsidR="009D55D4" w:rsidRDefault="001D5D0A" w:rsidP="000963D0">
      <w:pPr>
        <w:numPr>
          <w:ilvl w:val="1"/>
          <w:numId w:val="25"/>
        </w:numPr>
        <w:jc w:val="both"/>
        <w:rPr>
          <w:rFonts w:ascii="Arial" w:hAnsi="Arial" w:cs="Arial"/>
          <w:bCs/>
          <w:sz w:val="22"/>
          <w:szCs w:val="22"/>
          <w:lang w:val="en-GB"/>
        </w:rPr>
      </w:pPr>
      <w:r>
        <w:rPr>
          <w:rFonts w:ascii="Arial" w:hAnsi="Arial" w:cs="Arial"/>
          <w:bCs/>
          <w:sz w:val="22"/>
          <w:szCs w:val="22"/>
          <w:lang w:val="en-GB"/>
        </w:rPr>
        <w:t>The PBAC considered that accepting the change to the definition of optimal asthma therapy, with regards to treatment with oral corticosteroids, in line with clinical treatment guidelines was appropriately pragmatic.</w:t>
      </w:r>
      <w:r w:rsidR="000963D0">
        <w:rPr>
          <w:rFonts w:ascii="Arial" w:hAnsi="Arial" w:cs="Arial"/>
          <w:bCs/>
          <w:sz w:val="22"/>
          <w:szCs w:val="22"/>
          <w:lang w:val="en-GB"/>
        </w:rPr>
        <w:t xml:space="preserve"> The recommended change made to the definition is shown by strikethrough and italics</w:t>
      </w:r>
      <w:r w:rsidR="009D55D4">
        <w:rPr>
          <w:rFonts w:ascii="Arial" w:hAnsi="Arial" w:cs="Arial"/>
          <w:bCs/>
          <w:sz w:val="22"/>
          <w:szCs w:val="22"/>
          <w:lang w:val="en-GB"/>
        </w:rPr>
        <w:t xml:space="preserve"> as below:</w:t>
      </w:r>
    </w:p>
    <w:p w:rsidR="000963D0" w:rsidRPr="000963D0" w:rsidRDefault="000963D0" w:rsidP="001206C7">
      <w:pPr>
        <w:ind w:left="720"/>
        <w:jc w:val="both"/>
        <w:rPr>
          <w:rFonts w:ascii="Arial" w:hAnsi="Arial" w:cs="Arial"/>
          <w:bCs/>
          <w:sz w:val="22"/>
          <w:szCs w:val="22"/>
          <w:lang w:val="en-GB"/>
        </w:rPr>
      </w:pPr>
      <w:r>
        <w:rPr>
          <w:rFonts w:ascii="Arial" w:hAnsi="Arial" w:cs="Arial"/>
          <w:bCs/>
          <w:sz w:val="22"/>
          <w:szCs w:val="22"/>
          <w:lang w:val="en-GB"/>
        </w:rPr>
        <w:t>‘</w:t>
      </w:r>
      <w:r w:rsidRPr="000963D0">
        <w:rPr>
          <w:rFonts w:ascii="Arial" w:hAnsi="Arial" w:cs="Arial"/>
          <w:bCs/>
          <w:sz w:val="22"/>
          <w:szCs w:val="22"/>
          <w:lang w:val="en-GB"/>
        </w:rPr>
        <w:t>Optimised asthma therapy includes:</w:t>
      </w:r>
    </w:p>
    <w:p w:rsidR="000963D0" w:rsidRPr="000963D0" w:rsidRDefault="000963D0" w:rsidP="001206C7">
      <w:pPr>
        <w:ind w:left="720"/>
        <w:jc w:val="both"/>
        <w:rPr>
          <w:rFonts w:ascii="Arial" w:hAnsi="Arial" w:cs="Arial"/>
          <w:bCs/>
          <w:sz w:val="22"/>
          <w:szCs w:val="22"/>
          <w:lang w:val="en-GB"/>
        </w:rPr>
      </w:pPr>
      <w:r w:rsidRPr="000963D0">
        <w:rPr>
          <w:rFonts w:ascii="Arial" w:hAnsi="Arial" w:cs="Arial"/>
          <w:bCs/>
          <w:sz w:val="22"/>
          <w:szCs w:val="22"/>
          <w:lang w:val="en-GB"/>
        </w:rPr>
        <w:lastRenderedPageBreak/>
        <w:t>(</w:t>
      </w:r>
      <w:proofErr w:type="spellStart"/>
      <w:r w:rsidRPr="000963D0">
        <w:rPr>
          <w:rFonts w:ascii="Arial" w:hAnsi="Arial" w:cs="Arial"/>
          <w:bCs/>
          <w:sz w:val="22"/>
          <w:szCs w:val="22"/>
          <w:lang w:val="en-GB"/>
        </w:rPr>
        <w:t>i</w:t>
      </w:r>
      <w:proofErr w:type="spellEnd"/>
      <w:r w:rsidRPr="000963D0">
        <w:rPr>
          <w:rFonts w:ascii="Arial" w:hAnsi="Arial" w:cs="Arial"/>
          <w:bCs/>
          <w:sz w:val="22"/>
          <w:szCs w:val="22"/>
          <w:lang w:val="en-GB"/>
        </w:rPr>
        <w:t xml:space="preserve">) adherence to maximal inhaled therapy, including high dose inhaled corticosteroid (budesonide 1600 micrograms per day or fluticasone propionate 1000 micrograms per day or equivalent), plus long-acting beta-2 agonist therapy (at least </w:t>
      </w:r>
      <w:proofErr w:type="spellStart"/>
      <w:r w:rsidRPr="000963D0">
        <w:rPr>
          <w:rFonts w:ascii="Arial" w:hAnsi="Arial" w:cs="Arial"/>
          <w:bCs/>
          <w:sz w:val="22"/>
          <w:szCs w:val="22"/>
          <w:lang w:val="en-GB"/>
        </w:rPr>
        <w:t>salmeterol</w:t>
      </w:r>
      <w:proofErr w:type="spellEnd"/>
      <w:r w:rsidRPr="000963D0">
        <w:rPr>
          <w:rFonts w:ascii="Arial" w:hAnsi="Arial" w:cs="Arial"/>
          <w:bCs/>
          <w:sz w:val="22"/>
          <w:szCs w:val="22"/>
          <w:lang w:val="en-GB"/>
        </w:rPr>
        <w:t xml:space="preserve"> 50 micrograms </w:t>
      </w:r>
      <w:proofErr w:type="spellStart"/>
      <w:r w:rsidRPr="000963D0">
        <w:rPr>
          <w:rFonts w:ascii="Arial" w:hAnsi="Arial" w:cs="Arial"/>
          <w:bCs/>
          <w:sz w:val="22"/>
          <w:szCs w:val="22"/>
          <w:lang w:val="en-GB"/>
        </w:rPr>
        <w:t>bd</w:t>
      </w:r>
      <w:proofErr w:type="spellEnd"/>
      <w:r w:rsidRPr="000963D0">
        <w:rPr>
          <w:rFonts w:ascii="Arial" w:hAnsi="Arial" w:cs="Arial"/>
          <w:bCs/>
          <w:sz w:val="22"/>
          <w:szCs w:val="22"/>
          <w:lang w:val="en-GB"/>
        </w:rPr>
        <w:t xml:space="preserve"> or </w:t>
      </w:r>
      <w:proofErr w:type="spellStart"/>
      <w:r w:rsidRPr="000963D0">
        <w:rPr>
          <w:rFonts w:ascii="Arial" w:hAnsi="Arial" w:cs="Arial"/>
          <w:bCs/>
          <w:sz w:val="22"/>
          <w:szCs w:val="22"/>
          <w:lang w:val="en-GB"/>
        </w:rPr>
        <w:t>eformoterol</w:t>
      </w:r>
      <w:proofErr w:type="spellEnd"/>
      <w:r w:rsidRPr="000963D0">
        <w:rPr>
          <w:rFonts w:ascii="Arial" w:hAnsi="Arial" w:cs="Arial"/>
          <w:bCs/>
          <w:sz w:val="22"/>
          <w:szCs w:val="22"/>
          <w:lang w:val="en-GB"/>
        </w:rPr>
        <w:t xml:space="preserve"> 12 micrograms </w:t>
      </w:r>
      <w:proofErr w:type="spellStart"/>
      <w:r w:rsidRPr="000963D0">
        <w:rPr>
          <w:rFonts w:ascii="Arial" w:hAnsi="Arial" w:cs="Arial"/>
          <w:bCs/>
          <w:sz w:val="22"/>
          <w:szCs w:val="22"/>
          <w:lang w:val="en-GB"/>
        </w:rPr>
        <w:t>bd</w:t>
      </w:r>
      <w:proofErr w:type="spellEnd"/>
      <w:r w:rsidRPr="000963D0">
        <w:rPr>
          <w:rFonts w:ascii="Arial" w:hAnsi="Arial" w:cs="Arial"/>
          <w:bCs/>
          <w:sz w:val="22"/>
          <w:szCs w:val="22"/>
          <w:lang w:val="en-GB"/>
        </w:rPr>
        <w:t>) for at least 12 months, unless contraindicated or not tolerated, AND</w:t>
      </w:r>
    </w:p>
    <w:p w:rsidR="001D5D0A" w:rsidRDefault="000963D0" w:rsidP="001206C7">
      <w:pPr>
        <w:ind w:left="720"/>
        <w:jc w:val="both"/>
        <w:rPr>
          <w:rFonts w:ascii="Arial" w:hAnsi="Arial" w:cs="Arial"/>
          <w:bCs/>
          <w:sz w:val="22"/>
          <w:szCs w:val="22"/>
          <w:lang w:val="en-GB"/>
        </w:rPr>
      </w:pPr>
      <w:r w:rsidRPr="000963D0">
        <w:rPr>
          <w:rFonts w:ascii="Arial" w:hAnsi="Arial" w:cs="Arial"/>
          <w:bCs/>
          <w:sz w:val="22"/>
          <w:szCs w:val="22"/>
          <w:lang w:val="en-GB"/>
        </w:rPr>
        <w:t xml:space="preserve">(ii) </w:t>
      </w:r>
      <w:proofErr w:type="gramStart"/>
      <w:r w:rsidRPr="001206C7">
        <w:rPr>
          <w:rFonts w:ascii="Arial" w:hAnsi="Arial" w:cs="Arial"/>
          <w:bCs/>
          <w:i/>
          <w:sz w:val="22"/>
          <w:szCs w:val="22"/>
          <w:lang w:val="en-GB"/>
        </w:rPr>
        <w:t>treatment</w:t>
      </w:r>
      <w:proofErr w:type="gramEnd"/>
      <w:r w:rsidRPr="001206C7">
        <w:rPr>
          <w:rFonts w:ascii="Arial" w:hAnsi="Arial" w:cs="Arial"/>
          <w:bCs/>
          <w:i/>
          <w:sz w:val="22"/>
          <w:szCs w:val="22"/>
          <w:lang w:val="en-GB"/>
        </w:rPr>
        <w:t xml:space="preserve"> with</w:t>
      </w:r>
      <w:r w:rsidRPr="000963D0">
        <w:rPr>
          <w:rFonts w:ascii="Arial" w:hAnsi="Arial" w:cs="Arial"/>
          <w:bCs/>
          <w:sz w:val="22"/>
          <w:szCs w:val="22"/>
          <w:lang w:val="en-GB"/>
        </w:rPr>
        <w:t xml:space="preserve"> oral corticosteroids</w:t>
      </w:r>
      <w:r w:rsidR="009D55D4">
        <w:rPr>
          <w:rFonts w:ascii="Arial" w:hAnsi="Arial" w:cs="Arial"/>
          <w:bCs/>
          <w:sz w:val="22"/>
          <w:szCs w:val="22"/>
          <w:lang w:val="en-GB"/>
        </w:rPr>
        <w:t xml:space="preserve"> </w:t>
      </w:r>
      <w:r w:rsidR="009D55D4" w:rsidRPr="001206C7">
        <w:rPr>
          <w:rFonts w:ascii="Arial" w:hAnsi="Arial" w:cs="Arial"/>
          <w:bCs/>
          <w:strike/>
          <w:sz w:val="22"/>
          <w:szCs w:val="22"/>
          <w:lang w:val="en-GB"/>
        </w:rPr>
        <w:t>(at least 10 mg per day prednisolone (or equivalent))</w:t>
      </w:r>
      <w:r w:rsidRPr="000963D0">
        <w:rPr>
          <w:rFonts w:ascii="Arial" w:hAnsi="Arial" w:cs="Arial"/>
          <w:bCs/>
          <w:sz w:val="22"/>
          <w:szCs w:val="22"/>
          <w:lang w:val="en-GB"/>
        </w:rPr>
        <w:t xml:space="preserve">, </w:t>
      </w:r>
      <w:r w:rsidRPr="001206C7">
        <w:rPr>
          <w:rFonts w:ascii="Arial" w:hAnsi="Arial" w:cs="Arial"/>
          <w:bCs/>
          <w:i/>
          <w:sz w:val="22"/>
          <w:szCs w:val="22"/>
          <w:lang w:val="en-GB"/>
        </w:rPr>
        <w:t>either daily oral corticosteroids</w:t>
      </w:r>
      <w:r w:rsidRPr="000963D0">
        <w:rPr>
          <w:rFonts w:ascii="Arial" w:hAnsi="Arial" w:cs="Arial"/>
          <w:bCs/>
          <w:sz w:val="22"/>
          <w:szCs w:val="22"/>
          <w:lang w:val="en-GB"/>
        </w:rPr>
        <w:t xml:space="preserve"> for at least 6 weeks, unless contraindicated or not tolerated </w:t>
      </w:r>
      <w:r w:rsidR="00F6373D">
        <w:rPr>
          <w:rFonts w:ascii="Arial" w:hAnsi="Arial" w:cs="Arial"/>
          <w:bCs/>
          <w:i/>
          <w:sz w:val="22"/>
          <w:szCs w:val="22"/>
          <w:lang w:val="en-GB"/>
        </w:rPr>
        <w:t>or</w:t>
      </w:r>
      <w:r w:rsidRPr="001206C7">
        <w:rPr>
          <w:rFonts w:ascii="Arial" w:hAnsi="Arial" w:cs="Arial"/>
          <w:bCs/>
          <w:i/>
          <w:sz w:val="22"/>
          <w:szCs w:val="22"/>
          <w:lang w:val="en-GB"/>
        </w:rPr>
        <w:t xml:space="preserve"> a cumulative dose of oral corticosteroids of at least 500 mg prednisolone equivalent in the previous 12 months</w:t>
      </w:r>
      <w:r w:rsidR="009D55D4">
        <w:rPr>
          <w:rFonts w:ascii="Arial" w:hAnsi="Arial" w:cs="Arial"/>
          <w:bCs/>
          <w:i/>
          <w:sz w:val="22"/>
          <w:szCs w:val="22"/>
          <w:lang w:val="en-GB"/>
        </w:rPr>
        <w:t>.</w:t>
      </w:r>
      <w:r w:rsidR="00F6373D">
        <w:rPr>
          <w:rFonts w:ascii="Arial" w:hAnsi="Arial" w:cs="Arial"/>
          <w:bCs/>
          <w:i/>
          <w:sz w:val="22"/>
          <w:szCs w:val="22"/>
          <w:lang w:val="en-GB"/>
        </w:rPr>
        <w:t>’</w:t>
      </w:r>
    </w:p>
    <w:p w:rsidR="006F5493" w:rsidRDefault="006F5493" w:rsidP="006F5493">
      <w:pPr>
        <w:pStyle w:val="ListParagraph"/>
        <w:rPr>
          <w:rFonts w:ascii="Arial" w:hAnsi="Arial" w:cs="Arial"/>
          <w:bCs/>
          <w:sz w:val="22"/>
          <w:szCs w:val="22"/>
          <w:lang w:val="en-GB"/>
        </w:rPr>
      </w:pPr>
    </w:p>
    <w:p w:rsidR="00AA6007" w:rsidRDefault="00AA6007" w:rsidP="00991B60">
      <w:pPr>
        <w:pStyle w:val="ListParagraph"/>
        <w:numPr>
          <w:ilvl w:val="1"/>
          <w:numId w:val="25"/>
        </w:numPr>
        <w:rPr>
          <w:rFonts w:ascii="Arial" w:hAnsi="Arial" w:cs="Arial"/>
          <w:bCs/>
          <w:sz w:val="22"/>
          <w:szCs w:val="22"/>
          <w:lang w:val="en-GB"/>
        </w:rPr>
      </w:pPr>
      <w:r w:rsidRPr="00AA6007">
        <w:rPr>
          <w:rFonts w:ascii="Arial" w:hAnsi="Arial" w:cs="Arial"/>
          <w:bCs/>
          <w:sz w:val="22"/>
          <w:szCs w:val="22"/>
          <w:lang w:val="en-GB"/>
        </w:rPr>
        <w:t xml:space="preserve">The PBAC noted that the </w:t>
      </w:r>
      <w:r w:rsidR="00453B84">
        <w:rPr>
          <w:rFonts w:ascii="Arial" w:hAnsi="Arial" w:cs="Arial"/>
          <w:bCs/>
          <w:sz w:val="22"/>
          <w:szCs w:val="22"/>
          <w:lang w:val="en-GB"/>
        </w:rPr>
        <w:t>p</w:t>
      </w:r>
      <w:r w:rsidR="00453B84" w:rsidRPr="00AA6007">
        <w:rPr>
          <w:rFonts w:ascii="Arial" w:hAnsi="Arial" w:cs="Arial"/>
          <w:bCs/>
          <w:sz w:val="22"/>
          <w:szCs w:val="22"/>
          <w:lang w:val="en-GB"/>
        </w:rPr>
        <w:t xml:space="preserve">re-PBAC </w:t>
      </w:r>
      <w:r w:rsidR="00453B84">
        <w:rPr>
          <w:rFonts w:ascii="Arial" w:hAnsi="Arial" w:cs="Arial"/>
          <w:bCs/>
          <w:sz w:val="22"/>
          <w:szCs w:val="22"/>
          <w:lang w:val="en-GB"/>
        </w:rPr>
        <w:t>r</w:t>
      </w:r>
      <w:r w:rsidR="00453B84" w:rsidRPr="00AA6007">
        <w:rPr>
          <w:rFonts w:ascii="Arial" w:hAnsi="Arial" w:cs="Arial"/>
          <w:bCs/>
          <w:sz w:val="22"/>
          <w:szCs w:val="22"/>
          <w:lang w:val="en-GB"/>
        </w:rPr>
        <w:t xml:space="preserve">esponse </w:t>
      </w:r>
      <w:r w:rsidR="00453B84">
        <w:rPr>
          <w:rFonts w:ascii="Arial" w:hAnsi="Arial" w:cs="Arial"/>
          <w:bCs/>
          <w:sz w:val="22"/>
          <w:szCs w:val="22"/>
          <w:lang w:val="en-GB"/>
        </w:rPr>
        <w:t xml:space="preserve">included </w:t>
      </w:r>
      <w:r w:rsidRPr="00AA6007">
        <w:rPr>
          <w:rFonts w:ascii="Arial" w:hAnsi="Arial" w:cs="Arial"/>
          <w:bCs/>
          <w:sz w:val="22"/>
          <w:szCs w:val="22"/>
          <w:lang w:val="en-GB"/>
        </w:rPr>
        <w:t xml:space="preserve">a stepped economic evaluation for </w:t>
      </w:r>
      <w:proofErr w:type="spellStart"/>
      <w:r w:rsidRPr="00AA6007">
        <w:rPr>
          <w:rFonts w:ascii="Arial" w:hAnsi="Arial" w:cs="Arial"/>
          <w:bCs/>
          <w:sz w:val="22"/>
          <w:szCs w:val="22"/>
          <w:lang w:val="en-GB"/>
        </w:rPr>
        <w:t>omalizumab</w:t>
      </w:r>
      <w:proofErr w:type="spellEnd"/>
      <w:r w:rsidRPr="00AA6007">
        <w:rPr>
          <w:rFonts w:ascii="Arial" w:hAnsi="Arial" w:cs="Arial"/>
          <w:bCs/>
          <w:sz w:val="22"/>
          <w:szCs w:val="22"/>
          <w:lang w:val="en-GB"/>
        </w:rPr>
        <w:t>, from the current to the proposed PBS criteria under the original and pre</w:t>
      </w:r>
      <w:r w:rsidR="00453B84">
        <w:rPr>
          <w:rFonts w:ascii="Arial" w:hAnsi="Arial" w:cs="Arial"/>
          <w:bCs/>
          <w:sz w:val="22"/>
          <w:szCs w:val="22"/>
          <w:lang w:val="en-GB"/>
        </w:rPr>
        <w:t>-filled syringe prices</w:t>
      </w:r>
      <w:r w:rsidRPr="00AA6007">
        <w:rPr>
          <w:rFonts w:ascii="Arial" w:hAnsi="Arial" w:cs="Arial"/>
          <w:bCs/>
          <w:sz w:val="22"/>
          <w:szCs w:val="22"/>
          <w:lang w:val="en-GB"/>
        </w:rPr>
        <w:t>.</w:t>
      </w:r>
      <w:r>
        <w:rPr>
          <w:rFonts w:ascii="Arial" w:hAnsi="Arial" w:cs="Arial"/>
          <w:bCs/>
          <w:sz w:val="22"/>
          <w:szCs w:val="22"/>
          <w:lang w:val="en-GB"/>
        </w:rPr>
        <w:t xml:space="preserve"> </w:t>
      </w:r>
      <w:r w:rsidR="00117D23" w:rsidRPr="00991B60">
        <w:rPr>
          <w:rFonts w:ascii="Arial" w:hAnsi="Arial" w:cs="Arial"/>
          <w:bCs/>
          <w:sz w:val="22"/>
          <w:szCs w:val="22"/>
          <w:lang w:val="en-GB"/>
        </w:rPr>
        <w:t xml:space="preserve">The PBAC noted that the ICERs were verified against the sponsor’s 2010 model prior to the meeting. However, a more extensive evaluation of the economic analysis could not be conducted in the available time. </w:t>
      </w:r>
    </w:p>
    <w:p w:rsidR="00AA6007" w:rsidRPr="00991B60" w:rsidRDefault="00AA6007" w:rsidP="00991B60">
      <w:pPr>
        <w:pStyle w:val="ListParagraph"/>
        <w:rPr>
          <w:rFonts w:ascii="Arial" w:hAnsi="Arial" w:cs="Arial"/>
          <w:bCs/>
          <w:sz w:val="22"/>
          <w:szCs w:val="22"/>
          <w:lang w:val="en-GB"/>
        </w:rPr>
      </w:pPr>
    </w:p>
    <w:p w:rsidR="009E6BFF" w:rsidRPr="00991B60" w:rsidRDefault="009A267D" w:rsidP="00465405">
      <w:pPr>
        <w:numPr>
          <w:ilvl w:val="1"/>
          <w:numId w:val="25"/>
        </w:numPr>
        <w:jc w:val="both"/>
        <w:rPr>
          <w:rFonts w:ascii="Arial" w:hAnsi="Arial" w:cs="Arial"/>
          <w:bCs/>
          <w:sz w:val="22"/>
          <w:szCs w:val="22"/>
          <w:lang w:val="en-GB"/>
        </w:rPr>
      </w:pPr>
      <w:r w:rsidRPr="00991B60">
        <w:rPr>
          <w:rFonts w:ascii="Arial" w:hAnsi="Arial" w:cs="Arial"/>
          <w:bCs/>
          <w:sz w:val="22"/>
          <w:szCs w:val="22"/>
          <w:lang w:val="en-GB"/>
        </w:rPr>
        <w:t>T</w:t>
      </w:r>
      <w:r w:rsidR="007E2547" w:rsidRPr="00991B60">
        <w:rPr>
          <w:rFonts w:ascii="Arial" w:hAnsi="Arial" w:cs="Arial"/>
          <w:bCs/>
          <w:sz w:val="22"/>
          <w:szCs w:val="22"/>
          <w:lang w:val="en-GB"/>
        </w:rPr>
        <w:t xml:space="preserve">he PBAC noted </w:t>
      </w:r>
      <w:r w:rsidR="00117D23" w:rsidRPr="00991B60">
        <w:rPr>
          <w:rFonts w:ascii="Arial" w:hAnsi="Arial" w:cs="Arial"/>
          <w:bCs/>
          <w:sz w:val="22"/>
          <w:szCs w:val="22"/>
          <w:lang w:val="en-GB"/>
        </w:rPr>
        <w:t xml:space="preserve">that the </w:t>
      </w:r>
      <w:r w:rsidRPr="00991B60">
        <w:rPr>
          <w:rFonts w:ascii="Arial" w:hAnsi="Arial" w:cs="Arial"/>
          <w:bCs/>
          <w:sz w:val="22"/>
          <w:szCs w:val="22"/>
          <w:lang w:val="en-GB"/>
        </w:rPr>
        <w:t>remaining</w:t>
      </w:r>
      <w:r w:rsidR="00117D23" w:rsidRPr="00991B60">
        <w:rPr>
          <w:rFonts w:ascii="Arial" w:hAnsi="Arial" w:cs="Arial"/>
          <w:bCs/>
          <w:sz w:val="22"/>
          <w:szCs w:val="22"/>
          <w:lang w:val="en-GB"/>
        </w:rPr>
        <w:t xml:space="preserve"> requested</w:t>
      </w:r>
      <w:r w:rsidR="00D003AC" w:rsidRPr="00991B60">
        <w:rPr>
          <w:rFonts w:ascii="Arial" w:hAnsi="Arial" w:cs="Arial"/>
          <w:bCs/>
          <w:sz w:val="22"/>
          <w:szCs w:val="22"/>
          <w:lang w:val="en-GB"/>
        </w:rPr>
        <w:t xml:space="preserve"> changes </w:t>
      </w:r>
      <w:r w:rsidR="00117D23" w:rsidRPr="00991B60">
        <w:rPr>
          <w:rFonts w:ascii="Arial" w:hAnsi="Arial" w:cs="Arial"/>
          <w:bCs/>
          <w:sz w:val="22"/>
          <w:szCs w:val="22"/>
          <w:lang w:val="en-GB"/>
        </w:rPr>
        <w:t xml:space="preserve">to the restriction for </w:t>
      </w:r>
      <w:proofErr w:type="spellStart"/>
      <w:r w:rsidR="00117D23" w:rsidRPr="00991B60">
        <w:rPr>
          <w:rFonts w:ascii="Arial" w:hAnsi="Arial" w:cs="Arial"/>
          <w:bCs/>
          <w:sz w:val="22"/>
          <w:szCs w:val="22"/>
          <w:lang w:val="en-GB"/>
        </w:rPr>
        <w:t>omalizumab</w:t>
      </w:r>
      <w:proofErr w:type="spellEnd"/>
      <w:r w:rsidRPr="00991B60">
        <w:rPr>
          <w:rFonts w:ascii="Arial" w:hAnsi="Arial" w:cs="Arial"/>
          <w:bCs/>
          <w:sz w:val="22"/>
          <w:szCs w:val="22"/>
          <w:lang w:val="en-GB"/>
        </w:rPr>
        <w:t xml:space="preserve"> </w:t>
      </w:r>
      <w:r w:rsidR="00D003AC" w:rsidRPr="00991B60">
        <w:rPr>
          <w:rFonts w:ascii="Arial" w:hAnsi="Arial" w:cs="Arial"/>
          <w:bCs/>
          <w:sz w:val="22"/>
          <w:szCs w:val="22"/>
          <w:lang w:val="en-GB"/>
        </w:rPr>
        <w:t xml:space="preserve">would require </w:t>
      </w:r>
      <w:r w:rsidR="00117D23" w:rsidRPr="00991B60">
        <w:rPr>
          <w:rFonts w:ascii="Arial" w:hAnsi="Arial" w:cs="Arial"/>
          <w:bCs/>
          <w:sz w:val="22"/>
          <w:szCs w:val="22"/>
          <w:lang w:val="en-GB"/>
        </w:rPr>
        <w:t xml:space="preserve">formal </w:t>
      </w:r>
      <w:r w:rsidR="00D003AC" w:rsidRPr="00991B60">
        <w:rPr>
          <w:rFonts w:ascii="Arial" w:hAnsi="Arial" w:cs="Arial"/>
          <w:bCs/>
          <w:sz w:val="22"/>
          <w:szCs w:val="22"/>
          <w:lang w:val="en-GB"/>
        </w:rPr>
        <w:t>evaluation prior to consideration by PBAC</w:t>
      </w:r>
      <w:r w:rsidRPr="00991B60">
        <w:rPr>
          <w:rFonts w:ascii="Arial" w:hAnsi="Arial" w:cs="Arial"/>
          <w:bCs/>
          <w:sz w:val="22"/>
          <w:szCs w:val="22"/>
          <w:lang w:val="en-GB"/>
        </w:rPr>
        <w:t xml:space="preserve">. Accordingly, the PBAC recommended </w:t>
      </w:r>
      <w:r w:rsidR="00D003AC" w:rsidRPr="00991B60">
        <w:rPr>
          <w:rFonts w:ascii="Arial" w:hAnsi="Arial" w:cs="Arial"/>
          <w:bCs/>
          <w:sz w:val="22"/>
          <w:szCs w:val="22"/>
          <w:lang w:val="en-GB"/>
        </w:rPr>
        <w:t xml:space="preserve">that the sponsor </w:t>
      </w:r>
      <w:r w:rsidR="00117D23" w:rsidRPr="00991B60">
        <w:rPr>
          <w:rFonts w:ascii="Arial" w:hAnsi="Arial" w:cs="Arial"/>
          <w:bCs/>
          <w:sz w:val="22"/>
          <w:szCs w:val="22"/>
          <w:lang w:val="en-GB"/>
        </w:rPr>
        <w:t>submit</w:t>
      </w:r>
      <w:r w:rsidR="00D003AC" w:rsidRPr="00991B60">
        <w:rPr>
          <w:rFonts w:ascii="Arial" w:hAnsi="Arial" w:cs="Arial"/>
          <w:bCs/>
          <w:sz w:val="22"/>
          <w:szCs w:val="22"/>
          <w:lang w:val="en-GB"/>
        </w:rPr>
        <w:t xml:space="preserve"> a major </w:t>
      </w:r>
      <w:r w:rsidR="00117D23" w:rsidRPr="00991B60">
        <w:rPr>
          <w:rFonts w:ascii="Arial" w:hAnsi="Arial" w:cs="Arial"/>
          <w:bCs/>
          <w:sz w:val="22"/>
          <w:szCs w:val="22"/>
          <w:lang w:val="en-GB"/>
        </w:rPr>
        <w:t>re</w:t>
      </w:r>
      <w:r w:rsidR="00D003AC" w:rsidRPr="00991B60">
        <w:rPr>
          <w:rFonts w:ascii="Arial" w:hAnsi="Arial" w:cs="Arial"/>
          <w:bCs/>
          <w:sz w:val="22"/>
          <w:szCs w:val="22"/>
          <w:lang w:val="en-GB"/>
        </w:rPr>
        <w:t>submission</w:t>
      </w:r>
      <w:r w:rsidRPr="00991B60">
        <w:rPr>
          <w:rFonts w:ascii="Arial" w:hAnsi="Arial" w:cs="Arial"/>
          <w:bCs/>
          <w:sz w:val="22"/>
          <w:szCs w:val="22"/>
          <w:lang w:val="en-GB"/>
        </w:rPr>
        <w:t xml:space="preserve"> to justify </w:t>
      </w:r>
      <w:r w:rsidR="00816666" w:rsidRPr="00991B60">
        <w:rPr>
          <w:rFonts w:ascii="Arial" w:hAnsi="Arial" w:cs="Arial"/>
          <w:bCs/>
          <w:sz w:val="22"/>
          <w:szCs w:val="22"/>
          <w:lang w:val="en-GB"/>
        </w:rPr>
        <w:t xml:space="preserve">reducing </w:t>
      </w:r>
      <w:r w:rsidRPr="00991B60">
        <w:rPr>
          <w:rFonts w:ascii="Arial" w:hAnsi="Arial" w:cs="Arial"/>
          <w:bCs/>
          <w:sz w:val="22"/>
          <w:szCs w:val="22"/>
          <w:lang w:val="en-GB"/>
        </w:rPr>
        <w:t xml:space="preserve">the baseline </w:t>
      </w:r>
      <w:proofErr w:type="spellStart"/>
      <w:r w:rsidRPr="00991B60">
        <w:rPr>
          <w:rFonts w:ascii="Arial" w:hAnsi="Arial" w:cs="Arial"/>
          <w:bCs/>
          <w:sz w:val="22"/>
          <w:szCs w:val="22"/>
          <w:lang w:val="en-GB"/>
        </w:rPr>
        <w:t>IgE</w:t>
      </w:r>
      <w:proofErr w:type="spellEnd"/>
      <w:r w:rsidRPr="00991B60">
        <w:rPr>
          <w:rFonts w:ascii="Arial" w:hAnsi="Arial" w:cs="Arial"/>
          <w:bCs/>
          <w:sz w:val="22"/>
          <w:szCs w:val="22"/>
          <w:lang w:val="en-GB"/>
        </w:rPr>
        <w:t xml:space="preserve"> threshold </w:t>
      </w:r>
      <w:r w:rsidR="00816666" w:rsidRPr="00991B60">
        <w:rPr>
          <w:rFonts w:ascii="Arial" w:hAnsi="Arial" w:cs="Arial"/>
          <w:bCs/>
          <w:sz w:val="22"/>
          <w:szCs w:val="22"/>
          <w:lang w:val="en-GB"/>
        </w:rPr>
        <w:t xml:space="preserve">as well as </w:t>
      </w:r>
      <w:r w:rsidRPr="00991B60">
        <w:rPr>
          <w:rFonts w:ascii="Arial" w:hAnsi="Arial" w:cs="Arial"/>
          <w:bCs/>
          <w:sz w:val="22"/>
          <w:szCs w:val="22"/>
          <w:lang w:val="en-GB"/>
        </w:rPr>
        <w:t xml:space="preserve">other </w:t>
      </w:r>
      <w:r w:rsidR="00816666" w:rsidRPr="00991B60">
        <w:rPr>
          <w:rFonts w:ascii="Arial" w:hAnsi="Arial" w:cs="Arial"/>
          <w:bCs/>
          <w:sz w:val="22"/>
          <w:szCs w:val="22"/>
          <w:lang w:val="en-GB"/>
        </w:rPr>
        <w:t xml:space="preserve">requested changes to </w:t>
      </w:r>
      <w:r w:rsidRPr="00991B60">
        <w:rPr>
          <w:rFonts w:ascii="Arial" w:hAnsi="Arial" w:cs="Arial"/>
          <w:bCs/>
          <w:sz w:val="22"/>
          <w:szCs w:val="22"/>
          <w:lang w:val="en-GB"/>
        </w:rPr>
        <w:t xml:space="preserve">the </w:t>
      </w:r>
      <w:r w:rsidR="00465405">
        <w:rPr>
          <w:rFonts w:ascii="Arial" w:hAnsi="Arial" w:cs="Arial"/>
          <w:bCs/>
          <w:sz w:val="22"/>
          <w:szCs w:val="22"/>
          <w:lang w:val="en-GB"/>
        </w:rPr>
        <w:t>wording</w:t>
      </w:r>
      <w:r w:rsidR="00465405" w:rsidRPr="00465405">
        <w:rPr>
          <w:rFonts w:ascii="Arial" w:hAnsi="Arial" w:cs="Arial"/>
          <w:bCs/>
          <w:sz w:val="22"/>
          <w:szCs w:val="22"/>
          <w:lang w:val="en-GB"/>
        </w:rPr>
        <w:t xml:space="preserve"> </w:t>
      </w:r>
      <w:r w:rsidR="00465405">
        <w:rPr>
          <w:rFonts w:ascii="Arial" w:hAnsi="Arial" w:cs="Arial"/>
          <w:bCs/>
          <w:sz w:val="22"/>
          <w:szCs w:val="22"/>
          <w:lang w:val="en-GB"/>
        </w:rPr>
        <w:t xml:space="preserve">of the </w:t>
      </w:r>
      <w:r w:rsidRPr="00991B60">
        <w:rPr>
          <w:rFonts w:ascii="Arial" w:hAnsi="Arial" w:cs="Arial"/>
          <w:bCs/>
          <w:sz w:val="22"/>
          <w:szCs w:val="22"/>
          <w:lang w:val="en-GB"/>
        </w:rPr>
        <w:t>restrictio</w:t>
      </w:r>
      <w:r w:rsidRPr="00991B60">
        <w:rPr>
          <w:rFonts w:ascii="Arial" w:hAnsi="Arial" w:cs="Arial"/>
          <w:sz w:val="22"/>
          <w:szCs w:val="22"/>
          <w:lang w:val="en-GB"/>
        </w:rPr>
        <w:t>n</w:t>
      </w:r>
      <w:r w:rsidR="00D003AC" w:rsidRPr="00991B60">
        <w:rPr>
          <w:rFonts w:ascii="Arial" w:hAnsi="Arial" w:cs="Arial"/>
          <w:bCs/>
          <w:sz w:val="22"/>
          <w:szCs w:val="22"/>
          <w:lang w:val="en-GB"/>
        </w:rPr>
        <w:t xml:space="preserve">. </w:t>
      </w:r>
    </w:p>
    <w:p w:rsidR="009E6BFF" w:rsidRDefault="009E6BFF" w:rsidP="009E6BFF">
      <w:pPr>
        <w:rPr>
          <w:rFonts w:ascii="Arial" w:hAnsi="Arial" w:cs="Arial"/>
          <w:b/>
          <w:bCs/>
          <w:sz w:val="22"/>
          <w:szCs w:val="22"/>
          <w:lang w:val="en-GB"/>
        </w:rPr>
      </w:pPr>
    </w:p>
    <w:p w:rsidR="005924BA" w:rsidRPr="00277113" w:rsidRDefault="005924BA" w:rsidP="009E6BFF">
      <w:pPr>
        <w:rPr>
          <w:rFonts w:ascii="Arial" w:hAnsi="Arial" w:cs="Arial"/>
          <w:b/>
          <w:bCs/>
          <w:sz w:val="22"/>
          <w:szCs w:val="22"/>
          <w:lang w:val="en-GB"/>
        </w:rPr>
      </w:pPr>
    </w:p>
    <w:p w:rsidR="009E6BFF" w:rsidRPr="00277113" w:rsidRDefault="009E6BFF" w:rsidP="00D71908">
      <w:pPr>
        <w:keepNext/>
        <w:rPr>
          <w:rFonts w:ascii="Arial" w:hAnsi="Arial" w:cs="Arial"/>
          <w:b/>
          <w:bCs/>
          <w:sz w:val="22"/>
          <w:szCs w:val="22"/>
          <w:lang w:val="en-GB"/>
        </w:rPr>
      </w:pPr>
      <w:r w:rsidRPr="00277113">
        <w:rPr>
          <w:rFonts w:ascii="Arial" w:hAnsi="Arial" w:cs="Arial"/>
          <w:b/>
          <w:bCs/>
          <w:sz w:val="22"/>
          <w:szCs w:val="22"/>
          <w:lang w:val="en-GB"/>
        </w:rPr>
        <w:t>Outcome:</w:t>
      </w:r>
    </w:p>
    <w:p w:rsidR="009E6BFF" w:rsidRPr="00277113" w:rsidRDefault="001B77DE" w:rsidP="009E6BFF">
      <w:pPr>
        <w:rPr>
          <w:rFonts w:ascii="Arial" w:hAnsi="Arial" w:cs="Arial"/>
          <w:bCs/>
          <w:sz w:val="22"/>
          <w:szCs w:val="22"/>
          <w:lang w:val="en-GB"/>
        </w:rPr>
      </w:pPr>
      <w:r>
        <w:rPr>
          <w:rFonts w:ascii="Arial" w:hAnsi="Arial" w:cs="Arial"/>
          <w:bCs/>
          <w:sz w:val="22"/>
          <w:szCs w:val="22"/>
          <w:lang w:val="en-GB"/>
        </w:rPr>
        <w:t>Recommended</w:t>
      </w:r>
    </w:p>
    <w:p w:rsidR="009E6BFF" w:rsidRDefault="009E6BFF" w:rsidP="009E6BFF">
      <w:pPr>
        <w:rPr>
          <w:rFonts w:ascii="Arial" w:hAnsi="Arial" w:cs="Arial"/>
          <w:bCs/>
          <w:sz w:val="22"/>
          <w:szCs w:val="22"/>
          <w:lang w:val="en-GB"/>
        </w:rPr>
      </w:pPr>
    </w:p>
    <w:p w:rsidR="009D0C15" w:rsidRPr="00277113" w:rsidRDefault="009D0C15" w:rsidP="009E6BFF">
      <w:pPr>
        <w:rPr>
          <w:rFonts w:ascii="Arial" w:hAnsi="Arial" w:cs="Arial"/>
          <w:bCs/>
          <w:sz w:val="22"/>
          <w:szCs w:val="22"/>
          <w:lang w:val="en-GB"/>
        </w:rPr>
      </w:pPr>
    </w:p>
    <w:p w:rsidR="009E6BFF" w:rsidRPr="000220CA" w:rsidRDefault="009E6BFF" w:rsidP="009E6BFF">
      <w:pPr>
        <w:numPr>
          <w:ilvl w:val="0"/>
          <w:numId w:val="25"/>
        </w:numPr>
        <w:rPr>
          <w:rFonts w:ascii="Arial" w:hAnsi="Arial" w:cs="Arial"/>
          <w:b/>
          <w:bCs/>
          <w:i/>
          <w:sz w:val="22"/>
          <w:szCs w:val="22"/>
          <w:lang w:val="en-GB"/>
        </w:rPr>
      </w:pPr>
      <w:r w:rsidRPr="00277113">
        <w:rPr>
          <w:rFonts w:ascii="Arial" w:hAnsi="Arial" w:cs="Arial"/>
          <w:b/>
          <w:bCs/>
          <w:sz w:val="22"/>
          <w:szCs w:val="22"/>
          <w:lang w:val="en-GB"/>
        </w:rPr>
        <w:t>Recommended listing</w:t>
      </w:r>
    </w:p>
    <w:p w:rsidR="009E6BFF" w:rsidRPr="00277113" w:rsidRDefault="009E6BFF" w:rsidP="009E6BFF">
      <w:pPr>
        <w:rPr>
          <w:rFonts w:ascii="Arial" w:hAnsi="Arial" w:cs="Arial"/>
          <w:b/>
          <w:bCs/>
          <w:i/>
          <w:sz w:val="22"/>
          <w:szCs w:val="22"/>
          <w:lang w:val="en-GB"/>
        </w:rPr>
      </w:pPr>
    </w:p>
    <w:p w:rsidR="009D55D4" w:rsidRDefault="00152724" w:rsidP="00117D23">
      <w:pPr>
        <w:numPr>
          <w:ilvl w:val="1"/>
          <w:numId w:val="25"/>
        </w:numPr>
        <w:rPr>
          <w:rFonts w:ascii="Arial" w:hAnsi="Arial" w:cs="Arial"/>
          <w:bCs/>
          <w:sz w:val="22"/>
          <w:szCs w:val="22"/>
        </w:rPr>
      </w:pPr>
      <w:r>
        <w:rPr>
          <w:rFonts w:ascii="Arial" w:hAnsi="Arial" w:cs="Arial"/>
          <w:bCs/>
          <w:sz w:val="22"/>
          <w:szCs w:val="22"/>
        </w:rPr>
        <w:t>Amend existing listing</w:t>
      </w:r>
      <w:r w:rsidR="009D55D4">
        <w:rPr>
          <w:rFonts w:ascii="Arial" w:hAnsi="Arial" w:cs="Arial"/>
          <w:bCs/>
          <w:sz w:val="22"/>
          <w:szCs w:val="22"/>
        </w:rPr>
        <w:t>.</w:t>
      </w:r>
    </w:p>
    <w:p w:rsidR="009D55D4" w:rsidRDefault="009D55D4" w:rsidP="001206C7">
      <w:pPr>
        <w:ind w:left="720"/>
        <w:rPr>
          <w:rFonts w:ascii="Arial" w:hAnsi="Arial" w:cs="Arial"/>
          <w:bCs/>
          <w:sz w:val="22"/>
          <w:szCs w:val="22"/>
        </w:rPr>
      </w:pPr>
    </w:p>
    <w:p w:rsidR="009D55D4" w:rsidRDefault="00F6373D" w:rsidP="009D55D4">
      <w:pPr>
        <w:numPr>
          <w:ilvl w:val="1"/>
          <w:numId w:val="25"/>
        </w:numPr>
        <w:rPr>
          <w:rFonts w:ascii="Arial" w:hAnsi="Arial" w:cs="Arial"/>
          <w:bCs/>
          <w:sz w:val="22"/>
          <w:szCs w:val="22"/>
        </w:rPr>
      </w:pPr>
      <w:r>
        <w:rPr>
          <w:rFonts w:ascii="Arial" w:hAnsi="Arial" w:cs="Arial"/>
          <w:bCs/>
          <w:sz w:val="22"/>
          <w:szCs w:val="22"/>
        </w:rPr>
        <w:t>The amended restriction</w:t>
      </w:r>
      <w:r w:rsidR="009D55D4" w:rsidRPr="009D55D4">
        <w:rPr>
          <w:rFonts w:ascii="Arial" w:hAnsi="Arial" w:cs="Arial"/>
          <w:bCs/>
          <w:sz w:val="22"/>
          <w:szCs w:val="22"/>
        </w:rPr>
        <w:t xml:space="preserve"> will need to be remodelled to comply with </w:t>
      </w:r>
      <w:proofErr w:type="spellStart"/>
      <w:r w:rsidR="00390653" w:rsidRPr="009D55D4">
        <w:rPr>
          <w:rFonts w:ascii="Arial" w:hAnsi="Arial" w:cs="Arial"/>
          <w:bCs/>
          <w:sz w:val="22"/>
          <w:szCs w:val="22"/>
        </w:rPr>
        <w:t>PharmC</w:t>
      </w:r>
      <w:r w:rsidR="00390653">
        <w:rPr>
          <w:rFonts w:ascii="Arial" w:hAnsi="Arial" w:cs="Arial"/>
          <w:bCs/>
          <w:sz w:val="22"/>
          <w:szCs w:val="22"/>
        </w:rPr>
        <w:t>IS</w:t>
      </w:r>
      <w:proofErr w:type="spellEnd"/>
      <w:r w:rsidR="00390653" w:rsidRPr="009D55D4">
        <w:rPr>
          <w:rFonts w:ascii="Arial" w:hAnsi="Arial" w:cs="Arial"/>
          <w:bCs/>
          <w:sz w:val="22"/>
          <w:szCs w:val="22"/>
        </w:rPr>
        <w:t xml:space="preserve"> </w:t>
      </w:r>
      <w:r w:rsidR="009D55D4" w:rsidRPr="009D55D4">
        <w:rPr>
          <w:rFonts w:ascii="Arial" w:hAnsi="Arial" w:cs="Arial"/>
          <w:bCs/>
          <w:sz w:val="22"/>
          <w:szCs w:val="22"/>
        </w:rPr>
        <w:t xml:space="preserve">format. The Secretariat will provide a suggested restriction in the </w:t>
      </w:r>
      <w:proofErr w:type="spellStart"/>
      <w:r w:rsidR="00390653" w:rsidRPr="009D55D4">
        <w:rPr>
          <w:rFonts w:ascii="Arial" w:hAnsi="Arial" w:cs="Arial"/>
          <w:bCs/>
          <w:sz w:val="22"/>
          <w:szCs w:val="22"/>
        </w:rPr>
        <w:t>PharmC</w:t>
      </w:r>
      <w:r w:rsidR="00390653">
        <w:rPr>
          <w:rFonts w:ascii="Arial" w:hAnsi="Arial" w:cs="Arial"/>
          <w:bCs/>
          <w:sz w:val="22"/>
          <w:szCs w:val="22"/>
        </w:rPr>
        <w:t>IS</w:t>
      </w:r>
      <w:proofErr w:type="spellEnd"/>
      <w:r w:rsidR="00390653" w:rsidRPr="009D55D4">
        <w:rPr>
          <w:rFonts w:ascii="Arial" w:hAnsi="Arial" w:cs="Arial"/>
          <w:bCs/>
          <w:sz w:val="22"/>
          <w:szCs w:val="22"/>
        </w:rPr>
        <w:t xml:space="preserve"> </w:t>
      </w:r>
      <w:r w:rsidR="009D55D4" w:rsidRPr="009D55D4">
        <w:rPr>
          <w:rFonts w:ascii="Arial" w:hAnsi="Arial" w:cs="Arial"/>
          <w:bCs/>
          <w:sz w:val="22"/>
          <w:szCs w:val="22"/>
        </w:rPr>
        <w:t>format as soon as it’s available.</w:t>
      </w:r>
      <w:r w:rsidR="006F5493">
        <w:rPr>
          <w:rFonts w:ascii="Arial" w:hAnsi="Arial" w:cs="Arial"/>
          <w:bCs/>
          <w:sz w:val="22"/>
          <w:szCs w:val="22"/>
        </w:rPr>
        <w:t xml:space="preserve"> </w:t>
      </w:r>
    </w:p>
    <w:p w:rsidR="00CE10C4" w:rsidRDefault="00CE10C4" w:rsidP="00DF4174">
      <w:pPr>
        <w:jc w:val="both"/>
        <w:rPr>
          <w:rFonts w:ascii="Arial" w:hAnsi="Arial"/>
          <w:b/>
          <w:sz w:val="22"/>
          <w:szCs w:val="22"/>
        </w:rPr>
      </w:pPr>
    </w:p>
    <w:p w:rsidR="009D0C15" w:rsidRDefault="009D0C15" w:rsidP="00DF4174">
      <w:pPr>
        <w:jc w:val="both"/>
        <w:rPr>
          <w:rFonts w:ascii="Arial" w:hAnsi="Arial"/>
          <w:b/>
          <w:sz w:val="22"/>
          <w:szCs w:val="22"/>
        </w:rPr>
      </w:pPr>
    </w:p>
    <w:p w:rsidR="006B5794" w:rsidRDefault="006B5794" w:rsidP="006B5794">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6B5794" w:rsidRPr="00D4420F" w:rsidRDefault="006B5794" w:rsidP="006B5794">
      <w:pPr>
        <w:pStyle w:val="ListParagraph"/>
        <w:jc w:val="both"/>
        <w:rPr>
          <w:rFonts w:ascii="Arial" w:hAnsi="Arial" w:cs="Arial"/>
          <w:b/>
          <w:sz w:val="22"/>
        </w:rPr>
      </w:pPr>
    </w:p>
    <w:p w:rsidR="006B5794" w:rsidRPr="00D4420F" w:rsidRDefault="006B5794" w:rsidP="006B5794">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B5794" w:rsidRDefault="006B5794" w:rsidP="006B5794">
      <w:pPr>
        <w:jc w:val="both"/>
        <w:rPr>
          <w:rFonts w:ascii="Arial" w:hAnsi="Arial" w:cs="Arial"/>
          <w:sz w:val="22"/>
        </w:rPr>
      </w:pPr>
    </w:p>
    <w:p w:rsidR="009D0C15" w:rsidRPr="00D4420F" w:rsidRDefault="009D0C15" w:rsidP="006B5794">
      <w:pPr>
        <w:jc w:val="both"/>
        <w:rPr>
          <w:rFonts w:ascii="Arial" w:hAnsi="Arial" w:cs="Arial"/>
          <w:sz w:val="22"/>
        </w:rPr>
      </w:pPr>
    </w:p>
    <w:p w:rsidR="006B5794" w:rsidRDefault="006B5794" w:rsidP="006B5794">
      <w:pPr>
        <w:pStyle w:val="ListParagraph"/>
        <w:numPr>
          <w:ilvl w:val="0"/>
          <w:numId w:val="25"/>
        </w:numPr>
        <w:jc w:val="both"/>
        <w:rPr>
          <w:rFonts w:ascii="Arial" w:hAnsi="Arial" w:cs="Arial"/>
          <w:b/>
          <w:sz w:val="22"/>
        </w:rPr>
      </w:pPr>
      <w:r w:rsidRPr="00D4420F">
        <w:rPr>
          <w:rFonts w:ascii="Arial" w:hAnsi="Arial" w:cs="Arial"/>
          <w:b/>
          <w:sz w:val="22"/>
        </w:rPr>
        <w:t>Sponsor’s Comment</w:t>
      </w:r>
    </w:p>
    <w:p w:rsidR="006B5794" w:rsidRPr="00C04FE2" w:rsidRDefault="006B5794" w:rsidP="00C04FE2">
      <w:pPr>
        <w:ind w:left="720"/>
        <w:jc w:val="both"/>
        <w:rPr>
          <w:rFonts w:ascii="Arial" w:hAnsi="Arial" w:cs="Arial"/>
          <w:sz w:val="22"/>
        </w:rPr>
      </w:pPr>
    </w:p>
    <w:p w:rsidR="00C04FE2" w:rsidRPr="00C04FE2" w:rsidRDefault="00C04FE2" w:rsidP="00C04FE2">
      <w:pPr>
        <w:ind w:left="720"/>
        <w:jc w:val="both"/>
        <w:rPr>
          <w:rFonts w:ascii="Arial" w:hAnsi="Arial" w:cs="Arial"/>
          <w:sz w:val="22"/>
        </w:rPr>
      </w:pPr>
      <w:r w:rsidRPr="00C04FE2">
        <w:rPr>
          <w:rFonts w:ascii="Arial" w:hAnsi="Arial" w:cs="Arial"/>
          <w:sz w:val="22"/>
        </w:rPr>
        <w:t xml:space="preserve">Novartis welcomes the positive recommendation made by the PBAC with regard to the baseline oral corticosteroid criteria and the expanded assessment window for patients with severe allergic asthma. We also acknowledge the input from patients, patient organisations and health care professionals, provided through the PBAC </w:t>
      </w:r>
      <w:r w:rsidRPr="00C04FE2">
        <w:rPr>
          <w:rFonts w:ascii="Arial" w:hAnsi="Arial" w:cs="Arial"/>
          <w:sz w:val="22"/>
        </w:rPr>
        <w:lastRenderedPageBreak/>
        <w:t>consumer comments process.  Novartis believes that the Stakeholder meeting requested by the PBAC (in consideration of the DUSC utilisation review mid 2014) would provide an appropriate forum for discussing the remaining proposed changes to the restrictions, application forms and background therapy toxicity criteria.</w:t>
      </w:r>
    </w:p>
    <w:sectPr w:rsidR="00C04FE2" w:rsidRPr="00C04FE2" w:rsidSect="005924BA">
      <w:headerReference w:type="default" r:id="rId9"/>
      <w:footerReference w:type="default" r:id="rId10"/>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74" w:rsidRDefault="00DA0274">
      <w:r>
        <w:separator/>
      </w:r>
    </w:p>
  </w:endnote>
  <w:endnote w:type="continuationSeparator" w:id="0">
    <w:p w:rsidR="00DA0274" w:rsidRDefault="00DA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abon-Bold">
    <w:panose1 w:val="00000000000000000000"/>
    <w:charset w:val="00"/>
    <w:family w:val="roman"/>
    <w:notTrueType/>
    <w:pitch w:val="default"/>
    <w:sig w:usb0="00000003" w:usb1="00000000" w:usb2="00000000" w:usb3="00000000" w:csb0="00000001" w:csb1="00000000"/>
  </w:font>
  <w:font w:name="Sabon">
    <w:altName w:val="MS Mincho"/>
    <w:panose1 w:val="00000000000000000000"/>
    <w:charset w:val="00"/>
    <w:family w:val="roman"/>
    <w:notTrueType/>
    <w:pitch w:val="default"/>
    <w:sig w:usb0="00000000" w:usb1="08070000" w:usb2="00000010" w:usb3="00000000" w:csb0="00020001" w:csb1="00000000"/>
  </w:font>
  <w:font w:name="Sabon-Italic">
    <w:altName w:val="MS Mincho"/>
    <w:panose1 w:val="00000000000000000000"/>
    <w:charset w:val="00"/>
    <w:family w:val="roman"/>
    <w:notTrueType/>
    <w:pitch w:val="default"/>
    <w:sig w:usb0="00000000" w:usb1="08070000" w:usb2="00000010" w:usb3="00000000" w:csb0="0002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45" w:rsidRDefault="00C16E45" w:rsidP="00EF44A0">
    <w:pPr>
      <w:pStyle w:val="Footer"/>
      <w:jc w:val="center"/>
      <w:rPr>
        <w:rFonts w:ascii="Arial" w:hAnsi="Arial" w:cs="Arial"/>
        <w:b/>
        <w:sz w:val="20"/>
        <w:szCs w:val="20"/>
      </w:rPr>
    </w:pPr>
  </w:p>
  <w:p w:rsidR="00C16E45" w:rsidRPr="005924BA" w:rsidRDefault="00422028">
    <w:pPr>
      <w:pStyle w:val="Footer"/>
      <w:jc w:val="center"/>
      <w:rPr>
        <w:rFonts w:ascii="Arial" w:hAnsi="Arial" w:cs="Arial"/>
        <w:sz w:val="22"/>
      </w:rPr>
    </w:pPr>
    <w:sdt>
      <w:sdtPr>
        <w:id w:val="-1650822871"/>
        <w:docPartObj>
          <w:docPartGallery w:val="Page Numbers (Bottom of Page)"/>
          <w:docPartUnique/>
        </w:docPartObj>
      </w:sdtPr>
      <w:sdtEndPr>
        <w:rPr>
          <w:rFonts w:ascii="Arial" w:hAnsi="Arial" w:cs="Arial"/>
          <w:noProof/>
          <w:sz w:val="22"/>
        </w:rPr>
      </w:sdtEndPr>
      <w:sdtContent>
        <w:r w:rsidR="00C16E45" w:rsidRPr="005924BA">
          <w:rPr>
            <w:rFonts w:ascii="Arial" w:hAnsi="Arial" w:cs="Arial"/>
            <w:sz w:val="22"/>
          </w:rPr>
          <w:fldChar w:fldCharType="begin"/>
        </w:r>
        <w:r w:rsidR="00C16E45" w:rsidRPr="005924BA">
          <w:rPr>
            <w:rFonts w:ascii="Arial" w:hAnsi="Arial" w:cs="Arial"/>
            <w:sz w:val="22"/>
          </w:rPr>
          <w:instrText xml:space="preserve"> PAGE   \* MERGEFORMAT </w:instrText>
        </w:r>
        <w:r w:rsidR="00C16E45" w:rsidRPr="005924BA">
          <w:rPr>
            <w:rFonts w:ascii="Arial" w:hAnsi="Arial" w:cs="Arial"/>
            <w:sz w:val="22"/>
          </w:rPr>
          <w:fldChar w:fldCharType="separate"/>
        </w:r>
        <w:r>
          <w:rPr>
            <w:rFonts w:ascii="Arial" w:hAnsi="Arial" w:cs="Arial"/>
            <w:noProof/>
            <w:sz w:val="22"/>
          </w:rPr>
          <w:t>1</w:t>
        </w:r>
        <w:r w:rsidR="00C16E45" w:rsidRPr="005924BA">
          <w:rPr>
            <w:rFonts w:ascii="Arial" w:hAnsi="Arial" w:cs="Arial"/>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74" w:rsidRDefault="00DA0274">
      <w:r>
        <w:separator/>
      </w:r>
    </w:p>
  </w:footnote>
  <w:footnote w:type="continuationSeparator" w:id="0">
    <w:p w:rsidR="00DA0274" w:rsidRDefault="00DA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BA" w:rsidRPr="00DF217D" w:rsidRDefault="005924BA" w:rsidP="005924BA">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924BA" w:rsidRDefault="005924BA" w:rsidP="00592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94AC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3C56A6F"/>
    <w:multiLevelType w:val="hybridMultilevel"/>
    <w:tmpl w:val="BCDE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0872F0"/>
    <w:multiLevelType w:val="hybridMultilevel"/>
    <w:tmpl w:val="4A8A1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21E6EDC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5"/>
  </w:num>
  <w:num w:numId="3">
    <w:abstractNumId w:val="21"/>
  </w:num>
  <w:num w:numId="4">
    <w:abstractNumId w:val="1"/>
  </w:num>
  <w:num w:numId="5">
    <w:abstractNumId w:val="6"/>
  </w:num>
  <w:num w:numId="6">
    <w:abstractNumId w:val="20"/>
  </w:num>
  <w:num w:numId="7">
    <w:abstractNumId w:val="17"/>
  </w:num>
  <w:num w:numId="8">
    <w:abstractNumId w:val="5"/>
  </w:num>
  <w:num w:numId="9">
    <w:abstractNumId w:val="8"/>
  </w:num>
  <w:num w:numId="10">
    <w:abstractNumId w:val="33"/>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8"/>
  </w:num>
  <w:num w:numId="16">
    <w:abstractNumId w:val="24"/>
  </w:num>
  <w:num w:numId="17">
    <w:abstractNumId w:val="38"/>
  </w:num>
  <w:num w:numId="18">
    <w:abstractNumId w:val="13"/>
  </w:num>
  <w:num w:numId="19">
    <w:abstractNumId w:val="19"/>
  </w:num>
  <w:num w:numId="20">
    <w:abstractNumId w:val="4"/>
  </w:num>
  <w:num w:numId="21">
    <w:abstractNumId w:val="31"/>
  </w:num>
  <w:num w:numId="22">
    <w:abstractNumId w:val="34"/>
  </w:num>
  <w:num w:numId="23">
    <w:abstractNumId w:val="40"/>
  </w:num>
  <w:num w:numId="24">
    <w:abstractNumId w:val="16"/>
  </w:num>
  <w:num w:numId="25">
    <w:abstractNumId w:val="39"/>
  </w:num>
  <w:num w:numId="26">
    <w:abstractNumId w:val="29"/>
  </w:num>
  <w:num w:numId="27">
    <w:abstractNumId w:val="12"/>
  </w:num>
  <w:num w:numId="28">
    <w:abstractNumId w:val="7"/>
  </w:num>
  <w:num w:numId="29">
    <w:abstractNumId w:val="26"/>
  </w:num>
  <w:num w:numId="30">
    <w:abstractNumId w:val="3"/>
  </w:num>
  <w:num w:numId="31">
    <w:abstractNumId w:val="27"/>
  </w:num>
  <w:num w:numId="32">
    <w:abstractNumId w:val="37"/>
  </w:num>
  <w:num w:numId="33">
    <w:abstractNumId w:val="25"/>
  </w:num>
  <w:num w:numId="34">
    <w:abstractNumId w:val="41"/>
  </w:num>
  <w:num w:numId="35">
    <w:abstractNumId w:val="11"/>
  </w:num>
  <w:num w:numId="36">
    <w:abstractNumId w:val="23"/>
  </w:num>
  <w:num w:numId="37">
    <w:abstractNumId w:val="30"/>
  </w:num>
  <w:num w:numId="38">
    <w:abstractNumId w:val="9"/>
  </w:num>
  <w:num w:numId="39">
    <w:abstractNumId w:val="18"/>
  </w:num>
  <w:num w:numId="40">
    <w:abstractNumId w:val="2"/>
  </w:num>
  <w:num w:numId="41">
    <w:abstractNumId w:val="15"/>
  </w:num>
  <w:num w:numId="42">
    <w:abstractNumId w:val="14"/>
  </w:num>
  <w:num w:numId="43">
    <w:abstractNumId w:val="3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B2F"/>
    <w:rsid w:val="00020854"/>
    <w:rsid w:val="0002464A"/>
    <w:rsid w:val="000273A4"/>
    <w:rsid w:val="0003106B"/>
    <w:rsid w:val="0003207C"/>
    <w:rsid w:val="000421A1"/>
    <w:rsid w:val="0004240E"/>
    <w:rsid w:val="00045E26"/>
    <w:rsid w:val="00046397"/>
    <w:rsid w:val="000514B5"/>
    <w:rsid w:val="0005416B"/>
    <w:rsid w:val="00060E64"/>
    <w:rsid w:val="00066706"/>
    <w:rsid w:val="00066755"/>
    <w:rsid w:val="00071448"/>
    <w:rsid w:val="0008596A"/>
    <w:rsid w:val="000963D0"/>
    <w:rsid w:val="000969AD"/>
    <w:rsid w:val="000B558D"/>
    <w:rsid w:val="000C6996"/>
    <w:rsid w:val="000D23BA"/>
    <w:rsid w:val="000E0A32"/>
    <w:rsid w:val="000E681E"/>
    <w:rsid w:val="000F4E6A"/>
    <w:rsid w:val="000F6897"/>
    <w:rsid w:val="00101AC7"/>
    <w:rsid w:val="001052F9"/>
    <w:rsid w:val="001107BF"/>
    <w:rsid w:val="00117D23"/>
    <w:rsid w:val="001206C7"/>
    <w:rsid w:val="0012417C"/>
    <w:rsid w:val="001316A1"/>
    <w:rsid w:val="001334B7"/>
    <w:rsid w:val="00142395"/>
    <w:rsid w:val="00142714"/>
    <w:rsid w:val="001452ED"/>
    <w:rsid w:val="00152724"/>
    <w:rsid w:val="00154D77"/>
    <w:rsid w:val="001830CE"/>
    <w:rsid w:val="00196307"/>
    <w:rsid w:val="001B017F"/>
    <w:rsid w:val="001B5129"/>
    <w:rsid w:val="001B77DE"/>
    <w:rsid w:val="001C1195"/>
    <w:rsid w:val="001D5D0A"/>
    <w:rsid w:val="001F5C25"/>
    <w:rsid w:val="00213CFB"/>
    <w:rsid w:val="00227B4E"/>
    <w:rsid w:val="00232F14"/>
    <w:rsid w:val="00233882"/>
    <w:rsid w:val="00235204"/>
    <w:rsid w:val="0023685C"/>
    <w:rsid w:val="002456DF"/>
    <w:rsid w:val="00271BA1"/>
    <w:rsid w:val="00277505"/>
    <w:rsid w:val="0029458F"/>
    <w:rsid w:val="002A104C"/>
    <w:rsid w:val="002A4960"/>
    <w:rsid w:val="002A630B"/>
    <w:rsid w:val="002B1AE6"/>
    <w:rsid w:val="002B30F8"/>
    <w:rsid w:val="002C212F"/>
    <w:rsid w:val="002C2F55"/>
    <w:rsid w:val="002E4267"/>
    <w:rsid w:val="002E72CA"/>
    <w:rsid w:val="002F5A46"/>
    <w:rsid w:val="0030468E"/>
    <w:rsid w:val="003065FF"/>
    <w:rsid w:val="00323CCB"/>
    <w:rsid w:val="00325EFB"/>
    <w:rsid w:val="00326E79"/>
    <w:rsid w:val="003367EF"/>
    <w:rsid w:val="00341AE4"/>
    <w:rsid w:val="00343749"/>
    <w:rsid w:val="0036304A"/>
    <w:rsid w:val="00390653"/>
    <w:rsid w:val="003A5B4A"/>
    <w:rsid w:val="003B23C5"/>
    <w:rsid w:val="003B2A75"/>
    <w:rsid w:val="003D4AC4"/>
    <w:rsid w:val="003D63B7"/>
    <w:rsid w:val="003E2A7C"/>
    <w:rsid w:val="003E468B"/>
    <w:rsid w:val="003F5C8C"/>
    <w:rsid w:val="00403AD5"/>
    <w:rsid w:val="00422028"/>
    <w:rsid w:val="004465BD"/>
    <w:rsid w:val="00453B84"/>
    <w:rsid w:val="00465405"/>
    <w:rsid w:val="00465A75"/>
    <w:rsid w:val="00466ADA"/>
    <w:rsid w:val="00466D75"/>
    <w:rsid w:val="00476245"/>
    <w:rsid w:val="00485940"/>
    <w:rsid w:val="00491986"/>
    <w:rsid w:val="004A4AA2"/>
    <w:rsid w:val="004A4FF7"/>
    <w:rsid w:val="004A5A85"/>
    <w:rsid w:val="004B5640"/>
    <w:rsid w:val="004C1BD7"/>
    <w:rsid w:val="004C691D"/>
    <w:rsid w:val="004E692D"/>
    <w:rsid w:val="00503C44"/>
    <w:rsid w:val="005053BB"/>
    <w:rsid w:val="00506038"/>
    <w:rsid w:val="00514CD7"/>
    <w:rsid w:val="00534E2E"/>
    <w:rsid w:val="00544552"/>
    <w:rsid w:val="005627ED"/>
    <w:rsid w:val="00572987"/>
    <w:rsid w:val="00581932"/>
    <w:rsid w:val="005924BA"/>
    <w:rsid w:val="005963BB"/>
    <w:rsid w:val="005A0625"/>
    <w:rsid w:val="005A3173"/>
    <w:rsid w:val="005A3223"/>
    <w:rsid w:val="005A3DA3"/>
    <w:rsid w:val="005A483A"/>
    <w:rsid w:val="005A52C4"/>
    <w:rsid w:val="005B3DBB"/>
    <w:rsid w:val="005D03AB"/>
    <w:rsid w:val="005D5017"/>
    <w:rsid w:val="005F17D0"/>
    <w:rsid w:val="005F5106"/>
    <w:rsid w:val="005F6982"/>
    <w:rsid w:val="00601A91"/>
    <w:rsid w:val="00602BA3"/>
    <w:rsid w:val="006045A5"/>
    <w:rsid w:val="00614159"/>
    <w:rsid w:val="00617C00"/>
    <w:rsid w:val="006263BF"/>
    <w:rsid w:val="00630A2C"/>
    <w:rsid w:val="00635E2A"/>
    <w:rsid w:val="00637444"/>
    <w:rsid w:val="00645A91"/>
    <w:rsid w:val="00651169"/>
    <w:rsid w:val="00653D69"/>
    <w:rsid w:val="00670A76"/>
    <w:rsid w:val="006711AA"/>
    <w:rsid w:val="00675622"/>
    <w:rsid w:val="006906DB"/>
    <w:rsid w:val="006A12A5"/>
    <w:rsid w:val="006A5F77"/>
    <w:rsid w:val="006B0D94"/>
    <w:rsid w:val="006B485D"/>
    <w:rsid w:val="006B5794"/>
    <w:rsid w:val="006C708E"/>
    <w:rsid w:val="006D6EC7"/>
    <w:rsid w:val="006F5125"/>
    <w:rsid w:val="006F5493"/>
    <w:rsid w:val="0071111D"/>
    <w:rsid w:val="007174BB"/>
    <w:rsid w:val="0076420C"/>
    <w:rsid w:val="0077184A"/>
    <w:rsid w:val="007753C2"/>
    <w:rsid w:val="00775ED6"/>
    <w:rsid w:val="007838B8"/>
    <w:rsid w:val="007934AC"/>
    <w:rsid w:val="007A1BE6"/>
    <w:rsid w:val="007C0F57"/>
    <w:rsid w:val="007C40B6"/>
    <w:rsid w:val="007C729F"/>
    <w:rsid w:val="007E1D28"/>
    <w:rsid w:val="007E2547"/>
    <w:rsid w:val="007F2641"/>
    <w:rsid w:val="007F3F9C"/>
    <w:rsid w:val="007F7C36"/>
    <w:rsid w:val="007F7D0A"/>
    <w:rsid w:val="00806796"/>
    <w:rsid w:val="00816666"/>
    <w:rsid w:val="00817EF4"/>
    <w:rsid w:val="00826F6D"/>
    <w:rsid w:val="008404B5"/>
    <w:rsid w:val="0085212B"/>
    <w:rsid w:val="00856DDD"/>
    <w:rsid w:val="00863E68"/>
    <w:rsid w:val="008663EC"/>
    <w:rsid w:val="00882085"/>
    <w:rsid w:val="00883188"/>
    <w:rsid w:val="00897D58"/>
    <w:rsid w:val="008A0DA7"/>
    <w:rsid w:val="008A1956"/>
    <w:rsid w:val="008A4937"/>
    <w:rsid w:val="008D2AEB"/>
    <w:rsid w:val="008D3C82"/>
    <w:rsid w:val="008D447E"/>
    <w:rsid w:val="008D7A41"/>
    <w:rsid w:val="008E3680"/>
    <w:rsid w:val="008E5870"/>
    <w:rsid w:val="008F1434"/>
    <w:rsid w:val="008F36F7"/>
    <w:rsid w:val="008F7355"/>
    <w:rsid w:val="009067B7"/>
    <w:rsid w:val="00910876"/>
    <w:rsid w:val="00915976"/>
    <w:rsid w:val="00924608"/>
    <w:rsid w:val="00930937"/>
    <w:rsid w:val="00933E6C"/>
    <w:rsid w:val="00933FC7"/>
    <w:rsid w:val="009359DA"/>
    <w:rsid w:val="00942160"/>
    <w:rsid w:val="009602C5"/>
    <w:rsid w:val="00971F50"/>
    <w:rsid w:val="00974C21"/>
    <w:rsid w:val="00975E1F"/>
    <w:rsid w:val="00991B60"/>
    <w:rsid w:val="009A267D"/>
    <w:rsid w:val="009B0F67"/>
    <w:rsid w:val="009C636F"/>
    <w:rsid w:val="009C703C"/>
    <w:rsid w:val="009D0C15"/>
    <w:rsid w:val="009D3CAA"/>
    <w:rsid w:val="009D55D4"/>
    <w:rsid w:val="009D7A98"/>
    <w:rsid w:val="009E6BFF"/>
    <w:rsid w:val="009F4E46"/>
    <w:rsid w:val="009F5B65"/>
    <w:rsid w:val="009F5F2E"/>
    <w:rsid w:val="00A04596"/>
    <w:rsid w:val="00A06225"/>
    <w:rsid w:val="00A10932"/>
    <w:rsid w:val="00A27B91"/>
    <w:rsid w:val="00A37C8D"/>
    <w:rsid w:val="00A437C5"/>
    <w:rsid w:val="00A46E56"/>
    <w:rsid w:val="00A5273B"/>
    <w:rsid w:val="00A53A9D"/>
    <w:rsid w:val="00A62C1A"/>
    <w:rsid w:val="00A63E46"/>
    <w:rsid w:val="00A6426D"/>
    <w:rsid w:val="00A70622"/>
    <w:rsid w:val="00A70977"/>
    <w:rsid w:val="00A8390C"/>
    <w:rsid w:val="00A853BC"/>
    <w:rsid w:val="00A87284"/>
    <w:rsid w:val="00A92E52"/>
    <w:rsid w:val="00AA4D1C"/>
    <w:rsid w:val="00AA6007"/>
    <w:rsid w:val="00AC5206"/>
    <w:rsid w:val="00AE11A5"/>
    <w:rsid w:val="00AF68CC"/>
    <w:rsid w:val="00B02B31"/>
    <w:rsid w:val="00B14286"/>
    <w:rsid w:val="00B205AA"/>
    <w:rsid w:val="00B22E84"/>
    <w:rsid w:val="00B24ACD"/>
    <w:rsid w:val="00B25F75"/>
    <w:rsid w:val="00B33125"/>
    <w:rsid w:val="00B428DD"/>
    <w:rsid w:val="00B43E90"/>
    <w:rsid w:val="00B503E4"/>
    <w:rsid w:val="00B56118"/>
    <w:rsid w:val="00B6773F"/>
    <w:rsid w:val="00B760CB"/>
    <w:rsid w:val="00B943E3"/>
    <w:rsid w:val="00BB1BD9"/>
    <w:rsid w:val="00BB5195"/>
    <w:rsid w:val="00BB69F5"/>
    <w:rsid w:val="00BB7EC3"/>
    <w:rsid w:val="00BC4B9A"/>
    <w:rsid w:val="00BC7AC4"/>
    <w:rsid w:val="00BD6D1B"/>
    <w:rsid w:val="00BD784C"/>
    <w:rsid w:val="00BF4CB6"/>
    <w:rsid w:val="00C00DA7"/>
    <w:rsid w:val="00C04FE2"/>
    <w:rsid w:val="00C12768"/>
    <w:rsid w:val="00C16E45"/>
    <w:rsid w:val="00C249B3"/>
    <w:rsid w:val="00C35996"/>
    <w:rsid w:val="00C53169"/>
    <w:rsid w:val="00C5342C"/>
    <w:rsid w:val="00C6256A"/>
    <w:rsid w:val="00C91449"/>
    <w:rsid w:val="00C92D10"/>
    <w:rsid w:val="00CD1E4C"/>
    <w:rsid w:val="00CE10C4"/>
    <w:rsid w:val="00CE27B5"/>
    <w:rsid w:val="00D003AC"/>
    <w:rsid w:val="00D0321E"/>
    <w:rsid w:val="00D1455A"/>
    <w:rsid w:val="00D21817"/>
    <w:rsid w:val="00D21C81"/>
    <w:rsid w:val="00D3280C"/>
    <w:rsid w:val="00D3406A"/>
    <w:rsid w:val="00D469B2"/>
    <w:rsid w:val="00D47104"/>
    <w:rsid w:val="00D479D1"/>
    <w:rsid w:val="00D56FCE"/>
    <w:rsid w:val="00D71908"/>
    <w:rsid w:val="00D741EB"/>
    <w:rsid w:val="00D802EC"/>
    <w:rsid w:val="00D91271"/>
    <w:rsid w:val="00D96287"/>
    <w:rsid w:val="00D96576"/>
    <w:rsid w:val="00DA0274"/>
    <w:rsid w:val="00DA2CB5"/>
    <w:rsid w:val="00DA4BAC"/>
    <w:rsid w:val="00DE6D27"/>
    <w:rsid w:val="00DF217D"/>
    <w:rsid w:val="00DF26A7"/>
    <w:rsid w:val="00DF4174"/>
    <w:rsid w:val="00DF4640"/>
    <w:rsid w:val="00E057EC"/>
    <w:rsid w:val="00E164B3"/>
    <w:rsid w:val="00E16910"/>
    <w:rsid w:val="00E31B96"/>
    <w:rsid w:val="00E36B99"/>
    <w:rsid w:val="00E56F19"/>
    <w:rsid w:val="00E578F7"/>
    <w:rsid w:val="00E65E54"/>
    <w:rsid w:val="00E80155"/>
    <w:rsid w:val="00E8373F"/>
    <w:rsid w:val="00E848C0"/>
    <w:rsid w:val="00E91B96"/>
    <w:rsid w:val="00E941A1"/>
    <w:rsid w:val="00E95CE3"/>
    <w:rsid w:val="00E961E9"/>
    <w:rsid w:val="00E979A0"/>
    <w:rsid w:val="00EA2825"/>
    <w:rsid w:val="00EB0D5C"/>
    <w:rsid w:val="00EB5088"/>
    <w:rsid w:val="00ED1644"/>
    <w:rsid w:val="00EF44A0"/>
    <w:rsid w:val="00F050BD"/>
    <w:rsid w:val="00F05657"/>
    <w:rsid w:val="00F25578"/>
    <w:rsid w:val="00F258E5"/>
    <w:rsid w:val="00F300BC"/>
    <w:rsid w:val="00F3334E"/>
    <w:rsid w:val="00F50EC4"/>
    <w:rsid w:val="00F53E7E"/>
    <w:rsid w:val="00F5584A"/>
    <w:rsid w:val="00F57A6D"/>
    <w:rsid w:val="00F6373D"/>
    <w:rsid w:val="00F638CC"/>
    <w:rsid w:val="00F65E18"/>
    <w:rsid w:val="00F807D0"/>
    <w:rsid w:val="00F81B42"/>
    <w:rsid w:val="00F8247A"/>
    <w:rsid w:val="00F95189"/>
    <w:rsid w:val="00F9629A"/>
    <w:rsid w:val="00FA5883"/>
    <w:rsid w:val="00FA6055"/>
    <w:rsid w:val="00FB322F"/>
    <w:rsid w:val="00FB442F"/>
    <w:rsid w:val="00FC1929"/>
    <w:rsid w:val="00FC3AD4"/>
    <w:rsid w:val="00FC5B46"/>
    <w:rsid w:val="00FD6D1A"/>
    <w:rsid w:val="00FE26E0"/>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Hyperlink">
    <w:name w:val="Hyperlink"/>
    <w:basedOn w:val="DefaultParagraphFont"/>
    <w:rsid w:val="00D47104"/>
    <w:rPr>
      <w:color w:val="0000FF" w:themeColor="hyperlink"/>
      <w:u w:val="single"/>
    </w:rPr>
  </w:style>
  <w:style w:type="paragraph" w:customStyle="1" w:styleId="TableCentre">
    <w:name w:val="Table Centre"/>
    <w:basedOn w:val="Normal"/>
    <w:qFormat/>
    <w:rsid w:val="00DF4640"/>
    <w:pPr>
      <w:jc w:val="center"/>
    </w:pPr>
    <w:rPr>
      <w:rFonts w:ascii="Candara" w:eastAsiaTheme="majorEastAsia" w:hAnsi="Candara" w:cstheme="majorBidi"/>
      <w:sz w:val="20"/>
      <w:szCs w:val="22"/>
      <w:lang w:eastAsia="en-US" w:bidi="en-US"/>
    </w:rPr>
  </w:style>
  <w:style w:type="paragraph" w:customStyle="1" w:styleId="TableFooter">
    <w:name w:val="Table Footer"/>
    <w:basedOn w:val="Normal"/>
    <w:qFormat/>
    <w:rsid w:val="00DF4640"/>
    <w:pPr>
      <w:widowControl w:val="0"/>
      <w:jc w:val="both"/>
    </w:pPr>
    <w:rPr>
      <w:rFonts w:ascii="Arial Narrow" w:hAnsi="Arial Narrow" w:cs="Arial"/>
      <w:snapToGrid w:val="0"/>
      <w:sz w:val="18"/>
      <w:szCs w:val="20"/>
      <w:lang w:eastAsia="en-US"/>
    </w:rPr>
  </w:style>
  <w:style w:type="paragraph" w:styleId="Revision">
    <w:name w:val="Revision"/>
    <w:hidden/>
    <w:uiPriority w:val="71"/>
    <w:rsid w:val="003065FF"/>
    <w:rPr>
      <w:sz w:val="24"/>
      <w:szCs w:val="24"/>
    </w:rPr>
  </w:style>
  <w:style w:type="paragraph" w:styleId="ListBullet">
    <w:name w:val="List Bullet"/>
    <w:basedOn w:val="Normal"/>
    <w:rsid w:val="00E36B99"/>
    <w:pPr>
      <w:numPr>
        <w:numId w:val="44"/>
      </w:numPr>
      <w:contextualSpacing/>
    </w:pPr>
  </w:style>
  <w:style w:type="paragraph" w:styleId="NormalWeb">
    <w:name w:val="Normal (Web)"/>
    <w:basedOn w:val="Normal"/>
    <w:uiPriority w:val="99"/>
    <w:unhideWhenUsed/>
    <w:rsid w:val="00325EFB"/>
    <w:pPr>
      <w:spacing w:before="75" w:after="75"/>
      <w:ind w:left="75" w:right="75"/>
    </w:pPr>
  </w:style>
  <w:style w:type="character" w:customStyle="1" w:styleId="ListParagraphChar">
    <w:name w:val="List Paragraph Char"/>
    <w:basedOn w:val="DefaultParagraphFont"/>
    <w:link w:val="ListParagraph"/>
    <w:uiPriority w:val="72"/>
    <w:rsid w:val="006B57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styleId="Hyperlink">
    <w:name w:val="Hyperlink"/>
    <w:basedOn w:val="DefaultParagraphFont"/>
    <w:rsid w:val="00D47104"/>
    <w:rPr>
      <w:color w:val="0000FF" w:themeColor="hyperlink"/>
      <w:u w:val="single"/>
    </w:rPr>
  </w:style>
  <w:style w:type="paragraph" w:customStyle="1" w:styleId="TableCentre">
    <w:name w:val="Table Centre"/>
    <w:basedOn w:val="Normal"/>
    <w:qFormat/>
    <w:rsid w:val="00DF4640"/>
    <w:pPr>
      <w:jc w:val="center"/>
    </w:pPr>
    <w:rPr>
      <w:rFonts w:ascii="Candara" w:eastAsiaTheme="majorEastAsia" w:hAnsi="Candara" w:cstheme="majorBidi"/>
      <w:sz w:val="20"/>
      <w:szCs w:val="22"/>
      <w:lang w:eastAsia="en-US" w:bidi="en-US"/>
    </w:rPr>
  </w:style>
  <w:style w:type="paragraph" w:customStyle="1" w:styleId="TableFooter">
    <w:name w:val="Table Footer"/>
    <w:basedOn w:val="Normal"/>
    <w:qFormat/>
    <w:rsid w:val="00DF4640"/>
    <w:pPr>
      <w:widowControl w:val="0"/>
      <w:jc w:val="both"/>
    </w:pPr>
    <w:rPr>
      <w:rFonts w:ascii="Arial Narrow" w:hAnsi="Arial Narrow" w:cs="Arial"/>
      <w:snapToGrid w:val="0"/>
      <w:sz w:val="18"/>
      <w:szCs w:val="20"/>
      <w:lang w:eastAsia="en-US"/>
    </w:rPr>
  </w:style>
  <w:style w:type="paragraph" w:styleId="Revision">
    <w:name w:val="Revision"/>
    <w:hidden/>
    <w:uiPriority w:val="71"/>
    <w:rsid w:val="003065FF"/>
    <w:rPr>
      <w:sz w:val="24"/>
      <w:szCs w:val="24"/>
    </w:rPr>
  </w:style>
  <w:style w:type="paragraph" w:styleId="ListBullet">
    <w:name w:val="List Bullet"/>
    <w:basedOn w:val="Normal"/>
    <w:rsid w:val="00E36B99"/>
    <w:pPr>
      <w:numPr>
        <w:numId w:val="44"/>
      </w:numPr>
      <w:contextualSpacing/>
    </w:pPr>
  </w:style>
  <w:style w:type="paragraph" w:styleId="NormalWeb">
    <w:name w:val="Normal (Web)"/>
    <w:basedOn w:val="Normal"/>
    <w:uiPriority w:val="99"/>
    <w:unhideWhenUsed/>
    <w:rsid w:val="00325EFB"/>
    <w:pPr>
      <w:spacing w:before="75" w:after="75"/>
      <w:ind w:left="75" w:right="75"/>
    </w:pPr>
  </w:style>
  <w:style w:type="character" w:customStyle="1" w:styleId="ListParagraphChar">
    <w:name w:val="List Paragraph Char"/>
    <w:basedOn w:val="DefaultParagraphFont"/>
    <w:link w:val="ListParagraph"/>
    <w:uiPriority w:val="72"/>
    <w:rsid w:val="006B57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7075558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4E19-16A1-46A8-9C06-EF001D4D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2651</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2015-02-23T07:12:00Z</dcterms:created>
  <dcterms:modified xsi:type="dcterms:W3CDTF">2015-03-03T03:17:00Z</dcterms:modified>
</cp:coreProperties>
</file>