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CD" w:rsidRDefault="0003323A" w:rsidP="00CE0DF8">
      <w:pPr>
        <w:ind w:left="720" w:hanging="720"/>
        <w:rPr>
          <w:rFonts w:ascii="Arial" w:hAnsi="Arial"/>
          <w:b/>
          <w:sz w:val="28"/>
          <w:szCs w:val="28"/>
        </w:rPr>
      </w:pPr>
      <w:r w:rsidRPr="00DE68AB">
        <w:rPr>
          <w:rFonts w:ascii="Arial" w:hAnsi="Arial"/>
          <w:b/>
          <w:sz w:val="28"/>
          <w:szCs w:val="28"/>
        </w:rPr>
        <w:t>6.14</w:t>
      </w:r>
      <w:r w:rsidRPr="00CE0DF8">
        <w:rPr>
          <w:rFonts w:ascii="Arial" w:hAnsi="Arial"/>
          <w:sz w:val="28"/>
          <w:szCs w:val="28"/>
        </w:rPr>
        <w:tab/>
      </w:r>
      <w:r w:rsidR="008478CD">
        <w:rPr>
          <w:rFonts w:ascii="Arial" w:hAnsi="Arial"/>
          <w:b/>
          <w:sz w:val="28"/>
          <w:szCs w:val="28"/>
        </w:rPr>
        <w:t>RANIBIZUMAB</w:t>
      </w:r>
    </w:p>
    <w:p w:rsidR="005131C7" w:rsidRDefault="0003323A" w:rsidP="008478CD">
      <w:pPr>
        <w:ind w:left="720"/>
        <w:rPr>
          <w:rFonts w:ascii="Arial" w:hAnsi="Arial"/>
          <w:b/>
          <w:sz w:val="28"/>
          <w:szCs w:val="28"/>
        </w:rPr>
      </w:pPr>
      <w:r w:rsidRPr="00CE0DF8">
        <w:rPr>
          <w:rFonts w:ascii="Arial" w:hAnsi="Arial"/>
          <w:b/>
          <w:sz w:val="28"/>
          <w:szCs w:val="28"/>
        </w:rPr>
        <w:t>2.3 mg/0.23 mL, 1 x 0.23 mL vial,</w:t>
      </w:r>
      <w:r w:rsidR="00CE0DF8" w:rsidRPr="00CE0DF8">
        <w:rPr>
          <w:rFonts w:ascii="Arial" w:hAnsi="Arial"/>
          <w:b/>
          <w:sz w:val="28"/>
          <w:szCs w:val="28"/>
        </w:rPr>
        <w:t xml:space="preserve"> </w:t>
      </w:r>
    </w:p>
    <w:p w:rsidR="005131C7" w:rsidRDefault="0003323A" w:rsidP="008478CD">
      <w:pPr>
        <w:ind w:left="720"/>
        <w:rPr>
          <w:rFonts w:ascii="Arial" w:hAnsi="Arial"/>
          <w:b/>
          <w:sz w:val="28"/>
          <w:szCs w:val="28"/>
        </w:rPr>
      </w:pPr>
      <w:r w:rsidRPr="00CE0DF8">
        <w:rPr>
          <w:rFonts w:ascii="Arial" w:hAnsi="Arial"/>
          <w:b/>
          <w:sz w:val="28"/>
          <w:szCs w:val="28"/>
        </w:rPr>
        <w:t xml:space="preserve">1.65 </w:t>
      </w:r>
      <w:r w:rsidR="005131C7">
        <w:rPr>
          <w:rFonts w:ascii="Arial" w:hAnsi="Arial"/>
          <w:b/>
          <w:sz w:val="28"/>
          <w:szCs w:val="28"/>
        </w:rPr>
        <w:t>mg/0.165 mL, pre-filled syringe;</w:t>
      </w:r>
      <w:r w:rsidR="00CE0DF8" w:rsidRPr="00CE0DF8">
        <w:rPr>
          <w:rFonts w:ascii="Arial" w:hAnsi="Arial"/>
          <w:b/>
          <w:sz w:val="28"/>
          <w:szCs w:val="28"/>
        </w:rPr>
        <w:t xml:space="preserve"> </w:t>
      </w:r>
    </w:p>
    <w:p w:rsidR="0003323A" w:rsidRPr="00CE0DF8" w:rsidRDefault="0003323A" w:rsidP="008478CD">
      <w:pPr>
        <w:ind w:left="720"/>
        <w:rPr>
          <w:rFonts w:ascii="Arial" w:hAnsi="Arial"/>
          <w:sz w:val="28"/>
          <w:szCs w:val="28"/>
        </w:rPr>
      </w:pPr>
      <w:proofErr w:type="spellStart"/>
      <w:proofErr w:type="gramStart"/>
      <w:r w:rsidRPr="00CE0DF8">
        <w:rPr>
          <w:rFonts w:ascii="Arial" w:hAnsi="Arial"/>
          <w:b/>
          <w:sz w:val="28"/>
          <w:szCs w:val="28"/>
        </w:rPr>
        <w:t>Lucentis</w:t>
      </w:r>
      <w:proofErr w:type="spellEnd"/>
      <w:r w:rsidRPr="00CE0DF8">
        <w:rPr>
          <w:rFonts w:ascii="Arial" w:hAnsi="Arial" w:cs="Arial"/>
          <w:b/>
          <w:sz w:val="28"/>
          <w:szCs w:val="28"/>
        </w:rPr>
        <w:t>®</w:t>
      </w:r>
      <w:r w:rsidR="005131C7">
        <w:rPr>
          <w:rFonts w:ascii="Arial" w:hAnsi="Arial" w:cs="Arial"/>
          <w:b/>
          <w:sz w:val="28"/>
          <w:szCs w:val="28"/>
        </w:rPr>
        <w:t>;</w:t>
      </w:r>
      <w:r w:rsidRPr="00CE0DF8">
        <w:rPr>
          <w:rFonts w:ascii="Arial" w:hAnsi="Arial" w:cs="Arial"/>
          <w:b/>
          <w:sz w:val="28"/>
          <w:szCs w:val="28"/>
        </w:rPr>
        <w:t xml:space="preserve"> Novartis Pharmaceuticals Australia Pty Ltd</w:t>
      </w:r>
      <w:r w:rsidR="005131C7">
        <w:rPr>
          <w:rFonts w:ascii="Arial" w:hAnsi="Arial" w:cs="Arial"/>
          <w:b/>
          <w:sz w:val="28"/>
          <w:szCs w:val="28"/>
        </w:rPr>
        <w:t>.</w:t>
      </w:r>
      <w:bookmarkStart w:id="0" w:name="_GoBack"/>
      <w:bookmarkEnd w:id="0"/>
      <w:proofErr w:type="gramEnd"/>
    </w:p>
    <w:p w:rsidR="00CE10C4" w:rsidRDefault="00CE10C4" w:rsidP="00A5273B">
      <w:pPr>
        <w:rPr>
          <w:rFonts w:ascii="Arial" w:hAnsi="Arial"/>
          <w:b/>
        </w:rPr>
      </w:pPr>
    </w:p>
    <w:p w:rsidR="0003323A" w:rsidRDefault="0003323A" w:rsidP="00A5273B">
      <w:pPr>
        <w:rPr>
          <w:rFonts w:ascii="Arial" w:hAnsi="Arial"/>
          <w:b/>
        </w:rPr>
      </w:pPr>
    </w:p>
    <w:p w:rsidR="0003323A" w:rsidRPr="00882085" w:rsidRDefault="0003323A" w:rsidP="0003323A">
      <w:pPr>
        <w:pStyle w:val="ListParagraph"/>
        <w:numPr>
          <w:ilvl w:val="0"/>
          <w:numId w:val="25"/>
        </w:numPr>
        <w:jc w:val="both"/>
        <w:rPr>
          <w:rFonts w:ascii="Arial" w:hAnsi="Arial"/>
          <w:b/>
          <w:sz w:val="22"/>
          <w:szCs w:val="22"/>
        </w:rPr>
      </w:pPr>
      <w:r w:rsidRPr="00882085">
        <w:rPr>
          <w:rFonts w:ascii="Arial" w:hAnsi="Arial"/>
          <w:b/>
          <w:sz w:val="22"/>
          <w:szCs w:val="22"/>
        </w:rPr>
        <w:t>Purpose of Application</w:t>
      </w:r>
    </w:p>
    <w:p w:rsidR="006A12A5" w:rsidRPr="00882085" w:rsidRDefault="006A12A5" w:rsidP="00882085">
      <w:pPr>
        <w:jc w:val="both"/>
        <w:rPr>
          <w:rFonts w:ascii="Arial" w:hAnsi="Arial"/>
          <w:sz w:val="22"/>
          <w:szCs w:val="22"/>
        </w:rPr>
      </w:pPr>
    </w:p>
    <w:p w:rsidR="0003323A" w:rsidRPr="007C1147" w:rsidRDefault="0003323A" w:rsidP="0003323A">
      <w:pPr>
        <w:pStyle w:val="ListParagraph"/>
        <w:numPr>
          <w:ilvl w:val="1"/>
          <w:numId w:val="25"/>
        </w:numPr>
        <w:jc w:val="both"/>
        <w:rPr>
          <w:rFonts w:ascii="Arial" w:hAnsi="Arial"/>
          <w:sz w:val="22"/>
          <w:szCs w:val="22"/>
        </w:rPr>
      </w:pPr>
      <w:r>
        <w:rPr>
          <w:rFonts w:ascii="Arial" w:hAnsi="Arial"/>
          <w:sz w:val="22"/>
          <w:szCs w:val="22"/>
        </w:rPr>
        <w:t xml:space="preserve">The minor </w:t>
      </w:r>
      <w:r w:rsidR="006939D1">
        <w:rPr>
          <w:rFonts w:ascii="Arial" w:hAnsi="Arial"/>
          <w:sz w:val="22"/>
          <w:szCs w:val="22"/>
        </w:rPr>
        <w:t>submission requested</w:t>
      </w:r>
      <w:r>
        <w:rPr>
          <w:rFonts w:ascii="Arial" w:hAnsi="Arial"/>
          <w:sz w:val="22"/>
          <w:szCs w:val="22"/>
        </w:rPr>
        <w:t xml:space="preserve"> </w:t>
      </w:r>
      <w:r w:rsidR="00464F2E">
        <w:rPr>
          <w:rFonts w:ascii="Arial" w:hAnsi="Arial"/>
          <w:sz w:val="22"/>
          <w:szCs w:val="22"/>
        </w:rPr>
        <w:t xml:space="preserve">PBAC advise the Minister that </w:t>
      </w:r>
      <w:r>
        <w:rPr>
          <w:rFonts w:ascii="Arial" w:hAnsi="Arial"/>
          <w:sz w:val="22"/>
          <w:szCs w:val="22"/>
        </w:rPr>
        <w:t xml:space="preserve">ranibizumab pre-filled syringe and vial presentations </w:t>
      </w:r>
      <w:r w:rsidR="00464F2E">
        <w:rPr>
          <w:rFonts w:ascii="Arial" w:hAnsi="Arial"/>
          <w:sz w:val="22"/>
          <w:szCs w:val="22"/>
        </w:rPr>
        <w:t xml:space="preserve">could </w:t>
      </w:r>
      <w:r>
        <w:rPr>
          <w:rFonts w:ascii="Arial" w:hAnsi="Arial"/>
          <w:sz w:val="22"/>
          <w:szCs w:val="22"/>
        </w:rPr>
        <w:t xml:space="preserve">be ‘a’ flagged for the </w:t>
      </w:r>
      <w:r w:rsidR="009331C0">
        <w:rPr>
          <w:rFonts w:ascii="Arial" w:hAnsi="Arial"/>
          <w:sz w:val="22"/>
          <w:szCs w:val="22"/>
        </w:rPr>
        <w:t xml:space="preserve">current </w:t>
      </w:r>
      <w:r>
        <w:rPr>
          <w:rFonts w:ascii="Arial" w:hAnsi="Arial"/>
          <w:sz w:val="22"/>
          <w:szCs w:val="22"/>
        </w:rPr>
        <w:t xml:space="preserve">treatment of </w:t>
      </w:r>
      <w:proofErr w:type="spellStart"/>
      <w:r>
        <w:rPr>
          <w:rFonts w:ascii="Arial" w:hAnsi="Arial"/>
          <w:sz w:val="22"/>
          <w:szCs w:val="22"/>
        </w:rPr>
        <w:t>neovascular</w:t>
      </w:r>
      <w:proofErr w:type="spellEnd"/>
      <w:r>
        <w:rPr>
          <w:rFonts w:ascii="Arial" w:hAnsi="Arial"/>
          <w:sz w:val="22"/>
          <w:szCs w:val="22"/>
        </w:rPr>
        <w:t xml:space="preserve"> age-related macular degeneration</w:t>
      </w:r>
      <w:r w:rsidR="009331C0">
        <w:rPr>
          <w:rFonts w:ascii="Arial" w:hAnsi="Arial"/>
          <w:sz w:val="22"/>
          <w:szCs w:val="22"/>
        </w:rPr>
        <w:t xml:space="preserve"> (AMD) and for the listings in the treatment of visual impairment due to diabetic macular oedema (DME) and in the treatment of visual impairment due to macular oedema secondary to retinal vein occlusion (RVO)</w:t>
      </w:r>
      <w:r w:rsidR="00FC3C82">
        <w:rPr>
          <w:rFonts w:ascii="Arial" w:hAnsi="Arial"/>
          <w:sz w:val="22"/>
          <w:szCs w:val="22"/>
        </w:rPr>
        <w:t>, recommended at July 2014 PBAC meeting</w:t>
      </w:r>
      <w:r>
        <w:rPr>
          <w:rFonts w:ascii="Arial" w:hAnsi="Arial"/>
          <w:sz w:val="22"/>
          <w:szCs w:val="22"/>
        </w:rPr>
        <w:t>.</w:t>
      </w:r>
    </w:p>
    <w:p w:rsidR="00DC3FA6" w:rsidRDefault="00DC3FA6" w:rsidP="006C5211">
      <w:pPr>
        <w:jc w:val="both"/>
        <w:rPr>
          <w:rFonts w:ascii="Arial" w:hAnsi="Arial"/>
          <w:b/>
          <w:sz w:val="22"/>
          <w:szCs w:val="22"/>
        </w:rPr>
      </w:pPr>
    </w:p>
    <w:p w:rsidR="00127294" w:rsidRPr="006C5211" w:rsidRDefault="00127294" w:rsidP="006C5211">
      <w:pPr>
        <w:jc w:val="both"/>
        <w:rPr>
          <w:rFonts w:ascii="Arial" w:hAnsi="Arial"/>
          <w:b/>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826F6D" w:rsidRPr="00826F6D" w:rsidRDefault="00EF44A0" w:rsidP="00882085">
      <w:pPr>
        <w:pStyle w:val="ListParagraph"/>
        <w:numPr>
          <w:ilvl w:val="1"/>
          <w:numId w:val="25"/>
        </w:numPr>
        <w:jc w:val="both"/>
        <w:rPr>
          <w:rFonts w:ascii="Arial" w:hAnsi="Arial"/>
          <w:sz w:val="22"/>
          <w:szCs w:val="22"/>
        </w:rPr>
      </w:pPr>
      <w:r>
        <w:rPr>
          <w:rFonts w:ascii="Arial" w:hAnsi="Arial"/>
          <w:sz w:val="22"/>
          <w:szCs w:val="22"/>
        </w:rPr>
        <w:t xml:space="preserve">The submission </w:t>
      </w:r>
      <w:r w:rsidR="008478CD">
        <w:rPr>
          <w:rFonts w:ascii="Arial" w:hAnsi="Arial"/>
          <w:sz w:val="22"/>
          <w:szCs w:val="22"/>
        </w:rPr>
        <w:t>proposed</w:t>
      </w:r>
      <w:r w:rsidR="00773C99">
        <w:rPr>
          <w:rFonts w:ascii="Arial" w:hAnsi="Arial"/>
          <w:sz w:val="22"/>
          <w:szCs w:val="22"/>
        </w:rPr>
        <w:t xml:space="preserve"> to retain the current</w:t>
      </w:r>
      <w:r>
        <w:rPr>
          <w:rFonts w:ascii="Arial" w:hAnsi="Arial"/>
          <w:sz w:val="22"/>
          <w:szCs w:val="22"/>
        </w:rPr>
        <w:t xml:space="preserve"> existing </w:t>
      </w:r>
      <w:r w:rsidR="00464586">
        <w:rPr>
          <w:rFonts w:ascii="Arial" w:hAnsi="Arial"/>
          <w:sz w:val="22"/>
          <w:szCs w:val="22"/>
        </w:rPr>
        <w:t xml:space="preserve">Section 85 </w:t>
      </w:r>
      <w:r>
        <w:rPr>
          <w:rFonts w:ascii="Arial" w:hAnsi="Arial"/>
          <w:sz w:val="22"/>
          <w:szCs w:val="22"/>
        </w:rPr>
        <w:t>listing</w:t>
      </w:r>
      <w:r w:rsidR="00773C99">
        <w:rPr>
          <w:rFonts w:ascii="Arial" w:hAnsi="Arial"/>
          <w:sz w:val="22"/>
          <w:szCs w:val="22"/>
        </w:rPr>
        <w:t xml:space="preserve">s of ranibizumab injection for both the vial and pre-filled syringe presentations with an added ‘a’ flag </w:t>
      </w:r>
      <w:r w:rsidR="00E3003B">
        <w:rPr>
          <w:rFonts w:ascii="Arial" w:hAnsi="Arial"/>
          <w:sz w:val="22"/>
          <w:szCs w:val="22"/>
        </w:rPr>
        <w:t>between the two formulations to enable pharmacists to substitute presentations.</w:t>
      </w:r>
    </w:p>
    <w:p w:rsidR="00DC3FA6" w:rsidRDefault="00DC3FA6" w:rsidP="00882085">
      <w:pPr>
        <w:jc w:val="both"/>
        <w:rPr>
          <w:rFonts w:ascii="Arial" w:hAnsi="Arial"/>
          <w:b/>
          <w:sz w:val="22"/>
          <w:szCs w:val="22"/>
        </w:rPr>
      </w:pPr>
    </w:p>
    <w:p w:rsidR="00127294" w:rsidRPr="00882085" w:rsidRDefault="00127294"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DF2B58" w:rsidRDefault="00DF2B58" w:rsidP="00DF2B58">
      <w:pPr>
        <w:pStyle w:val="ListParagraph"/>
        <w:numPr>
          <w:ilvl w:val="1"/>
          <w:numId w:val="25"/>
        </w:numPr>
        <w:jc w:val="both"/>
        <w:rPr>
          <w:rFonts w:ascii="Arial" w:hAnsi="Arial"/>
          <w:sz w:val="22"/>
          <w:szCs w:val="22"/>
        </w:rPr>
      </w:pPr>
      <w:r w:rsidRPr="00DF2B58">
        <w:rPr>
          <w:rFonts w:ascii="Arial" w:hAnsi="Arial"/>
          <w:sz w:val="22"/>
          <w:szCs w:val="22"/>
        </w:rPr>
        <w:t>At the March 2014 PBAC meeting, the committee</w:t>
      </w:r>
      <w:r>
        <w:rPr>
          <w:rFonts w:ascii="Arial" w:hAnsi="Arial"/>
          <w:sz w:val="22"/>
          <w:szCs w:val="22"/>
        </w:rPr>
        <w:t xml:space="preserve"> </w:t>
      </w:r>
      <w:r w:rsidRPr="00DF2B58">
        <w:rPr>
          <w:rFonts w:ascii="Arial" w:hAnsi="Arial"/>
          <w:sz w:val="22"/>
          <w:szCs w:val="22"/>
        </w:rPr>
        <w:t xml:space="preserve">recommended the listing of the pre-filled syringe presentation of ranibizumab for the treatment of </w:t>
      </w:r>
      <w:proofErr w:type="spellStart"/>
      <w:r w:rsidRPr="00DF2B58">
        <w:rPr>
          <w:rFonts w:ascii="Arial" w:hAnsi="Arial"/>
          <w:sz w:val="22"/>
          <w:szCs w:val="22"/>
        </w:rPr>
        <w:t>subfoveal</w:t>
      </w:r>
      <w:proofErr w:type="spellEnd"/>
      <w:r w:rsidRPr="00DF2B58">
        <w:rPr>
          <w:rFonts w:ascii="Arial" w:hAnsi="Arial"/>
          <w:sz w:val="22"/>
          <w:szCs w:val="22"/>
        </w:rPr>
        <w:t xml:space="preserve"> </w:t>
      </w:r>
      <w:proofErr w:type="spellStart"/>
      <w:r w:rsidRPr="00DF2B58">
        <w:rPr>
          <w:rFonts w:ascii="Arial" w:hAnsi="Arial"/>
          <w:sz w:val="22"/>
          <w:szCs w:val="22"/>
        </w:rPr>
        <w:t>choroidal</w:t>
      </w:r>
      <w:proofErr w:type="spellEnd"/>
      <w:r w:rsidRPr="00DF2B58">
        <w:rPr>
          <w:rFonts w:ascii="Arial" w:hAnsi="Arial"/>
          <w:sz w:val="22"/>
          <w:szCs w:val="22"/>
        </w:rPr>
        <w:t xml:space="preserve"> neovascularisation (CNV) due to age-related macular degeneration (AMD) with the same restriction as the currently listed vial presentation. Listing was recommended on a cost minimisation basis with the vial presentation, with the equi-effective doses of one pre-filled syringe containing 1.65 mg of ranibizumab in 0.165 mL equivalent to one vial containing 2.3 mg ranibizumab in 0.23 mL.</w:t>
      </w:r>
      <w:r w:rsidR="009632A1">
        <w:rPr>
          <w:rFonts w:ascii="Arial" w:hAnsi="Arial"/>
          <w:sz w:val="22"/>
          <w:szCs w:val="22"/>
        </w:rPr>
        <w:t xml:space="preserve"> </w:t>
      </w:r>
    </w:p>
    <w:p w:rsidR="00DF2B58" w:rsidRPr="00DF2B58" w:rsidRDefault="00DF2B58" w:rsidP="00DF2B58">
      <w:pPr>
        <w:pStyle w:val="ListParagraph"/>
        <w:jc w:val="both"/>
        <w:rPr>
          <w:rFonts w:ascii="Arial" w:hAnsi="Arial"/>
          <w:sz w:val="22"/>
          <w:szCs w:val="22"/>
        </w:rPr>
      </w:pPr>
    </w:p>
    <w:p w:rsidR="00DF2B58" w:rsidRPr="008274DB" w:rsidRDefault="00DC3FA6" w:rsidP="00DF2B58">
      <w:pPr>
        <w:pStyle w:val="ListParagraph"/>
        <w:numPr>
          <w:ilvl w:val="1"/>
          <w:numId w:val="25"/>
        </w:numPr>
        <w:jc w:val="both"/>
        <w:rPr>
          <w:rFonts w:ascii="Arial" w:hAnsi="Arial"/>
          <w:b/>
          <w:sz w:val="22"/>
          <w:szCs w:val="22"/>
        </w:rPr>
      </w:pPr>
      <w:r w:rsidRPr="00DC3FA6">
        <w:rPr>
          <w:rFonts w:ascii="Arial" w:hAnsi="Arial"/>
          <w:sz w:val="22"/>
          <w:szCs w:val="22"/>
        </w:rPr>
        <w:t xml:space="preserve">Although PBAC noted that </w:t>
      </w:r>
      <w:r w:rsidR="00DF2B58" w:rsidRPr="00DC3FA6">
        <w:rPr>
          <w:rFonts w:ascii="Arial" w:hAnsi="Arial"/>
          <w:sz w:val="22"/>
          <w:szCs w:val="22"/>
        </w:rPr>
        <w:t>both the pre-filled syringe and the vial presentation deliver a single dose of 0.5 mg ranibizumab for intravitreal injection,..”</w:t>
      </w:r>
      <w:r w:rsidRPr="00DC3FA6">
        <w:rPr>
          <w:rFonts w:ascii="Arial" w:hAnsi="Arial"/>
          <w:sz w:val="22"/>
          <w:szCs w:val="22"/>
        </w:rPr>
        <w:t xml:space="preserve">, the </w:t>
      </w:r>
      <w:r w:rsidR="00DF2B58" w:rsidRPr="00DC3FA6">
        <w:rPr>
          <w:rFonts w:ascii="Arial" w:hAnsi="Arial"/>
          <w:sz w:val="22"/>
          <w:szCs w:val="22"/>
        </w:rPr>
        <w:t xml:space="preserve">potential for “a” flagging </w:t>
      </w:r>
      <w:r>
        <w:rPr>
          <w:rFonts w:ascii="Arial" w:hAnsi="Arial"/>
          <w:sz w:val="22"/>
          <w:szCs w:val="22"/>
        </w:rPr>
        <w:t xml:space="preserve">was </w:t>
      </w:r>
      <w:r w:rsidR="00DF2B58" w:rsidRPr="00DC3FA6">
        <w:rPr>
          <w:rFonts w:ascii="Arial" w:hAnsi="Arial"/>
          <w:sz w:val="22"/>
          <w:szCs w:val="22"/>
        </w:rPr>
        <w:t xml:space="preserve">not implemented because of the concern that the </w:t>
      </w:r>
      <w:r w:rsidRPr="00DC3FA6">
        <w:rPr>
          <w:rFonts w:ascii="Arial" w:hAnsi="Arial"/>
          <w:sz w:val="22"/>
          <w:szCs w:val="22"/>
        </w:rPr>
        <w:t>pre-filled syringe</w:t>
      </w:r>
      <w:r w:rsidR="00DF2B58" w:rsidRPr="00DC3FA6">
        <w:rPr>
          <w:rFonts w:ascii="Arial" w:hAnsi="Arial"/>
          <w:sz w:val="22"/>
          <w:szCs w:val="22"/>
        </w:rPr>
        <w:t xml:space="preserve"> could only deliver a 0.5</w:t>
      </w:r>
      <w:r w:rsidRPr="00DC3FA6">
        <w:rPr>
          <w:rFonts w:ascii="Arial" w:hAnsi="Arial"/>
          <w:sz w:val="22"/>
          <w:szCs w:val="22"/>
        </w:rPr>
        <w:t xml:space="preserve"> </w:t>
      </w:r>
      <w:r w:rsidR="00DF2B58" w:rsidRPr="00DC3FA6">
        <w:rPr>
          <w:rFonts w:ascii="Arial" w:hAnsi="Arial"/>
          <w:sz w:val="22"/>
          <w:szCs w:val="22"/>
        </w:rPr>
        <w:t>mg dose whereas the vial could be used for a 0.5</w:t>
      </w:r>
      <w:r w:rsidRPr="00DC3FA6">
        <w:rPr>
          <w:rFonts w:ascii="Arial" w:hAnsi="Arial"/>
          <w:sz w:val="22"/>
          <w:szCs w:val="22"/>
        </w:rPr>
        <w:t xml:space="preserve"> </w:t>
      </w:r>
      <w:r w:rsidR="00DF2B58" w:rsidRPr="00DC3FA6">
        <w:rPr>
          <w:rFonts w:ascii="Arial" w:hAnsi="Arial"/>
          <w:sz w:val="22"/>
          <w:szCs w:val="22"/>
        </w:rPr>
        <w:t>mg and a 0.3</w:t>
      </w:r>
      <w:r w:rsidRPr="00DC3FA6">
        <w:rPr>
          <w:rFonts w:ascii="Arial" w:hAnsi="Arial"/>
          <w:sz w:val="22"/>
          <w:szCs w:val="22"/>
        </w:rPr>
        <w:t xml:space="preserve"> </w:t>
      </w:r>
      <w:r w:rsidR="00DF2B58" w:rsidRPr="00DC3FA6">
        <w:rPr>
          <w:rFonts w:ascii="Arial" w:hAnsi="Arial"/>
          <w:sz w:val="22"/>
          <w:szCs w:val="22"/>
        </w:rPr>
        <w:t xml:space="preserve">mg dose. </w:t>
      </w:r>
    </w:p>
    <w:p w:rsidR="008274DB" w:rsidRPr="008274DB" w:rsidRDefault="008274DB" w:rsidP="008274DB">
      <w:pPr>
        <w:pStyle w:val="ListParagraph"/>
        <w:rPr>
          <w:rFonts w:ascii="Arial" w:hAnsi="Arial"/>
          <w:b/>
          <w:sz w:val="22"/>
          <w:szCs w:val="22"/>
        </w:rPr>
      </w:pPr>
    </w:p>
    <w:p w:rsidR="008274DB" w:rsidRPr="009331C0" w:rsidRDefault="008274DB" w:rsidP="009331C0">
      <w:pPr>
        <w:pStyle w:val="ListParagraph"/>
        <w:numPr>
          <w:ilvl w:val="1"/>
          <w:numId w:val="25"/>
        </w:numPr>
        <w:jc w:val="both"/>
        <w:rPr>
          <w:rFonts w:ascii="Arial" w:hAnsi="Arial"/>
          <w:b/>
          <w:sz w:val="22"/>
          <w:szCs w:val="22"/>
        </w:rPr>
      </w:pPr>
      <w:r>
        <w:rPr>
          <w:rFonts w:ascii="Arial" w:hAnsi="Arial"/>
          <w:sz w:val="22"/>
          <w:szCs w:val="22"/>
        </w:rPr>
        <w:t xml:space="preserve">At the July 2014 PBAC meeting, the committee recommended two further indications be added for ranibizumab for the treatment of </w:t>
      </w:r>
      <w:r w:rsidR="00BE7A3D">
        <w:rPr>
          <w:rFonts w:ascii="Arial" w:hAnsi="Arial"/>
          <w:sz w:val="22"/>
          <w:szCs w:val="22"/>
        </w:rPr>
        <w:t>visual impairment due to diabetic macular oedema (</w:t>
      </w:r>
      <w:r>
        <w:rPr>
          <w:rFonts w:ascii="Arial" w:hAnsi="Arial"/>
          <w:sz w:val="22"/>
          <w:szCs w:val="22"/>
        </w:rPr>
        <w:t>DME</w:t>
      </w:r>
      <w:r w:rsidR="00BE7A3D">
        <w:rPr>
          <w:rFonts w:ascii="Arial" w:hAnsi="Arial"/>
          <w:sz w:val="22"/>
          <w:szCs w:val="22"/>
        </w:rPr>
        <w:t>) and for the treatment of visual impairment due to macular oedema secondary to retinal vein occlusion</w:t>
      </w:r>
      <w:r>
        <w:rPr>
          <w:rFonts w:ascii="Arial" w:hAnsi="Arial"/>
          <w:sz w:val="22"/>
          <w:szCs w:val="22"/>
        </w:rPr>
        <w:t xml:space="preserve"> </w:t>
      </w:r>
      <w:r w:rsidR="00BE7A3D">
        <w:rPr>
          <w:rFonts w:ascii="Arial" w:hAnsi="Arial"/>
          <w:sz w:val="22"/>
          <w:szCs w:val="22"/>
        </w:rPr>
        <w:t>(</w:t>
      </w:r>
      <w:r>
        <w:rPr>
          <w:rFonts w:ascii="Arial" w:hAnsi="Arial"/>
          <w:sz w:val="22"/>
          <w:szCs w:val="22"/>
        </w:rPr>
        <w:t>RVO</w:t>
      </w:r>
      <w:r w:rsidR="00BE7A3D">
        <w:rPr>
          <w:rFonts w:ascii="Arial" w:hAnsi="Arial"/>
          <w:sz w:val="22"/>
          <w:szCs w:val="22"/>
        </w:rPr>
        <w:t>).</w:t>
      </w:r>
      <w:r w:rsidR="009331C0">
        <w:rPr>
          <w:rFonts w:ascii="Arial" w:hAnsi="Arial"/>
          <w:sz w:val="22"/>
          <w:szCs w:val="22"/>
        </w:rPr>
        <w:t xml:space="preserve"> </w:t>
      </w:r>
    </w:p>
    <w:p w:rsidR="006C5211" w:rsidRDefault="006C5211" w:rsidP="00882085">
      <w:pPr>
        <w:jc w:val="both"/>
        <w:rPr>
          <w:rFonts w:ascii="Arial" w:hAnsi="Arial"/>
          <w:b/>
          <w:sz w:val="22"/>
          <w:szCs w:val="22"/>
        </w:rPr>
      </w:pPr>
    </w:p>
    <w:p w:rsidR="00127294" w:rsidRPr="00882085" w:rsidRDefault="00127294" w:rsidP="00882085">
      <w:pPr>
        <w:jc w:val="both"/>
        <w:rPr>
          <w:rFonts w:ascii="Arial" w:hAnsi="Arial"/>
          <w:b/>
          <w:sz w:val="22"/>
          <w:szCs w:val="22"/>
        </w:rPr>
      </w:pPr>
    </w:p>
    <w:p w:rsidR="00CE10C4" w:rsidRPr="00882085" w:rsidRDefault="008274DB" w:rsidP="00882085">
      <w:pPr>
        <w:pStyle w:val="ListParagraph"/>
        <w:numPr>
          <w:ilvl w:val="0"/>
          <w:numId w:val="25"/>
        </w:numPr>
        <w:jc w:val="both"/>
        <w:rPr>
          <w:rFonts w:ascii="Arial" w:hAnsi="Arial"/>
          <w:b/>
          <w:sz w:val="22"/>
          <w:szCs w:val="22"/>
        </w:rPr>
      </w:pPr>
      <w:r>
        <w:rPr>
          <w:rFonts w:ascii="Arial" w:hAnsi="Arial"/>
          <w:b/>
          <w:sz w:val="22"/>
          <w:szCs w:val="22"/>
        </w:rPr>
        <w:t>Current situation</w:t>
      </w:r>
    </w:p>
    <w:p w:rsidR="009331C0" w:rsidRDefault="009331C0" w:rsidP="00882085">
      <w:pPr>
        <w:pStyle w:val="Header"/>
        <w:tabs>
          <w:tab w:val="clear" w:pos="4153"/>
          <w:tab w:val="clear" w:pos="8306"/>
        </w:tabs>
        <w:jc w:val="both"/>
        <w:rPr>
          <w:rFonts w:ascii="Arial" w:hAnsi="Arial"/>
          <w:sz w:val="22"/>
          <w:szCs w:val="22"/>
        </w:rPr>
      </w:pPr>
    </w:p>
    <w:p w:rsidR="00C45791" w:rsidRPr="00C45791" w:rsidRDefault="00C45791" w:rsidP="00C45791">
      <w:pPr>
        <w:pStyle w:val="ListParagraph"/>
        <w:numPr>
          <w:ilvl w:val="1"/>
          <w:numId w:val="25"/>
        </w:numPr>
        <w:jc w:val="both"/>
        <w:rPr>
          <w:rFonts w:ascii="Arial" w:hAnsi="Arial"/>
          <w:sz w:val="22"/>
          <w:szCs w:val="22"/>
          <w:u w:val="single"/>
        </w:rPr>
      </w:pPr>
      <w:r w:rsidRPr="00C45791">
        <w:rPr>
          <w:rFonts w:ascii="Arial" w:hAnsi="Arial"/>
          <w:sz w:val="22"/>
          <w:szCs w:val="22"/>
          <w:u w:val="single"/>
        </w:rPr>
        <w:t xml:space="preserve">Vial </w:t>
      </w:r>
    </w:p>
    <w:p w:rsidR="00C45791" w:rsidRPr="00C45791" w:rsidRDefault="00C45791" w:rsidP="00C45791">
      <w:pPr>
        <w:pStyle w:val="ListParagraph"/>
        <w:jc w:val="both"/>
        <w:rPr>
          <w:rFonts w:ascii="Arial" w:hAnsi="Arial"/>
          <w:sz w:val="22"/>
          <w:szCs w:val="22"/>
        </w:rPr>
      </w:pPr>
      <w:r w:rsidRPr="00C45791">
        <w:rPr>
          <w:rFonts w:ascii="Arial" w:hAnsi="Arial"/>
          <w:sz w:val="22"/>
          <w:szCs w:val="22"/>
        </w:rPr>
        <w:lastRenderedPageBreak/>
        <w:t>The dosing preparation from the vial requires the withdrawal of all the liquid from the vial into a syringe. Clinicians are then instructed to expel the air from the syringe and adjust the dose to 0.05</w:t>
      </w:r>
      <w:r>
        <w:rPr>
          <w:rFonts w:ascii="Arial" w:hAnsi="Arial"/>
          <w:sz w:val="22"/>
          <w:szCs w:val="22"/>
        </w:rPr>
        <w:t xml:space="preserve"> </w:t>
      </w:r>
      <w:r w:rsidRPr="00C45791">
        <w:rPr>
          <w:rFonts w:ascii="Arial" w:hAnsi="Arial"/>
          <w:sz w:val="22"/>
          <w:szCs w:val="22"/>
        </w:rPr>
        <w:t>m</w:t>
      </w:r>
      <w:r>
        <w:rPr>
          <w:rFonts w:ascii="Arial" w:hAnsi="Arial"/>
          <w:sz w:val="22"/>
          <w:szCs w:val="22"/>
        </w:rPr>
        <w:t>L</w:t>
      </w:r>
      <w:r w:rsidRPr="00C45791">
        <w:rPr>
          <w:rFonts w:ascii="Arial" w:hAnsi="Arial"/>
          <w:sz w:val="22"/>
          <w:szCs w:val="22"/>
        </w:rPr>
        <w:t xml:space="preserve"> or 0.03</w:t>
      </w:r>
      <w:r>
        <w:rPr>
          <w:rFonts w:ascii="Arial" w:hAnsi="Arial"/>
          <w:sz w:val="22"/>
          <w:szCs w:val="22"/>
        </w:rPr>
        <w:t xml:space="preserve"> </w:t>
      </w:r>
      <w:r w:rsidRPr="00C45791">
        <w:rPr>
          <w:rFonts w:ascii="Arial" w:hAnsi="Arial"/>
          <w:sz w:val="22"/>
          <w:szCs w:val="22"/>
        </w:rPr>
        <w:t>m</w:t>
      </w:r>
      <w:r>
        <w:rPr>
          <w:rFonts w:ascii="Arial" w:hAnsi="Arial"/>
          <w:sz w:val="22"/>
          <w:szCs w:val="22"/>
        </w:rPr>
        <w:t>L</w:t>
      </w:r>
      <w:r w:rsidRPr="00C45791">
        <w:rPr>
          <w:rFonts w:ascii="Arial" w:hAnsi="Arial"/>
          <w:sz w:val="22"/>
          <w:szCs w:val="22"/>
        </w:rPr>
        <w:t xml:space="preserve"> mark on the syringe </w:t>
      </w:r>
      <w:r>
        <w:rPr>
          <w:rFonts w:ascii="Arial" w:hAnsi="Arial"/>
          <w:sz w:val="22"/>
          <w:szCs w:val="22"/>
        </w:rPr>
        <w:t xml:space="preserve">to </w:t>
      </w:r>
      <w:r w:rsidRPr="00C45791">
        <w:rPr>
          <w:rFonts w:ascii="Arial" w:hAnsi="Arial"/>
          <w:sz w:val="22"/>
          <w:szCs w:val="22"/>
        </w:rPr>
        <w:t>sufficiently</w:t>
      </w:r>
      <w:r>
        <w:rPr>
          <w:rFonts w:ascii="Arial" w:hAnsi="Arial"/>
          <w:sz w:val="22"/>
          <w:szCs w:val="22"/>
        </w:rPr>
        <w:t xml:space="preserve"> prepare both</w:t>
      </w:r>
      <w:r w:rsidRPr="00C45791">
        <w:rPr>
          <w:rFonts w:ascii="Arial" w:hAnsi="Arial"/>
          <w:sz w:val="22"/>
          <w:szCs w:val="22"/>
        </w:rPr>
        <w:t xml:space="preserve"> dose</w:t>
      </w:r>
      <w:r>
        <w:rPr>
          <w:rFonts w:ascii="Arial" w:hAnsi="Arial"/>
          <w:sz w:val="22"/>
          <w:szCs w:val="22"/>
        </w:rPr>
        <w:t>s</w:t>
      </w:r>
      <w:r w:rsidRPr="00C45791">
        <w:rPr>
          <w:rFonts w:ascii="Arial" w:hAnsi="Arial"/>
          <w:sz w:val="22"/>
          <w:szCs w:val="22"/>
        </w:rPr>
        <w:t>.</w:t>
      </w:r>
    </w:p>
    <w:p w:rsidR="00C45791" w:rsidRDefault="00C45791" w:rsidP="00C45791">
      <w:pPr>
        <w:pStyle w:val="ListParagraph"/>
        <w:jc w:val="both"/>
        <w:rPr>
          <w:rFonts w:ascii="Arial" w:hAnsi="Arial"/>
          <w:sz w:val="22"/>
          <w:szCs w:val="22"/>
        </w:rPr>
      </w:pPr>
    </w:p>
    <w:p w:rsidR="00C45791" w:rsidRPr="00C45791" w:rsidRDefault="00C45791" w:rsidP="00C45791">
      <w:pPr>
        <w:pStyle w:val="ListParagraph"/>
        <w:jc w:val="both"/>
        <w:rPr>
          <w:rFonts w:ascii="Arial" w:hAnsi="Arial"/>
          <w:sz w:val="22"/>
          <w:szCs w:val="22"/>
          <w:u w:val="single"/>
        </w:rPr>
      </w:pPr>
      <w:r w:rsidRPr="00C45791">
        <w:rPr>
          <w:rFonts w:ascii="Arial" w:hAnsi="Arial"/>
          <w:sz w:val="22"/>
          <w:szCs w:val="22"/>
          <w:u w:val="single"/>
        </w:rPr>
        <w:t>Pre-filled syringe</w:t>
      </w:r>
      <w:r w:rsidR="008C25DF">
        <w:rPr>
          <w:rFonts w:ascii="Arial" w:hAnsi="Arial"/>
          <w:sz w:val="22"/>
          <w:szCs w:val="22"/>
          <w:u w:val="single"/>
        </w:rPr>
        <w:t xml:space="preserve"> (PFS)</w:t>
      </w:r>
    </w:p>
    <w:p w:rsidR="00C45791" w:rsidRDefault="00C45791" w:rsidP="00C45791">
      <w:pPr>
        <w:pStyle w:val="ListParagraph"/>
        <w:jc w:val="both"/>
        <w:rPr>
          <w:rFonts w:ascii="Arial" w:hAnsi="Arial"/>
          <w:sz w:val="22"/>
          <w:szCs w:val="22"/>
        </w:rPr>
      </w:pPr>
      <w:r w:rsidRPr="00C45791">
        <w:rPr>
          <w:rFonts w:ascii="Arial" w:hAnsi="Arial"/>
          <w:sz w:val="22"/>
          <w:szCs w:val="22"/>
        </w:rPr>
        <w:t>The total volume of the PFS is 0.165</w:t>
      </w:r>
      <w:r>
        <w:rPr>
          <w:rFonts w:ascii="Arial" w:hAnsi="Arial"/>
          <w:sz w:val="22"/>
          <w:szCs w:val="22"/>
        </w:rPr>
        <w:t xml:space="preserve"> </w:t>
      </w:r>
      <w:r w:rsidRPr="00C45791">
        <w:rPr>
          <w:rFonts w:ascii="Arial" w:hAnsi="Arial"/>
          <w:sz w:val="22"/>
          <w:szCs w:val="22"/>
        </w:rPr>
        <w:t>m</w:t>
      </w:r>
      <w:r>
        <w:rPr>
          <w:rFonts w:ascii="Arial" w:hAnsi="Arial"/>
          <w:sz w:val="22"/>
          <w:szCs w:val="22"/>
        </w:rPr>
        <w:t>L</w:t>
      </w:r>
      <w:r w:rsidRPr="00C45791">
        <w:rPr>
          <w:rFonts w:ascii="Arial" w:hAnsi="Arial"/>
          <w:sz w:val="22"/>
          <w:szCs w:val="22"/>
        </w:rPr>
        <w:t>, the dosing preparation for PFS is to expel the air and the excess solution and set the dose to 0.5</w:t>
      </w:r>
      <w:r>
        <w:rPr>
          <w:rFonts w:ascii="Arial" w:hAnsi="Arial"/>
          <w:sz w:val="22"/>
          <w:szCs w:val="22"/>
        </w:rPr>
        <w:t xml:space="preserve"> </w:t>
      </w:r>
      <w:r w:rsidRPr="00C45791">
        <w:rPr>
          <w:rFonts w:ascii="Arial" w:hAnsi="Arial"/>
          <w:sz w:val="22"/>
          <w:szCs w:val="22"/>
        </w:rPr>
        <w:t>mg (0.05</w:t>
      </w:r>
      <w:r>
        <w:rPr>
          <w:rFonts w:ascii="Arial" w:hAnsi="Arial"/>
          <w:sz w:val="22"/>
          <w:szCs w:val="22"/>
        </w:rPr>
        <w:t xml:space="preserve"> </w:t>
      </w:r>
      <w:r w:rsidRPr="00C45791">
        <w:rPr>
          <w:rFonts w:ascii="Arial" w:hAnsi="Arial"/>
          <w:sz w:val="22"/>
          <w:szCs w:val="22"/>
        </w:rPr>
        <w:t>m</w:t>
      </w:r>
      <w:r>
        <w:rPr>
          <w:rFonts w:ascii="Arial" w:hAnsi="Arial"/>
          <w:sz w:val="22"/>
          <w:szCs w:val="22"/>
        </w:rPr>
        <w:t>L</w:t>
      </w:r>
      <w:r w:rsidRPr="00C45791">
        <w:rPr>
          <w:rFonts w:ascii="Arial" w:hAnsi="Arial"/>
          <w:sz w:val="22"/>
          <w:szCs w:val="22"/>
        </w:rPr>
        <w:t xml:space="preserve">) using the fixed dose mark on the PFS. </w:t>
      </w:r>
      <w:r w:rsidR="008C25DF">
        <w:rPr>
          <w:rFonts w:ascii="Arial" w:hAnsi="Arial"/>
          <w:sz w:val="22"/>
          <w:szCs w:val="22"/>
        </w:rPr>
        <w:t>The submission state</w:t>
      </w:r>
      <w:r w:rsidR="008478CD">
        <w:rPr>
          <w:rFonts w:ascii="Arial" w:hAnsi="Arial"/>
          <w:sz w:val="22"/>
          <w:szCs w:val="22"/>
        </w:rPr>
        <w:t>d</w:t>
      </w:r>
      <w:r w:rsidR="008C25DF">
        <w:rPr>
          <w:rFonts w:ascii="Arial" w:hAnsi="Arial"/>
          <w:sz w:val="22"/>
          <w:szCs w:val="22"/>
        </w:rPr>
        <w:t xml:space="preserve"> that i</w:t>
      </w:r>
      <w:r w:rsidRPr="00C45791">
        <w:rPr>
          <w:rFonts w:ascii="Arial" w:hAnsi="Arial"/>
          <w:sz w:val="22"/>
          <w:szCs w:val="22"/>
        </w:rPr>
        <w:t>n practice it is possible to expel an additional 0.02</w:t>
      </w:r>
      <w:r>
        <w:rPr>
          <w:rFonts w:ascii="Arial" w:hAnsi="Arial"/>
          <w:sz w:val="22"/>
          <w:szCs w:val="22"/>
        </w:rPr>
        <w:t xml:space="preserve"> </w:t>
      </w:r>
      <w:r w:rsidRPr="00C45791">
        <w:rPr>
          <w:rFonts w:ascii="Arial" w:hAnsi="Arial"/>
          <w:sz w:val="22"/>
          <w:szCs w:val="22"/>
        </w:rPr>
        <w:t>m</w:t>
      </w:r>
      <w:r>
        <w:rPr>
          <w:rFonts w:ascii="Arial" w:hAnsi="Arial"/>
          <w:sz w:val="22"/>
          <w:szCs w:val="22"/>
        </w:rPr>
        <w:t>L</w:t>
      </w:r>
      <w:r w:rsidRPr="00C45791">
        <w:rPr>
          <w:rFonts w:ascii="Arial" w:hAnsi="Arial"/>
          <w:sz w:val="22"/>
          <w:szCs w:val="22"/>
        </w:rPr>
        <w:t>, as occurs currently in preparing a 0.3</w:t>
      </w:r>
      <w:r>
        <w:rPr>
          <w:rFonts w:ascii="Arial" w:hAnsi="Arial"/>
          <w:sz w:val="22"/>
          <w:szCs w:val="22"/>
        </w:rPr>
        <w:t xml:space="preserve"> </w:t>
      </w:r>
      <w:r w:rsidRPr="00C45791">
        <w:rPr>
          <w:rFonts w:ascii="Arial" w:hAnsi="Arial"/>
          <w:sz w:val="22"/>
          <w:szCs w:val="22"/>
        </w:rPr>
        <w:t>mg dose with a standard intravitreal syringe from the vial.  Thus it is possible in practice to administer 0.03</w:t>
      </w:r>
      <w:r>
        <w:rPr>
          <w:rFonts w:ascii="Arial" w:hAnsi="Arial"/>
          <w:sz w:val="22"/>
          <w:szCs w:val="22"/>
        </w:rPr>
        <w:t xml:space="preserve"> </w:t>
      </w:r>
      <w:r w:rsidRPr="00C45791">
        <w:rPr>
          <w:rFonts w:ascii="Arial" w:hAnsi="Arial"/>
          <w:sz w:val="22"/>
          <w:szCs w:val="22"/>
        </w:rPr>
        <w:t>m</w:t>
      </w:r>
      <w:r>
        <w:rPr>
          <w:rFonts w:ascii="Arial" w:hAnsi="Arial"/>
          <w:sz w:val="22"/>
          <w:szCs w:val="22"/>
        </w:rPr>
        <w:t>L</w:t>
      </w:r>
      <w:r w:rsidRPr="00C45791">
        <w:rPr>
          <w:rFonts w:ascii="Arial" w:hAnsi="Arial"/>
          <w:sz w:val="22"/>
          <w:szCs w:val="22"/>
        </w:rPr>
        <w:t xml:space="preserve"> from the PFS should this dose be required. </w:t>
      </w:r>
      <w:r w:rsidR="008C25DF">
        <w:rPr>
          <w:rFonts w:ascii="Arial" w:hAnsi="Arial"/>
          <w:sz w:val="22"/>
          <w:szCs w:val="22"/>
        </w:rPr>
        <w:t>The submission indicate</w:t>
      </w:r>
      <w:r w:rsidR="008478CD">
        <w:rPr>
          <w:rFonts w:ascii="Arial" w:hAnsi="Arial"/>
          <w:sz w:val="22"/>
          <w:szCs w:val="22"/>
        </w:rPr>
        <w:t>d</w:t>
      </w:r>
      <w:r w:rsidR="008C25DF">
        <w:rPr>
          <w:rFonts w:ascii="Arial" w:hAnsi="Arial"/>
          <w:sz w:val="22"/>
          <w:szCs w:val="22"/>
        </w:rPr>
        <w:t xml:space="preserve"> that a</w:t>
      </w:r>
      <w:r w:rsidRPr="00C45791">
        <w:rPr>
          <w:rFonts w:ascii="Arial" w:hAnsi="Arial"/>
          <w:sz w:val="22"/>
          <w:szCs w:val="22"/>
        </w:rPr>
        <w:t xml:space="preserve"> permanent marker could be used to make a mark equivalent to 0.03</w:t>
      </w:r>
      <w:r>
        <w:rPr>
          <w:rFonts w:ascii="Arial" w:hAnsi="Arial"/>
          <w:sz w:val="22"/>
          <w:szCs w:val="22"/>
        </w:rPr>
        <w:t xml:space="preserve"> </w:t>
      </w:r>
      <w:r w:rsidRPr="00C45791">
        <w:rPr>
          <w:rFonts w:ascii="Arial" w:hAnsi="Arial"/>
          <w:sz w:val="22"/>
          <w:szCs w:val="22"/>
        </w:rPr>
        <w:t>m</w:t>
      </w:r>
      <w:r>
        <w:rPr>
          <w:rFonts w:ascii="Arial" w:hAnsi="Arial"/>
          <w:sz w:val="22"/>
          <w:szCs w:val="22"/>
        </w:rPr>
        <w:t>L</w:t>
      </w:r>
      <w:r w:rsidRPr="00C45791">
        <w:rPr>
          <w:rFonts w:ascii="Arial" w:hAnsi="Arial"/>
          <w:sz w:val="22"/>
          <w:szCs w:val="22"/>
        </w:rPr>
        <w:t xml:space="preserve"> on the PFS, below the 0.05</w:t>
      </w:r>
      <w:r>
        <w:rPr>
          <w:rFonts w:ascii="Arial" w:hAnsi="Arial"/>
          <w:sz w:val="22"/>
          <w:szCs w:val="22"/>
        </w:rPr>
        <w:t xml:space="preserve"> </w:t>
      </w:r>
      <w:r w:rsidRPr="00C45791">
        <w:rPr>
          <w:rFonts w:ascii="Arial" w:hAnsi="Arial"/>
          <w:sz w:val="22"/>
          <w:szCs w:val="22"/>
        </w:rPr>
        <w:t>m</w:t>
      </w:r>
      <w:r>
        <w:rPr>
          <w:rFonts w:ascii="Arial" w:hAnsi="Arial"/>
          <w:sz w:val="22"/>
          <w:szCs w:val="22"/>
        </w:rPr>
        <w:t>L</w:t>
      </w:r>
      <w:r w:rsidRPr="00C45791">
        <w:rPr>
          <w:rFonts w:ascii="Arial" w:hAnsi="Arial"/>
          <w:sz w:val="22"/>
          <w:szCs w:val="22"/>
        </w:rPr>
        <w:t xml:space="preserve"> mark on the PFS, to assist with preparing the 0.03</w:t>
      </w:r>
      <w:r>
        <w:rPr>
          <w:rFonts w:ascii="Arial" w:hAnsi="Arial"/>
          <w:sz w:val="22"/>
          <w:szCs w:val="22"/>
        </w:rPr>
        <w:t xml:space="preserve"> </w:t>
      </w:r>
      <w:r w:rsidRPr="00C45791">
        <w:rPr>
          <w:rFonts w:ascii="Arial" w:hAnsi="Arial"/>
          <w:sz w:val="22"/>
          <w:szCs w:val="22"/>
        </w:rPr>
        <w:t>m</w:t>
      </w:r>
      <w:r>
        <w:rPr>
          <w:rFonts w:ascii="Arial" w:hAnsi="Arial"/>
          <w:sz w:val="22"/>
          <w:szCs w:val="22"/>
        </w:rPr>
        <w:t>L</w:t>
      </w:r>
      <w:r w:rsidR="008C25DF">
        <w:rPr>
          <w:rFonts w:ascii="Arial" w:hAnsi="Arial"/>
          <w:sz w:val="22"/>
          <w:szCs w:val="22"/>
        </w:rPr>
        <w:t xml:space="preserve"> dose. </w:t>
      </w:r>
    </w:p>
    <w:p w:rsidR="00C45791" w:rsidRDefault="00C45791" w:rsidP="00C45791">
      <w:pPr>
        <w:pStyle w:val="ListParagraph"/>
        <w:jc w:val="both"/>
        <w:rPr>
          <w:rFonts w:ascii="Arial" w:hAnsi="Arial"/>
          <w:sz w:val="22"/>
          <w:szCs w:val="22"/>
        </w:rPr>
      </w:pPr>
    </w:p>
    <w:p w:rsidR="00B905CB" w:rsidRPr="00F20759" w:rsidRDefault="008478CD" w:rsidP="00464586">
      <w:pPr>
        <w:pStyle w:val="ListParagraph"/>
        <w:numPr>
          <w:ilvl w:val="1"/>
          <w:numId w:val="25"/>
        </w:numPr>
        <w:jc w:val="both"/>
        <w:rPr>
          <w:rFonts w:ascii="Arial" w:hAnsi="Arial"/>
          <w:sz w:val="22"/>
          <w:szCs w:val="22"/>
        </w:rPr>
      </w:pPr>
      <w:r>
        <w:rPr>
          <w:rFonts w:ascii="Arial" w:hAnsi="Arial"/>
          <w:sz w:val="22"/>
          <w:szCs w:val="22"/>
        </w:rPr>
        <w:t>The submission claimed</w:t>
      </w:r>
      <w:r w:rsidR="00B905CB" w:rsidRPr="00F20759">
        <w:rPr>
          <w:rFonts w:ascii="Arial" w:hAnsi="Arial"/>
          <w:sz w:val="22"/>
          <w:szCs w:val="22"/>
        </w:rPr>
        <w:t xml:space="preserve"> that due to the nature of the distribution chain for this product</w:t>
      </w:r>
      <w:r w:rsidR="00464586">
        <w:rPr>
          <w:rFonts w:ascii="Arial" w:hAnsi="Arial"/>
          <w:sz w:val="22"/>
          <w:szCs w:val="22"/>
        </w:rPr>
        <w:t xml:space="preserve">, </w:t>
      </w:r>
      <w:r w:rsidR="00464586" w:rsidRPr="00464586">
        <w:rPr>
          <w:rFonts w:ascii="Arial" w:hAnsi="Arial"/>
          <w:sz w:val="22"/>
          <w:szCs w:val="22"/>
        </w:rPr>
        <w:t xml:space="preserve">the majority of injection clinics or injecting clinicians have a </w:t>
      </w:r>
      <w:r w:rsidR="00127294" w:rsidRPr="00464586">
        <w:rPr>
          <w:rFonts w:ascii="Arial" w:hAnsi="Arial"/>
          <w:sz w:val="22"/>
          <w:szCs w:val="22"/>
        </w:rPr>
        <w:t>refrigerator to</w:t>
      </w:r>
      <w:r w:rsidR="00464586" w:rsidRPr="00464586">
        <w:rPr>
          <w:rFonts w:ascii="Arial" w:hAnsi="Arial"/>
          <w:sz w:val="22"/>
          <w:szCs w:val="22"/>
        </w:rPr>
        <w:t xml:space="preserve"> store ranibizumab</w:t>
      </w:r>
      <w:r w:rsidR="00464586">
        <w:rPr>
          <w:rFonts w:ascii="Arial" w:hAnsi="Arial"/>
          <w:sz w:val="22"/>
          <w:szCs w:val="22"/>
        </w:rPr>
        <w:t xml:space="preserve"> and</w:t>
      </w:r>
      <w:r w:rsidR="00B905CB" w:rsidRPr="00F20759">
        <w:rPr>
          <w:rFonts w:ascii="Arial" w:hAnsi="Arial"/>
          <w:sz w:val="22"/>
          <w:szCs w:val="22"/>
        </w:rPr>
        <w:t xml:space="preserve"> it would be unlikely that pharmacists would make a switch decision (vial for PFS) without consulting the prescriber and a switch would only be necessary in the event of a one or other presentations being temporarily unavailable.</w:t>
      </w:r>
    </w:p>
    <w:p w:rsidR="00B905CB" w:rsidRDefault="00B905CB" w:rsidP="00B905CB">
      <w:pPr>
        <w:pStyle w:val="ListParagraph"/>
        <w:jc w:val="both"/>
        <w:rPr>
          <w:rFonts w:ascii="Arial" w:hAnsi="Arial"/>
          <w:sz w:val="22"/>
          <w:szCs w:val="22"/>
        </w:rPr>
      </w:pPr>
    </w:p>
    <w:p w:rsidR="008A1956" w:rsidRPr="00464586" w:rsidRDefault="009331C0" w:rsidP="00464586">
      <w:pPr>
        <w:pStyle w:val="ListParagraph"/>
        <w:numPr>
          <w:ilvl w:val="1"/>
          <w:numId w:val="25"/>
        </w:numPr>
        <w:jc w:val="both"/>
        <w:rPr>
          <w:rFonts w:ascii="Arial" w:hAnsi="Arial"/>
          <w:sz w:val="22"/>
          <w:szCs w:val="22"/>
        </w:rPr>
      </w:pPr>
      <w:r>
        <w:rPr>
          <w:rFonts w:ascii="Arial" w:hAnsi="Arial"/>
          <w:sz w:val="22"/>
          <w:szCs w:val="22"/>
        </w:rPr>
        <w:t xml:space="preserve">It </w:t>
      </w:r>
      <w:r w:rsidR="00FC3C82">
        <w:rPr>
          <w:rFonts w:ascii="Arial" w:hAnsi="Arial"/>
          <w:sz w:val="22"/>
          <w:szCs w:val="22"/>
        </w:rPr>
        <w:t>was</w:t>
      </w:r>
      <w:r>
        <w:rPr>
          <w:rFonts w:ascii="Arial" w:hAnsi="Arial"/>
          <w:sz w:val="22"/>
          <w:szCs w:val="22"/>
        </w:rPr>
        <w:t xml:space="preserve"> proposed</w:t>
      </w:r>
      <w:r w:rsidR="008C25DF">
        <w:rPr>
          <w:rFonts w:ascii="Arial" w:hAnsi="Arial"/>
          <w:sz w:val="22"/>
          <w:szCs w:val="22"/>
        </w:rPr>
        <w:t xml:space="preserve"> by the submission</w:t>
      </w:r>
      <w:r>
        <w:rPr>
          <w:rFonts w:ascii="Arial" w:hAnsi="Arial"/>
          <w:sz w:val="22"/>
          <w:szCs w:val="22"/>
        </w:rPr>
        <w:t xml:space="preserve"> that ranibizumab be substitutable to each formulation for each recommended listing (current and anticipated).</w:t>
      </w:r>
      <w:r w:rsidRPr="009331C0">
        <w:rPr>
          <w:rFonts w:ascii="Arial" w:hAnsi="Arial"/>
          <w:sz w:val="22"/>
          <w:szCs w:val="22"/>
        </w:rPr>
        <w:t xml:space="preserve"> </w:t>
      </w:r>
    </w:p>
    <w:p w:rsidR="00464586" w:rsidRDefault="00464586" w:rsidP="00464586">
      <w:pPr>
        <w:jc w:val="both"/>
        <w:rPr>
          <w:rFonts w:ascii="Arial" w:hAnsi="Arial"/>
          <w:sz w:val="22"/>
          <w:szCs w:val="22"/>
        </w:rPr>
      </w:pPr>
    </w:p>
    <w:p w:rsidR="00127294" w:rsidRPr="00464586" w:rsidRDefault="00127294" w:rsidP="00464586">
      <w:pPr>
        <w:jc w:val="both"/>
        <w:rPr>
          <w:rFonts w:ascii="Arial" w:hAnsi="Arial"/>
          <w:sz w:val="22"/>
          <w:szCs w:val="22"/>
        </w:rPr>
      </w:pPr>
    </w:p>
    <w:p w:rsidR="005400C0" w:rsidRDefault="005400C0" w:rsidP="00C45791">
      <w:pPr>
        <w:pStyle w:val="ListParagraph"/>
        <w:numPr>
          <w:ilvl w:val="0"/>
          <w:numId w:val="25"/>
        </w:numPr>
        <w:jc w:val="both"/>
        <w:rPr>
          <w:rFonts w:ascii="Arial" w:hAnsi="Arial"/>
          <w:b/>
          <w:sz w:val="22"/>
          <w:szCs w:val="22"/>
        </w:rPr>
      </w:pPr>
      <w:r>
        <w:rPr>
          <w:rFonts w:ascii="Arial" w:hAnsi="Arial"/>
          <w:b/>
          <w:sz w:val="22"/>
          <w:szCs w:val="22"/>
        </w:rPr>
        <w:t>Consideration of the evidence</w:t>
      </w:r>
    </w:p>
    <w:p w:rsidR="005400C0" w:rsidRDefault="005400C0" w:rsidP="005400C0">
      <w:pPr>
        <w:jc w:val="both"/>
        <w:rPr>
          <w:rFonts w:ascii="Arial" w:hAnsi="Arial"/>
          <w:b/>
          <w:sz w:val="22"/>
          <w:szCs w:val="22"/>
        </w:rPr>
      </w:pPr>
    </w:p>
    <w:p w:rsidR="005400C0" w:rsidRPr="008478CD" w:rsidRDefault="005400C0" w:rsidP="005400C0">
      <w:pPr>
        <w:widowControl w:val="0"/>
        <w:spacing w:after="200" w:line="276" w:lineRule="auto"/>
        <w:jc w:val="both"/>
        <w:rPr>
          <w:rFonts w:ascii="Arial" w:hAnsi="Arial" w:cs="Arial"/>
          <w:b/>
          <w:bCs/>
          <w:snapToGrid w:val="0"/>
          <w:sz w:val="22"/>
          <w:szCs w:val="22"/>
        </w:rPr>
      </w:pPr>
      <w:r w:rsidRPr="008478CD">
        <w:rPr>
          <w:rFonts w:ascii="Arial" w:hAnsi="Arial" w:cs="Arial"/>
          <w:b/>
          <w:bCs/>
          <w:snapToGrid w:val="0"/>
          <w:sz w:val="22"/>
          <w:szCs w:val="22"/>
        </w:rPr>
        <w:t>Sponsor hearing</w:t>
      </w:r>
    </w:p>
    <w:p w:rsidR="005400C0" w:rsidRPr="008478CD" w:rsidRDefault="005400C0" w:rsidP="005400C0">
      <w:pPr>
        <w:widowControl w:val="0"/>
        <w:numPr>
          <w:ilvl w:val="1"/>
          <w:numId w:val="25"/>
        </w:numPr>
        <w:contextualSpacing/>
        <w:jc w:val="both"/>
        <w:rPr>
          <w:rFonts w:ascii="Arial" w:hAnsi="Arial" w:cs="Arial"/>
          <w:bCs/>
          <w:snapToGrid w:val="0"/>
          <w:sz w:val="22"/>
          <w:szCs w:val="22"/>
        </w:rPr>
      </w:pPr>
      <w:r w:rsidRPr="008478CD">
        <w:rPr>
          <w:rFonts w:ascii="Arial" w:hAnsi="Arial" w:cs="Arial"/>
          <w:bCs/>
          <w:snapToGrid w:val="0"/>
          <w:sz w:val="22"/>
          <w:szCs w:val="22"/>
        </w:rPr>
        <w:t xml:space="preserve">There was no hearing for this item as it was a minor </w:t>
      </w:r>
      <w:r w:rsidR="008478CD">
        <w:rPr>
          <w:rFonts w:ascii="Arial" w:hAnsi="Arial" w:cs="Arial"/>
          <w:bCs/>
          <w:snapToGrid w:val="0"/>
          <w:sz w:val="22"/>
          <w:szCs w:val="22"/>
        </w:rPr>
        <w:t>submission.</w:t>
      </w:r>
    </w:p>
    <w:p w:rsidR="005400C0" w:rsidRPr="003A49F2" w:rsidRDefault="005400C0" w:rsidP="005400C0">
      <w:pPr>
        <w:jc w:val="both"/>
        <w:rPr>
          <w:rFonts w:ascii="Arial" w:hAnsi="Arial" w:cs="Arial"/>
          <w:bCs/>
          <w:snapToGrid w:val="0"/>
          <w:sz w:val="22"/>
          <w:szCs w:val="22"/>
          <w:highlight w:val="yellow"/>
        </w:rPr>
      </w:pPr>
    </w:p>
    <w:p w:rsidR="005400C0" w:rsidRPr="008478CD" w:rsidRDefault="005400C0" w:rsidP="005400C0">
      <w:pPr>
        <w:widowControl w:val="0"/>
        <w:spacing w:after="200" w:line="276" w:lineRule="auto"/>
        <w:jc w:val="both"/>
        <w:rPr>
          <w:rFonts w:ascii="Arial" w:hAnsi="Arial" w:cs="Arial"/>
          <w:b/>
          <w:bCs/>
          <w:snapToGrid w:val="0"/>
          <w:sz w:val="22"/>
          <w:szCs w:val="22"/>
        </w:rPr>
      </w:pPr>
      <w:r w:rsidRPr="008478CD">
        <w:rPr>
          <w:rFonts w:ascii="Arial" w:hAnsi="Arial" w:cs="Arial"/>
          <w:b/>
          <w:bCs/>
          <w:snapToGrid w:val="0"/>
          <w:sz w:val="22"/>
          <w:szCs w:val="22"/>
        </w:rPr>
        <w:t>Consumer comments</w:t>
      </w:r>
    </w:p>
    <w:p w:rsidR="005400C0" w:rsidRPr="008478CD" w:rsidRDefault="005400C0" w:rsidP="005400C0">
      <w:pPr>
        <w:widowControl w:val="0"/>
        <w:numPr>
          <w:ilvl w:val="1"/>
          <w:numId w:val="25"/>
        </w:numPr>
        <w:contextualSpacing/>
        <w:jc w:val="both"/>
        <w:rPr>
          <w:rFonts w:ascii="Arial" w:hAnsi="Arial" w:cs="Arial"/>
          <w:bCs/>
          <w:snapToGrid w:val="0"/>
          <w:sz w:val="22"/>
          <w:szCs w:val="22"/>
        </w:rPr>
      </w:pPr>
      <w:r w:rsidRPr="008478CD">
        <w:rPr>
          <w:rFonts w:ascii="Arial" w:hAnsi="Arial" w:cs="Arial"/>
          <w:bCs/>
          <w:snapToGrid w:val="0"/>
          <w:sz w:val="22"/>
          <w:szCs w:val="22"/>
        </w:rPr>
        <w:t>The PBAC noted that no consumer commen</w:t>
      </w:r>
      <w:r w:rsidR="008478CD">
        <w:rPr>
          <w:rFonts w:ascii="Arial" w:hAnsi="Arial" w:cs="Arial"/>
          <w:bCs/>
          <w:snapToGrid w:val="0"/>
          <w:sz w:val="22"/>
          <w:szCs w:val="22"/>
        </w:rPr>
        <w:t>ts were received for this item.</w:t>
      </w:r>
    </w:p>
    <w:p w:rsidR="005400C0" w:rsidRDefault="005400C0" w:rsidP="005400C0">
      <w:pPr>
        <w:jc w:val="both"/>
        <w:rPr>
          <w:rFonts w:ascii="Arial" w:hAnsi="Arial"/>
          <w:b/>
          <w:sz w:val="22"/>
          <w:szCs w:val="22"/>
        </w:rPr>
      </w:pPr>
    </w:p>
    <w:p w:rsidR="000B558D" w:rsidRPr="005400C0" w:rsidRDefault="008D7A41" w:rsidP="005400C0">
      <w:pPr>
        <w:jc w:val="both"/>
        <w:rPr>
          <w:rFonts w:ascii="Arial" w:hAnsi="Arial"/>
          <w:b/>
          <w:sz w:val="22"/>
          <w:szCs w:val="22"/>
        </w:rPr>
      </w:pPr>
      <w:r w:rsidRPr="005400C0">
        <w:rPr>
          <w:rFonts w:ascii="Arial" w:hAnsi="Arial"/>
          <w:b/>
          <w:sz w:val="22"/>
          <w:szCs w:val="22"/>
        </w:rPr>
        <w:t xml:space="preserve">Clinical </w:t>
      </w:r>
      <w:r w:rsidR="008478CD">
        <w:rPr>
          <w:rFonts w:ascii="Arial" w:hAnsi="Arial"/>
          <w:b/>
          <w:sz w:val="22"/>
          <w:szCs w:val="22"/>
        </w:rPr>
        <w:t>t</w:t>
      </w:r>
      <w:r w:rsidRPr="005400C0">
        <w:rPr>
          <w:rFonts w:ascii="Arial" w:hAnsi="Arial"/>
          <w:b/>
          <w:sz w:val="22"/>
          <w:szCs w:val="22"/>
        </w:rPr>
        <w:t>rials</w:t>
      </w:r>
    </w:p>
    <w:p w:rsidR="00BB7EC3" w:rsidRPr="00F9629A" w:rsidRDefault="00BB7EC3" w:rsidP="00F9629A">
      <w:pPr>
        <w:jc w:val="both"/>
        <w:rPr>
          <w:rFonts w:ascii="Arial" w:hAnsi="Arial"/>
          <w:sz w:val="22"/>
          <w:szCs w:val="22"/>
        </w:rPr>
      </w:pPr>
    </w:p>
    <w:p w:rsidR="0076420C" w:rsidRDefault="0076420C" w:rsidP="008C25DF">
      <w:pPr>
        <w:pStyle w:val="ListParagraph"/>
        <w:numPr>
          <w:ilvl w:val="1"/>
          <w:numId w:val="25"/>
        </w:numPr>
        <w:jc w:val="both"/>
        <w:rPr>
          <w:rFonts w:ascii="Arial" w:hAnsi="Arial"/>
          <w:sz w:val="22"/>
          <w:szCs w:val="22"/>
        </w:rPr>
      </w:pPr>
      <w:r>
        <w:rPr>
          <w:rFonts w:ascii="Arial" w:hAnsi="Arial"/>
          <w:sz w:val="22"/>
          <w:szCs w:val="22"/>
        </w:rPr>
        <w:t xml:space="preserve">As a </w:t>
      </w:r>
      <w:r w:rsidR="008C25DF">
        <w:rPr>
          <w:rFonts w:ascii="Arial" w:hAnsi="Arial"/>
          <w:sz w:val="22"/>
          <w:szCs w:val="22"/>
        </w:rPr>
        <w:t>minor submission, no new</w:t>
      </w:r>
      <w:r>
        <w:rPr>
          <w:rFonts w:ascii="Arial" w:hAnsi="Arial"/>
          <w:sz w:val="22"/>
          <w:szCs w:val="22"/>
        </w:rPr>
        <w:t xml:space="preserve"> clinic</w:t>
      </w:r>
      <w:r w:rsidR="008C25DF">
        <w:rPr>
          <w:rFonts w:ascii="Arial" w:hAnsi="Arial"/>
          <w:sz w:val="22"/>
          <w:szCs w:val="22"/>
        </w:rPr>
        <w:t xml:space="preserve">al trials </w:t>
      </w:r>
      <w:r w:rsidR="008478CD">
        <w:rPr>
          <w:rFonts w:ascii="Arial" w:hAnsi="Arial"/>
          <w:sz w:val="22"/>
          <w:szCs w:val="22"/>
        </w:rPr>
        <w:t>were</w:t>
      </w:r>
      <w:r w:rsidR="008C25DF">
        <w:rPr>
          <w:rFonts w:ascii="Arial" w:hAnsi="Arial"/>
          <w:sz w:val="22"/>
          <w:szCs w:val="22"/>
        </w:rPr>
        <w:t xml:space="preserve"> presented</w:t>
      </w:r>
      <w:r>
        <w:rPr>
          <w:rFonts w:ascii="Arial" w:hAnsi="Arial"/>
          <w:sz w:val="22"/>
          <w:szCs w:val="22"/>
        </w:rPr>
        <w:t>.</w:t>
      </w:r>
      <w:r w:rsidR="00D93CBE">
        <w:rPr>
          <w:rFonts w:ascii="Arial" w:hAnsi="Arial"/>
          <w:sz w:val="22"/>
          <w:szCs w:val="22"/>
        </w:rPr>
        <w:t xml:space="preserve"> </w:t>
      </w:r>
      <w:r w:rsidR="00D93CBE" w:rsidRPr="008C25DF">
        <w:rPr>
          <w:rFonts w:ascii="Arial" w:hAnsi="Arial"/>
          <w:sz w:val="22"/>
          <w:szCs w:val="22"/>
        </w:rPr>
        <w:t>The submission provide</w:t>
      </w:r>
      <w:r w:rsidR="008478CD">
        <w:rPr>
          <w:rFonts w:ascii="Arial" w:hAnsi="Arial"/>
          <w:sz w:val="22"/>
          <w:szCs w:val="22"/>
        </w:rPr>
        <w:t>d</w:t>
      </w:r>
      <w:r w:rsidR="00D93CBE" w:rsidRPr="008C25DF">
        <w:rPr>
          <w:rFonts w:ascii="Arial" w:hAnsi="Arial"/>
          <w:sz w:val="22"/>
          <w:szCs w:val="22"/>
        </w:rPr>
        <w:t xml:space="preserve"> excerpts </w:t>
      </w:r>
      <w:r w:rsidR="003B71EB">
        <w:rPr>
          <w:rFonts w:ascii="Arial" w:hAnsi="Arial"/>
          <w:sz w:val="22"/>
          <w:szCs w:val="22"/>
        </w:rPr>
        <w:t xml:space="preserve">of the clinical evidence </w:t>
      </w:r>
      <w:r w:rsidR="00D93CBE" w:rsidRPr="008C25DF">
        <w:rPr>
          <w:rFonts w:ascii="Arial" w:hAnsi="Arial"/>
          <w:sz w:val="22"/>
          <w:szCs w:val="22"/>
        </w:rPr>
        <w:t>from the ranibizumab Product Information relating to 0.3 mg and 0.5 mg doses for each of the indications registered</w:t>
      </w:r>
      <w:r w:rsidR="00D93CBE">
        <w:rPr>
          <w:rFonts w:ascii="Arial" w:hAnsi="Arial"/>
          <w:sz w:val="22"/>
          <w:szCs w:val="22"/>
        </w:rPr>
        <w:t>.</w:t>
      </w:r>
    </w:p>
    <w:p w:rsidR="00882085" w:rsidRDefault="00882085" w:rsidP="00882085">
      <w:pPr>
        <w:jc w:val="both"/>
        <w:rPr>
          <w:rFonts w:ascii="Arial" w:hAnsi="Arial"/>
          <w:b/>
          <w:i/>
          <w:sz w:val="22"/>
          <w:szCs w:val="22"/>
        </w:rPr>
      </w:pPr>
    </w:p>
    <w:p w:rsidR="005A3173" w:rsidRPr="008478CD" w:rsidRDefault="005A3173" w:rsidP="00882085">
      <w:pPr>
        <w:jc w:val="both"/>
        <w:rPr>
          <w:rFonts w:ascii="Arial" w:hAnsi="Arial"/>
          <w:b/>
          <w:sz w:val="22"/>
          <w:szCs w:val="22"/>
        </w:rPr>
      </w:pPr>
      <w:r w:rsidRPr="008478CD">
        <w:rPr>
          <w:rFonts w:ascii="Arial" w:hAnsi="Arial"/>
          <w:b/>
          <w:sz w:val="22"/>
          <w:szCs w:val="22"/>
        </w:rPr>
        <w:t>Clinical claim</w:t>
      </w:r>
    </w:p>
    <w:p w:rsidR="005A3173" w:rsidRDefault="005A3173" w:rsidP="00882085">
      <w:pPr>
        <w:ind w:left="720" w:hanging="720"/>
        <w:jc w:val="both"/>
        <w:rPr>
          <w:rFonts w:ascii="Arial" w:hAnsi="Arial"/>
          <w:sz w:val="22"/>
          <w:szCs w:val="22"/>
        </w:rPr>
      </w:pPr>
    </w:p>
    <w:p w:rsidR="002D3E0E" w:rsidRPr="00B905CB" w:rsidRDefault="00B905CB" w:rsidP="002D3E0E">
      <w:pPr>
        <w:pStyle w:val="ListParagraph"/>
        <w:numPr>
          <w:ilvl w:val="1"/>
          <w:numId w:val="25"/>
        </w:numPr>
        <w:jc w:val="both"/>
        <w:rPr>
          <w:rFonts w:ascii="Arial" w:hAnsi="Arial"/>
          <w:sz w:val="22"/>
          <w:szCs w:val="22"/>
        </w:rPr>
      </w:pPr>
      <w:r>
        <w:rPr>
          <w:rFonts w:ascii="Arial" w:hAnsi="Arial"/>
          <w:sz w:val="22"/>
          <w:szCs w:val="22"/>
        </w:rPr>
        <w:t>The submission claim</w:t>
      </w:r>
      <w:r w:rsidR="008478CD">
        <w:rPr>
          <w:rFonts w:ascii="Arial" w:hAnsi="Arial"/>
          <w:sz w:val="22"/>
          <w:szCs w:val="22"/>
        </w:rPr>
        <w:t>ed</w:t>
      </w:r>
      <w:r>
        <w:rPr>
          <w:rFonts w:ascii="Arial" w:hAnsi="Arial"/>
          <w:sz w:val="22"/>
          <w:szCs w:val="22"/>
        </w:rPr>
        <w:t xml:space="preserve"> that a</w:t>
      </w:r>
      <w:r w:rsidR="00FD2CBD">
        <w:rPr>
          <w:rFonts w:ascii="Arial" w:hAnsi="Arial"/>
          <w:sz w:val="22"/>
          <w:szCs w:val="22"/>
        </w:rPr>
        <w:t>n ‘a’</w:t>
      </w:r>
      <w:r w:rsidR="002D3E0E" w:rsidRPr="00B905CB">
        <w:rPr>
          <w:rFonts w:ascii="Arial" w:hAnsi="Arial"/>
          <w:sz w:val="22"/>
          <w:szCs w:val="22"/>
        </w:rPr>
        <w:t xml:space="preserve"> flag would alleviate the administrative burden on clinicians and patients to have authority codes for the script of one presentation (e.g. PFS) switched to a new script of the other presentation (e.g. vial) by Medicare in Tasmania should one or other presentations be unavailable at the time of dispensing.</w:t>
      </w:r>
      <w:r w:rsidRPr="00B905CB">
        <w:rPr>
          <w:rFonts w:ascii="Arial" w:hAnsi="Arial"/>
          <w:b/>
          <w:color w:val="FF00FF"/>
          <w:sz w:val="22"/>
          <w:szCs w:val="22"/>
        </w:rPr>
        <w:t xml:space="preserve"> </w:t>
      </w:r>
    </w:p>
    <w:p w:rsidR="002D3E0E" w:rsidRPr="00882085" w:rsidRDefault="002D3E0E" w:rsidP="00882085">
      <w:pPr>
        <w:ind w:left="720" w:hanging="720"/>
        <w:jc w:val="both"/>
        <w:rPr>
          <w:rFonts w:ascii="Arial" w:hAnsi="Arial"/>
          <w:sz w:val="22"/>
          <w:szCs w:val="22"/>
        </w:rPr>
      </w:pPr>
    </w:p>
    <w:p w:rsidR="005A3173" w:rsidRPr="008478CD" w:rsidRDefault="005A3173" w:rsidP="00882085">
      <w:pPr>
        <w:ind w:left="720" w:hanging="720"/>
        <w:jc w:val="both"/>
        <w:rPr>
          <w:rFonts w:ascii="Arial" w:hAnsi="Arial"/>
          <w:b/>
          <w:sz w:val="22"/>
          <w:szCs w:val="22"/>
        </w:rPr>
      </w:pPr>
      <w:r w:rsidRPr="008478CD">
        <w:rPr>
          <w:rFonts w:ascii="Arial" w:hAnsi="Arial"/>
          <w:b/>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2D3E0E" w:rsidRDefault="00C00DA7" w:rsidP="002D3E0E">
      <w:pPr>
        <w:pStyle w:val="ListParagraph"/>
        <w:numPr>
          <w:ilvl w:val="1"/>
          <w:numId w:val="25"/>
        </w:numPr>
        <w:jc w:val="both"/>
        <w:rPr>
          <w:rFonts w:ascii="Arial" w:hAnsi="Arial"/>
          <w:sz w:val="22"/>
          <w:szCs w:val="22"/>
        </w:rPr>
      </w:pPr>
      <w:r w:rsidRPr="00C00DA7">
        <w:rPr>
          <w:rFonts w:ascii="Arial" w:hAnsi="Arial"/>
          <w:sz w:val="22"/>
          <w:szCs w:val="22"/>
        </w:rPr>
        <w:lastRenderedPageBreak/>
        <w:t>The minor submission estimate</w:t>
      </w:r>
      <w:r w:rsidR="008478CD">
        <w:rPr>
          <w:rFonts w:ascii="Arial" w:hAnsi="Arial"/>
          <w:sz w:val="22"/>
          <w:szCs w:val="22"/>
        </w:rPr>
        <w:t>d</w:t>
      </w:r>
      <w:r w:rsidRPr="00C00DA7">
        <w:rPr>
          <w:rFonts w:ascii="Arial" w:hAnsi="Arial"/>
          <w:sz w:val="22"/>
          <w:szCs w:val="22"/>
        </w:rPr>
        <w:t xml:space="preserve"> </w:t>
      </w:r>
      <w:r w:rsidR="002D3E0E">
        <w:rPr>
          <w:rFonts w:ascii="Arial" w:hAnsi="Arial"/>
          <w:sz w:val="22"/>
          <w:szCs w:val="22"/>
        </w:rPr>
        <w:t>no incremental cost to the PBS or the government if an ‘a’ flag was to be applied.</w:t>
      </w:r>
    </w:p>
    <w:p w:rsidR="002D3E0E" w:rsidRDefault="002D3E0E" w:rsidP="002D3E0E">
      <w:pPr>
        <w:pStyle w:val="ListParagraph"/>
        <w:jc w:val="both"/>
        <w:rPr>
          <w:rFonts w:ascii="Arial" w:hAnsi="Arial"/>
          <w:sz w:val="22"/>
          <w:szCs w:val="22"/>
        </w:rPr>
      </w:pPr>
    </w:p>
    <w:p w:rsidR="00C00DA7" w:rsidRPr="00C00DA7" w:rsidRDefault="002D3E0E" w:rsidP="002D3E0E">
      <w:pPr>
        <w:pStyle w:val="ListParagraph"/>
        <w:numPr>
          <w:ilvl w:val="1"/>
          <w:numId w:val="25"/>
        </w:numPr>
        <w:jc w:val="both"/>
        <w:rPr>
          <w:rFonts w:ascii="Arial" w:hAnsi="Arial"/>
          <w:sz w:val="22"/>
          <w:szCs w:val="22"/>
        </w:rPr>
      </w:pPr>
      <w:r>
        <w:rPr>
          <w:rFonts w:ascii="Arial" w:hAnsi="Arial"/>
          <w:sz w:val="22"/>
          <w:szCs w:val="22"/>
        </w:rPr>
        <w:t>The submission indicate</w:t>
      </w:r>
      <w:r w:rsidR="008478CD">
        <w:rPr>
          <w:rFonts w:ascii="Arial" w:hAnsi="Arial"/>
          <w:sz w:val="22"/>
          <w:szCs w:val="22"/>
        </w:rPr>
        <w:t>d</w:t>
      </w:r>
      <w:r>
        <w:rPr>
          <w:rFonts w:ascii="Arial" w:hAnsi="Arial"/>
          <w:sz w:val="22"/>
          <w:szCs w:val="22"/>
        </w:rPr>
        <w:t xml:space="preserve"> there </w:t>
      </w:r>
      <w:r w:rsidR="00E66D0E">
        <w:rPr>
          <w:rFonts w:ascii="Arial" w:hAnsi="Arial"/>
          <w:sz w:val="22"/>
          <w:szCs w:val="22"/>
        </w:rPr>
        <w:t>was</w:t>
      </w:r>
      <w:r>
        <w:rPr>
          <w:rFonts w:ascii="Arial" w:hAnsi="Arial"/>
          <w:sz w:val="22"/>
          <w:szCs w:val="22"/>
        </w:rPr>
        <w:t xml:space="preserve"> no change in price and the current risk-sharing arrangements for ranibizumab will remain in place.</w:t>
      </w:r>
    </w:p>
    <w:p w:rsidR="005400C0" w:rsidRDefault="005400C0" w:rsidP="005400C0">
      <w:pPr>
        <w:jc w:val="both"/>
        <w:rPr>
          <w:rFonts w:ascii="Arial" w:hAnsi="Arial"/>
          <w:sz w:val="22"/>
          <w:szCs w:val="22"/>
        </w:rPr>
      </w:pPr>
    </w:p>
    <w:p w:rsidR="005400C0" w:rsidRPr="00E42840" w:rsidRDefault="005400C0" w:rsidP="005400C0">
      <w:pPr>
        <w:widowControl w:val="0"/>
        <w:jc w:val="both"/>
        <w:rPr>
          <w:rFonts w:ascii="Arial" w:hAnsi="Arial" w:cs="Arial"/>
          <w:bCs/>
          <w:snapToGrid w:val="0"/>
          <w:sz w:val="22"/>
          <w:szCs w:val="22"/>
        </w:rPr>
      </w:pPr>
    </w:p>
    <w:p w:rsidR="005400C0" w:rsidRPr="008478CD" w:rsidRDefault="005400C0" w:rsidP="005400C0">
      <w:pPr>
        <w:widowControl w:val="0"/>
        <w:numPr>
          <w:ilvl w:val="0"/>
          <w:numId w:val="25"/>
        </w:numPr>
        <w:jc w:val="both"/>
        <w:rPr>
          <w:rFonts w:ascii="Arial" w:hAnsi="Arial" w:cs="Arial"/>
          <w:b/>
          <w:bCs/>
          <w:snapToGrid w:val="0"/>
          <w:sz w:val="22"/>
          <w:szCs w:val="22"/>
        </w:rPr>
      </w:pPr>
      <w:r w:rsidRPr="008478CD">
        <w:rPr>
          <w:rFonts w:ascii="Arial" w:hAnsi="Arial" w:cs="Arial"/>
          <w:b/>
          <w:bCs/>
          <w:snapToGrid w:val="0"/>
          <w:sz w:val="22"/>
          <w:szCs w:val="22"/>
        </w:rPr>
        <w:t>PBAC Outcome</w:t>
      </w:r>
    </w:p>
    <w:p w:rsidR="005400C0" w:rsidRPr="00E42840" w:rsidRDefault="005400C0" w:rsidP="005400C0">
      <w:pPr>
        <w:contextualSpacing/>
        <w:jc w:val="both"/>
        <w:rPr>
          <w:rFonts w:ascii="Arial" w:hAnsi="Arial" w:cs="Arial"/>
          <w:bCs/>
          <w:snapToGrid w:val="0"/>
          <w:sz w:val="22"/>
          <w:szCs w:val="22"/>
          <w:highlight w:val="yellow"/>
          <w:lang w:val="en-GB"/>
        </w:rPr>
      </w:pPr>
    </w:p>
    <w:p w:rsidR="00F70C3F" w:rsidRDefault="008478CD" w:rsidP="00F70C3F">
      <w:pPr>
        <w:pStyle w:val="ListParagraph"/>
        <w:numPr>
          <w:ilvl w:val="1"/>
          <w:numId w:val="25"/>
        </w:numPr>
        <w:jc w:val="both"/>
        <w:rPr>
          <w:rFonts w:ascii="Arial" w:hAnsi="Arial"/>
          <w:sz w:val="22"/>
          <w:szCs w:val="22"/>
        </w:rPr>
      </w:pPr>
      <w:r w:rsidRPr="00844B14">
        <w:rPr>
          <w:rFonts w:ascii="Arial" w:hAnsi="Arial"/>
          <w:sz w:val="22"/>
          <w:szCs w:val="22"/>
        </w:rPr>
        <w:t xml:space="preserve">The PBAC </w:t>
      </w:r>
      <w:r w:rsidR="00106651">
        <w:rPr>
          <w:rFonts w:ascii="Arial" w:hAnsi="Arial"/>
          <w:sz w:val="22"/>
          <w:szCs w:val="22"/>
        </w:rPr>
        <w:t>advised the Minister</w:t>
      </w:r>
      <w:r w:rsidR="00106651" w:rsidRPr="00844B14">
        <w:rPr>
          <w:rFonts w:ascii="Arial" w:hAnsi="Arial"/>
          <w:sz w:val="22"/>
          <w:szCs w:val="22"/>
        </w:rPr>
        <w:t xml:space="preserve"> </w:t>
      </w:r>
      <w:r w:rsidR="00F82B2C" w:rsidRPr="00844B14">
        <w:rPr>
          <w:rFonts w:ascii="Arial" w:hAnsi="Arial"/>
          <w:sz w:val="22"/>
          <w:szCs w:val="22"/>
        </w:rPr>
        <w:t>that</w:t>
      </w:r>
      <w:r w:rsidRPr="00844B14">
        <w:rPr>
          <w:rFonts w:ascii="Arial" w:hAnsi="Arial"/>
          <w:sz w:val="22"/>
          <w:szCs w:val="22"/>
        </w:rPr>
        <w:t xml:space="preserve"> ranibizumab 2.3 mg/0.23 mL solution for injection and ranibizumab 1.65 mg/0.165 mL pre-filled syringe for injection </w:t>
      </w:r>
      <w:r w:rsidR="00106651">
        <w:rPr>
          <w:rFonts w:ascii="Arial" w:hAnsi="Arial"/>
          <w:sz w:val="22"/>
          <w:szCs w:val="22"/>
        </w:rPr>
        <w:t xml:space="preserve">could </w:t>
      </w:r>
      <w:r w:rsidRPr="00844B14">
        <w:rPr>
          <w:rFonts w:ascii="Arial" w:hAnsi="Arial"/>
          <w:sz w:val="22"/>
          <w:szCs w:val="22"/>
        </w:rPr>
        <w:t>be considered equivalent for the purposes of substitution</w:t>
      </w:r>
      <w:r w:rsidR="00E66D0E" w:rsidRPr="00E66D0E">
        <w:t xml:space="preserve"> </w:t>
      </w:r>
      <w:r w:rsidR="00E66D0E" w:rsidRPr="00844B14">
        <w:rPr>
          <w:rFonts w:ascii="Arial" w:hAnsi="Arial"/>
          <w:sz w:val="22"/>
          <w:szCs w:val="22"/>
        </w:rPr>
        <w:t>at the point of dispensing</w:t>
      </w:r>
      <w:r w:rsidRPr="00844B14">
        <w:rPr>
          <w:rFonts w:ascii="Arial" w:hAnsi="Arial"/>
          <w:sz w:val="22"/>
          <w:szCs w:val="22"/>
        </w:rPr>
        <w:t xml:space="preserve"> (‘a’ flagged in the Schedule)</w:t>
      </w:r>
      <w:r w:rsidR="00844B14" w:rsidRPr="00844B14">
        <w:rPr>
          <w:rFonts w:ascii="Arial" w:hAnsi="Arial"/>
          <w:sz w:val="22"/>
          <w:szCs w:val="22"/>
        </w:rPr>
        <w:t xml:space="preserve">. </w:t>
      </w:r>
    </w:p>
    <w:p w:rsidR="00844B14" w:rsidRPr="00844B14" w:rsidRDefault="00844B14" w:rsidP="00844B14">
      <w:pPr>
        <w:jc w:val="both"/>
        <w:rPr>
          <w:rFonts w:ascii="Arial" w:hAnsi="Arial"/>
          <w:sz w:val="22"/>
          <w:szCs w:val="22"/>
        </w:rPr>
      </w:pPr>
    </w:p>
    <w:p w:rsidR="00F82B2C" w:rsidRPr="00FE43A2" w:rsidRDefault="00FE43A2" w:rsidP="00F82B2C">
      <w:pPr>
        <w:pStyle w:val="ListParagraph"/>
        <w:numPr>
          <w:ilvl w:val="1"/>
          <w:numId w:val="25"/>
        </w:numPr>
        <w:jc w:val="both"/>
        <w:rPr>
          <w:rFonts w:ascii="Arial" w:hAnsi="Arial"/>
          <w:sz w:val="22"/>
          <w:szCs w:val="22"/>
        </w:rPr>
      </w:pPr>
      <w:r w:rsidRPr="00FE43A2">
        <w:rPr>
          <w:rFonts w:ascii="Arial" w:hAnsi="Arial" w:cs="Arial"/>
          <w:snapToGrid w:val="0"/>
          <w:sz w:val="22"/>
          <w:szCs w:val="22"/>
          <w:lang w:val="en-GB"/>
        </w:rPr>
        <w:t>The PBAC noted that in practice a health care professional, rather than the patient, would be required to determine the volume of 0.03 ml</w:t>
      </w:r>
      <w:r w:rsidR="001825AB">
        <w:rPr>
          <w:rFonts w:ascii="Arial" w:hAnsi="Arial" w:cs="Arial"/>
          <w:snapToGrid w:val="0"/>
          <w:sz w:val="22"/>
          <w:szCs w:val="22"/>
          <w:lang w:val="en-GB"/>
        </w:rPr>
        <w:t xml:space="preserve"> in the PFS</w:t>
      </w:r>
      <w:r w:rsidRPr="00FE43A2">
        <w:rPr>
          <w:rFonts w:ascii="Arial" w:hAnsi="Arial" w:cs="Arial"/>
          <w:snapToGrid w:val="0"/>
          <w:sz w:val="22"/>
          <w:szCs w:val="22"/>
          <w:lang w:val="en-GB"/>
        </w:rPr>
        <w:t xml:space="preserve">. </w:t>
      </w:r>
      <w:r w:rsidR="00E66D0E" w:rsidRPr="00FE43A2">
        <w:rPr>
          <w:rFonts w:ascii="Arial" w:hAnsi="Arial" w:cs="Arial"/>
          <w:snapToGrid w:val="0"/>
          <w:sz w:val="22"/>
          <w:szCs w:val="22"/>
          <w:lang w:val="en-GB"/>
        </w:rPr>
        <w:t>The PBAC considered that mark on the syringe during the manufacturing process would be more accurate for the delivery of 0.3</w:t>
      </w:r>
      <w:r w:rsidR="00EA1478">
        <w:rPr>
          <w:rFonts w:ascii="Arial" w:hAnsi="Arial" w:cs="Arial"/>
          <w:snapToGrid w:val="0"/>
          <w:sz w:val="22"/>
          <w:szCs w:val="22"/>
          <w:lang w:val="en-GB"/>
        </w:rPr>
        <w:t xml:space="preserve"> </w:t>
      </w:r>
      <w:r w:rsidR="00E66D0E" w:rsidRPr="00FE43A2">
        <w:rPr>
          <w:rFonts w:ascii="Arial" w:hAnsi="Arial" w:cs="Arial"/>
          <w:snapToGrid w:val="0"/>
          <w:sz w:val="22"/>
          <w:szCs w:val="22"/>
          <w:lang w:val="en-GB"/>
        </w:rPr>
        <w:t xml:space="preserve">mg, than the method suggested in the submission.  </w:t>
      </w:r>
    </w:p>
    <w:p w:rsidR="00FE43A2" w:rsidRPr="00FE43A2" w:rsidRDefault="00FE43A2" w:rsidP="00FE43A2">
      <w:pPr>
        <w:jc w:val="both"/>
        <w:rPr>
          <w:rFonts w:ascii="Arial" w:hAnsi="Arial"/>
          <w:sz w:val="22"/>
          <w:szCs w:val="22"/>
        </w:rPr>
      </w:pPr>
    </w:p>
    <w:p w:rsidR="008478CD" w:rsidRPr="00034463" w:rsidRDefault="00F82B2C" w:rsidP="00FE43A2">
      <w:pPr>
        <w:pStyle w:val="ListParagraph"/>
        <w:numPr>
          <w:ilvl w:val="1"/>
          <w:numId w:val="25"/>
        </w:numPr>
        <w:jc w:val="both"/>
        <w:rPr>
          <w:rFonts w:ascii="Arial" w:hAnsi="Arial" w:cs="Arial"/>
          <w:b/>
          <w:snapToGrid w:val="0"/>
          <w:sz w:val="22"/>
          <w:szCs w:val="22"/>
          <w:lang w:val="en-GB"/>
        </w:rPr>
      </w:pPr>
      <w:r w:rsidRPr="00034463">
        <w:rPr>
          <w:rFonts w:ascii="Arial" w:hAnsi="Arial"/>
          <w:sz w:val="22"/>
          <w:szCs w:val="22"/>
        </w:rPr>
        <w:t xml:space="preserve">In </w:t>
      </w:r>
      <w:r w:rsidR="00106651">
        <w:rPr>
          <w:rFonts w:ascii="Arial" w:hAnsi="Arial"/>
          <w:sz w:val="22"/>
          <w:szCs w:val="22"/>
        </w:rPr>
        <w:t>providing this advice</w:t>
      </w:r>
      <w:r w:rsidRPr="00034463">
        <w:rPr>
          <w:rFonts w:ascii="Arial" w:hAnsi="Arial"/>
          <w:sz w:val="22"/>
          <w:szCs w:val="22"/>
        </w:rPr>
        <w:t xml:space="preserve">, the PBAC </w:t>
      </w:r>
      <w:r w:rsidR="00F70C3F">
        <w:rPr>
          <w:rFonts w:ascii="Arial" w:hAnsi="Arial"/>
          <w:sz w:val="22"/>
          <w:szCs w:val="22"/>
        </w:rPr>
        <w:t xml:space="preserve">also </w:t>
      </w:r>
      <w:r w:rsidRPr="00034463">
        <w:rPr>
          <w:rFonts w:ascii="Arial" w:hAnsi="Arial"/>
          <w:sz w:val="22"/>
          <w:szCs w:val="22"/>
        </w:rPr>
        <w:t xml:space="preserve">recalled </w:t>
      </w:r>
      <w:r w:rsidR="00106651">
        <w:rPr>
          <w:rFonts w:ascii="Arial" w:hAnsi="Arial"/>
          <w:sz w:val="22"/>
          <w:szCs w:val="22"/>
        </w:rPr>
        <w:t>its</w:t>
      </w:r>
      <w:r w:rsidR="00106651" w:rsidRPr="00034463">
        <w:rPr>
          <w:rFonts w:ascii="Arial" w:hAnsi="Arial"/>
          <w:sz w:val="22"/>
          <w:szCs w:val="22"/>
        </w:rPr>
        <w:t xml:space="preserve"> </w:t>
      </w:r>
      <w:r w:rsidRPr="00034463">
        <w:rPr>
          <w:rFonts w:ascii="Arial" w:hAnsi="Arial"/>
          <w:sz w:val="22"/>
          <w:szCs w:val="22"/>
        </w:rPr>
        <w:t xml:space="preserve">previous </w:t>
      </w:r>
      <w:r w:rsidR="00106651">
        <w:rPr>
          <w:rFonts w:ascii="Arial" w:hAnsi="Arial"/>
          <w:sz w:val="22"/>
          <w:szCs w:val="22"/>
        </w:rPr>
        <w:t>advice</w:t>
      </w:r>
      <w:r w:rsidR="00106651" w:rsidRPr="00034463">
        <w:rPr>
          <w:rFonts w:ascii="Arial" w:hAnsi="Arial"/>
          <w:sz w:val="22"/>
          <w:szCs w:val="22"/>
        </w:rPr>
        <w:t xml:space="preserve"> </w:t>
      </w:r>
      <w:r w:rsidRPr="00034463">
        <w:rPr>
          <w:rFonts w:ascii="Arial" w:hAnsi="Arial"/>
          <w:sz w:val="22"/>
          <w:szCs w:val="22"/>
        </w:rPr>
        <w:t xml:space="preserve">in November 2012 </w:t>
      </w:r>
      <w:r w:rsidR="00106651">
        <w:rPr>
          <w:rFonts w:ascii="Arial" w:hAnsi="Arial"/>
          <w:sz w:val="22"/>
          <w:szCs w:val="22"/>
        </w:rPr>
        <w:t>that</w:t>
      </w:r>
      <w:r w:rsidR="00106651" w:rsidRPr="00034463">
        <w:rPr>
          <w:rFonts w:ascii="Arial" w:hAnsi="Arial"/>
          <w:sz w:val="22"/>
          <w:szCs w:val="22"/>
        </w:rPr>
        <w:t xml:space="preserve"> </w:t>
      </w:r>
      <w:r w:rsidR="00034463" w:rsidRPr="00034463">
        <w:rPr>
          <w:rFonts w:ascii="Arial" w:hAnsi="Arial"/>
          <w:sz w:val="22"/>
          <w:szCs w:val="22"/>
        </w:rPr>
        <w:t xml:space="preserve">the multi-use </w:t>
      </w:r>
      <w:proofErr w:type="gramStart"/>
      <w:r w:rsidR="00034463" w:rsidRPr="00034463">
        <w:rPr>
          <w:rFonts w:ascii="Arial" w:hAnsi="Arial"/>
          <w:sz w:val="22"/>
          <w:szCs w:val="22"/>
        </w:rPr>
        <w:t>pump</w:t>
      </w:r>
      <w:proofErr w:type="gramEnd"/>
      <w:r w:rsidR="00034463" w:rsidRPr="00034463">
        <w:rPr>
          <w:rFonts w:ascii="Arial" w:hAnsi="Arial"/>
          <w:sz w:val="22"/>
          <w:szCs w:val="22"/>
        </w:rPr>
        <w:t xml:space="preserve"> </w:t>
      </w:r>
      <w:r w:rsidR="00EA1478">
        <w:rPr>
          <w:rFonts w:ascii="Arial" w:hAnsi="Arial"/>
          <w:sz w:val="22"/>
          <w:szCs w:val="22"/>
        </w:rPr>
        <w:t>(</w:t>
      </w:r>
      <w:proofErr w:type="spellStart"/>
      <w:r w:rsidR="00EA1478">
        <w:rPr>
          <w:rFonts w:ascii="Arial" w:hAnsi="Arial"/>
          <w:sz w:val="22"/>
          <w:szCs w:val="22"/>
        </w:rPr>
        <w:t>Aldrara</w:t>
      </w:r>
      <w:proofErr w:type="spellEnd"/>
      <w:r w:rsidR="00EA1478">
        <w:rPr>
          <w:rFonts w:ascii="Arial" w:hAnsi="Arial"/>
          <w:sz w:val="22"/>
          <w:szCs w:val="22"/>
        </w:rPr>
        <w:t xml:space="preserve">) </w:t>
      </w:r>
      <w:r w:rsidR="00034463" w:rsidRPr="00034463">
        <w:rPr>
          <w:rFonts w:ascii="Arial" w:hAnsi="Arial"/>
          <w:sz w:val="22"/>
          <w:szCs w:val="22"/>
        </w:rPr>
        <w:t xml:space="preserve">and single use sachet presentations of </w:t>
      </w:r>
      <w:proofErr w:type="spellStart"/>
      <w:r w:rsidR="00034463" w:rsidRPr="00034463">
        <w:rPr>
          <w:rFonts w:ascii="Arial" w:hAnsi="Arial"/>
          <w:sz w:val="22"/>
          <w:szCs w:val="22"/>
        </w:rPr>
        <w:t>imiquimod</w:t>
      </w:r>
      <w:proofErr w:type="spellEnd"/>
      <w:r w:rsidR="00EA1478">
        <w:rPr>
          <w:rFonts w:ascii="Arial" w:hAnsi="Arial"/>
          <w:sz w:val="22"/>
          <w:szCs w:val="22"/>
        </w:rPr>
        <w:t xml:space="preserve"> (including </w:t>
      </w:r>
      <w:proofErr w:type="spellStart"/>
      <w:r w:rsidR="00EA1478">
        <w:rPr>
          <w:rFonts w:ascii="Arial" w:hAnsi="Arial"/>
          <w:sz w:val="22"/>
          <w:szCs w:val="22"/>
        </w:rPr>
        <w:t>Aldrara</w:t>
      </w:r>
      <w:proofErr w:type="spellEnd"/>
      <w:r w:rsidR="00EA1478">
        <w:rPr>
          <w:rFonts w:ascii="Arial" w:hAnsi="Arial"/>
          <w:sz w:val="22"/>
          <w:szCs w:val="22"/>
        </w:rPr>
        <w:t>)</w:t>
      </w:r>
      <w:r w:rsidR="00034463" w:rsidRPr="00034463">
        <w:rPr>
          <w:rFonts w:ascii="Arial" w:hAnsi="Arial"/>
          <w:sz w:val="22"/>
          <w:szCs w:val="22"/>
        </w:rPr>
        <w:t xml:space="preserve"> be marked as equivalent for the purposes of substitution at the point of dispensing.</w:t>
      </w:r>
      <w:r w:rsidR="00FE43A2">
        <w:rPr>
          <w:rFonts w:ascii="Arial" w:hAnsi="Arial"/>
          <w:sz w:val="22"/>
          <w:szCs w:val="22"/>
        </w:rPr>
        <w:t xml:space="preserve"> The Product information </w:t>
      </w:r>
      <w:r w:rsidR="00DC0A94">
        <w:rPr>
          <w:rFonts w:ascii="Arial" w:hAnsi="Arial"/>
          <w:sz w:val="22"/>
          <w:szCs w:val="22"/>
        </w:rPr>
        <w:t xml:space="preserve">for </w:t>
      </w:r>
      <w:proofErr w:type="spellStart"/>
      <w:r w:rsidR="00DC0A94">
        <w:rPr>
          <w:rFonts w:ascii="Arial" w:hAnsi="Arial"/>
          <w:sz w:val="22"/>
          <w:szCs w:val="22"/>
        </w:rPr>
        <w:t>Aldrara</w:t>
      </w:r>
      <w:proofErr w:type="spellEnd"/>
      <w:r w:rsidR="00DC0A94">
        <w:rPr>
          <w:rFonts w:ascii="Arial" w:hAnsi="Arial"/>
          <w:sz w:val="22"/>
          <w:szCs w:val="22"/>
        </w:rPr>
        <w:t xml:space="preserve"> states that f</w:t>
      </w:r>
      <w:r w:rsidR="00FE43A2" w:rsidRPr="00FE43A2">
        <w:rPr>
          <w:rFonts w:ascii="Arial" w:hAnsi="Arial"/>
          <w:sz w:val="22"/>
          <w:szCs w:val="22"/>
        </w:rPr>
        <w:t xml:space="preserve">our actuations of the pump is equivalent to one 250 mg sachet of </w:t>
      </w:r>
      <w:proofErr w:type="spellStart"/>
      <w:r w:rsidR="006939D1" w:rsidRPr="00FE43A2">
        <w:rPr>
          <w:rFonts w:ascii="Arial" w:hAnsi="Arial"/>
          <w:sz w:val="22"/>
          <w:szCs w:val="22"/>
        </w:rPr>
        <w:t>Ald</w:t>
      </w:r>
      <w:r w:rsidR="006939D1">
        <w:rPr>
          <w:rFonts w:ascii="Arial" w:hAnsi="Arial"/>
          <w:sz w:val="22"/>
          <w:szCs w:val="22"/>
        </w:rPr>
        <w:t>r</w:t>
      </w:r>
      <w:r w:rsidR="006939D1" w:rsidRPr="00FE43A2">
        <w:rPr>
          <w:rFonts w:ascii="Arial" w:hAnsi="Arial"/>
          <w:sz w:val="22"/>
          <w:szCs w:val="22"/>
        </w:rPr>
        <w:t>ara</w:t>
      </w:r>
      <w:proofErr w:type="spellEnd"/>
      <w:r w:rsidR="00FE43A2" w:rsidRPr="00FE43A2">
        <w:rPr>
          <w:rFonts w:ascii="Arial" w:hAnsi="Arial"/>
          <w:sz w:val="22"/>
          <w:szCs w:val="22"/>
        </w:rPr>
        <w:t xml:space="preserve"> cream.</w:t>
      </w:r>
    </w:p>
    <w:p w:rsidR="00034463" w:rsidRPr="00F70C3F" w:rsidRDefault="00034463" w:rsidP="00034463">
      <w:pPr>
        <w:rPr>
          <w:rFonts w:ascii="Arial" w:hAnsi="Arial" w:cs="Arial"/>
          <w:b/>
          <w:snapToGrid w:val="0"/>
          <w:sz w:val="22"/>
          <w:szCs w:val="22"/>
          <w:lang w:val="en-GB"/>
        </w:rPr>
      </w:pPr>
    </w:p>
    <w:p w:rsidR="006C307E" w:rsidRPr="008478CD" w:rsidRDefault="00DB3D9E" w:rsidP="005400C0">
      <w:pPr>
        <w:jc w:val="both"/>
        <w:rPr>
          <w:rFonts w:ascii="Arial" w:hAnsi="Arial" w:cs="Arial"/>
          <w:b/>
          <w:bCs/>
          <w:snapToGrid w:val="0"/>
          <w:sz w:val="22"/>
          <w:szCs w:val="22"/>
          <w:lang w:val="en-GB"/>
        </w:rPr>
      </w:pPr>
      <w:r w:rsidRPr="008478CD">
        <w:rPr>
          <w:rFonts w:ascii="Arial" w:hAnsi="Arial" w:cs="Arial"/>
          <w:b/>
          <w:bCs/>
          <w:snapToGrid w:val="0"/>
          <w:sz w:val="22"/>
          <w:szCs w:val="22"/>
          <w:lang w:val="en-GB"/>
        </w:rPr>
        <w:t>Outcome:</w:t>
      </w:r>
    </w:p>
    <w:p w:rsidR="006C307E" w:rsidRPr="008478CD" w:rsidRDefault="00DB3D9E" w:rsidP="005400C0">
      <w:pPr>
        <w:jc w:val="both"/>
        <w:rPr>
          <w:rFonts w:ascii="Arial" w:hAnsi="Arial" w:cs="Arial"/>
          <w:bCs/>
          <w:snapToGrid w:val="0"/>
          <w:sz w:val="22"/>
          <w:szCs w:val="22"/>
          <w:lang w:val="en-GB"/>
        </w:rPr>
      </w:pPr>
      <w:r w:rsidRPr="008478CD">
        <w:rPr>
          <w:rFonts w:ascii="Arial" w:hAnsi="Arial" w:cs="Arial"/>
          <w:bCs/>
          <w:snapToGrid w:val="0"/>
          <w:sz w:val="22"/>
          <w:szCs w:val="22"/>
          <w:lang w:val="en-GB"/>
        </w:rPr>
        <w:t>Recommended</w:t>
      </w:r>
    </w:p>
    <w:p w:rsidR="005400C0" w:rsidRPr="006C307E" w:rsidRDefault="005400C0" w:rsidP="005400C0">
      <w:pPr>
        <w:jc w:val="both"/>
        <w:rPr>
          <w:rFonts w:ascii="Arial" w:hAnsi="Arial" w:cs="Arial"/>
          <w:bCs/>
          <w:snapToGrid w:val="0"/>
          <w:sz w:val="22"/>
          <w:szCs w:val="22"/>
          <w:highlight w:val="yellow"/>
          <w:lang w:val="en-GB"/>
        </w:rPr>
      </w:pPr>
    </w:p>
    <w:p w:rsidR="005400C0" w:rsidRPr="00F862B8" w:rsidRDefault="005400C0" w:rsidP="005400C0">
      <w:pPr>
        <w:widowControl w:val="0"/>
        <w:numPr>
          <w:ilvl w:val="0"/>
          <w:numId w:val="25"/>
        </w:numPr>
        <w:jc w:val="both"/>
        <w:rPr>
          <w:rFonts w:ascii="Arial" w:hAnsi="Arial" w:cs="Arial"/>
          <w:b/>
          <w:bCs/>
          <w:i/>
          <w:snapToGrid w:val="0"/>
          <w:sz w:val="22"/>
          <w:szCs w:val="22"/>
          <w:lang w:val="en-GB"/>
        </w:rPr>
      </w:pPr>
      <w:r w:rsidRPr="00F862B8">
        <w:rPr>
          <w:rFonts w:ascii="Arial" w:hAnsi="Arial" w:cs="Arial"/>
          <w:b/>
          <w:bCs/>
          <w:snapToGrid w:val="0"/>
          <w:sz w:val="22"/>
          <w:szCs w:val="22"/>
          <w:lang w:val="en-GB"/>
        </w:rPr>
        <w:t>Recommended listing</w:t>
      </w:r>
    </w:p>
    <w:p w:rsidR="005400C0" w:rsidRPr="00F862B8" w:rsidRDefault="005400C0" w:rsidP="005400C0">
      <w:pPr>
        <w:jc w:val="both"/>
        <w:rPr>
          <w:rFonts w:ascii="Arial" w:hAnsi="Arial" w:cs="Arial"/>
          <w:b/>
          <w:bCs/>
          <w:i/>
          <w:snapToGrid w:val="0"/>
          <w:sz w:val="22"/>
          <w:szCs w:val="22"/>
          <w:lang w:val="en-GB"/>
        </w:rPr>
      </w:pPr>
    </w:p>
    <w:p w:rsidR="005400C0" w:rsidRPr="00F862B8" w:rsidRDefault="005400C0" w:rsidP="00F862B8">
      <w:pPr>
        <w:widowControl w:val="0"/>
        <w:numPr>
          <w:ilvl w:val="1"/>
          <w:numId w:val="25"/>
        </w:numPr>
        <w:contextualSpacing/>
        <w:jc w:val="both"/>
        <w:rPr>
          <w:rFonts w:ascii="Arial" w:hAnsi="Arial" w:cs="Arial"/>
          <w:bCs/>
          <w:snapToGrid w:val="0"/>
          <w:sz w:val="22"/>
          <w:szCs w:val="22"/>
        </w:rPr>
      </w:pPr>
      <w:r w:rsidRPr="00F862B8">
        <w:rPr>
          <w:rFonts w:ascii="Arial" w:hAnsi="Arial" w:cs="Arial"/>
          <w:bCs/>
          <w:snapToGrid w:val="0"/>
          <w:sz w:val="22"/>
          <w:szCs w:val="22"/>
        </w:rPr>
        <w:t>Add NOTE</w:t>
      </w:r>
      <w:r w:rsidR="00844B14">
        <w:rPr>
          <w:rFonts w:ascii="Arial" w:hAnsi="Arial" w:cs="Arial"/>
          <w:bCs/>
          <w:snapToGrid w:val="0"/>
          <w:sz w:val="22"/>
          <w:szCs w:val="22"/>
        </w:rPr>
        <w:t xml:space="preserve"> to PBS Item 10138N and 1382R </w:t>
      </w:r>
      <w:r w:rsidRPr="00F862B8">
        <w:rPr>
          <w:rFonts w:ascii="Arial" w:hAnsi="Arial" w:cs="Arial"/>
          <w:bCs/>
          <w:snapToGrid w:val="0"/>
          <w:sz w:val="22"/>
          <w:szCs w:val="22"/>
        </w:rPr>
        <w:t xml:space="preserve"> as follows:</w:t>
      </w:r>
    </w:p>
    <w:p w:rsidR="005400C0" w:rsidRPr="00F862B8" w:rsidRDefault="005400C0" w:rsidP="005400C0">
      <w:pPr>
        <w:widowControl w:val="0"/>
        <w:jc w:val="both"/>
        <w:rPr>
          <w:rFonts w:ascii="Arial" w:hAnsi="Arial" w:cs="Arial"/>
          <w:b/>
          <w:bCs/>
          <w:snapToGrid w:val="0"/>
          <w:sz w:val="22"/>
          <w:szCs w:val="22"/>
        </w:rPr>
      </w:pPr>
    </w:p>
    <w:p w:rsidR="00F862B8" w:rsidRPr="00F862B8" w:rsidRDefault="00F862B8" w:rsidP="00F862B8">
      <w:pPr>
        <w:widowControl w:val="0"/>
        <w:ind w:left="709"/>
        <w:jc w:val="both"/>
        <w:rPr>
          <w:rFonts w:ascii="Arial" w:hAnsi="Arial" w:cs="Arial"/>
          <w:bCs/>
          <w:snapToGrid w:val="0"/>
          <w:sz w:val="22"/>
          <w:szCs w:val="22"/>
          <w:u w:val="single"/>
        </w:rPr>
      </w:pPr>
      <w:r w:rsidRPr="00F862B8">
        <w:rPr>
          <w:rFonts w:ascii="Arial" w:hAnsi="Arial" w:cs="Arial"/>
          <w:bCs/>
          <w:snapToGrid w:val="0"/>
          <w:sz w:val="22"/>
          <w:szCs w:val="22"/>
          <w:u w:val="single"/>
        </w:rPr>
        <w:t>Note</w:t>
      </w:r>
    </w:p>
    <w:p w:rsidR="00F862B8" w:rsidRDefault="00F862B8" w:rsidP="00F862B8">
      <w:pPr>
        <w:widowControl w:val="0"/>
        <w:ind w:left="709"/>
        <w:jc w:val="both"/>
        <w:rPr>
          <w:rFonts w:ascii="Arial" w:hAnsi="Arial" w:cs="Arial"/>
          <w:bCs/>
          <w:snapToGrid w:val="0"/>
          <w:sz w:val="22"/>
          <w:szCs w:val="22"/>
        </w:rPr>
      </w:pPr>
      <w:r w:rsidRPr="00F862B8">
        <w:rPr>
          <w:rFonts w:ascii="Arial" w:hAnsi="Arial" w:cs="Arial"/>
          <w:bCs/>
          <w:snapToGrid w:val="0"/>
          <w:sz w:val="22"/>
          <w:szCs w:val="22"/>
        </w:rPr>
        <w:t xml:space="preserve">Pharmaceutical benefits that have the form ranibizumab </w:t>
      </w:r>
      <w:r w:rsidR="00844B14">
        <w:rPr>
          <w:rFonts w:ascii="Arial" w:hAnsi="Arial" w:cs="Arial"/>
          <w:bCs/>
          <w:snapToGrid w:val="0"/>
          <w:sz w:val="22"/>
          <w:szCs w:val="22"/>
        </w:rPr>
        <w:t xml:space="preserve">0.165 ml injection vial </w:t>
      </w:r>
      <w:r w:rsidRPr="00F862B8">
        <w:rPr>
          <w:rFonts w:ascii="Arial" w:hAnsi="Arial" w:cs="Arial"/>
          <w:bCs/>
          <w:snapToGrid w:val="0"/>
          <w:sz w:val="22"/>
          <w:szCs w:val="22"/>
        </w:rPr>
        <w:t xml:space="preserve">and pharmaceutical benefits that have the form ranibizumab </w:t>
      </w:r>
      <w:r w:rsidR="00844B14">
        <w:rPr>
          <w:rFonts w:ascii="Arial" w:hAnsi="Arial" w:cs="Arial"/>
          <w:bCs/>
          <w:snapToGrid w:val="0"/>
          <w:sz w:val="22"/>
          <w:szCs w:val="22"/>
        </w:rPr>
        <w:t>0.23 ml injection</w:t>
      </w:r>
      <w:r w:rsidRPr="00F862B8">
        <w:rPr>
          <w:rFonts w:ascii="Arial" w:hAnsi="Arial" w:cs="Arial"/>
          <w:bCs/>
          <w:snapToGrid w:val="0"/>
          <w:sz w:val="22"/>
          <w:szCs w:val="22"/>
        </w:rPr>
        <w:t xml:space="preserve"> syringe are equivalent for the purposes of substitution.</w:t>
      </w:r>
    </w:p>
    <w:p w:rsidR="00C710FF" w:rsidRDefault="00C710FF" w:rsidP="00C710FF">
      <w:pPr>
        <w:widowControl w:val="0"/>
        <w:jc w:val="both"/>
        <w:rPr>
          <w:rFonts w:ascii="Arial" w:hAnsi="Arial" w:cs="Arial"/>
          <w:bCs/>
          <w:snapToGrid w:val="0"/>
          <w:sz w:val="22"/>
          <w:szCs w:val="22"/>
        </w:rPr>
      </w:pPr>
    </w:p>
    <w:p w:rsidR="005131C7" w:rsidRDefault="005131C7" w:rsidP="00C710FF">
      <w:pPr>
        <w:widowControl w:val="0"/>
        <w:jc w:val="both"/>
        <w:rPr>
          <w:rFonts w:ascii="Arial" w:hAnsi="Arial" w:cs="Arial"/>
          <w:bCs/>
          <w:snapToGrid w:val="0"/>
          <w:sz w:val="22"/>
          <w:szCs w:val="22"/>
        </w:rPr>
      </w:pPr>
    </w:p>
    <w:p w:rsidR="00012EDF" w:rsidRDefault="00012EDF" w:rsidP="00012EDF">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012EDF" w:rsidRPr="00D4420F" w:rsidRDefault="00012EDF" w:rsidP="00012EDF">
      <w:pPr>
        <w:pStyle w:val="ListParagraph"/>
        <w:jc w:val="both"/>
        <w:rPr>
          <w:rFonts w:ascii="Arial" w:hAnsi="Arial" w:cs="Arial"/>
          <w:b/>
          <w:sz w:val="22"/>
        </w:rPr>
      </w:pPr>
    </w:p>
    <w:p w:rsidR="00012EDF" w:rsidRPr="00D4420F" w:rsidRDefault="00012EDF" w:rsidP="00012EDF">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12EDF" w:rsidRDefault="00012EDF" w:rsidP="00012EDF">
      <w:pPr>
        <w:jc w:val="both"/>
        <w:rPr>
          <w:rFonts w:ascii="Arial" w:hAnsi="Arial" w:cs="Arial"/>
          <w:sz w:val="22"/>
        </w:rPr>
      </w:pPr>
    </w:p>
    <w:p w:rsidR="005131C7" w:rsidRPr="00D4420F" w:rsidRDefault="005131C7" w:rsidP="00012EDF">
      <w:pPr>
        <w:jc w:val="both"/>
        <w:rPr>
          <w:rFonts w:ascii="Arial" w:hAnsi="Arial" w:cs="Arial"/>
          <w:sz w:val="22"/>
        </w:rPr>
      </w:pPr>
    </w:p>
    <w:p w:rsidR="00012EDF" w:rsidRDefault="00012EDF" w:rsidP="00012EDF">
      <w:pPr>
        <w:pStyle w:val="ListParagraph"/>
        <w:numPr>
          <w:ilvl w:val="0"/>
          <w:numId w:val="25"/>
        </w:numPr>
        <w:jc w:val="both"/>
        <w:rPr>
          <w:rFonts w:ascii="Arial" w:hAnsi="Arial" w:cs="Arial"/>
          <w:b/>
          <w:sz w:val="22"/>
        </w:rPr>
      </w:pPr>
      <w:r w:rsidRPr="00D4420F">
        <w:rPr>
          <w:rFonts w:ascii="Arial" w:hAnsi="Arial" w:cs="Arial"/>
          <w:b/>
          <w:sz w:val="22"/>
        </w:rPr>
        <w:t>Sponsor’s Comment</w:t>
      </w:r>
    </w:p>
    <w:p w:rsidR="00012EDF" w:rsidRDefault="00012EDF" w:rsidP="00C710FF">
      <w:pPr>
        <w:widowControl w:val="0"/>
        <w:jc w:val="both"/>
        <w:rPr>
          <w:rFonts w:ascii="Arial" w:hAnsi="Arial" w:cs="Arial"/>
          <w:bCs/>
          <w:snapToGrid w:val="0"/>
          <w:sz w:val="22"/>
          <w:szCs w:val="22"/>
        </w:rPr>
      </w:pPr>
    </w:p>
    <w:p w:rsidR="005131C7" w:rsidRDefault="005131C7" w:rsidP="005131C7">
      <w:pPr>
        <w:widowControl w:val="0"/>
        <w:ind w:left="720"/>
        <w:jc w:val="both"/>
        <w:rPr>
          <w:rFonts w:ascii="Arial" w:hAnsi="Arial" w:cs="Arial"/>
          <w:bCs/>
          <w:snapToGrid w:val="0"/>
          <w:sz w:val="22"/>
          <w:szCs w:val="22"/>
        </w:rPr>
      </w:pPr>
      <w:r>
        <w:rPr>
          <w:rFonts w:ascii="Arial" w:hAnsi="Arial" w:cs="Arial"/>
          <w:bCs/>
          <w:snapToGrid w:val="0"/>
          <w:sz w:val="22"/>
          <w:szCs w:val="22"/>
        </w:rPr>
        <w:t>The Sponsor had no comment.</w:t>
      </w:r>
    </w:p>
    <w:sectPr w:rsidR="005131C7" w:rsidSect="001C37C1">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3D6" w:rsidRDefault="004A13D6">
      <w:r>
        <w:separator/>
      </w:r>
    </w:p>
  </w:endnote>
  <w:endnote w:type="continuationSeparator" w:id="0">
    <w:p w:rsidR="004A13D6" w:rsidRDefault="004A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News Gothic M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73C99" w:rsidTr="005A3173">
      <w:trPr>
        <w:trHeight w:val="151"/>
      </w:trPr>
      <w:tc>
        <w:tcPr>
          <w:tcW w:w="2250" w:type="pct"/>
          <w:tcBorders>
            <w:top w:val="nil"/>
            <w:left w:val="nil"/>
            <w:bottom w:val="single" w:sz="4" w:space="0" w:color="4F81BD"/>
            <w:right w:val="nil"/>
          </w:tcBorders>
        </w:tcPr>
        <w:p w:rsidR="00773C99" w:rsidRPr="005A3173" w:rsidRDefault="00773C9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73C99" w:rsidRPr="005A3173" w:rsidRDefault="00773C9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73C99" w:rsidRPr="005A3173" w:rsidRDefault="00773C99" w:rsidP="005A3173">
          <w:pPr>
            <w:pStyle w:val="Header"/>
            <w:spacing w:line="276" w:lineRule="auto"/>
            <w:rPr>
              <w:rFonts w:ascii="Calibri" w:eastAsia="MS Gothic" w:hAnsi="Calibri"/>
              <w:b/>
              <w:bCs/>
              <w:color w:val="4F81BD"/>
            </w:rPr>
          </w:pPr>
        </w:p>
      </w:tc>
    </w:tr>
    <w:tr w:rsidR="00773C99" w:rsidTr="005A3173">
      <w:trPr>
        <w:trHeight w:val="150"/>
      </w:trPr>
      <w:tc>
        <w:tcPr>
          <w:tcW w:w="2250" w:type="pct"/>
          <w:tcBorders>
            <w:top w:val="single" w:sz="4" w:space="0" w:color="4F81BD"/>
            <w:left w:val="nil"/>
            <w:bottom w:val="nil"/>
            <w:right w:val="nil"/>
          </w:tcBorders>
        </w:tcPr>
        <w:p w:rsidR="00773C99" w:rsidRPr="005A3173" w:rsidRDefault="00773C99" w:rsidP="005A3173">
          <w:pPr>
            <w:pStyle w:val="Header"/>
            <w:spacing w:line="276" w:lineRule="auto"/>
            <w:rPr>
              <w:rFonts w:ascii="Calibri" w:eastAsia="MS Gothic" w:hAnsi="Calibri"/>
              <w:b/>
              <w:bCs/>
              <w:color w:val="4F81BD"/>
            </w:rPr>
          </w:pPr>
        </w:p>
      </w:tc>
      <w:tc>
        <w:tcPr>
          <w:tcW w:w="0" w:type="auto"/>
          <w:vMerge/>
          <w:vAlign w:val="center"/>
          <w:hideMark/>
        </w:tcPr>
        <w:p w:rsidR="00773C99" w:rsidRPr="005A3173" w:rsidRDefault="00773C99" w:rsidP="005A3173">
          <w:pPr>
            <w:rPr>
              <w:rFonts w:ascii="Calibri" w:hAnsi="Calibri"/>
              <w:color w:val="365F91"/>
              <w:sz w:val="22"/>
              <w:szCs w:val="22"/>
            </w:rPr>
          </w:pPr>
        </w:p>
      </w:tc>
      <w:tc>
        <w:tcPr>
          <w:tcW w:w="2250" w:type="pct"/>
          <w:tcBorders>
            <w:top w:val="single" w:sz="4" w:space="0" w:color="4F81BD"/>
            <w:left w:val="nil"/>
            <w:bottom w:val="nil"/>
            <w:right w:val="nil"/>
          </w:tcBorders>
        </w:tcPr>
        <w:p w:rsidR="00773C99" w:rsidRPr="005A3173" w:rsidRDefault="00773C99" w:rsidP="005A3173">
          <w:pPr>
            <w:pStyle w:val="Header"/>
            <w:spacing w:line="276" w:lineRule="auto"/>
            <w:rPr>
              <w:rFonts w:ascii="Calibri" w:eastAsia="MS Gothic" w:hAnsi="Calibri"/>
              <w:b/>
              <w:bCs/>
              <w:color w:val="4F81BD"/>
            </w:rPr>
          </w:pPr>
        </w:p>
      </w:tc>
    </w:tr>
  </w:tbl>
  <w:p w:rsidR="00773C99" w:rsidRDefault="00773C9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3C99" w:rsidRDefault="00773C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5400C0" w:rsidRPr="00541A0D" w:rsidRDefault="005400C0" w:rsidP="005400C0">
        <w:pPr>
          <w:pStyle w:val="Footer"/>
          <w:ind w:left="360"/>
          <w:jc w:val="center"/>
          <w:rPr>
            <w:rFonts w:ascii="Arial" w:hAnsi="Arial" w:cs="Arial"/>
            <w:sz w:val="20"/>
          </w:rPr>
        </w:pPr>
      </w:p>
      <w:p w:rsidR="005400C0" w:rsidRPr="00651169" w:rsidRDefault="005400C0" w:rsidP="005400C0">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73528C">
          <w:rPr>
            <w:rFonts w:ascii="Arial" w:hAnsi="Arial" w:cs="Arial"/>
            <w:noProof/>
            <w:sz w:val="20"/>
            <w:szCs w:val="20"/>
          </w:rPr>
          <w:t>1</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773C99" w:rsidTr="005A3173">
      <w:trPr>
        <w:trHeight w:val="151"/>
      </w:trPr>
      <w:tc>
        <w:tcPr>
          <w:tcW w:w="2250" w:type="pct"/>
          <w:tcBorders>
            <w:top w:val="nil"/>
            <w:left w:val="nil"/>
            <w:bottom w:val="single" w:sz="4" w:space="0" w:color="4F81BD"/>
            <w:right w:val="nil"/>
          </w:tcBorders>
        </w:tcPr>
        <w:p w:rsidR="00773C99" w:rsidRPr="005A3173" w:rsidRDefault="00773C9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73C99" w:rsidRPr="005A3173" w:rsidRDefault="00773C9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73C99" w:rsidRPr="005A3173" w:rsidRDefault="00773C99" w:rsidP="005A3173">
          <w:pPr>
            <w:pStyle w:val="Header"/>
            <w:spacing w:line="276" w:lineRule="auto"/>
            <w:rPr>
              <w:rFonts w:ascii="Calibri" w:eastAsia="MS Gothic" w:hAnsi="Calibri"/>
              <w:b/>
              <w:bCs/>
              <w:color w:val="4F81BD"/>
            </w:rPr>
          </w:pPr>
        </w:p>
      </w:tc>
    </w:tr>
    <w:tr w:rsidR="00773C99" w:rsidTr="005A3173">
      <w:trPr>
        <w:trHeight w:val="150"/>
      </w:trPr>
      <w:tc>
        <w:tcPr>
          <w:tcW w:w="2250" w:type="pct"/>
          <w:tcBorders>
            <w:top w:val="single" w:sz="4" w:space="0" w:color="4F81BD"/>
            <w:left w:val="nil"/>
            <w:bottom w:val="nil"/>
            <w:right w:val="nil"/>
          </w:tcBorders>
        </w:tcPr>
        <w:p w:rsidR="00773C99" w:rsidRPr="005A3173" w:rsidRDefault="00773C99" w:rsidP="005A3173">
          <w:pPr>
            <w:pStyle w:val="Header"/>
            <w:spacing w:line="276" w:lineRule="auto"/>
            <w:rPr>
              <w:rFonts w:ascii="Calibri" w:eastAsia="MS Gothic" w:hAnsi="Calibri"/>
              <w:b/>
              <w:bCs/>
              <w:color w:val="4F81BD"/>
            </w:rPr>
          </w:pPr>
        </w:p>
      </w:tc>
      <w:tc>
        <w:tcPr>
          <w:tcW w:w="0" w:type="auto"/>
          <w:vMerge/>
          <w:vAlign w:val="center"/>
          <w:hideMark/>
        </w:tcPr>
        <w:p w:rsidR="00773C99" w:rsidRPr="005A3173" w:rsidRDefault="00773C99" w:rsidP="005A3173">
          <w:pPr>
            <w:rPr>
              <w:rFonts w:ascii="Calibri" w:hAnsi="Calibri"/>
              <w:color w:val="365F91"/>
              <w:sz w:val="22"/>
              <w:szCs w:val="22"/>
            </w:rPr>
          </w:pPr>
        </w:p>
      </w:tc>
      <w:tc>
        <w:tcPr>
          <w:tcW w:w="2250" w:type="pct"/>
          <w:tcBorders>
            <w:top w:val="single" w:sz="4" w:space="0" w:color="4F81BD"/>
            <w:left w:val="nil"/>
            <w:bottom w:val="nil"/>
            <w:right w:val="nil"/>
          </w:tcBorders>
        </w:tcPr>
        <w:p w:rsidR="00773C99" w:rsidRPr="005A3173" w:rsidRDefault="00773C9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73C99" w:rsidTr="005A3173">
      <w:trPr>
        <w:trHeight w:val="151"/>
      </w:trPr>
      <w:tc>
        <w:tcPr>
          <w:tcW w:w="2250" w:type="pct"/>
          <w:tcBorders>
            <w:top w:val="nil"/>
            <w:left w:val="nil"/>
            <w:bottom w:val="single" w:sz="4" w:space="0" w:color="4F81BD"/>
            <w:right w:val="nil"/>
          </w:tcBorders>
        </w:tcPr>
        <w:p w:rsidR="00773C99" w:rsidRPr="005A3173" w:rsidRDefault="00773C9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73C99" w:rsidRPr="005A3173" w:rsidRDefault="00773C9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73C99" w:rsidRPr="005A3173" w:rsidRDefault="00773C99" w:rsidP="005A3173">
          <w:pPr>
            <w:pStyle w:val="Header"/>
            <w:spacing w:line="276" w:lineRule="auto"/>
            <w:rPr>
              <w:rFonts w:ascii="Calibri" w:eastAsia="MS Gothic" w:hAnsi="Calibri"/>
              <w:b/>
              <w:bCs/>
              <w:color w:val="4F81BD"/>
            </w:rPr>
          </w:pPr>
        </w:p>
      </w:tc>
    </w:tr>
    <w:tr w:rsidR="00773C99" w:rsidTr="005A3173">
      <w:trPr>
        <w:trHeight w:val="150"/>
      </w:trPr>
      <w:tc>
        <w:tcPr>
          <w:tcW w:w="2250" w:type="pct"/>
          <w:tcBorders>
            <w:top w:val="single" w:sz="4" w:space="0" w:color="4F81BD"/>
            <w:left w:val="nil"/>
            <w:bottom w:val="nil"/>
            <w:right w:val="nil"/>
          </w:tcBorders>
        </w:tcPr>
        <w:p w:rsidR="00773C99" w:rsidRPr="005A3173" w:rsidRDefault="00773C99" w:rsidP="005A3173">
          <w:pPr>
            <w:pStyle w:val="Header"/>
            <w:spacing w:line="276" w:lineRule="auto"/>
            <w:rPr>
              <w:rFonts w:ascii="Calibri" w:eastAsia="MS Gothic" w:hAnsi="Calibri"/>
              <w:b/>
              <w:bCs/>
              <w:color w:val="4F81BD"/>
            </w:rPr>
          </w:pPr>
        </w:p>
      </w:tc>
      <w:tc>
        <w:tcPr>
          <w:tcW w:w="0" w:type="auto"/>
          <w:vMerge/>
          <w:vAlign w:val="center"/>
          <w:hideMark/>
        </w:tcPr>
        <w:p w:rsidR="00773C99" w:rsidRPr="005A3173" w:rsidRDefault="00773C99" w:rsidP="005A3173">
          <w:pPr>
            <w:rPr>
              <w:rFonts w:ascii="Calibri" w:hAnsi="Calibri"/>
              <w:color w:val="365F91"/>
              <w:sz w:val="22"/>
              <w:szCs w:val="22"/>
            </w:rPr>
          </w:pPr>
        </w:p>
      </w:tc>
      <w:tc>
        <w:tcPr>
          <w:tcW w:w="2250" w:type="pct"/>
          <w:tcBorders>
            <w:top w:val="single" w:sz="4" w:space="0" w:color="4F81BD"/>
            <w:left w:val="nil"/>
            <w:bottom w:val="nil"/>
            <w:right w:val="nil"/>
          </w:tcBorders>
        </w:tcPr>
        <w:p w:rsidR="00773C99" w:rsidRPr="005A3173" w:rsidRDefault="00773C99" w:rsidP="005A3173">
          <w:pPr>
            <w:pStyle w:val="Header"/>
            <w:spacing w:line="276" w:lineRule="auto"/>
            <w:rPr>
              <w:rFonts w:ascii="Calibri" w:eastAsia="MS Gothic" w:hAnsi="Calibri"/>
              <w:b/>
              <w:bCs/>
              <w:color w:val="4F81BD"/>
            </w:rPr>
          </w:pPr>
        </w:p>
      </w:tc>
    </w:tr>
  </w:tbl>
  <w:p w:rsidR="00773C99" w:rsidRPr="007C0F57" w:rsidRDefault="00773C9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73C99" w:rsidRPr="007C0F57" w:rsidRDefault="00773C99"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3D6" w:rsidRDefault="004A13D6">
      <w:r>
        <w:separator/>
      </w:r>
    </w:p>
  </w:footnote>
  <w:footnote w:type="continuationSeparator" w:id="0">
    <w:p w:rsidR="004A13D6" w:rsidRDefault="004A1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73C99" w:rsidRPr="008E0D90" w:rsidTr="00A06225">
      <w:trPr>
        <w:trHeight w:val="151"/>
      </w:trPr>
      <w:tc>
        <w:tcPr>
          <w:tcW w:w="2389" w:type="pct"/>
          <w:tcBorders>
            <w:top w:val="nil"/>
            <w:left w:val="nil"/>
            <w:bottom w:val="single" w:sz="4" w:space="0" w:color="4F81BD"/>
            <w:right w:val="nil"/>
          </w:tcBorders>
        </w:tcPr>
        <w:p w:rsidR="00773C99" w:rsidRPr="00A06225" w:rsidRDefault="00773C99">
          <w:pPr>
            <w:pStyle w:val="Header"/>
            <w:spacing w:line="276" w:lineRule="auto"/>
            <w:rPr>
              <w:rFonts w:ascii="Cambria" w:eastAsia="MS Gothic" w:hAnsi="Cambria"/>
              <w:b/>
              <w:bCs/>
              <w:color w:val="4F81BD"/>
            </w:rPr>
          </w:pPr>
        </w:p>
      </w:tc>
      <w:tc>
        <w:tcPr>
          <w:tcW w:w="333" w:type="pct"/>
          <w:vMerge w:val="restart"/>
          <w:noWrap/>
          <w:vAlign w:val="center"/>
          <w:hideMark/>
        </w:tcPr>
        <w:p w:rsidR="00773C99" w:rsidRPr="00A06225" w:rsidRDefault="00773C9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73C99" w:rsidRPr="00A06225" w:rsidRDefault="00773C99">
          <w:pPr>
            <w:pStyle w:val="Header"/>
            <w:spacing w:line="276" w:lineRule="auto"/>
            <w:rPr>
              <w:rFonts w:ascii="Cambria" w:eastAsia="MS Gothic" w:hAnsi="Cambria"/>
              <w:b/>
              <w:bCs/>
              <w:color w:val="4F81BD"/>
            </w:rPr>
          </w:pPr>
        </w:p>
      </w:tc>
    </w:tr>
    <w:tr w:rsidR="00773C99" w:rsidRPr="008E0D90" w:rsidTr="00A06225">
      <w:trPr>
        <w:trHeight w:val="150"/>
      </w:trPr>
      <w:tc>
        <w:tcPr>
          <w:tcW w:w="2389" w:type="pct"/>
          <w:tcBorders>
            <w:top w:val="single" w:sz="4" w:space="0" w:color="4F81BD"/>
            <w:left w:val="nil"/>
            <w:bottom w:val="nil"/>
            <w:right w:val="nil"/>
          </w:tcBorders>
        </w:tcPr>
        <w:p w:rsidR="00773C99" w:rsidRPr="00A06225" w:rsidRDefault="00773C99">
          <w:pPr>
            <w:pStyle w:val="Header"/>
            <w:spacing w:line="276" w:lineRule="auto"/>
            <w:rPr>
              <w:rFonts w:ascii="Cambria" w:eastAsia="MS Gothic" w:hAnsi="Cambria"/>
              <w:b/>
              <w:bCs/>
              <w:color w:val="4F81BD"/>
            </w:rPr>
          </w:pPr>
        </w:p>
      </w:tc>
      <w:tc>
        <w:tcPr>
          <w:tcW w:w="0" w:type="auto"/>
          <w:vMerge/>
          <w:vAlign w:val="center"/>
          <w:hideMark/>
        </w:tcPr>
        <w:p w:rsidR="00773C99" w:rsidRPr="00A06225" w:rsidRDefault="00773C99">
          <w:pPr>
            <w:rPr>
              <w:rFonts w:ascii="Cambria" w:hAnsi="Cambria"/>
              <w:color w:val="4F81BD"/>
              <w:sz w:val="22"/>
              <w:szCs w:val="22"/>
            </w:rPr>
          </w:pPr>
        </w:p>
      </w:tc>
      <w:tc>
        <w:tcPr>
          <w:tcW w:w="2278" w:type="pct"/>
          <w:tcBorders>
            <w:top w:val="single" w:sz="4" w:space="0" w:color="4F81BD"/>
            <w:left w:val="nil"/>
            <w:bottom w:val="nil"/>
            <w:right w:val="nil"/>
          </w:tcBorders>
        </w:tcPr>
        <w:p w:rsidR="00773C99" w:rsidRPr="00A06225" w:rsidRDefault="00773C99">
          <w:pPr>
            <w:pStyle w:val="Header"/>
            <w:spacing w:line="276" w:lineRule="auto"/>
            <w:rPr>
              <w:rFonts w:ascii="Cambria" w:eastAsia="MS Gothic" w:hAnsi="Cambria"/>
              <w:b/>
              <w:bCs/>
              <w:color w:val="4F81BD"/>
            </w:rPr>
          </w:pPr>
        </w:p>
      </w:tc>
    </w:tr>
  </w:tbl>
  <w:p w:rsidR="00773C99" w:rsidRDefault="00773C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C0" w:rsidRPr="00DF217D" w:rsidRDefault="007640C7" w:rsidP="005400C0">
    <w:pPr>
      <w:pStyle w:val="Header"/>
      <w:ind w:left="360"/>
      <w:jc w:val="center"/>
      <w:rPr>
        <w:rFonts w:ascii="Arial" w:hAnsi="Arial" w:cs="Arial"/>
        <w:i/>
        <w:color w:val="808080"/>
        <w:sz w:val="22"/>
      </w:rPr>
    </w:pPr>
    <w:r>
      <w:rPr>
        <w:rFonts w:ascii="Arial" w:hAnsi="Arial" w:cs="Arial"/>
        <w:i/>
        <w:color w:val="808080"/>
        <w:sz w:val="22"/>
      </w:rPr>
      <w:t>Public Summary Document</w:t>
    </w:r>
    <w:r w:rsidR="008478CD">
      <w:rPr>
        <w:rFonts w:ascii="Arial" w:hAnsi="Arial" w:cs="Arial"/>
        <w:i/>
        <w:color w:val="808080"/>
        <w:sz w:val="22"/>
      </w:rPr>
      <w:t xml:space="preserve"> </w:t>
    </w:r>
    <w:r w:rsidR="005400C0" w:rsidRPr="00DF217D">
      <w:rPr>
        <w:rFonts w:ascii="Arial" w:hAnsi="Arial" w:cs="Arial"/>
        <w:i/>
        <w:color w:val="808080"/>
        <w:sz w:val="22"/>
      </w:rPr>
      <w:t xml:space="preserve">– </w:t>
    </w:r>
    <w:r w:rsidR="005400C0">
      <w:rPr>
        <w:rFonts w:ascii="Arial" w:hAnsi="Arial" w:cs="Arial"/>
        <w:i/>
        <w:color w:val="808080"/>
        <w:sz w:val="22"/>
      </w:rPr>
      <w:t xml:space="preserve">November 2014 </w:t>
    </w:r>
    <w:r w:rsidR="005400C0" w:rsidRPr="00DF217D">
      <w:rPr>
        <w:rFonts w:ascii="Arial" w:hAnsi="Arial" w:cs="Arial"/>
        <w:i/>
        <w:color w:val="808080"/>
        <w:sz w:val="22"/>
      </w:rPr>
      <w:t>PBAC</w:t>
    </w:r>
    <w:r w:rsidR="005400C0">
      <w:rPr>
        <w:rFonts w:ascii="Arial" w:hAnsi="Arial" w:cs="Arial"/>
        <w:i/>
        <w:color w:val="808080"/>
        <w:sz w:val="22"/>
      </w:rPr>
      <w:t xml:space="preserve"> </w:t>
    </w:r>
    <w:r w:rsidR="005400C0" w:rsidRPr="00DF217D">
      <w:rPr>
        <w:rFonts w:ascii="Arial" w:hAnsi="Arial" w:cs="Arial"/>
        <w:i/>
        <w:color w:val="808080"/>
        <w:sz w:val="22"/>
      </w:rPr>
      <w:t>Meeting</w:t>
    </w:r>
  </w:p>
  <w:p w:rsidR="005400C0" w:rsidRDefault="005400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8">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9">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4">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1">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3">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4">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5">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6">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5676AA"/>
    <w:multiLevelType w:val="hybridMultilevel"/>
    <w:tmpl w:val="B2ECB2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2"/>
  </w:num>
  <w:num w:numId="3">
    <w:abstractNumId w:val="19"/>
  </w:num>
  <w:num w:numId="4">
    <w:abstractNumId w:val="0"/>
  </w:num>
  <w:num w:numId="5">
    <w:abstractNumId w:val="5"/>
  </w:num>
  <w:num w:numId="6">
    <w:abstractNumId w:val="18"/>
  </w:num>
  <w:num w:numId="7">
    <w:abstractNumId w:val="15"/>
  </w:num>
  <w:num w:numId="8">
    <w:abstractNumId w:val="4"/>
  </w:num>
  <w:num w:numId="9">
    <w:abstractNumId w:val="7"/>
  </w:num>
  <w:num w:numId="10">
    <w:abstractNumId w:val="30"/>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3"/>
  </w:num>
  <w:num w:numId="15">
    <w:abstractNumId w:val="26"/>
  </w:num>
  <w:num w:numId="16">
    <w:abstractNumId w:val="22"/>
  </w:num>
  <w:num w:numId="17">
    <w:abstractNumId w:val="35"/>
  </w:num>
  <w:num w:numId="18">
    <w:abstractNumId w:val="12"/>
  </w:num>
  <w:num w:numId="19">
    <w:abstractNumId w:val="17"/>
  </w:num>
  <w:num w:numId="20">
    <w:abstractNumId w:val="3"/>
  </w:num>
  <w:num w:numId="21">
    <w:abstractNumId w:val="29"/>
  </w:num>
  <w:num w:numId="22">
    <w:abstractNumId w:val="31"/>
  </w:num>
  <w:num w:numId="23">
    <w:abstractNumId w:val="37"/>
  </w:num>
  <w:num w:numId="24">
    <w:abstractNumId w:val="14"/>
  </w:num>
  <w:num w:numId="25">
    <w:abstractNumId w:val="36"/>
  </w:num>
  <w:num w:numId="26">
    <w:abstractNumId w:val="27"/>
  </w:num>
  <w:num w:numId="27">
    <w:abstractNumId w:val="11"/>
  </w:num>
  <w:num w:numId="28">
    <w:abstractNumId w:val="6"/>
  </w:num>
  <w:num w:numId="29">
    <w:abstractNumId w:val="24"/>
  </w:num>
  <w:num w:numId="30">
    <w:abstractNumId w:val="2"/>
  </w:num>
  <w:num w:numId="31">
    <w:abstractNumId w:val="25"/>
  </w:num>
  <w:num w:numId="32">
    <w:abstractNumId w:val="34"/>
  </w:num>
  <w:num w:numId="33">
    <w:abstractNumId w:val="23"/>
  </w:num>
  <w:num w:numId="34">
    <w:abstractNumId w:val="39"/>
  </w:num>
  <w:num w:numId="35">
    <w:abstractNumId w:val="10"/>
  </w:num>
  <w:num w:numId="36">
    <w:abstractNumId w:val="21"/>
  </w:num>
  <w:num w:numId="37">
    <w:abstractNumId w:val="28"/>
  </w:num>
  <w:num w:numId="38">
    <w:abstractNumId w:val="8"/>
  </w:num>
  <w:num w:numId="39">
    <w:abstractNumId w:val="16"/>
  </w:num>
  <w:num w:numId="40">
    <w:abstractNumId w:val="1"/>
  </w:num>
  <w:num w:numId="41">
    <w:abstractNumId w:val="1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2EDF"/>
    <w:rsid w:val="00020A50"/>
    <w:rsid w:val="0002464A"/>
    <w:rsid w:val="0003106B"/>
    <w:rsid w:val="0003323A"/>
    <w:rsid w:val="00034463"/>
    <w:rsid w:val="000421A1"/>
    <w:rsid w:val="0004240E"/>
    <w:rsid w:val="00045E26"/>
    <w:rsid w:val="000514B5"/>
    <w:rsid w:val="00060E64"/>
    <w:rsid w:val="00066755"/>
    <w:rsid w:val="00085E7C"/>
    <w:rsid w:val="000969AD"/>
    <w:rsid w:val="000B558D"/>
    <w:rsid w:val="000C502C"/>
    <w:rsid w:val="000C6996"/>
    <w:rsid w:val="000D23BA"/>
    <w:rsid w:val="000E681E"/>
    <w:rsid w:val="000F4E6A"/>
    <w:rsid w:val="00106651"/>
    <w:rsid w:val="001107BF"/>
    <w:rsid w:val="0012417C"/>
    <w:rsid w:val="00127294"/>
    <w:rsid w:val="00142395"/>
    <w:rsid w:val="00142714"/>
    <w:rsid w:val="001452ED"/>
    <w:rsid w:val="001825AB"/>
    <w:rsid w:val="001830CE"/>
    <w:rsid w:val="00196307"/>
    <w:rsid w:val="001B017F"/>
    <w:rsid w:val="001B5129"/>
    <w:rsid w:val="001C1195"/>
    <w:rsid w:val="001C37C1"/>
    <w:rsid w:val="00213CFB"/>
    <w:rsid w:val="00271BA1"/>
    <w:rsid w:val="00277505"/>
    <w:rsid w:val="0029458F"/>
    <w:rsid w:val="002A104C"/>
    <w:rsid w:val="002A4960"/>
    <w:rsid w:val="002B1AE6"/>
    <w:rsid w:val="002B30F8"/>
    <w:rsid w:val="002C212F"/>
    <w:rsid w:val="002D3E0E"/>
    <w:rsid w:val="002E72CA"/>
    <w:rsid w:val="003246CE"/>
    <w:rsid w:val="00326E79"/>
    <w:rsid w:val="00332DAD"/>
    <w:rsid w:val="003360CA"/>
    <w:rsid w:val="003367EF"/>
    <w:rsid w:val="00341AE4"/>
    <w:rsid w:val="00361C9A"/>
    <w:rsid w:val="003A5B4A"/>
    <w:rsid w:val="003B23C5"/>
    <w:rsid w:val="003B2A75"/>
    <w:rsid w:val="003B71EB"/>
    <w:rsid w:val="003C43CA"/>
    <w:rsid w:val="003D4AC4"/>
    <w:rsid w:val="003D63B7"/>
    <w:rsid w:val="003E468B"/>
    <w:rsid w:val="003F5C8C"/>
    <w:rsid w:val="004025FC"/>
    <w:rsid w:val="004465BD"/>
    <w:rsid w:val="00464586"/>
    <w:rsid w:val="00464F2E"/>
    <w:rsid w:val="00466ADA"/>
    <w:rsid w:val="00476245"/>
    <w:rsid w:val="00485940"/>
    <w:rsid w:val="004A13D6"/>
    <w:rsid w:val="004A5A85"/>
    <w:rsid w:val="004B5640"/>
    <w:rsid w:val="004C1BD7"/>
    <w:rsid w:val="004C691D"/>
    <w:rsid w:val="004E692D"/>
    <w:rsid w:val="005131C7"/>
    <w:rsid w:val="00514CD7"/>
    <w:rsid w:val="00534E2E"/>
    <w:rsid w:val="005400C0"/>
    <w:rsid w:val="00544552"/>
    <w:rsid w:val="00581932"/>
    <w:rsid w:val="005963BB"/>
    <w:rsid w:val="005A3173"/>
    <w:rsid w:val="005A3223"/>
    <w:rsid w:val="005A3DA3"/>
    <w:rsid w:val="005A52C4"/>
    <w:rsid w:val="005D03AB"/>
    <w:rsid w:val="005D5017"/>
    <w:rsid w:val="00601A91"/>
    <w:rsid w:val="00602BA3"/>
    <w:rsid w:val="00614159"/>
    <w:rsid w:val="00617C00"/>
    <w:rsid w:val="006263BF"/>
    <w:rsid w:val="00630A2C"/>
    <w:rsid w:val="00651169"/>
    <w:rsid w:val="00653D69"/>
    <w:rsid w:val="00670A76"/>
    <w:rsid w:val="006711AA"/>
    <w:rsid w:val="00675622"/>
    <w:rsid w:val="006906DB"/>
    <w:rsid w:val="006939D1"/>
    <w:rsid w:val="006A12A5"/>
    <w:rsid w:val="006B0D94"/>
    <w:rsid w:val="006B485D"/>
    <w:rsid w:val="006C5211"/>
    <w:rsid w:val="006C708E"/>
    <w:rsid w:val="006D5BBF"/>
    <w:rsid w:val="006D6EC7"/>
    <w:rsid w:val="006F5125"/>
    <w:rsid w:val="007174BB"/>
    <w:rsid w:val="0073528C"/>
    <w:rsid w:val="00745A2F"/>
    <w:rsid w:val="007640C7"/>
    <w:rsid w:val="0076420C"/>
    <w:rsid w:val="007716B1"/>
    <w:rsid w:val="00773C99"/>
    <w:rsid w:val="007753C2"/>
    <w:rsid w:val="007838B8"/>
    <w:rsid w:val="007C0F57"/>
    <w:rsid w:val="007C40B6"/>
    <w:rsid w:val="007C729F"/>
    <w:rsid w:val="007E1D28"/>
    <w:rsid w:val="007F2641"/>
    <w:rsid w:val="007F7C36"/>
    <w:rsid w:val="00806796"/>
    <w:rsid w:val="00826F6D"/>
    <w:rsid w:val="008274DB"/>
    <w:rsid w:val="00844B14"/>
    <w:rsid w:val="008478CD"/>
    <w:rsid w:val="00856DDD"/>
    <w:rsid w:val="00863E68"/>
    <w:rsid w:val="00882085"/>
    <w:rsid w:val="00883188"/>
    <w:rsid w:val="00897D58"/>
    <w:rsid w:val="008A1956"/>
    <w:rsid w:val="008A4937"/>
    <w:rsid w:val="008C25DF"/>
    <w:rsid w:val="008D3C82"/>
    <w:rsid w:val="008D447E"/>
    <w:rsid w:val="008D7A41"/>
    <w:rsid w:val="008E3680"/>
    <w:rsid w:val="008E5870"/>
    <w:rsid w:val="008F1434"/>
    <w:rsid w:val="008F7355"/>
    <w:rsid w:val="009067B7"/>
    <w:rsid w:val="00910F01"/>
    <w:rsid w:val="00916722"/>
    <w:rsid w:val="00930937"/>
    <w:rsid w:val="009331C0"/>
    <w:rsid w:val="00933E6C"/>
    <w:rsid w:val="00942160"/>
    <w:rsid w:val="009602C5"/>
    <w:rsid w:val="009632A1"/>
    <w:rsid w:val="00974C21"/>
    <w:rsid w:val="009B0F67"/>
    <w:rsid w:val="009C703C"/>
    <w:rsid w:val="009D3CAA"/>
    <w:rsid w:val="009F158B"/>
    <w:rsid w:val="009F4E46"/>
    <w:rsid w:val="009F5B65"/>
    <w:rsid w:val="009F5F2E"/>
    <w:rsid w:val="00A06225"/>
    <w:rsid w:val="00A1502C"/>
    <w:rsid w:val="00A22EF3"/>
    <w:rsid w:val="00A37C8D"/>
    <w:rsid w:val="00A5273B"/>
    <w:rsid w:val="00A53A9D"/>
    <w:rsid w:val="00A62C1A"/>
    <w:rsid w:val="00A6426D"/>
    <w:rsid w:val="00A70622"/>
    <w:rsid w:val="00A70977"/>
    <w:rsid w:val="00A8390C"/>
    <w:rsid w:val="00AA4D1C"/>
    <w:rsid w:val="00AC5206"/>
    <w:rsid w:val="00AE11A5"/>
    <w:rsid w:val="00AF68CC"/>
    <w:rsid w:val="00B205AA"/>
    <w:rsid w:val="00B22E84"/>
    <w:rsid w:val="00B25F75"/>
    <w:rsid w:val="00B43E90"/>
    <w:rsid w:val="00B56118"/>
    <w:rsid w:val="00B6773F"/>
    <w:rsid w:val="00B905CB"/>
    <w:rsid w:val="00BB1F87"/>
    <w:rsid w:val="00BB69F5"/>
    <w:rsid w:val="00BB7EC3"/>
    <w:rsid w:val="00BC4B9A"/>
    <w:rsid w:val="00BD784C"/>
    <w:rsid w:val="00BE3B4B"/>
    <w:rsid w:val="00BE63ED"/>
    <w:rsid w:val="00BE7A3D"/>
    <w:rsid w:val="00BF4CB6"/>
    <w:rsid w:val="00C00DA7"/>
    <w:rsid w:val="00C12768"/>
    <w:rsid w:val="00C23C37"/>
    <w:rsid w:val="00C35996"/>
    <w:rsid w:val="00C45791"/>
    <w:rsid w:val="00C5342C"/>
    <w:rsid w:val="00C6256A"/>
    <w:rsid w:val="00C710FF"/>
    <w:rsid w:val="00C718E9"/>
    <w:rsid w:val="00C91449"/>
    <w:rsid w:val="00C92D10"/>
    <w:rsid w:val="00CA257D"/>
    <w:rsid w:val="00CE0DF8"/>
    <w:rsid w:val="00CE10C4"/>
    <w:rsid w:val="00CE27B5"/>
    <w:rsid w:val="00D0321E"/>
    <w:rsid w:val="00D1455A"/>
    <w:rsid w:val="00D3280C"/>
    <w:rsid w:val="00D3406A"/>
    <w:rsid w:val="00D469B2"/>
    <w:rsid w:val="00D741EB"/>
    <w:rsid w:val="00D74863"/>
    <w:rsid w:val="00D855D0"/>
    <w:rsid w:val="00D91271"/>
    <w:rsid w:val="00D93CBE"/>
    <w:rsid w:val="00DA2CB5"/>
    <w:rsid w:val="00DA4BAC"/>
    <w:rsid w:val="00DB3D9E"/>
    <w:rsid w:val="00DC0A94"/>
    <w:rsid w:val="00DC3FA6"/>
    <w:rsid w:val="00DE68AB"/>
    <w:rsid w:val="00DE6D27"/>
    <w:rsid w:val="00DF217D"/>
    <w:rsid w:val="00DF26A7"/>
    <w:rsid w:val="00DF2B58"/>
    <w:rsid w:val="00E164B3"/>
    <w:rsid w:val="00E16910"/>
    <w:rsid w:val="00E3003B"/>
    <w:rsid w:val="00E42840"/>
    <w:rsid w:val="00E65E54"/>
    <w:rsid w:val="00E66D0E"/>
    <w:rsid w:val="00E80155"/>
    <w:rsid w:val="00E848C0"/>
    <w:rsid w:val="00E91B96"/>
    <w:rsid w:val="00E920D5"/>
    <w:rsid w:val="00E941A1"/>
    <w:rsid w:val="00E95CE3"/>
    <w:rsid w:val="00EA1478"/>
    <w:rsid w:val="00EA2825"/>
    <w:rsid w:val="00EB5088"/>
    <w:rsid w:val="00ED1644"/>
    <w:rsid w:val="00EF44A0"/>
    <w:rsid w:val="00F050BD"/>
    <w:rsid w:val="00F05657"/>
    <w:rsid w:val="00F20759"/>
    <w:rsid w:val="00F25578"/>
    <w:rsid w:val="00F258E5"/>
    <w:rsid w:val="00F300BC"/>
    <w:rsid w:val="00F3334E"/>
    <w:rsid w:val="00F50EC4"/>
    <w:rsid w:val="00F57A6D"/>
    <w:rsid w:val="00F638CC"/>
    <w:rsid w:val="00F70C3F"/>
    <w:rsid w:val="00F8247A"/>
    <w:rsid w:val="00F82B2C"/>
    <w:rsid w:val="00F862B8"/>
    <w:rsid w:val="00F9629A"/>
    <w:rsid w:val="00FA5883"/>
    <w:rsid w:val="00FA6055"/>
    <w:rsid w:val="00FB322F"/>
    <w:rsid w:val="00FB442F"/>
    <w:rsid w:val="00FC1929"/>
    <w:rsid w:val="00FC3C82"/>
    <w:rsid w:val="00FC5B46"/>
    <w:rsid w:val="00FD2CBD"/>
    <w:rsid w:val="00FE43A2"/>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Caption">
    <w:name w:val="caption"/>
    <w:basedOn w:val="Normal"/>
    <w:next w:val="Normal"/>
    <w:qFormat/>
    <w:rsid w:val="008C25DF"/>
    <w:pPr>
      <w:spacing w:after="60"/>
      <w:jc w:val="both"/>
    </w:pPr>
    <w:rPr>
      <w:rFonts w:ascii="News Gothic MT" w:hAnsi="News Gothic MT"/>
      <w:b/>
      <w:bCs/>
      <w:sz w:val="20"/>
      <w:szCs w:val="20"/>
      <w:lang w:eastAsia="en-US"/>
    </w:rPr>
  </w:style>
  <w:style w:type="paragraph" w:customStyle="1" w:styleId="Tablefootnote">
    <w:name w:val="Table footnote"/>
    <w:basedOn w:val="Normal"/>
    <w:next w:val="Normal"/>
    <w:qFormat/>
    <w:rsid w:val="008C25DF"/>
    <w:pPr>
      <w:spacing w:after="40"/>
      <w:jc w:val="both"/>
    </w:pPr>
    <w:rPr>
      <w:rFonts w:ascii="News Gothic MT" w:hAnsi="News Gothic MT"/>
      <w:sz w:val="16"/>
      <w:lang w:eastAsia="en-US"/>
    </w:rPr>
  </w:style>
  <w:style w:type="paragraph" w:customStyle="1" w:styleId="PBACHeading1">
    <w:name w:val="PBAC Heading 1"/>
    <w:qFormat/>
    <w:rsid w:val="005400C0"/>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012E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Caption">
    <w:name w:val="caption"/>
    <w:basedOn w:val="Normal"/>
    <w:next w:val="Normal"/>
    <w:qFormat/>
    <w:rsid w:val="008C25DF"/>
    <w:pPr>
      <w:spacing w:after="60"/>
      <w:jc w:val="both"/>
    </w:pPr>
    <w:rPr>
      <w:rFonts w:ascii="News Gothic MT" w:hAnsi="News Gothic MT"/>
      <w:b/>
      <w:bCs/>
      <w:sz w:val="20"/>
      <w:szCs w:val="20"/>
      <w:lang w:eastAsia="en-US"/>
    </w:rPr>
  </w:style>
  <w:style w:type="paragraph" w:customStyle="1" w:styleId="Tablefootnote">
    <w:name w:val="Table footnote"/>
    <w:basedOn w:val="Normal"/>
    <w:next w:val="Normal"/>
    <w:qFormat/>
    <w:rsid w:val="008C25DF"/>
    <w:pPr>
      <w:spacing w:after="40"/>
      <w:jc w:val="both"/>
    </w:pPr>
    <w:rPr>
      <w:rFonts w:ascii="News Gothic MT" w:hAnsi="News Gothic MT"/>
      <w:sz w:val="16"/>
      <w:lang w:eastAsia="en-US"/>
    </w:rPr>
  </w:style>
  <w:style w:type="paragraph" w:customStyle="1" w:styleId="PBACHeading1">
    <w:name w:val="PBAC Heading 1"/>
    <w:qFormat/>
    <w:rsid w:val="005400C0"/>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012E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8028320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BBBBA-EE31-40A5-8ADA-59CA0950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5501</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2015-02-23T04:59:00Z</dcterms:created>
  <dcterms:modified xsi:type="dcterms:W3CDTF">2015-03-03T03:16:00Z</dcterms:modified>
</cp:coreProperties>
</file>