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8" w:rsidRDefault="009B4E66" w:rsidP="00695307">
      <w:pPr>
        <w:ind w:left="720" w:hanging="720"/>
        <w:rPr>
          <w:rFonts w:ascii="Arial" w:hAnsi="Arial"/>
          <w:b/>
          <w:sz w:val="28"/>
          <w:szCs w:val="28"/>
        </w:rPr>
      </w:pPr>
      <w:bookmarkStart w:id="0" w:name="_GoBack"/>
      <w:bookmarkEnd w:id="0"/>
      <w:r>
        <w:rPr>
          <w:rFonts w:ascii="Arial" w:hAnsi="Arial"/>
          <w:b/>
          <w:sz w:val="28"/>
          <w:szCs w:val="28"/>
        </w:rPr>
        <w:t>7.12</w:t>
      </w:r>
      <w:r w:rsidR="007C0F57" w:rsidRPr="006D6EC7">
        <w:rPr>
          <w:rFonts w:ascii="Arial" w:hAnsi="Arial"/>
          <w:b/>
          <w:sz w:val="28"/>
          <w:szCs w:val="28"/>
        </w:rPr>
        <w:tab/>
      </w:r>
      <w:r w:rsidRPr="009B4E66">
        <w:rPr>
          <w:rFonts w:ascii="Arial" w:hAnsi="Arial"/>
          <w:b/>
          <w:sz w:val="28"/>
          <w:szCs w:val="28"/>
        </w:rPr>
        <w:t>SORAFENIB</w:t>
      </w:r>
    </w:p>
    <w:p w:rsidR="00600552" w:rsidRDefault="00114758" w:rsidP="00114758">
      <w:pPr>
        <w:ind w:left="720"/>
        <w:rPr>
          <w:rFonts w:ascii="Arial" w:hAnsi="Arial"/>
          <w:b/>
          <w:sz w:val="28"/>
          <w:szCs w:val="28"/>
        </w:rPr>
      </w:pPr>
      <w:r>
        <w:rPr>
          <w:rFonts w:ascii="Arial" w:hAnsi="Arial"/>
          <w:b/>
          <w:sz w:val="28"/>
          <w:szCs w:val="28"/>
        </w:rPr>
        <w:t>Tablet;</w:t>
      </w:r>
      <w:r w:rsidR="009B4E66" w:rsidRPr="009B4E66">
        <w:rPr>
          <w:rFonts w:ascii="Arial" w:hAnsi="Arial"/>
          <w:b/>
          <w:sz w:val="28"/>
          <w:szCs w:val="28"/>
        </w:rPr>
        <w:t xml:space="preserve"> 200 mg</w:t>
      </w:r>
      <w:r>
        <w:rPr>
          <w:rFonts w:ascii="Arial" w:hAnsi="Arial"/>
          <w:b/>
          <w:sz w:val="28"/>
          <w:szCs w:val="28"/>
        </w:rPr>
        <w:t>;</w:t>
      </w:r>
      <w:r w:rsidR="00695307">
        <w:rPr>
          <w:rFonts w:ascii="Arial" w:hAnsi="Arial"/>
          <w:b/>
          <w:sz w:val="28"/>
          <w:szCs w:val="28"/>
        </w:rPr>
        <w:t xml:space="preserve"> </w:t>
      </w:r>
    </w:p>
    <w:p w:rsidR="00D3280C" w:rsidRPr="006D6EC7" w:rsidRDefault="009B4E66" w:rsidP="00114758">
      <w:pPr>
        <w:ind w:left="720"/>
        <w:rPr>
          <w:rFonts w:ascii="Arial" w:hAnsi="Arial"/>
          <w:b/>
          <w:sz w:val="28"/>
          <w:szCs w:val="28"/>
        </w:rPr>
      </w:pPr>
      <w:proofErr w:type="gramStart"/>
      <w:r w:rsidRPr="009B4E66">
        <w:rPr>
          <w:rFonts w:ascii="Arial" w:hAnsi="Arial"/>
          <w:b/>
          <w:sz w:val="28"/>
          <w:szCs w:val="28"/>
        </w:rPr>
        <w:t>Nexavar</w:t>
      </w:r>
      <w:r w:rsidRPr="009B4E66">
        <w:rPr>
          <w:rFonts w:ascii="Arial" w:hAnsi="Arial"/>
          <w:b/>
          <w:sz w:val="28"/>
          <w:szCs w:val="28"/>
          <w:vertAlign w:val="superscript"/>
        </w:rPr>
        <w:t>®</w:t>
      </w:r>
      <w:r w:rsidR="00114758">
        <w:rPr>
          <w:rFonts w:ascii="Arial" w:hAnsi="Arial"/>
          <w:b/>
          <w:sz w:val="28"/>
          <w:szCs w:val="28"/>
        </w:rPr>
        <w:t xml:space="preserve">; </w:t>
      </w:r>
      <w:r w:rsidRPr="009B4E66">
        <w:rPr>
          <w:rFonts w:ascii="Arial" w:hAnsi="Arial"/>
          <w:b/>
          <w:sz w:val="28"/>
          <w:szCs w:val="28"/>
        </w:rPr>
        <w:t xml:space="preserve">Bayer Australia </w:t>
      </w:r>
      <w:r>
        <w:rPr>
          <w:rFonts w:ascii="Arial" w:hAnsi="Arial"/>
          <w:b/>
          <w:sz w:val="28"/>
          <w:szCs w:val="28"/>
        </w:rPr>
        <w:t>Ltd</w:t>
      </w:r>
      <w:r w:rsidR="00114758">
        <w:rPr>
          <w:rFonts w:ascii="Arial" w:hAnsi="Arial"/>
          <w:b/>
          <w:sz w:val="28"/>
          <w:szCs w:val="28"/>
        </w:rPr>
        <w:t>.</w:t>
      </w:r>
      <w:proofErr w:type="gramEnd"/>
    </w:p>
    <w:p w:rsidR="00CE10C4" w:rsidRDefault="00CE10C4" w:rsidP="00A5273B">
      <w:pPr>
        <w:rPr>
          <w:rFonts w:ascii="Arial" w:hAnsi="Arial"/>
          <w:b/>
        </w:rPr>
      </w:pPr>
    </w:p>
    <w:p w:rsidR="00125172" w:rsidRDefault="00125172"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F9629A" w:rsidRPr="009B4E66" w:rsidRDefault="00EF44A0" w:rsidP="00F9629A">
      <w:pPr>
        <w:pStyle w:val="ListParagraph"/>
        <w:numPr>
          <w:ilvl w:val="1"/>
          <w:numId w:val="25"/>
        </w:numPr>
        <w:jc w:val="both"/>
        <w:rPr>
          <w:rFonts w:ascii="Arial" w:hAnsi="Arial"/>
          <w:sz w:val="22"/>
          <w:szCs w:val="22"/>
        </w:rPr>
      </w:pPr>
      <w:r w:rsidRPr="009B4E66">
        <w:rPr>
          <w:rFonts w:ascii="Arial" w:hAnsi="Arial"/>
          <w:sz w:val="22"/>
          <w:szCs w:val="22"/>
        </w:rPr>
        <w:t xml:space="preserve">The minor </w:t>
      </w:r>
      <w:r w:rsidR="009B4E66" w:rsidRPr="009B4E66">
        <w:rPr>
          <w:rFonts w:ascii="Arial" w:hAnsi="Arial"/>
          <w:sz w:val="22"/>
          <w:szCs w:val="22"/>
        </w:rPr>
        <w:t>re</w:t>
      </w:r>
      <w:r w:rsidRPr="009B4E66">
        <w:rPr>
          <w:rFonts w:ascii="Arial" w:hAnsi="Arial"/>
          <w:sz w:val="22"/>
          <w:szCs w:val="22"/>
        </w:rPr>
        <w:t>submission s</w:t>
      </w:r>
      <w:r w:rsidR="00695307">
        <w:rPr>
          <w:rFonts w:ascii="Arial" w:hAnsi="Arial"/>
          <w:sz w:val="22"/>
          <w:szCs w:val="22"/>
        </w:rPr>
        <w:t>ought</w:t>
      </w:r>
      <w:r w:rsidRPr="009B4E66">
        <w:rPr>
          <w:rFonts w:ascii="Arial" w:hAnsi="Arial"/>
          <w:sz w:val="22"/>
          <w:szCs w:val="22"/>
        </w:rPr>
        <w:t xml:space="preserve"> to</w:t>
      </w:r>
      <w:r w:rsidR="009B4E66">
        <w:rPr>
          <w:rFonts w:ascii="Arial" w:hAnsi="Arial"/>
          <w:sz w:val="22"/>
          <w:szCs w:val="22"/>
        </w:rPr>
        <w:t xml:space="preserve"> extend the current Authority </w:t>
      </w:r>
      <w:proofErr w:type="gramStart"/>
      <w:r w:rsidR="009B4E66">
        <w:rPr>
          <w:rFonts w:ascii="Arial" w:hAnsi="Arial"/>
          <w:sz w:val="22"/>
          <w:szCs w:val="22"/>
        </w:rPr>
        <w:t>Required</w:t>
      </w:r>
      <w:proofErr w:type="gramEnd"/>
      <w:r w:rsidR="009B4E66">
        <w:rPr>
          <w:rFonts w:ascii="Arial" w:hAnsi="Arial"/>
          <w:sz w:val="22"/>
          <w:szCs w:val="22"/>
        </w:rPr>
        <w:t xml:space="preserve"> listing to include the treatment of stage IV clear cell variant renal cell carcinoma (advanced RCC) in patients who have failed first line treatment.</w:t>
      </w:r>
    </w:p>
    <w:p w:rsidR="00967B0C" w:rsidRDefault="00967B0C" w:rsidP="00EF44A0">
      <w:pPr>
        <w:pStyle w:val="ListParagraph"/>
        <w:jc w:val="both"/>
        <w:rPr>
          <w:rFonts w:ascii="Arial" w:hAnsi="Arial"/>
          <w:b/>
          <w:sz w:val="22"/>
          <w:szCs w:val="22"/>
        </w:rPr>
      </w:pPr>
    </w:p>
    <w:p w:rsidR="00967B0C" w:rsidRPr="00EF44A0" w:rsidRDefault="00967B0C" w:rsidP="00EF44A0">
      <w:pPr>
        <w:pStyle w:val="ListParagraph"/>
        <w:jc w:val="both"/>
        <w:rPr>
          <w:rFonts w:ascii="Arial" w:hAnsi="Arial"/>
          <w:b/>
          <w:sz w:val="22"/>
          <w:szCs w:val="22"/>
        </w:rPr>
      </w:pPr>
    </w:p>
    <w:p w:rsidR="006A12A5" w:rsidRDefault="00FB5961" w:rsidP="00882085">
      <w:pPr>
        <w:pStyle w:val="ListParagraph"/>
        <w:numPr>
          <w:ilvl w:val="0"/>
          <w:numId w:val="25"/>
        </w:numPr>
        <w:jc w:val="both"/>
        <w:rPr>
          <w:rFonts w:ascii="Arial" w:hAnsi="Arial"/>
          <w:b/>
          <w:sz w:val="22"/>
          <w:szCs w:val="22"/>
        </w:rPr>
      </w:pPr>
      <w:r>
        <w:rPr>
          <w:rFonts w:ascii="Arial" w:hAnsi="Arial"/>
          <w:b/>
          <w:sz w:val="22"/>
          <w:szCs w:val="22"/>
        </w:rPr>
        <w:t>Background</w:t>
      </w:r>
    </w:p>
    <w:p w:rsidR="00FB5961" w:rsidRPr="00FB5961" w:rsidRDefault="00FB5961" w:rsidP="00FB5961">
      <w:pPr>
        <w:pStyle w:val="ListParagraph"/>
        <w:jc w:val="both"/>
        <w:rPr>
          <w:rFonts w:ascii="Arial" w:hAnsi="Arial"/>
          <w:b/>
          <w:sz w:val="22"/>
          <w:szCs w:val="22"/>
        </w:rPr>
      </w:pPr>
    </w:p>
    <w:p w:rsidR="00FB5961" w:rsidRPr="000F6712" w:rsidRDefault="00FB5961" w:rsidP="00FB5961">
      <w:pPr>
        <w:pStyle w:val="ListParagraph"/>
        <w:numPr>
          <w:ilvl w:val="1"/>
          <w:numId w:val="25"/>
        </w:numPr>
        <w:rPr>
          <w:rFonts w:ascii="Arial" w:hAnsi="Arial"/>
          <w:sz w:val="22"/>
          <w:szCs w:val="22"/>
        </w:rPr>
      </w:pPr>
      <w:r w:rsidRPr="000F6712">
        <w:rPr>
          <w:rFonts w:ascii="Arial" w:hAnsi="Arial"/>
          <w:sz w:val="22"/>
          <w:szCs w:val="22"/>
        </w:rPr>
        <w:t>Sorafenib was TGA registered for the treatment of patients with advanced renal cell carcinoma on 27 September 2006.</w:t>
      </w:r>
    </w:p>
    <w:p w:rsidR="00FB5961" w:rsidRPr="00882085" w:rsidRDefault="00FB5961" w:rsidP="00FB5961">
      <w:pPr>
        <w:pStyle w:val="ListParagraph"/>
        <w:jc w:val="both"/>
        <w:rPr>
          <w:rFonts w:ascii="Arial" w:hAnsi="Arial"/>
          <w:sz w:val="22"/>
          <w:szCs w:val="22"/>
        </w:rPr>
      </w:pPr>
    </w:p>
    <w:p w:rsidR="00FB5961" w:rsidRPr="00882085" w:rsidRDefault="00695307" w:rsidP="00FB5961">
      <w:pPr>
        <w:pStyle w:val="ListParagraph"/>
        <w:numPr>
          <w:ilvl w:val="1"/>
          <w:numId w:val="25"/>
        </w:numPr>
        <w:jc w:val="both"/>
        <w:rPr>
          <w:rFonts w:ascii="Arial" w:hAnsi="Arial"/>
          <w:sz w:val="22"/>
          <w:szCs w:val="22"/>
        </w:rPr>
      </w:pPr>
      <w:r>
        <w:rPr>
          <w:rFonts w:ascii="Arial" w:hAnsi="Arial"/>
          <w:sz w:val="22"/>
          <w:szCs w:val="22"/>
        </w:rPr>
        <w:t>This wa</w:t>
      </w:r>
      <w:r w:rsidR="00FB5961">
        <w:rPr>
          <w:rFonts w:ascii="Arial" w:hAnsi="Arial"/>
          <w:sz w:val="22"/>
          <w:szCs w:val="22"/>
        </w:rPr>
        <w:t xml:space="preserve">s the fifth submission to the </w:t>
      </w:r>
      <w:r w:rsidR="00FB5961" w:rsidRPr="00882085">
        <w:rPr>
          <w:rFonts w:ascii="Arial" w:hAnsi="Arial"/>
          <w:sz w:val="22"/>
          <w:szCs w:val="22"/>
        </w:rPr>
        <w:t xml:space="preserve">PBAC </w:t>
      </w:r>
      <w:r w:rsidR="00FB5961">
        <w:rPr>
          <w:rFonts w:ascii="Arial" w:hAnsi="Arial"/>
          <w:sz w:val="22"/>
          <w:szCs w:val="22"/>
        </w:rPr>
        <w:t>for listing in advanced RCC.</w:t>
      </w:r>
      <w:r w:rsidR="00FB5961" w:rsidRPr="00882085">
        <w:rPr>
          <w:rFonts w:ascii="Arial" w:hAnsi="Arial"/>
          <w:sz w:val="22"/>
          <w:szCs w:val="22"/>
        </w:rPr>
        <w:t xml:space="preserve"> </w:t>
      </w:r>
    </w:p>
    <w:p w:rsidR="00FB5961" w:rsidRPr="00882085" w:rsidRDefault="00FB5961" w:rsidP="00FB5961">
      <w:pPr>
        <w:pStyle w:val="ListParagraph"/>
        <w:jc w:val="both"/>
        <w:rPr>
          <w:rFonts w:ascii="Arial" w:hAnsi="Arial"/>
          <w:sz w:val="22"/>
          <w:szCs w:val="22"/>
        </w:rPr>
      </w:pPr>
    </w:p>
    <w:p w:rsidR="00FB5961" w:rsidRDefault="00FB5961" w:rsidP="00FB5961">
      <w:pPr>
        <w:pStyle w:val="ListParagraph"/>
        <w:numPr>
          <w:ilvl w:val="1"/>
          <w:numId w:val="25"/>
        </w:numPr>
        <w:jc w:val="both"/>
        <w:rPr>
          <w:rFonts w:ascii="Arial" w:hAnsi="Arial"/>
          <w:sz w:val="22"/>
          <w:szCs w:val="22"/>
        </w:rPr>
      </w:pPr>
      <w:r>
        <w:rPr>
          <w:rFonts w:ascii="Arial" w:hAnsi="Arial"/>
          <w:sz w:val="22"/>
          <w:szCs w:val="22"/>
        </w:rPr>
        <w:t>T</w:t>
      </w:r>
      <w:r w:rsidRPr="000F6712">
        <w:rPr>
          <w:rFonts w:ascii="Arial" w:hAnsi="Arial"/>
          <w:sz w:val="22"/>
          <w:szCs w:val="22"/>
        </w:rPr>
        <w:t xml:space="preserve">wo submissions for sorafenib as first-line treatment for advanced RCC </w:t>
      </w:r>
      <w:r>
        <w:rPr>
          <w:rFonts w:ascii="Arial" w:hAnsi="Arial"/>
          <w:sz w:val="22"/>
          <w:szCs w:val="22"/>
        </w:rPr>
        <w:t xml:space="preserve">were rejected </w:t>
      </w:r>
      <w:r w:rsidRPr="000F6712">
        <w:rPr>
          <w:rFonts w:ascii="Arial" w:hAnsi="Arial"/>
          <w:sz w:val="22"/>
          <w:szCs w:val="22"/>
        </w:rPr>
        <w:t>at the November 2006 and March 2008 meetings on the basis of high and uncertain cost-effectiveness ratios.</w:t>
      </w:r>
    </w:p>
    <w:p w:rsidR="00FB5961" w:rsidRDefault="00FB5961" w:rsidP="00FB5961">
      <w:pPr>
        <w:pStyle w:val="ListParagraph"/>
        <w:jc w:val="both"/>
        <w:rPr>
          <w:rFonts w:ascii="Arial" w:hAnsi="Arial"/>
          <w:sz w:val="22"/>
          <w:szCs w:val="22"/>
        </w:rPr>
      </w:pPr>
    </w:p>
    <w:p w:rsidR="00FB5961" w:rsidRDefault="00FB5961" w:rsidP="00FB5961">
      <w:pPr>
        <w:pStyle w:val="ListParagraph"/>
        <w:numPr>
          <w:ilvl w:val="1"/>
          <w:numId w:val="25"/>
        </w:numPr>
        <w:jc w:val="both"/>
        <w:rPr>
          <w:rFonts w:ascii="Arial" w:hAnsi="Arial"/>
          <w:sz w:val="22"/>
          <w:szCs w:val="22"/>
        </w:rPr>
      </w:pPr>
      <w:r>
        <w:rPr>
          <w:rFonts w:ascii="Arial" w:hAnsi="Arial"/>
          <w:sz w:val="22"/>
          <w:szCs w:val="22"/>
        </w:rPr>
        <w:t xml:space="preserve">In </w:t>
      </w:r>
      <w:r w:rsidRPr="002B4F7C">
        <w:rPr>
          <w:rFonts w:ascii="Arial" w:hAnsi="Arial"/>
          <w:sz w:val="22"/>
          <w:szCs w:val="22"/>
        </w:rPr>
        <w:t xml:space="preserve">November 2012, a </w:t>
      </w:r>
      <w:r>
        <w:rPr>
          <w:rFonts w:ascii="Arial" w:hAnsi="Arial"/>
          <w:sz w:val="22"/>
          <w:szCs w:val="22"/>
        </w:rPr>
        <w:t xml:space="preserve">major </w:t>
      </w:r>
      <w:r w:rsidRPr="002B4F7C">
        <w:rPr>
          <w:rFonts w:ascii="Arial" w:hAnsi="Arial"/>
          <w:sz w:val="22"/>
          <w:szCs w:val="22"/>
        </w:rPr>
        <w:t>submission</w:t>
      </w:r>
      <w:r>
        <w:rPr>
          <w:rFonts w:ascii="Arial" w:hAnsi="Arial"/>
          <w:sz w:val="22"/>
          <w:szCs w:val="22"/>
        </w:rPr>
        <w:t xml:space="preserve"> to list sorafenib as second-line</w:t>
      </w:r>
      <w:r w:rsidRPr="002B4F7C">
        <w:rPr>
          <w:rFonts w:ascii="Arial" w:hAnsi="Arial"/>
          <w:sz w:val="22"/>
          <w:szCs w:val="22"/>
        </w:rPr>
        <w:t xml:space="preserve"> was rejected on the basis that superior clinical effectiveness over best supportive care for the proposed PBS population had not been demonstrated.</w:t>
      </w:r>
    </w:p>
    <w:p w:rsidR="00FB5961" w:rsidRDefault="00FB5961" w:rsidP="00FB5961">
      <w:pPr>
        <w:pStyle w:val="ListParagraph"/>
        <w:jc w:val="both"/>
        <w:rPr>
          <w:rFonts w:ascii="Arial" w:hAnsi="Arial"/>
          <w:sz w:val="22"/>
          <w:szCs w:val="22"/>
        </w:rPr>
      </w:pPr>
    </w:p>
    <w:p w:rsidR="00FB5961" w:rsidRDefault="00FB5961" w:rsidP="00FB5961">
      <w:pPr>
        <w:pStyle w:val="ListParagraph"/>
        <w:numPr>
          <w:ilvl w:val="1"/>
          <w:numId w:val="25"/>
        </w:numPr>
        <w:jc w:val="both"/>
        <w:rPr>
          <w:rFonts w:ascii="Arial" w:hAnsi="Arial"/>
          <w:sz w:val="22"/>
          <w:szCs w:val="22"/>
        </w:rPr>
      </w:pPr>
      <w:r>
        <w:rPr>
          <w:rFonts w:ascii="Arial" w:hAnsi="Arial"/>
          <w:sz w:val="22"/>
          <w:szCs w:val="22"/>
        </w:rPr>
        <w:t>In November 2013, the PBAC rejected a major re</w:t>
      </w:r>
      <w:r w:rsidRPr="000F6712">
        <w:rPr>
          <w:rFonts w:ascii="Arial" w:hAnsi="Arial"/>
          <w:sz w:val="22"/>
          <w:szCs w:val="22"/>
        </w:rPr>
        <w:t>submission to list sorafenib on the PBS for the second line treatment of stage IV renal cell carcinoma on</w:t>
      </w:r>
      <w:r>
        <w:rPr>
          <w:rFonts w:ascii="Arial" w:hAnsi="Arial"/>
          <w:sz w:val="22"/>
          <w:szCs w:val="22"/>
        </w:rPr>
        <w:t xml:space="preserve"> the</w:t>
      </w:r>
      <w:r w:rsidRPr="000F6712">
        <w:rPr>
          <w:rFonts w:ascii="Arial" w:hAnsi="Arial"/>
          <w:sz w:val="22"/>
          <w:szCs w:val="22"/>
        </w:rPr>
        <w:t xml:space="preserve"> basis of inadequate evidence of prov</w:t>
      </w:r>
      <w:r>
        <w:rPr>
          <w:rFonts w:ascii="Arial" w:hAnsi="Arial"/>
          <w:sz w:val="22"/>
          <w:szCs w:val="22"/>
        </w:rPr>
        <w:t xml:space="preserve">en superior efficacy over BSC. </w:t>
      </w:r>
      <w:r w:rsidRPr="000F6712">
        <w:rPr>
          <w:rFonts w:ascii="Arial" w:hAnsi="Arial"/>
          <w:sz w:val="22"/>
          <w:szCs w:val="22"/>
        </w:rPr>
        <w:t>The PBAC considered the critical issue in the submissio</w:t>
      </w:r>
      <w:r>
        <w:rPr>
          <w:rFonts w:ascii="Arial" w:hAnsi="Arial"/>
          <w:sz w:val="22"/>
          <w:szCs w:val="22"/>
        </w:rPr>
        <w:t xml:space="preserve">n was the indirect comparison. </w:t>
      </w:r>
      <w:r w:rsidRPr="000F6712">
        <w:rPr>
          <w:rFonts w:ascii="Arial" w:hAnsi="Arial"/>
          <w:sz w:val="22"/>
          <w:szCs w:val="22"/>
        </w:rPr>
        <w:t xml:space="preserve">The PBAC considered that the indirect comparison was not a valid basis for assessment of comparative effectiveness given the differences between the trial and the absence of any evidence in the re-submission to support the claims that the common references (temsirolimus and everolimus) have equivalent safety and efficacy, and that everolimus is superior to BSC.  </w:t>
      </w:r>
    </w:p>
    <w:p w:rsidR="00FB5961" w:rsidRDefault="00FB5961" w:rsidP="00FB5961">
      <w:pPr>
        <w:pStyle w:val="ListParagraph"/>
        <w:jc w:val="both"/>
        <w:rPr>
          <w:rFonts w:ascii="Arial" w:hAnsi="Arial"/>
          <w:sz w:val="22"/>
          <w:szCs w:val="22"/>
        </w:rPr>
      </w:pPr>
    </w:p>
    <w:p w:rsidR="00A2559D" w:rsidRPr="00882085" w:rsidRDefault="00A2559D" w:rsidP="00695307">
      <w:pPr>
        <w:pStyle w:val="ListParagraph"/>
        <w:jc w:val="both"/>
        <w:rPr>
          <w:rFonts w:ascii="Arial" w:hAnsi="Arial"/>
          <w:b/>
          <w:sz w:val="22"/>
          <w:szCs w:val="22"/>
        </w:rPr>
      </w:pPr>
    </w:p>
    <w:p w:rsidR="00CE10C4" w:rsidRPr="00882085" w:rsidRDefault="00FB5961" w:rsidP="00882085">
      <w:pPr>
        <w:pStyle w:val="ListParagraph"/>
        <w:numPr>
          <w:ilvl w:val="0"/>
          <w:numId w:val="25"/>
        </w:numPr>
        <w:jc w:val="both"/>
        <w:rPr>
          <w:rFonts w:ascii="Arial" w:hAnsi="Arial"/>
          <w:sz w:val="22"/>
          <w:szCs w:val="22"/>
        </w:rPr>
      </w:pPr>
      <w:r>
        <w:rPr>
          <w:rFonts w:ascii="Arial" w:hAnsi="Arial"/>
          <w:b/>
          <w:sz w:val="22"/>
          <w:szCs w:val="22"/>
        </w:rPr>
        <w:t>Requested Listing</w:t>
      </w:r>
    </w:p>
    <w:p w:rsidR="006F1B74" w:rsidRDefault="006F1B74" w:rsidP="00114758">
      <w:pPr>
        <w:ind w:left="720"/>
        <w:jc w:val="both"/>
        <w:rPr>
          <w:rFonts w:ascii="Arial" w:hAnsi="Arial"/>
          <w:b/>
          <w:sz w:val="22"/>
          <w:szCs w:val="22"/>
        </w:rPr>
      </w:pPr>
    </w:p>
    <w:p w:rsidR="007B4AC2" w:rsidRPr="009B4E66" w:rsidRDefault="00D80F03" w:rsidP="007B4AC2">
      <w:pPr>
        <w:pStyle w:val="ListParagraph"/>
        <w:numPr>
          <w:ilvl w:val="1"/>
          <w:numId w:val="25"/>
        </w:numPr>
        <w:rPr>
          <w:rFonts w:ascii="Arial" w:hAnsi="Arial"/>
          <w:sz w:val="22"/>
          <w:szCs w:val="22"/>
        </w:rPr>
      </w:pPr>
      <w:r>
        <w:rPr>
          <w:rFonts w:ascii="Arial" w:hAnsi="Arial"/>
          <w:sz w:val="22"/>
          <w:szCs w:val="22"/>
        </w:rPr>
        <w:t>The following new indication wa</w:t>
      </w:r>
      <w:r w:rsidR="007B4AC2" w:rsidRPr="009B4E66">
        <w:rPr>
          <w:rFonts w:ascii="Arial" w:hAnsi="Arial"/>
          <w:sz w:val="22"/>
          <w:szCs w:val="22"/>
        </w:rPr>
        <w:t xml:space="preserve">s sought in addition to the </w:t>
      </w:r>
      <w:r w:rsidR="007B4AC2">
        <w:rPr>
          <w:rFonts w:ascii="Arial" w:hAnsi="Arial"/>
          <w:sz w:val="22"/>
          <w:szCs w:val="22"/>
        </w:rPr>
        <w:t>existing</w:t>
      </w:r>
      <w:r w:rsidR="007B4AC2" w:rsidRPr="009B4E66">
        <w:rPr>
          <w:rFonts w:ascii="Arial" w:hAnsi="Arial"/>
          <w:sz w:val="22"/>
          <w:szCs w:val="22"/>
        </w:rPr>
        <w:t xml:space="preserve"> listing for </w:t>
      </w:r>
      <w:r w:rsidR="007B4AC2">
        <w:rPr>
          <w:rFonts w:ascii="Arial" w:hAnsi="Arial"/>
          <w:sz w:val="22"/>
          <w:szCs w:val="22"/>
        </w:rPr>
        <w:t>advanced Barcelona Clinic Liver cancer s</w:t>
      </w:r>
      <w:r w:rsidR="007B4AC2" w:rsidRPr="009B4E66">
        <w:rPr>
          <w:rFonts w:ascii="Arial" w:hAnsi="Arial"/>
          <w:sz w:val="22"/>
          <w:szCs w:val="22"/>
        </w:rPr>
        <w:t>tage C hepatocellular carcinoma</w:t>
      </w:r>
      <w:r w:rsidR="007B4AC2">
        <w:rPr>
          <w:rFonts w:ascii="Arial" w:hAnsi="Arial"/>
          <w:sz w:val="22"/>
          <w:szCs w:val="22"/>
        </w:rPr>
        <w:t>:</w:t>
      </w:r>
    </w:p>
    <w:p w:rsidR="007B4AC2" w:rsidRPr="00826F6D" w:rsidRDefault="007B4AC2" w:rsidP="007B4AC2">
      <w:pPr>
        <w:pStyle w:val="ListParagraph"/>
        <w:jc w:val="both"/>
        <w:rPr>
          <w:rFonts w:ascii="Arial" w:hAnsi="Arial"/>
          <w:sz w:val="22"/>
          <w:szCs w:val="22"/>
        </w:rPr>
      </w:pPr>
    </w:p>
    <w:p w:rsidR="007B4AC2" w:rsidRPr="00600552" w:rsidRDefault="007B4AC2" w:rsidP="007B4AC2">
      <w:pPr>
        <w:pStyle w:val="ListParagraph"/>
        <w:jc w:val="both"/>
        <w:rPr>
          <w:rFonts w:ascii="Arial" w:hAnsi="Arial"/>
          <w:b/>
          <w:sz w:val="22"/>
          <w:szCs w:val="22"/>
        </w:rPr>
      </w:pPr>
    </w:p>
    <w:tbl>
      <w:tblPr>
        <w:tblW w:w="8505" w:type="dxa"/>
        <w:tblInd w:w="817" w:type="dxa"/>
        <w:tblLayout w:type="fixed"/>
        <w:tblLook w:val="0000" w:firstRow="0" w:lastRow="0" w:firstColumn="0" w:lastColumn="0" w:noHBand="0" w:noVBand="0"/>
      </w:tblPr>
      <w:tblGrid>
        <w:gridCol w:w="1559"/>
        <w:gridCol w:w="993"/>
        <w:gridCol w:w="567"/>
        <w:gridCol w:w="850"/>
        <w:gridCol w:w="1559"/>
        <w:gridCol w:w="2977"/>
      </w:tblGrid>
      <w:tr w:rsidR="00600552" w:rsidRPr="00260CE3" w:rsidTr="00114758">
        <w:trPr>
          <w:cantSplit/>
          <w:trHeight w:val="471"/>
        </w:trPr>
        <w:tc>
          <w:tcPr>
            <w:tcW w:w="2552" w:type="dxa"/>
            <w:gridSpan w:val="2"/>
            <w:tcBorders>
              <w:bottom w:val="single" w:sz="4" w:space="0" w:color="auto"/>
            </w:tcBorders>
          </w:tcPr>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t>Max.</w:t>
            </w:r>
          </w:p>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t>№.of</w:t>
            </w:r>
          </w:p>
          <w:p w:rsidR="00600552" w:rsidRPr="00260CE3" w:rsidRDefault="00600552" w:rsidP="00695307">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rsidR="00600552" w:rsidRPr="00260CE3" w:rsidRDefault="00600552" w:rsidP="00695307">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600552" w:rsidRPr="00260CE3" w:rsidTr="00114758">
        <w:trPr>
          <w:cantSplit/>
          <w:trHeight w:val="577"/>
        </w:trPr>
        <w:tc>
          <w:tcPr>
            <w:tcW w:w="2552" w:type="dxa"/>
            <w:gridSpan w:val="2"/>
          </w:tcPr>
          <w:p w:rsidR="00600552" w:rsidRPr="00260CE3" w:rsidRDefault="00600552" w:rsidP="00695307">
            <w:pPr>
              <w:keepNext/>
              <w:ind w:left="-108"/>
              <w:jc w:val="both"/>
              <w:rPr>
                <w:rFonts w:ascii="Arial Narrow" w:hAnsi="Arial Narrow" w:cs="Arial"/>
                <w:sz w:val="20"/>
                <w:szCs w:val="20"/>
              </w:rPr>
            </w:pPr>
            <w:r>
              <w:rPr>
                <w:rFonts w:ascii="Arial Narrow" w:hAnsi="Arial Narrow" w:cs="Arial"/>
                <w:smallCaps/>
                <w:sz w:val="20"/>
                <w:szCs w:val="20"/>
              </w:rPr>
              <w:t>sorafenib</w:t>
            </w:r>
          </w:p>
          <w:p w:rsidR="00600552" w:rsidRPr="00260CE3" w:rsidRDefault="00600552" w:rsidP="00695307">
            <w:pPr>
              <w:keepNext/>
              <w:ind w:left="-108"/>
              <w:jc w:val="both"/>
              <w:rPr>
                <w:rFonts w:ascii="Arial Narrow" w:hAnsi="Arial Narrow" w:cs="Arial"/>
                <w:sz w:val="20"/>
                <w:szCs w:val="20"/>
              </w:rPr>
            </w:pPr>
            <w:r>
              <w:rPr>
                <w:rFonts w:ascii="Arial Narrow" w:hAnsi="Arial Narrow" w:cs="Arial"/>
                <w:sz w:val="20"/>
                <w:szCs w:val="20"/>
              </w:rPr>
              <w:t>sorafenib 200 mg tablet, 60</w:t>
            </w:r>
          </w:p>
        </w:tc>
        <w:tc>
          <w:tcPr>
            <w:tcW w:w="567" w:type="dxa"/>
          </w:tcPr>
          <w:p w:rsidR="00600552" w:rsidRPr="000E7EC0" w:rsidRDefault="00600552" w:rsidP="00695307">
            <w:pPr>
              <w:keepNext/>
              <w:ind w:left="-108"/>
              <w:jc w:val="both"/>
              <w:rPr>
                <w:rFonts w:ascii="Arial Narrow" w:hAnsi="Arial Narrow" w:cs="Arial"/>
                <w:i/>
                <w:sz w:val="20"/>
                <w:szCs w:val="20"/>
              </w:rPr>
            </w:pPr>
          </w:p>
          <w:p w:rsidR="00600552" w:rsidRPr="000E7EC0" w:rsidRDefault="00600552" w:rsidP="00695307">
            <w:pPr>
              <w:keepNext/>
              <w:ind w:left="-108"/>
              <w:jc w:val="both"/>
              <w:rPr>
                <w:rFonts w:ascii="Arial Narrow" w:hAnsi="Arial Narrow" w:cs="Arial"/>
                <w:i/>
                <w:sz w:val="20"/>
                <w:szCs w:val="20"/>
              </w:rPr>
            </w:pPr>
            <w:r w:rsidRPr="000E7EC0">
              <w:rPr>
                <w:rFonts w:ascii="Arial Narrow" w:hAnsi="Arial Narrow" w:cs="Arial"/>
                <w:i/>
                <w:sz w:val="20"/>
                <w:szCs w:val="20"/>
              </w:rPr>
              <w:t>Not stated</w:t>
            </w:r>
          </w:p>
        </w:tc>
        <w:tc>
          <w:tcPr>
            <w:tcW w:w="850" w:type="dxa"/>
          </w:tcPr>
          <w:p w:rsidR="00600552" w:rsidRPr="000E7EC0" w:rsidRDefault="00600552" w:rsidP="00695307">
            <w:pPr>
              <w:keepNext/>
              <w:ind w:left="-108"/>
              <w:jc w:val="both"/>
              <w:rPr>
                <w:rFonts w:ascii="Arial Narrow" w:hAnsi="Arial Narrow" w:cs="Arial"/>
                <w:i/>
                <w:sz w:val="20"/>
                <w:szCs w:val="20"/>
              </w:rPr>
            </w:pPr>
          </w:p>
          <w:p w:rsidR="00600552" w:rsidRPr="000E7EC0" w:rsidRDefault="00600552" w:rsidP="00695307">
            <w:pPr>
              <w:keepNext/>
              <w:ind w:left="-108"/>
              <w:jc w:val="both"/>
              <w:rPr>
                <w:rFonts w:ascii="Arial Narrow" w:hAnsi="Arial Narrow" w:cs="Arial"/>
                <w:i/>
                <w:sz w:val="20"/>
                <w:szCs w:val="20"/>
              </w:rPr>
            </w:pPr>
            <w:r w:rsidRPr="000E7EC0">
              <w:rPr>
                <w:rFonts w:ascii="Arial Narrow" w:hAnsi="Arial Narrow" w:cs="Arial"/>
                <w:i/>
                <w:sz w:val="20"/>
                <w:szCs w:val="20"/>
              </w:rPr>
              <w:t>Not stated</w:t>
            </w:r>
          </w:p>
        </w:tc>
        <w:tc>
          <w:tcPr>
            <w:tcW w:w="1559" w:type="dxa"/>
          </w:tcPr>
          <w:p w:rsidR="00600552" w:rsidRDefault="00600552" w:rsidP="00695307">
            <w:pPr>
              <w:keepNext/>
              <w:jc w:val="both"/>
              <w:rPr>
                <w:rFonts w:ascii="Arial Narrow" w:hAnsi="Arial Narrow" w:cs="Arial"/>
                <w:sz w:val="20"/>
                <w:szCs w:val="20"/>
              </w:rPr>
            </w:pPr>
          </w:p>
          <w:p w:rsidR="00600552" w:rsidRPr="00260CE3" w:rsidRDefault="00600552" w:rsidP="00695307">
            <w:pPr>
              <w:keepNext/>
              <w:jc w:val="both"/>
              <w:rPr>
                <w:rFonts w:ascii="Arial Narrow" w:hAnsi="Arial Narrow" w:cs="Arial"/>
                <w:sz w:val="20"/>
                <w:szCs w:val="20"/>
              </w:rPr>
            </w:pPr>
            <w:r>
              <w:rPr>
                <w:rFonts w:ascii="Arial Narrow" w:hAnsi="Arial Narrow" w:cs="Arial"/>
                <w:sz w:val="20"/>
                <w:szCs w:val="20"/>
              </w:rPr>
              <w:t>Nexavar</w:t>
            </w:r>
          </w:p>
        </w:tc>
        <w:tc>
          <w:tcPr>
            <w:tcW w:w="2977" w:type="dxa"/>
          </w:tcPr>
          <w:p w:rsidR="00600552" w:rsidRDefault="00600552" w:rsidP="00695307">
            <w:pPr>
              <w:keepNext/>
              <w:jc w:val="both"/>
              <w:rPr>
                <w:rFonts w:ascii="Arial Narrow" w:hAnsi="Arial Narrow" w:cs="Arial"/>
                <w:sz w:val="20"/>
                <w:szCs w:val="20"/>
              </w:rPr>
            </w:pPr>
          </w:p>
          <w:p w:rsidR="00600552" w:rsidRPr="00260CE3" w:rsidRDefault="00600552" w:rsidP="00695307">
            <w:pPr>
              <w:keepNext/>
              <w:jc w:val="both"/>
              <w:rPr>
                <w:rFonts w:ascii="Arial Narrow" w:hAnsi="Arial Narrow" w:cs="Arial"/>
                <w:sz w:val="20"/>
                <w:szCs w:val="20"/>
              </w:rPr>
            </w:pPr>
            <w:r>
              <w:rPr>
                <w:rFonts w:ascii="Arial Narrow" w:hAnsi="Arial Narrow" w:cs="Arial"/>
                <w:sz w:val="20"/>
                <w:szCs w:val="20"/>
              </w:rPr>
              <w:t>BY</w:t>
            </w:r>
          </w:p>
        </w:tc>
      </w:tr>
      <w:tr w:rsidR="007B4AC2" w:rsidRPr="00260CE3" w:rsidTr="00125172">
        <w:trPr>
          <w:cantSplit/>
          <w:trHeight w:val="360"/>
        </w:trPr>
        <w:tc>
          <w:tcPr>
            <w:tcW w:w="8505" w:type="dxa"/>
            <w:gridSpan w:val="6"/>
            <w:tcBorders>
              <w:bottom w:val="single" w:sz="4" w:space="0" w:color="auto"/>
            </w:tcBorders>
          </w:tcPr>
          <w:p w:rsidR="007B4AC2" w:rsidRPr="00260CE3" w:rsidRDefault="007B4AC2" w:rsidP="00695307">
            <w:pPr>
              <w:jc w:val="both"/>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 xml:space="preserve">Category / </w:t>
            </w:r>
          </w:p>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Program</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0E7EC0" w:rsidRDefault="007B4AC2" w:rsidP="00695307">
            <w:pPr>
              <w:rPr>
                <w:rFonts w:ascii="Arial Narrow" w:hAnsi="Arial Narrow" w:cs="Arial"/>
                <w:i/>
                <w:sz w:val="20"/>
                <w:szCs w:val="20"/>
              </w:rPr>
            </w:pPr>
            <w:r w:rsidRPr="000E7EC0">
              <w:rPr>
                <w:rFonts w:ascii="Arial Narrow" w:hAnsi="Arial Narrow" w:cs="Arial"/>
                <w:i/>
                <w:sz w:val="20"/>
                <w:szCs w:val="20"/>
              </w:rPr>
              <w:t>Not stated</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0E7EC0" w:rsidRDefault="007B4AC2" w:rsidP="00695307">
            <w:pPr>
              <w:rPr>
                <w:rFonts w:ascii="Arial Narrow" w:hAnsi="Arial Narrow" w:cs="Arial"/>
                <w:i/>
                <w:sz w:val="20"/>
                <w:szCs w:val="20"/>
              </w:rPr>
            </w:pPr>
            <w:r w:rsidRPr="000E7EC0">
              <w:rPr>
                <w:rFonts w:ascii="Arial Narrow" w:hAnsi="Arial Narrow" w:cs="Arial"/>
                <w:i/>
                <w:sz w:val="20"/>
                <w:szCs w:val="20"/>
              </w:rPr>
              <w:t>Not stated</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260CE3" w:rsidRDefault="007B4AC2" w:rsidP="00695307">
            <w:pPr>
              <w:rPr>
                <w:rFonts w:ascii="Arial Narrow" w:hAnsi="Arial Narrow" w:cs="Arial"/>
                <w:sz w:val="20"/>
                <w:szCs w:val="20"/>
              </w:rPr>
            </w:pPr>
            <w:r>
              <w:rPr>
                <w:rFonts w:ascii="Arial Narrow" w:hAnsi="Arial Narrow" w:cs="Arial"/>
                <w:sz w:val="20"/>
                <w:szCs w:val="20"/>
              </w:rPr>
              <w:t>--</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260CE3" w:rsidRDefault="007B4AC2" w:rsidP="00695307">
            <w:pPr>
              <w:rPr>
                <w:rFonts w:ascii="Arial Narrow" w:hAnsi="Arial Narrow" w:cs="Arial"/>
                <w:sz w:val="20"/>
                <w:szCs w:val="20"/>
              </w:rPr>
            </w:pPr>
            <w:r>
              <w:rPr>
                <w:rFonts w:ascii="Arial Narrow" w:hAnsi="Arial Narrow" w:cs="Arial"/>
                <w:sz w:val="20"/>
                <w:szCs w:val="20"/>
              </w:rPr>
              <w:t>Stage IV</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260CE3" w:rsidRDefault="007B4AC2" w:rsidP="00695307">
            <w:pPr>
              <w:rPr>
                <w:rFonts w:ascii="Arial Narrow" w:hAnsi="Arial Narrow" w:cs="Arial"/>
                <w:sz w:val="20"/>
                <w:szCs w:val="20"/>
              </w:rPr>
            </w:pPr>
            <w:r>
              <w:rPr>
                <w:rFonts w:ascii="Arial Narrow" w:hAnsi="Arial Narrow" w:cs="Arial"/>
                <w:sz w:val="20"/>
                <w:szCs w:val="20"/>
              </w:rPr>
              <w:t>Clear cell variant renal cell carcinoma (RCC)</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gridSpan w:val="5"/>
            <w:tcBorders>
              <w:top w:val="single" w:sz="4" w:space="0" w:color="auto"/>
              <w:left w:val="single" w:sz="4" w:space="0" w:color="auto"/>
              <w:bottom w:val="single" w:sz="4" w:space="0" w:color="auto"/>
              <w:right w:val="single" w:sz="4" w:space="0" w:color="auto"/>
            </w:tcBorders>
          </w:tcPr>
          <w:p w:rsidR="007B4AC2" w:rsidRPr="00260CE3" w:rsidRDefault="007B4AC2" w:rsidP="00695307">
            <w:pPr>
              <w:rPr>
                <w:rFonts w:ascii="Arial Narrow" w:hAnsi="Arial Narrow" w:cs="Arial"/>
                <w:sz w:val="20"/>
                <w:szCs w:val="20"/>
              </w:rPr>
            </w:pPr>
            <w:r>
              <w:rPr>
                <w:rFonts w:ascii="Arial Narrow" w:hAnsi="Arial Narrow" w:cs="Arial"/>
                <w:sz w:val="20"/>
                <w:szCs w:val="20"/>
              </w:rPr>
              <w:t>Stage IV clear cell variant renal cell carcinoma (RCC)</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Treatment phase:</w:t>
            </w:r>
          </w:p>
          <w:p w:rsidR="007B4AC2" w:rsidRPr="00260CE3" w:rsidRDefault="007B4AC2" w:rsidP="00695307">
            <w:pPr>
              <w:jc w:val="both"/>
              <w:rPr>
                <w:rFonts w:ascii="Arial Narrow" w:hAnsi="Arial Narrow" w:cs="Arial"/>
                <w:i/>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260CE3" w:rsidRDefault="007B4AC2" w:rsidP="00695307">
            <w:pPr>
              <w:rPr>
                <w:rFonts w:ascii="Arial Narrow" w:hAnsi="Arial Narrow" w:cs="Arial"/>
                <w:sz w:val="20"/>
                <w:szCs w:val="20"/>
              </w:rPr>
            </w:pPr>
            <w:r>
              <w:rPr>
                <w:rFonts w:ascii="Arial Narrow" w:hAnsi="Arial Narrow" w:cs="Arial"/>
                <w:sz w:val="20"/>
                <w:szCs w:val="20"/>
              </w:rPr>
              <w:t>Initial treatment</w:t>
            </w: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B4AC2" w:rsidRPr="00260CE3" w:rsidRDefault="007B4AC2" w:rsidP="00695307">
            <w:pPr>
              <w:rPr>
                <w:rFonts w:ascii="Arial Narrow" w:hAnsi="Arial Narrow" w:cs="Arial"/>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106BCF" w:rsidRDefault="007B4AC2" w:rsidP="00695307">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7B4AC2" w:rsidRPr="00106BCF" w:rsidRDefault="007B4AC2" w:rsidP="006953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7B4AC2" w:rsidRPr="00106BCF" w:rsidRDefault="007B4AC2" w:rsidP="00695307">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7B4AC2" w:rsidRPr="00106BCF" w:rsidRDefault="007B4AC2" w:rsidP="006953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7B4AC2" w:rsidRPr="00106BCF" w:rsidRDefault="007B4AC2" w:rsidP="0069530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Authority Required - Electronic</w:t>
            </w:r>
          </w:p>
          <w:p w:rsidR="007B4AC2" w:rsidRDefault="007B4AC2" w:rsidP="00695307">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Clinical criteria:</w:t>
            </w:r>
          </w:p>
          <w:p w:rsidR="007B4AC2" w:rsidRPr="00260CE3" w:rsidRDefault="007B4AC2" w:rsidP="00695307">
            <w:pPr>
              <w:jc w:val="both"/>
              <w:rPr>
                <w:rFonts w:ascii="Arial Narrow" w:hAnsi="Arial Narrow" w:cs="Arial"/>
                <w:i/>
                <w:sz w:val="20"/>
                <w:szCs w:val="20"/>
              </w:rPr>
            </w:pPr>
          </w:p>
          <w:p w:rsidR="007B4AC2" w:rsidRPr="00260CE3" w:rsidRDefault="007B4AC2" w:rsidP="00695307">
            <w:pPr>
              <w:jc w:val="both"/>
              <w:rPr>
                <w:rFonts w:ascii="Arial Narrow" w:hAnsi="Arial Narrow" w:cs="Arial"/>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 xml:space="preserve">Patient must have progressive disease according to the Response Evaluation Criteria In Solid Tumours (RECIST) following first-line treatment with a tyrosine kinase inhibitor, </w:t>
            </w:r>
          </w:p>
          <w:p w:rsidR="007B4AC2" w:rsidRPr="00A2559D" w:rsidRDefault="007B4AC2" w:rsidP="00695307">
            <w:pPr>
              <w:rPr>
                <w:rFonts w:ascii="Arial Narrow" w:hAnsi="Arial Narrow" w:cs="Arial"/>
                <w:sz w:val="20"/>
                <w:szCs w:val="20"/>
              </w:rPr>
            </w:pPr>
            <w:r w:rsidRPr="00A2559D">
              <w:rPr>
                <w:rFonts w:ascii="Arial Narrow" w:hAnsi="Arial Narrow" w:cs="Arial"/>
                <w:bCs/>
                <w:sz w:val="20"/>
                <w:szCs w:val="20"/>
              </w:rPr>
              <w:t>AND</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Patient must have a WHO performance status of 2 or less,</w:t>
            </w:r>
          </w:p>
          <w:p w:rsidR="007B4AC2" w:rsidRPr="00A2559D" w:rsidRDefault="007B4AC2" w:rsidP="00695307">
            <w:pPr>
              <w:rPr>
                <w:rFonts w:ascii="Arial Narrow" w:hAnsi="Arial Narrow" w:cs="Arial"/>
                <w:sz w:val="20"/>
                <w:szCs w:val="20"/>
              </w:rPr>
            </w:pPr>
            <w:r w:rsidRPr="00A2559D">
              <w:rPr>
                <w:rFonts w:ascii="Arial Narrow" w:hAnsi="Arial Narrow" w:cs="Arial"/>
                <w:bCs/>
                <w:sz w:val="20"/>
                <w:szCs w:val="20"/>
              </w:rPr>
              <w:t>AND</w:t>
            </w:r>
          </w:p>
          <w:p w:rsidR="007B4AC2" w:rsidRPr="00260CE3" w:rsidRDefault="007B4AC2" w:rsidP="00695307">
            <w:pPr>
              <w:rPr>
                <w:rFonts w:ascii="Arial Narrow" w:hAnsi="Arial Narrow" w:cs="Arial"/>
                <w:sz w:val="20"/>
                <w:szCs w:val="20"/>
              </w:rPr>
            </w:pPr>
            <w:r w:rsidRPr="00BD0E8B">
              <w:rPr>
                <w:rFonts w:ascii="Arial Narrow" w:hAnsi="Arial Narrow" w:cs="Arial"/>
                <w:sz w:val="20"/>
                <w:szCs w:val="20"/>
              </w:rPr>
              <w:t xml:space="preserve">The treatment must be </w:t>
            </w:r>
            <w:r>
              <w:rPr>
                <w:rFonts w:ascii="Arial Narrow" w:hAnsi="Arial Narrow" w:cs="Arial"/>
                <w:sz w:val="20"/>
                <w:szCs w:val="20"/>
              </w:rPr>
              <w:t>used as monotherapy for this condition</w:t>
            </w:r>
          </w:p>
          <w:p w:rsidR="007B4AC2" w:rsidRPr="00260CE3" w:rsidRDefault="007B4AC2" w:rsidP="00695307">
            <w:pPr>
              <w:jc w:val="both"/>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Pr>
                <w:rFonts w:ascii="Arial Narrow" w:hAnsi="Arial Narrow" w:cs="Arial"/>
                <w:b/>
                <w:sz w:val="20"/>
                <w:szCs w:val="20"/>
              </w:rPr>
              <w:t>Prescriber Instruction</w:t>
            </w:r>
          </w:p>
          <w:p w:rsidR="007B4AC2" w:rsidRPr="00260CE3" w:rsidRDefault="007B4AC2" w:rsidP="00695307">
            <w:pPr>
              <w:jc w:val="both"/>
              <w:rPr>
                <w:rFonts w:ascii="Arial Narrow" w:hAnsi="Arial Narrow" w:cs="Arial"/>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 xml:space="preserve">Patients who have developed intolerance to a tyrosine kinase inhibitor of a severity necessitating permanent treatment withdrawal are eligible to receive PBS-subsidised </w:t>
            </w:r>
            <w:r>
              <w:rPr>
                <w:rFonts w:ascii="Arial Narrow" w:hAnsi="Arial Narrow" w:cs="Arial"/>
                <w:sz w:val="20"/>
                <w:szCs w:val="20"/>
              </w:rPr>
              <w:t>sorafenib</w:t>
            </w:r>
            <w:r w:rsidRPr="00BD0E8B">
              <w:rPr>
                <w:rFonts w:ascii="Arial Narrow" w:hAnsi="Arial Narrow" w:cs="Arial"/>
                <w:sz w:val="20"/>
                <w:szCs w:val="20"/>
              </w:rPr>
              <w:t xml:space="preserve">. </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Default="007B4AC2" w:rsidP="00695307">
            <w:pPr>
              <w:jc w:val="both"/>
              <w:rPr>
                <w:rFonts w:ascii="Arial Narrow" w:hAnsi="Arial Narrow" w:cs="Arial"/>
                <w:b/>
                <w:sz w:val="20"/>
                <w:szCs w:val="20"/>
              </w:rPr>
            </w:pPr>
            <w:r>
              <w:rPr>
                <w:rFonts w:ascii="Arial Narrow" w:hAnsi="Arial Narrow" w:cs="Arial"/>
                <w:b/>
                <w:sz w:val="20"/>
                <w:szCs w:val="20"/>
              </w:rPr>
              <w:t>Prescriber Instruction</w:t>
            </w:r>
          </w:p>
        </w:tc>
        <w:tc>
          <w:tcPr>
            <w:tcW w:w="6946" w:type="dxa"/>
            <w:gridSpan w:val="5"/>
            <w:tcBorders>
              <w:top w:val="single" w:sz="4" w:space="0" w:color="auto"/>
              <w:left w:val="single" w:sz="4" w:space="0" w:color="auto"/>
              <w:bottom w:val="single" w:sz="4" w:space="0" w:color="auto"/>
              <w:right w:val="single" w:sz="4" w:space="0" w:color="auto"/>
            </w:tcBorders>
          </w:tcPr>
          <w:p w:rsidR="007B4AC2" w:rsidRDefault="007B4AC2" w:rsidP="00695307">
            <w:pPr>
              <w:rPr>
                <w:rFonts w:ascii="Arial Narrow" w:hAnsi="Arial Narrow" w:cs="Arial"/>
                <w:sz w:val="20"/>
                <w:szCs w:val="20"/>
              </w:rPr>
            </w:pPr>
            <w:r w:rsidRPr="00BD0E8B">
              <w:rPr>
                <w:rFonts w:ascii="Arial Narrow" w:hAnsi="Arial Narrow" w:cs="Arial"/>
                <w:sz w:val="20"/>
                <w:szCs w:val="20"/>
              </w:rPr>
              <w:t xml:space="preserve">Patients who have progressive disease with </w:t>
            </w:r>
            <w:r>
              <w:rPr>
                <w:rFonts w:ascii="Arial Narrow" w:hAnsi="Arial Narrow" w:cs="Arial"/>
                <w:sz w:val="20"/>
                <w:szCs w:val="20"/>
              </w:rPr>
              <w:t>sorafenib</w:t>
            </w:r>
            <w:r w:rsidRPr="00BD0E8B">
              <w:rPr>
                <w:rFonts w:ascii="Arial Narrow" w:hAnsi="Arial Narrow" w:cs="Arial"/>
                <w:sz w:val="20"/>
                <w:szCs w:val="20"/>
              </w:rPr>
              <w:t xml:space="preserve"> are no longer eligible for PBS-subsidised </w:t>
            </w:r>
            <w:r>
              <w:rPr>
                <w:rFonts w:ascii="Arial Narrow" w:hAnsi="Arial Narrow" w:cs="Arial"/>
                <w:sz w:val="20"/>
                <w:szCs w:val="20"/>
              </w:rPr>
              <w:t>sorafenib.</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260CE3" w:rsidRDefault="007B4AC2" w:rsidP="00695307">
            <w:pPr>
              <w:jc w:val="both"/>
              <w:rPr>
                <w:rFonts w:ascii="Arial Narrow" w:hAnsi="Arial Narrow" w:cs="Arial"/>
                <w:b/>
                <w:sz w:val="20"/>
                <w:szCs w:val="20"/>
              </w:rPr>
            </w:pPr>
            <w:r w:rsidRPr="00260CE3">
              <w:rPr>
                <w:rFonts w:ascii="Arial Narrow" w:hAnsi="Arial Narrow" w:cs="Arial"/>
                <w:b/>
                <w:sz w:val="20"/>
                <w:szCs w:val="20"/>
              </w:rPr>
              <w:t>Administrative Advice</w:t>
            </w:r>
          </w:p>
          <w:p w:rsidR="007B4AC2" w:rsidRPr="00260CE3" w:rsidRDefault="007B4AC2" w:rsidP="00695307">
            <w:pPr>
              <w:jc w:val="both"/>
              <w:rPr>
                <w:rFonts w:ascii="Arial Narrow" w:hAnsi="Arial Narrow" w:cs="Arial"/>
                <w:i/>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BD0E8B" w:rsidRDefault="007B4AC2" w:rsidP="00695307">
            <w:pPr>
              <w:rPr>
                <w:rFonts w:ascii="Arial Narrow" w:hAnsi="Arial Narrow" w:cs="Arial"/>
                <w:sz w:val="20"/>
                <w:szCs w:val="20"/>
                <w:u w:val="single"/>
              </w:rPr>
            </w:pPr>
            <w:r w:rsidRPr="00BD0E8B">
              <w:rPr>
                <w:rFonts w:ascii="Arial Narrow" w:hAnsi="Arial Narrow" w:cs="Arial"/>
                <w:sz w:val="20"/>
                <w:szCs w:val="20"/>
                <w:u w:val="single"/>
              </w:rPr>
              <w:t>NOTE:</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No increase in the maximum quantity or number of units may be authorised.</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Pr="00BD0E8B" w:rsidRDefault="007B4AC2" w:rsidP="00695307">
            <w:pPr>
              <w:jc w:val="both"/>
              <w:rPr>
                <w:rFonts w:ascii="Arial Narrow" w:hAnsi="Arial Narrow" w:cs="Arial"/>
                <w:b/>
                <w:sz w:val="20"/>
                <w:szCs w:val="20"/>
              </w:rPr>
            </w:pPr>
            <w:r>
              <w:rPr>
                <w:rFonts w:ascii="Arial Narrow" w:hAnsi="Arial Narrow" w:cs="Arial"/>
                <w:b/>
                <w:sz w:val="20"/>
                <w:szCs w:val="20"/>
              </w:rPr>
              <w:t>Administrative Advice</w:t>
            </w:r>
          </w:p>
          <w:p w:rsidR="007B4AC2" w:rsidRPr="00BD0E8B" w:rsidRDefault="007B4AC2" w:rsidP="00695307">
            <w:pPr>
              <w:jc w:val="both"/>
              <w:rPr>
                <w:rFonts w:ascii="Arial Narrow" w:hAnsi="Arial Narrow" w:cs="Arial"/>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Pr="00BD0E8B" w:rsidRDefault="007B4AC2" w:rsidP="00695307">
            <w:pPr>
              <w:rPr>
                <w:rFonts w:ascii="Arial Narrow" w:hAnsi="Arial Narrow" w:cs="Arial"/>
                <w:sz w:val="20"/>
                <w:szCs w:val="20"/>
                <w:u w:val="single"/>
              </w:rPr>
            </w:pPr>
            <w:r w:rsidRPr="00BD0E8B">
              <w:rPr>
                <w:rFonts w:ascii="Arial Narrow" w:hAnsi="Arial Narrow" w:cs="Arial"/>
                <w:sz w:val="20"/>
                <w:szCs w:val="20"/>
                <w:u w:val="single"/>
              </w:rPr>
              <w:t>NOTE:</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No increase in the maximum number of repeats may be authorised.</w:t>
            </w:r>
          </w:p>
          <w:p w:rsidR="007B4AC2" w:rsidRPr="00260CE3" w:rsidRDefault="007B4AC2" w:rsidP="00695307">
            <w:pPr>
              <w:rPr>
                <w:rFonts w:ascii="Arial Narrow" w:hAnsi="Arial Narrow" w:cs="Arial"/>
                <w:sz w:val="20"/>
                <w:szCs w:val="20"/>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Default="007B4AC2" w:rsidP="00695307">
            <w:pPr>
              <w:jc w:val="both"/>
              <w:rPr>
                <w:rFonts w:ascii="Arial Narrow" w:hAnsi="Arial Narrow" w:cs="Arial"/>
                <w:b/>
                <w:sz w:val="20"/>
                <w:szCs w:val="20"/>
              </w:rPr>
            </w:pPr>
            <w:r>
              <w:rPr>
                <w:rFonts w:ascii="Arial Narrow" w:hAnsi="Arial Narrow" w:cs="Arial"/>
                <w:b/>
                <w:sz w:val="20"/>
                <w:szCs w:val="20"/>
              </w:rPr>
              <w:t>Administrative Advice</w:t>
            </w:r>
          </w:p>
          <w:p w:rsidR="007B4AC2" w:rsidRDefault="007B4AC2" w:rsidP="00695307">
            <w:pPr>
              <w:jc w:val="both"/>
              <w:rPr>
                <w:rFonts w:ascii="Arial Narrow" w:hAnsi="Arial Narrow" w:cs="Arial"/>
                <w:b/>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7B4AC2" w:rsidRDefault="007B4AC2" w:rsidP="00695307">
            <w:pPr>
              <w:rPr>
                <w:rFonts w:ascii="Arial Narrow" w:hAnsi="Arial Narrow" w:cs="Arial"/>
                <w:sz w:val="20"/>
                <w:szCs w:val="20"/>
                <w:u w:val="single"/>
              </w:rPr>
            </w:pPr>
            <w:r>
              <w:rPr>
                <w:rFonts w:ascii="Arial Narrow" w:hAnsi="Arial Narrow" w:cs="Arial"/>
                <w:sz w:val="20"/>
                <w:szCs w:val="20"/>
                <w:u w:val="single"/>
              </w:rPr>
              <w:t>NOTE:</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Response Evaluation Criteria In Solid Tumours (RECIST) is defined as follows:</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Complete response (CR) is disappearance of all target lesions.</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Partial response (PR) is a 30% decrease in the sum of the longest diameter of target lesions.</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Progressive disease (PD) is a 20% increase in the sum of the longest diameter of target lesions.</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Stable disease (SD) is small changes that do not meet above criteria.</w:t>
            </w:r>
          </w:p>
          <w:p w:rsidR="007B4AC2" w:rsidRPr="00BD0E8B" w:rsidRDefault="007B4AC2" w:rsidP="00695307">
            <w:pPr>
              <w:rPr>
                <w:rFonts w:ascii="Arial Narrow" w:hAnsi="Arial Narrow" w:cs="Arial"/>
                <w:sz w:val="20"/>
                <w:szCs w:val="20"/>
                <w:u w:val="single"/>
              </w:rPr>
            </w:pPr>
          </w:p>
        </w:tc>
      </w:tr>
      <w:tr w:rsidR="007B4AC2" w:rsidRPr="00260CE3" w:rsidTr="001B6E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7B4AC2" w:rsidRDefault="007B4AC2" w:rsidP="00695307">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6946" w:type="dxa"/>
            <w:gridSpan w:val="5"/>
            <w:tcBorders>
              <w:top w:val="single" w:sz="4" w:space="0" w:color="auto"/>
              <w:left w:val="single" w:sz="4" w:space="0" w:color="auto"/>
              <w:bottom w:val="single" w:sz="4" w:space="0" w:color="auto"/>
              <w:right w:val="single" w:sz="4" w:space="0" w:color="auto"/>
            </w:tcBorders>
          </w:tcPr>
          <w:p w:rsidR="007B4AC2" w:rsidRDefault="007B4AC2" w:rsidP="00695307">
            <w:pPr>
              <w:rPr>
                <w:rFonts w:ascii="Arial Narrow" w:hAnsi="Arial Narrow" w:cs="Arial"/>
                <w:sz w:val="20"/>
                <w:szCs w:val="20"/>
                <w:u w:val="single"/>
              </w:rPr>
            </w:pPr>
            <w:r>
              <w:rPr>
                <w:rFonts w:ascii="Arial Narrow" w:hAnsi="Arial Narrow" w:cs="Arial"/>
                <w:sz w:val="20"/>
                <w:szCs w:val="20"/>
                <w:u w:val="single"/>
              </w:rPr>
              <w:t>NOTE:</w:t>
            </w:r>
          </w:p>
          <w:p w:rsidR="007B4AC2" w:rsidRPr="00BD0E8B" w:rsidRDefault="007B4AC2" w:rsidP="00695307">
            <w:pPr>
              <w:rPr>
                <w:rFonts w:ascii="Arial Narrow" w:hAnsi="Arial Narrow" w:cs="Arial"/>
                <w:sz w:val="20"/>
                <w:szCs w:val="20"/>
              </w:rPr>
            </w:pPr>
            <w:r w:rsidRPr="00BD0E8B">
              <w:rPr>
                <w:rFonts w:ascii="Arial Narrow" w:hAnsi="Arial Narrow" w:cs="Arial"/>
                <w:sz w:val="20"/>
                <w:szCs w:val="20"/>
              </w:rPr>
              <w:t>Special Pricing Arrangements apply.</w:t>
            </w:r>
          </w:p>
        </w:tc>
      </w:tr>
    </w:tbl>
    <w:p w:rsidR="007B4AC2" w:rsidRDefault="007B4AC2" w:rsidP="007B4AC2">
      <w:pPr>
        <w:jc w:val="both"/>
        <w:rPr>
          <w:rFonts w:ascii="Arial" w:hAnsi="Arial"/>
          <w:sz w:val="22"/>
          <w:szCs w:val="22"/>
        </w:rPr>
      </w:pPr>
    </w:p>
    <w:p w:rsidR="00600552" w:rsidRDefault="00600552">
      <w:pPr>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C35996" w:rsidRDefault="00050B20" w:rsidP="00882085">
      <w:pPr>
        <w:pStyle w:val="ListParagraph"/>
        <w:numPr>
          <w:ilvl w:val="1"/>
          <w:numId w:val="25"/>
        </w:numPr>
        <w:jc w:val="both"/>
        <w:rPr>
          <w:rFonts w:ascii="Arial" w:hAnsi="Arial"/>
          <w:sz w:val="22"/>
          <w:szCs w:val="22"/>
        </w:rPr>
      </w:pPr>
      <w:r w:rsidRPr="006F1B74">
        <w:rPr>
          <w:rFonts w:ascii="Arial" w:hAnsi="Arial"/>
          <w:sz w:val="22"/>
          <w:szCs w:val="22"/>
        </w:rPr>
        <w:t xml:space="preserve">Sorafenib is a multi-kinase inhibitor that targets various upstream receptor tyrosine kinases (c-KIT, FLT-3, VEGFR-2, VEGFR-3, and PDGFR-ß) and downstream RAF kinases (serine/threonine kinases) (CRAF, BRAF, V600E BRAF) in both the tumour cell and the tumour.  </w:t>
      </w:r>
    </w:p>
    <w:p w:rsidR="006F1B74" w:rsidRPr="006F1B74" w:rsidRDefault="006F1B74" w:rsidP="006F1B74">
      <w:pPr>
        <w:pStyle w:val="ListParagraph"/>
        <w:jc w:val="both"/>
        <w:rPr>
          <w:rFonts w:ascii="Arial" w:hAnsi="Arial"/>
          <w:sz w:val="22"/>
          <w:szCs w:val="22"/>
        </w:rPr>
      </w:pPr>
    </w:p>
    <w:p w:rsidR="006A12A5" w:rsidRPr="00882085" w:rsidRDefault="006F1B74" w:rsidP="006F1B74">
      <w:pPr>
        <w:pStyle w:val="ListParagraph"/>
        <w:numPr>
          <w:ilvl w:val="1"/>
          <w:numId w:val="25"/>
        </w:numPr>
        <w:jc w:val="both"/>
        <w:rPr>
          <w:rFonts w:ascii="Arial" w:hAnsi="Arial"/>
          <w:sz w:val="22"/>
          <w:szCs w:val="22"/>
        </w:rPr>
      </w:pPr>
      <w:r w:rsidRPr="006F1B74">
        <w:rPr>
          <w:rFonts w:ascii="Arial" w:hAnsi="Arial"/>
          <w:sz w:val="22"/>
          <w:szCs w:val="22"/>
        </w:rPr>
        <w:t xml:space="preserve">The </w:t>
      </w:r>
      <w:r w:rsidR="00D80F03">
        <w:rPr>
          <w:rFonts w:ascii="Arial" w:hAnsi="Arial"/>
          <w:sz w:val="22"/>
          <w:szCs w:val="22"/>
        </w:rPr>
        <w:t>minor resubmission proposed</w:t>
      </w:r>
      <w:r w:rsidRPr="006F1B74">
        <w:rPr>
          <w:rFonts w:ascii="Arial" w:hAnsi="Arial"/>
          <w:sz w:val="22"/>
          <w:szCs w:val="22"/>
        </w:rPr>
        <w:t xml:space="preserve"> sorafenib as </w:t>
      </w:r>
      <w:r>
        <w:rPr>
          <w:rFonts w:ascii="Arial" w:hAnsi="Arial"/>
          <w:sz w:val="22"/>
          <w:szCs w:val="22"/>
        </w:rPr>
        <w:t xml:space="preserve">a </w:t>
      </w:r>
      <w:r w:rsidRPr="006F1B74">
        <w:rPr>
          <w:rFonts w:ascii="Arial" w:hAnsi="Arial"/>
          <w:sz w:val="22"/>
          <w:szCs w:val="22"/>
        </w:rPr>
        <w:t>second-line</w:t>
      </w:r>
      <w:r>
        <w:rPr>
          <w:rFonts w:ascii="Arial" w:hAnsi="Arial"/>
          <w:sz w:val="22"/>
          <w:szCs w:val="22"/>
        </w:rPr>
        <w:t xml:space="preserve"> alternative</w:t>
      </w:r>
      <w:r w:rsidRPr="006F1B74">
        <w:rPr>
          <w:rFonts w:ascii="Arial" w:hAnsi="Arial"/>
          <w:sz w:val="22"/>
          <w:szCs w:val="22"/>
        </w:rPr>
        <w:t xml:space="preserve"> therapy </w:t>
      </w:r>
      <w:r>
        <w:rPr>
          <w:rFonts w:ascii="Arial" w:hAnsi="Arial"/>
          <w:sz w:val="22"/>
          <w:szCs w:val="22"/>
        </w:rPr>
        <w:t xml:space="preserve">to everolimus </w:t>
      </w:r>
      <w:r w:rsidRPr="006F1B74">
        <w:rPr>
          <w:rFonts w:ascii="Arial" w:hAnsi="Arial"/>
          <w:sz w:val="22"/>
          <w:szCs w:val="22"/>
        </w:rPr>
        <w:t xml:space="preserve">for stage IV clear cell renal cell carcinoma. </w:t>
      </w:r>
      <w:r>
        <w:rPr>
          <w:rFonts w:ascii="Arial" w:hAnsi="Arial"/>
          <w:sz w:val="22"/>
          <w:szCs w:val="22"/>
        </w:rPr>
        <w:t>Pazopanib and sunitinib are current PBS-listed first line treatments.  Everolimus is currently</w:t>
      </w:r>
      <w:r w:rsidRPr="006F1B74">
        <w:rPr>
          <w:rFonts w:ascii="Arial" w:hAnsi="Arial"/>
          <w:sz w:val="22"/>
          <w:szCs w:val="22"/>
        </w:rPr>
        <w:t xml:space="preserve"> PBS-listed for the second-line treatment of stage IV clear cell renal cell carcinoma.</w:t>
      </w:r>
      <w:r w:rsidR="00D80F03">
        <w:rPr>
          <w:rFonts w:ascii="Arial" w:hAnsi="Arial"/>
          <w:sz w:val="22"/>
          <w:szCs w:val="22"/>
        </w:rPr>
        <w:t xml:space="preserve"> Axitinib wa</w:t>
      </w:r>
      <w:r>
        <w:rPr>
          <w:rFonts w:ascii="Arial" w:hAnsi="Arial"/>
          <w:sz w:val="22"/>
          <w:szCs w:val="22"/>
        </w:rPr>
        <w:t>s also under consideration at this same meeting for PBS-listing in the second-line setting.</w:t>
      </w:r>
    </w:p>
    <w:p w:rsidR="00BB7EC3" w:rsidRDefault="00BB7EC3" w:rsidP="00882085">
      <w:pPr>
        <w:pStyle w:val="Header"/>
        <w:tabs>
          <w:tab w:val="clear" w:pos="4153"/>
          <w:tab w:val="clear" w:pos="8306"/>
        </w:tabs>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4977C0" w:rsidRPr="004977C0" w:rsidRDefault="004977C0" w:rsidP="004977C0">
      <w:pPr>
        <w:jc w:val="both"/>
        <w:rPr>
          <w:rFonts w:ascii="Arial" w:hAnsi="Arial"/>
          <w:sz w:val="22"/>
          <w:szCs w:val="22"/>
        </w:rPr>
      </w:pPr>
    </w:p>
    <w:p w:rsidR="00DF26A7" w:rsidRPr="004977C0" w:rsidRDefault="00476245" w:rsidP="00476245">
      <w:pPr>
        <w:pStyle w:val="ListParagraph"/>
        <w:numPr>
          <w:ilvl w:val="1"/>
          <w:numId w:val="25"/>
        </w:numPr>
        <w:jc w:val="both"/>
        <w:rPr>
          <w:rFonts w:ascii="Arial" w:hAnsi="Arial"/>
          <w:sz w:val="22"/>
          <w:szCs w:val="22"/>
        </w:rPr>
      </w:pPr>
      <w:r w:rsidRPr="004977C0">
        <w:rPr>
          <w:rFonts w:ascii="Arial" w:hAnsi="Arial"/>
          <w:sz w:val="22"/>
          <w:szCs w:val="22"/>
        </w:rPr>
        <w:t xml:space="preserve">The previous major </w:t>
      </w:r>
      <w:r w:rsidR="004977C0">
        <w:rPr>
          <w:rFonts w:ascii="Arial" w:hAnsi="Arial"/>
          <w:sz w:val="22"/>
          <w:szCs w:val="22"/>
        </w:rPr>
        <w:t>re</w:t>
      </w:r>
      <w:r w:rsidRPr="004977C0">
        <w:rPr>
          <w:rFonts w:ascii="Arial" w:hAnsi="Arial"/>
          <w:sz w:val="22"/>
          <w:szCs w:val="22"/>
        </w:rPr>
        <w:t xml:space="preserve">submission considered by the PBAC in </w:t>
      </w:r>
      <w:r w:rsidR="004977C0">
        <w:rPr>
          <w:rFonts w:ascii="Arial" w:hAnsi="Arial"/>
          <w:sz w:val="22"/>
          <w:szCs w:val="22"/>
        </w:rPr>
        <w:t>November 2013</w:t>
      </w:r>
      <w:r w:rsidRPr="004977C0">
        <w:rPr>
          <w:rFonts w:ascii="Arial" w:hAnsi="Arial"/>
          <w:sz w:val="22"/>
          <w:szCs w:val="22"/>
        </w:rPr>
        <w:t xml:space="preserve"> nominated </w:t>
      </w:r>
      <w:r w:rsidR="004977C0">
        <w:rPr>
          <w:rFonts w:ascii="Arial" w:hAnsi="Arial"/>
          <w:sz w:val="22"/>
          <w:szCs w:val="22"/>
        </w:rPr>
        <w:t>best supportive care which was considered appropriate by the PBAC at that time</w:t>
      </w:r>
      <w:r w:rsidR="00BB4EC4">
        <w:rPr>
          <w:rFonts w:ascii="Arial" w:hAnsi="Arial"/>
          <w:sz w:val="22"/>
          <w:szCs w:val="22"/>
        </w:rPr>
        <w:t xml:space="preserve">. </w:t>
      </w:r>
      <w:r w:rsidR="004977C0">
        <w:rPr>
          <w:rFonts w:ascii="Arial" w:hAnsi="Arial"/>
          <w:sz w:val="22"/>
          <w:szCs w:val="22"/>
        </w:rPr>
        <w:t>The minor resubmi</w:t>
      </w:r>
      <w:r w:rsidR="00D80F03">
        <w:rPr>
          <w:rFonts w:ascii="Arial" w:hAnsi="Arial"/>
          <w:sz w:val="22"/>
          <w:szCs w:val="22"/>
        </w:rPr>
        <w:t>ssion’s nominated comparator had</w:t>
      </w:r>
      <w:r w:rsidR="004977C0">
        <w:rPr>
          <w:rFonts w:ascii="Arial" w:hAnsi="Arial"/>
          <w:sz w:val="22"/>
          <w:szCs w:val="22"/>
        </w:rPr>
        <w:t xml:space="preserve"> </w:t>
      </w:r>
      <w:r w:rsidRPr="004977C0">
        <w:rPr>
          <w:rFonts w:ascii="Arial" w:hAnsi="Arial"/>
          <w:sz w:val="22"/>
          <w:szCs w:val="22"/>
        </w:rPr>
        <w:t>changed to</w:t>
      </w:r>
      <w:r w:rsidR="004977C0">
        <w:rPr>
          <w:rFonts w:ascii="Arial" w:hAnsi="Arial"/>
          <w:sz w:val="22"/>
          <w:szCs w:val="22"/>
        </w:rPr>
        <w:t xml:space="preserve"> everolimus, given the recent PBS-listing of everolimus for advanced RCC in the second-line setting</w:t>
      </w:r>
      <w:r w:rsidRPr="004977C0">
        <w:rPr>
          <w:rFonts w:ascii="Arial" w:hAnsi="Arial"/>
          <w:sz w:val="22"/>
          <w:szCs w:val="22"/>
        </w:rPr>
        <w:t>.</w:t>
      </w:r>
      <w:r w:rsidR="00826F6D" w:rsidRPr="004977C0">
        <w:rPr>
          <w:rFonts w:ascii="Arial" w:hAnsi="Arial"/>
          <w:sz w:val="22"/>
          <w:szCs w:val="22"/>
        </w:rPr>
        <w:t xml:space="preserve"> </w:t>
      </w:r>
    </w:p>
    <w:p w:rsidR="008A1956" w:rsidRDefault="008A1956" w:rsidP="00476245">
      <w:pPr>
        <w:jc w:val="both"/>
        <w:rPr>
          <w:rFonts w:ascii="Arial" w:hAnsi="Arial"/>
          <w:sz w:val="22"/>
          <w:szCs w:val="22"/>
        </w:rPr>
      </w:pPr>
    </w:p>
    <w:p w:rsidR="00125172" w:rsidRPr="00476245" w:rsidRDefault="00125172" w:rsidP="00476245">
      <w:pPr>
        <w:jc w:val="both"/>
        <w:rPr>
          <w:rFonts w:ascii="Arial" w:hAnsi="Arial"/>
          <w:sz w:val="22"/>
          <w:szCs w:val="22"/>
        </w:rPr>
      </w:pPr>
    </w:p>
    <w:p w:rsidR="00125172" w:rsidRDefault="00114758" w:rsidP="00125172">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125172">
        <w:rPr>
          <w:rFonts w:ascii="Arial" w:hAnsi="Arial"/>
          <w:b/>
          <w:sz w:val="22"/>
          <w:szCs w:val="22"/>
        </w:rPr>
        <w:t>onsideration of the evidence</w:t>
      </w:r>
    </w:p>
    <w:p w:rsidR="00125172" w:rsidRDefault="00125172" w:rsidP="00125172">
      <w:pPr>
        <w:pStyle w:val="Header"/>
        <w:tabs>
          <w:tab w:val="clear" w:pos="4153"/>
          <w:tab w:val="clear" w:pos="8306"/>
        </w:tabs>
        <w:jc w:val="both"/>
        <w:rPr>
          <w:rFonts w:ascii="Arial" w:hAnsi="Arial"/>
          <w:b/>
          <w:sz w:val="22"/>
          <w:szCs w:val="22"/>
        </w:rPr>
      </w:pPr>
    </w:p>
    <w:p w:rsidR="00D57700" w:rsidRPr="00114758" w:rsidRDefault="00D57700" w:rsidP="00114758">
      <w:pPr>
        <w:jc w:val="both"/>
        <w:rPr>
          <w:rFonts w:ascii="Arial" w:hAnsi="Arial"/>
          <w:b/>
          <w:sz w:val="22"/>
          <w:szCs w:val="22"/>
        </w:rPr>
      </w:pPr>
      <w:r w:rsidRPr="00114758">
        <w:rPr>
          <w:rFonts w:ascii="Arial" w:hAnsi="Arial"/>
          <w:b/>
          <w:sz w:val="22"/>
          <w:szCs w:val="22"/>
        </w:rPr>
        <w:t>Sponsor hearing</w:t>
      </w:r>
    </w:p>
    <w:p w:rsidR="00114758" w:rsidRPr="00114758" w:rsidRDefault="00114758" w:rsidP="00114758">
      <w:pPr>
        <w:jc w:val="both"/>
        <w:rPr>
          <w:rFonts w:ascii="Arial" w:hAnsi="Arial"/>
          <w:b/>
          <w:i/>
          <w:sz w:val="22"/>
          <w:szCs w:val="22"/>
        </w:rPr>
      </w:pPr>
    </w:p>
    <w:p w:rsidR="00D57700" w:rsidRPr="00D57700" w:rsidRDefault="00731F38" w:rsidP="00D57700">
      <w:pPr>
        <w:widowControl w:val="0"/>
        <w:numPr>
          <w:ilvl w:val="1"/>
          <w:numId w:val="25"/>
        </w:numPr>
        <w:contextualSpacing/>
        <w:jc w:val="both"/>
        <w:rPr>
          <w:rFonts w:ascii="Arial" w:hAnsi="Arial" w:cs="Arial"/>
          <w:bCs/>
          <w:snapToGrid w:val="0"/>
          <w:sz w:val="22"/>
          <w:szCs w:val="22"/>
          <w:lang w:eastAsia="en-US"/>
        </w:rPr>
      </w:pPr>
      <w:r>
        <w:rPr>
          <w:rFonts w:ascii="Arial" w:hAnsi="Arial" w:cs="Arial"/>
          <w:bCs/>
          <w:snapToGrid w:val="0"/>
          <w:sz w:val="22"/>
          <w:szCs w:val="22"/>
          <w:lang w:eastAsia="en-US"/>
        </w:rPr>
        <w:t>As a minor submission, t</w:t>
      </w:r>
      <w:r w:rsidR="00D57700" w:rsidRPr="00D57700">
        <w:rPr>
          <w:rFonts w:ascii="Arial" w:hAnsi="Arial" w:cs="Arial"/>
          <w:bCs/>
          <w:snapToGrid w:val="0"/>
          <w:sz w:val="22"/>
          <w:szCs w:val="22"/>
          <w:lang w:eastAsia="en-US"/>
        </w:rPr>
        <w:t>here was no hearing for this item.</w:t>
      </w:r>
    </w:p>
    <w:p w:rsidR="00D57700" w:rsidRPr="00D57700" w:rsidRDefault="00D57700" w:rsidP="00D57700">
      <w:pPr>
        <w:widowControl w:val="0"/>
        <w:jc w:val="both"/>
        <w:rPr>
          <w:rFonts w:ascii="Arial" w:hAnsi="Arial" w:cs="Arial"/>
          <w:bCs/>
          <w:snapToGrid w:val="0"/>
          <w:sz w:val="22"/>
          <w:szCs w:val="22"/>
          <w:highlight w:val="yellow"/>
          <w:lang w:eastAsia="en-US"/>
        </w:rPr>
      </w:pPr>
    </w:p>
    <w:p w:rsidR="00D57700" w:rsidRDefault="00D57700" w:rsidP="00114758">
      <w:pPr>
        <w:jc w:val="both"/>
        <w:rPr>
          <w:rFonts w:ascii="Arial" w:hAnsi="Arial"/>
          <w:b/>
          <w:sz w:val="22"/>
          <w:szCs w:val="22"/>
        </w:rPr>
      </w:pPr>
      <w:r w:rsidRPr="00114758">
        <w:rPr>
          <w:rFonts w:ascii="Arial" w:hAnsi="Arial"/>
          <w:b/>
          <w:sz w:val="22"/>
          <w:szCs w:val="22"/>
        </w:rPr>
        <w:t>Consumer comments</w:t>
      </w:r>
    </w:p>
    <w:p w:rsidR="00114758" w:rsidRPr="00114758" w:rsidRDefault="00114758" w:rsidP="00114758">
      <w:pPr>
        <w:jc w:val="both"/>
        <w:rPr>
          <w:rFonts w:ascii="Arial" w:hAnsi="Arial"/>
          <w:b/>
          <w:sz w:val="22"/>
          <w:szCs w:val="22"/>
        </w:rPr>
      </w:pPr>
    </w:p>
    <w:p w:rsidR="00D57700" w:rsidRPr="00D57700" w:rsidRDefault="00D57700" w:rsidP="00D57700">
      <w:pPr>
        <w:widowControl w:val="0"/>
        <w:numPr>
          <w:ilvl w:val="1"/>
          <w:numId w:val="25"/>
        </w:numPr>
        <w:contextualSpacing/>
        <w:jc w:val="both"/>
        <w:rPr>
          <w:rFonts w:ascii="Arial" w:hAnsi="Arial" w:cs="Arial"/>
          <w:bCs/>
          <w:snapToGrid w:val="0"/>
          <w:sz w:val="22"/>
          <w:szCs w:val="22"/>
          <w:lang w:eastAsia="en-US"/>
        </w:rPr>
      </w:pPr>
      <w:r w:rsidRPr="00D57700">
        <w:rPr>
          <w:rFonts w:ascii="Arial" w:hAnsi="Arial" w:cs="Arial"/>
          <w:bCs/>
          <w:snapToGrid w:val="0"/>
          <w:sz w:val="22"/>
          <w:szCs w:val="22"/>
          <w:lang w:eastAsia="en-US"/>
        </w:rPr>
        <w:t>The PBAC noted and welcomed the input from individuals (</w:t>
      </w:r>
      <w:r>
        <w:rPr>
          <w:rFonts w:ascii="Arial" w:hAnsi="Arial" w:cs="Arial"/>
          <w:bCs/>
          <w:snapToGrid w:val="0"/>
          <w:sz w:val="22"/>
          <w:szCs w:val="22"/>
          <w:lang w:eastAsia="en-US"/>
        </w:rPr>
        <w:t>4</w:t>
      </w:r>
      <w:r w:rsidRPr="00D57700">
        <w:rPr>
          <w:rFonts w:ascii="Arial" w:hAnsi="Arial" w:cs="Arial"/>
          <w:bCs/>
          <w:snapToGrid w:val="0"/>
          <w:sz w:val="22"/>
          <w:szCs w:val="22"/>
          <w:lang w:eastAsia="en-US"/>
        </w:rPr>
        <w:t xml:space="preserve">) via the Consumer Comments facility on the PBS website.  The comments described a range of benefits of treatment with </w:t>
      </w:r>
      <w:r>
        <w:rPr>
          <w:rFonts w:ascii="Arial" w:hAnsi="Arial" w:cs="Arial"/>
          <w:bCs/>
          <w:snapToGrid w:val="0"/>
          <w:sz w:val="22"/>
          <w:szCs w:val="22"/>
          <w:lang w:eastAsia="en-US"/>
        </w:rPr>
        <w:t>sorafenib</w:t>
      </w:r>
      <w:r w:rsidRPr="00D57700">
        <w:rPr>
          <w:rFonts w:ascii="Arial" w:hAnsi="Arial" w:cs="Arial"/>
          <w:bCs/>
          <w:snapToGrid w:val="0"/>
          <w:sz w:val="22"/>
          <w:szCs w:val="22"/>
          <w:lang w:eastAsia="en-US"/>
        </w:rPr>
        <w:t xml:space="preserve"> including a clinical need for having alternative second line drug made available for the treatment of RCC.</w:t>
      </w:r>
    </w:p>
    <w:p w:rsidR="00D57700" w:rsidRPr="00D57700" w:rsidRDefault="00D57700" w:rsidP="00D57700">
      <w:pPr>
        <w:widowControl w:val="0"/>
        <w:ind w:left="720"/>
        <w:contextualSpacing/>
        <w:jc w:val="both"/>
        <w:rPr>
          <w:rFonts w:ascii="Arial" w:hAnsi="Arial" w:cs="Arial"/>
          <w:bCs/>
          <w:snapToGrid w:val="0"/>
          <w:sz w:val="22"/>
          <w:szCs w:val="22"/>
          <w:lang w:eastAsia="en-US"/>
        </w:rPr>
      </w:pPr>
    </w:p>
    <w:p w:rsidR="00D57700" w:rsidRPr="00D57700" w:rsidRDefault="00D57700" w:rsidP="00D57700">
      <w:pPr>
        <w:widowControl w:val="0"/>
        <w:numPr>
          <w:ilvl w:val="1"/>
          <w:numId w:val="25"/>
        </w:numPr>
        <w:contextualSpacing/>
        <w:jc w:val="both"/>
        <w:rPr>
          <w:rFonts w:ascii="Arial" w:hAnsi="Arial" w:cs="Arial"/>
          <w:bCs/>
          <w:snapToGrid w:val="0"/>
          <w:sz w:val="22"/>
          <w:szCs w:val="22"/>
          <w:lang w:eastAsia="en-US"/>
        </w:rPr>
      </w:pPr>
      <w:r w:rsidRPr="00D57700">
        <w:rPr>
          <w:rFonts w:ascii="Arial" w:hAnsi="Arial" w:cs="Arial"/>
          <w:bCs/>
          <w:snapToGrid w:val="0"/>
          <w:sz w:val="22"/>
          <w:szCs w:val="22"/>
          <w:lang w:eastAsia="en-US"/>
        </w:rPr>
        <w:t xml:space="preserve">Kidney Health Australia </w:t>
      </w:r>
      <w:r>
        <w:rPr>
          <w:rFonts w:ascii="Arial" w:hAnsi="Arial" w:cs="Arial"/>
          <w:bCs/>
          <w:snapToGrid w:val="0"/>
          <w:sz w:val="22"/>
          <w:szCs w:val="22"/>
          <w:lang w:eastAsia="en-US"/>
        </w:rPr>
        <w:t xml:space="preserve">(through the axitinib agenda item) </w:t>
      </w:r>
      <w:r w:rsidRPr="00D57700">
        <w:rPr>
          <w:rFonts w:ascii="Arial" w:hAnsi="Arial" w:cs="Arial"/>
          <w:bCs/>
          <w:snapToGrid w:val="0"/>
          <w:sz w:val="22"/>
          <w:szCs w:val="22"/>
          <w:lang w:eastAsia="en-US"/>
        </w:rPr>
        <w:t xml:space="preserve">commented </w:t>
      </w:r>
      <w:r>
        <w:rPr>
          <w:rFonts w:ascii="Arial" w:hAnsi="Arial" w:cs="Arial"/>
          <w:bCs/>
          <w:snapToGrid w:val="0"/>
          <w:sz w:val="22"/>
          <w:szCs w:val="22"/>
          <w:lang w:eastAsia="en-US"/>
        </w:rPr>
        <w:t xml:space="preserve">separately </w:t>
      </w:r>
      <w:r w:rsidRPr="00D57700">
        <w:rPr>
          <w:rFonts w:ascii="Arial" w:hAnsi="Arial" w:cs="Arial"/>
          <w:bCs/>
          <w:snapToGrid w:val="0"/>
          <w:sz w:val="22"/>
          <w:szCs w:val="22"/>
          <w:lang w:eastAsia="en-US"/>
        </w:rPr>
        <w:t xml:space="preserve">on the increasing incidence of renal carcinoma in Australia and the comparative lack of PBS-subsidised treatment options compared to other cancers.  Kidney Health Australia noted that available treatments in Australia lag behind other national and multinational treatment guidelines in terms of the number of lines of treatment available to patients and prescribers beyond disease progression.  Kidney Health Australia further commented that it was of the view that a tyrosine kinase inhibitor (TKI) followed by another TKI and then a mammalian target of rapamycin (mTOR) therapy for progressive disease would provide better outcomes than a sequence of TKI followed by an mTOR therapy followed by another TKI.    </w:t>
      </w:r>
    </w:p>
    <w:p w:rsidR="00D57700" w:rsidRDefault="00D57700" w:rsidP="00125172">
      <w:pPr>
        <w:pStyle w:val="Header"/>
        <w:tabs>
          <w:tab w:val="clear" w:pos="4153"/>
          <w:tab w:val="clear" w:pos="8306"/>
        </w:tabs>
        <w:jc w:val="both"/>
        <w:rPr>
          <w:rFonts w:ascii="Arial" w:hAnsi="Arial"/>
          <w:b/>
          <w:sz w:val="22"/>
          <w:szCs w:val="22"/>
        </w:rPr>
      </w:pPr>
    </w:p>
    <w:p w:rsidR="000B558D" w:rsidRPr="00114758" w:rsidRDefault="008D7A41" w:rsidP="00125172">
      <w:pPr>
        <w:jc w:val="both"/>
        <w:rPr>
          <w:rFonts w:ascii="Arial" w:hAnsi="Arial"/>
          <w:b/>
          <w:sz w:val="22"/>
          <w:szCs w:val="22"/>
        </w:rPr>
      </w:pPr>
      <w:r w:rsidRPr="00114758">
        <w:rPr>
          <w:rFonts w:ascii="Arial" w:hAnsi="Arial"/>
          <w:b/>
          <w:sz w:val="22"/>
          <w:szCs w:val="22"/>
        </w:rPr>
        <w:lastRenderedPageBreak/>
        <w:t>Clinical Trials</w:t>
      </w:r>
    </w:p>
    <w:p w:rsidR="00BB7EC3" w:rsidRPr="00F9629A" w:rsidRDefault="00BB7EC3" w:rsidP="00F9629A">
      <w:pPr>
        <w:jc w:val="both"/>
        <w:rPr>
          <w:rFonts w:ascii="Arial" w:hAnsi="Arial"/>
          <w:sz w:val="22"/>
          <w:szCs w:val="22"/>
        </w:rPr>
      </w:pPr>
    </w:p>
    <w:p w:rsidR="0076420C" w:rsidRDefault="00BB4EC4" w:rsidP="00125172">
      <w:pPr>
        <w:pStyle w:val="ListParagraph"/>
        <w:numPr>
          <w:ilvl w:val="1"/>
          <w:numId w:val="25"/>
        </w:numPr>
        <w:jc w:val="both"/>
        <w:rPr>
          <w:rFonts w:ascii="Arial" w:hAnsi="Arial"/>
          <w:sz w:val="22"/>
          <w:szCs w:val="22"/>
        </w:rPr>
      </w:pPr>
      <w:r>
        <w:rPr>
          <w:rFonts w:ascii="Arial" w:hAnsi="Arial"/>
          <w:sz w:val="22"/>
          <w:szCs w:val="22"/>
        </w:rPr>
        <w:t xml:space="preserve">No new </w:t>
      </w:r>
      <w:r w:rsidR="00D80F03">
        <w:rPr>
          <w:rFonts w:ascii="Arial" w:hAnsi="Arial"/>
          <w:sz w:val="22"/>
          <w:szCs w:val="22"/>
        </w:rPr>
        <w:t>clinical trials we</w:t>
      </w:r>
      <w:r w:rsidR="0076420C">
        <w:rPr>
          <w:rFonts w:ascii="Arial" w:hAnsi="Arial"/>
          <w:sz w:val="22"/>
          <w:szCs w:val="22"/>
        </w:rPr>
        <w:t xml:space="preserve">re presented in the </w:t>
      </w:r>
      <w:r>
        <w:rPr>
          <w:rFonts w:ascii="Arial" w:hAnsi="Arial"/>
          <w:sz w:val="22"/>
          <w:szCs w:val="22"/>
        </w:rPr>
        <w:t>minor re</w:t>
      </w:r>
      <w:r w:rsidR="0076420C">
        <w:rPr>
          <w:rFonts w:ascii="Arial" w:hAnsi="Arial"/>
          <w:sz w:val="22"/>
          <w:szCs w:val="22"/>
        </w:rPr>
        <w:t>submission.</w:t>
      </w:r>
    </w:p>
    <w:p w:rsidR="0076420C" w:rsidRDefault="0076420C" w:rsidP="0076420C">
      <w:pPr>
        <w:pStyle w:val="ListParagraph"/>
        <w:ind w:left="709"/>
        <w:jc w:val="both"/>
        <w:rPr>
          <w:rFonts w:ascii="Arial" w:hAnsi="Arial"/>
          <w:sz w:val="22"/>
          <w:szCs w:val="22"/>
        </w:rPr>
      </w:pPr>
    </w:p>
    <w:p w:rsidR="00C00DA7" w:rsidRDefault="0076420C" w:rsidP="00125172">
      <w:pPr>
        <w:pStyle w:val="ListParagraph"/>
        <w:numPr>
          <w:ilvl w:val="1"/>
          <w:numId w:val="25"/>
        </w:numPr>
        <w:jc w:val="both"/>
        <w:rPr>
          <w:rFonts w:ascii="Arial" w:hAnsi="Arial"/>
          <w:sz w:val="22"/>
          <w:szCs w:val="22"/>
        </w:rPr>
      </w:pPr>
      <w:r w:rsidRPr="0076420C">
        <w:rPr>
          <w:rFonts w:ascii="Arial" w:hAnsi="Arial"/>
          <w:sz w:val="22"/>
          <w:szCs w:val="22"/>
        </w:rPr>
        <w:t xml:space="preserve">The </w:t>
      </w:r>
      <w:r w:rsidR="00877BB7">
        <w:rPr>
          <w:rFonts w:ascii="Arial" w:hAnsi="Arial"/>
          <w:sz w:val="22"/>
          <w:szCs w:val="22"/>
        </w:rPr>
        <w:t>evidence base</w:t>
      </w:r>
      <w:r w:rsidRPr="0076420C">
        <w:rPr>
          <w:rFonts w:ascii="Arial" w:hAnsi="Arial"/>
          <w:sz w:val="22"/>
          <w:szCs w:val="22"/>
        </w:rPr>
        <w:t xml:space="preserve"> </w:t>
      </w:r>
      <w:r w:rsidR="009D4014">
        <w:rPr>
          <w:rFonts w:ascii="Arial" w:hAnsi="Arial"/>
          <w:sz w:val="22"/>
          <w:szCs w:val="22"/>
        </w:rPr>
        <w:t>(INTORSEC</w:t>
      </w:r>
      <w:r w:rsidR="00571C39">
        <w:rPr>
          <w:rFonts w:ascii="Arial" w:hAnsi="Arial"/>
          <w:sz w:val="22"/>
          <w:szCs w:val="22"/>
        </w:rPr>
        <w:t xml:space="preserve">T, RECORD-1 and AXIS) </w:t>
      </w:r>
      <w:r w:rsidR="00877BB7">
        <w:rPr>
          <w:rFonts w:ascii="Arial" w:hAnsi="Arial"/>
          <w:sz w:val="22"/>
          <w:szCs w:val="22"/>
        </w:rPr>
        <w:t>for</w:t>
      </w:r>
      <w:r w:rsidR="00D67501">
        <w:rPr>
          <w:rFonts w:ascii="Arial" w:hAnsi="Arial"/>
          <w:sz w:val="22"/>
          <w:szCs w:val="22"/>
        </w:rPr>
        <w:t xml:space="preserve"> this</w:t>
      </w:r>
      <w:r w:rsidRPr="0076420C">
        <w:rPr>
          <w:rFonts w:ascii="Arial" w:hAnsi="Arial"/>
          <w:sz w:val="22"/>
          <w:szCs w:val="22"/>
        </w:rPr>
        <w:t xml:space="preserve"> minor </w:t>
      </w:r>
      <w:r w:rsidR="00BB4EC4">
        <w:rPr>
          <w:rFonts w:ascii="Arial" w:hAnsi="Arial"/>
          <w:sz w:val="22"/>
          <w:szCs w:val="22"/>
        </w:rPr>
        <w:t>re</w:t>
      </w:r>
      <w:r w:rsidR="00877BB7">
        <w:rPr>
          <w:rFonts w:ascii="Arial" w:hAnsi="Arial"/>
          <w:sz w:val="22"/>
          <w:szCs w:val="22"/>
        </w:rPr>
        <w:t>submission</w:t>
      </w:r>
      <w:r w:rsidRPr="0076420C">
        <w:rPr>
          <w:rFonts w:ascii="Arial" w:hAnsi="Arial"/>
          <w:sz w:val="22"/>
          <w:szCs w:val="22"/>
        </w:rPr>
        <w:t xml:space="preserve"> </w:t>
      </w:r>
      <w:r w:rsidR="00877BB7">
        <w:rPr>
          <w:rFonts w:ascii="Arial" w:hAnsi="Arial"/>
          <w:sz w:val="22"/>
          <w:szCs w:val="22"/>
        </w:rPr>
        <w:t>rema</w:t>
      </w:r>
      <w:r w:rsidR="00D80F03">
        <w:rPr>
          <w:rFonts w:ascii="Arial" w:hAnsi="Arial"/>
          <w:sz w:val="22"/>
          <w:szCs w:val="22"/>
        </w:rPr>
        <w:t>ined</w:t>
      </w:r>
      <w:r w:rsidR="00877BB7">
        <w:rPr>
          <w:rFonts w:ascii="Arial" w:hAnsi="Arial"/>
          <w:sz w:val="22"/>
          <w:szCs w:val="22"/>
        </w:rPr>
        <w:t xml:space="preserve"> unchanged from the November 2013 major resubmission.</w:t>
      </w:r>
    </w:p>
    <w:p w:rsidR="0026341B" w:rsidRDefault="0026341B" w:rsidP="0026341B">
      <w:pPr>
        <w:pStyle w:val="ListParagraph"/>
        <w:ind w:left="709"/>
        <w:jc w:val="both"/>
        <w:rPr>
          <w:rFonts w:ascii="Arial" w:hAnsi="Arial"/>
          <w:sz w:val="22"/>
          <w:szCs w:val="22"/>
        </w:rPr>
      </w:pPr>
    </w:p>
    <w:p w:rsidR="0026341B" w:rsidRPr="0026341B" w:rsidRDefault="0026341B" w:rsidP="00125172">
      <w:pPr>
        <w:pStyle w:val="ListParagraph"/>
        <w:numPr>
          <w:ilvl w:val="1"/>
          <w:numId w:val="25"/>
        </w:numPr>
        <w:jc w:val="both"/>
        <w:rPr>
          <w:rFonts w:ascii="Arial" w:hAnsi="Arial"/>
          <w:sz w:val="22"/>
          <w:szCs w:val="22"/>
        </w:rPr>
      </w:pPr>
      <w:r w:rsidRPr="0026341B">
        <w:rPr>
          <w:rFonts w:ascii="Arial" w:hAnsi="Arial"/>
          <w:sz w:val="22"/>
          <w:szCs w:val="22"/>
        </w:rPr>
        <w:t>A concern of the PBAC in November 2013 was that the data from the INTORSECT trial were only provided in the submissio</w:t>
      </w:r>
      <w:r w:rsidR="00B91F9F">
        <w:rPr>
          <w:rFonts w:ascii="Arial" w:hAnsi="Arial"/>
          <w:sz w:val="22"/>
          <w:szCs w:val="22"/>
        </w:rPr>
        <w:t xml:space="preserve">n in poster presentation form. </w:t>
      </w:r>
      <w:r w:rsidRPr="0026341B">
        <w:rPr>
          <w:rFonts w:ascii="Arial" w:hAnsi="Arial"/>
          <w:sz w:val="22"/>
          <w:szCs w:val="22"/>
        </w:rPr>
        <w:t xml:space="preserve">The PBAC considered that this was inappropriate and did not allow adequate assessment of the trial’s quality and validity. </w:t>
      </w:r>
      <w:r w:rsidR="00D80F03">
        <w:rPr>
          <w:rFonts w:ascii="Arial" w:hAnsi="Arial"/>
          <w:sz w:val="22"/>
          <w:szCs w:val="22"/>
        </w:rPr>
        <w:t xml:space="preserve">It was noted </w:t>
      </w:r>
      <w:r w:rsidR="00D80F03" w:rsidRPr="00D80F03">
        <w:rPr>
          <w:rFonts w:ascii="Arial" w:hAnsi="Arial"/>
          <w:sz w:val="22"/>
          <w:szCs w:val="22"/>
        </w:rPr>
        <w:t>that the INTORSECT trial had</w:t>
      </w:r>
      <w:r w:rsidRPr="00D80F03">
        <w:rPr>
          <w:rFonts w:ascii="Arial" w:hAnsi="Arial"/>
          <w:sz w:val="22"/>
          <w:szCs w:val="22"/>
        </w:rPr>
        <w:t xml:space="preserve"> since been published in December 2013 in the </w:t>
      </w:r>
      <w:r w:rsidRPr="00D80F03">
        <w:rPr>
          <w:rFonts w:ascii="Arial" w:hAnsi="Arial"/>
          <w:i/>
          <w:sz w:val="22"/>
          <w:szCs w:val="22"/>
        </w:rPr>
        <w:t>Journal of Clinical Oncology</w:t>
      </w:r>
      <w:r w:rsidR="00D163BF" w:rsidRPr="00D80F03">
        <w:rPr>
          <w:rFonts w:ascii="Arial" w:hAnsi="Arial"/>
          <w:sz w:val="22"/>
          <w:szCs w:val="22"/>
        </w:rPr>
        <w:t xml:space="preserve"> by Hutson et al</w:t>
      </w:r>
      <w:r w:rsidRPr="00D80F03">
        <w:rPr>
          <w:rFonts w:ascii="Arial" w:hAnsi="Arial"/>
          <w:sz w:val="22"/>
          <w:szCs w:val="22"/>
        </w:rPr>
        <w:t>.</w:t>
      </w:r>
      <w:r w:rsidR="00D163BF" w:rsidRPr="00D80F03">
        <w:rPr>
          <w:rFonts w:ascii="Arial" w:hAnsi="Arial"/>
          <w:sz w:val="22"/>
          <w:szCs w:val="22"/>
        </w:rPr>
        <w:t xml:space="preserve">  This journal article </w:t>
      </w:r>
      <w:r w:rsidR="00D80F03">
        <w:rPr>
          <w:rFonts w:ascii="Arial" w:hAnsi="Arial"/>
          <w:sz w:val="22"/>
          <w:szCs w:val="22"/>
        </w:rPr>
        <w:t>was</w:t>
      </w:r>
      <w:r w:rsidR="00D163BF" w:rsidRPr="00D80F03">
        <w:rPr>
          <w:rFonts w:ascii="Arial" w:hAnsi="Arial"/>
          <w:sz w:val="22"/>
          <w:szCs w:val="22"/>
        </w:rPr>
        <w:t xml:space="preserve"> included in the minor resubmission under ‘References’.</w:t>
      </w:r>
      <w:r w:rsidRPr="00D80F03">
        <w:rPr>
          <w:rFonts w:ascii="Arial" w:hAnsi="Arial"/>
          <w:sz w:val="22"/>
          <w:szCs w:val="22"/>
        </w:rPr>
        <w:t xml:space="preserve">  </w:t>
      </w:r>
    </w:p>
    <w:p w:rsidR="00877BB7" w:rsidRPr="00882085" w:rsidRDefault="00877BB7" w:rsidP="009B0F67">
      <w:pPr>
        <w:jc w:val="both"/>
        <w:rPr>
          <w:rFonts w:ascii="Arial" w:hAnsi="Arial"/>
          <w:sz w:val="22"/>
          <w:szCs w:val="22"/>
        </w:rPr>
      </w:pPr>
    </w:p>
    <w:p w:rsidR="005A3173" w:rsidRPr="00114758" w:rsidRDefault="005A3173" w:rsidP="00882085">
      <w:pPr>
        <w:jc w:val="both"/>
        <w:rPr>
          <w:rFonts w:ascii="Arial" w:hAnsi="Arial"/>
          <w:b/>
          <w:sz w:val="22"/>
          <w:szCs w:val="22"/>
        </w:rPr>
      </w:pPr>
      <w:r w:rsidRPr="00114758">
        <w:rPr>
          <w:rFonts w:ascii="Arial" w:hAnsi="Arial"/>
          <w:b/>
          <w:sz w:val="22"/>
          <w:szCs w:val="22"/>
        </w:rPr>
        <w:t>Comparative effectiveness</w:t>
      </w:r>
    </w:p>
    <w:p w:rsidR="005A3173" w:rsidRPr="00882085" w:rsidRDefault="005A3173" w:rsidP="00882085">
      <w:pPr>
        <w:jc w:val="both"/>
        <w:rPr>
          <w:rFonts w:ascii="Arial" w:hAnsi="Arial"/>
          <w:sz w:val="22"/>
          <w:szCs w:val="22"/>
        </w:rPr>
      </w:pPr>
    </w:p>
    <w:p w:rsidR="009D4014" w:rsidRDefault="009B0F67" w:rsidP="00125172">
      <w:pPr>
        <w:pStyle w:val="ListParagraph"/>
        <w:numPr>
          <w:ilvl w:val="1"/>
          <w:numId w:val="25"/>
        </w:numPr>
        <w:jc w:val="both"/>
        <w:rPr>
          <w:rFonts w:ascii="Arial" w:hAnsi="Arial"/>
          <w:sz w:val="22"/>
          <w:szCs w:val="22"/>
        </w:rPr>
      </w:pPr>
      <w:r w:rsidRPr="00571C39">
        <w:rPr>
          <w:rFonts w:ascii="Arial" w:hAnsi="Arial"/>
          <w:sz w:val="22"/>
          <w:szCs w:val="22"/>
        </w:rPr>
        <w:t>The trial results remain</w:t>
      </w:r>
      <w:r w:rsidR="00D80F03">
        <w:rPr>
          <w:rFonts w:ascii="Arial" w:hAnsi="Arial"/>
          <w:sz w:val="22"/>
          <w:szCs w:val="22"/>
        </w:rPr>
        <w:t>ed</w:t>
      </w:r>
      <w:r w:rsidRPr="00571C39">
        <w:rPr>
          <w:rFonts w:ascii="Arial" w:hAnsi="Arial"/>
          <w:sz w:val="22"/>
          <w:szCs w:val="22"/>
        </w:rPr>
        <w:t xml:space="preserve"> unchanged from the previous major </w:t>
      </w:r>
      <w:r w:rsidR="009D4014">
        <w:rPr>
          <w:rFonts w:ascii="Arial" w:hAnsi="Arial"/>
          <w:sz w:val="22"/>
          <w:szCs w:val="22"/>
        </w:rPr>
        <w:t>re</w:t>
      </w:r>
      <w:r w:rsidRPr="00571C39">
        <w:rPr>
          <w:rFonts w:ascii="Arial" w:hAnsi="Arial"/>
          <w:sz w:val="22"/>
          <w:szCs w:val="22"/>
        </w:rPr>
        <w:t xml:space="preserve">submission considered in </w:t>
      </w:r>
      <w:r w:rsidR="009D4014">
        <w:rPr>
          <w:rFonts w:ascii="Arial" w:hAnsi="Arial"/>
          <w:sz w:val="22"/>
          <w:szCs w:val="22"/>
        </w:rPr>
        <w:t>November 2013</w:t>
      </w:r>
      <w:r w:rsidRPr="00571C39">
        <w:rPr>
          <w:rFonts w:ascii="Arial" w:hAnsi="Arial"/>
          <w:sz w:val="22"/>
          <w:szCs w:val="22"/>
        </w:rPr>
        <w:t xml:space="preserve">. </w:t>
      </w:r>
    </w:p>
    <w:p w:rsidR="009D4014" w:rsidRDefault="009D4014" w:rsidP="009D4014">
      <w:pPr>
        <w:pStyle w:val="ListParagraph"/>
        <w:ind w:left="709"/>
        <w:jc w:val="both"/>
        <w:rPr>
          <w:rFonts w:ascii="Arial" w:hAnsi="Arial"/>
          <w:sz w:val="22"/>
          <w:szCs w:val="22"/>
        </w:rPr>
      </w:pPr>
    </w:p>
    <w:p w:rsidR="00DF26A7" w:rsidRDefault="009D4014" w:rsidP="00125172">
      <w:pPr>
        <w:pStyle w:val="ListParagraph"/>
        <w:numPr>
          <w:ilvl w:val="1"/>
          <w:numId w:val="25"/>
        </w:numPr>
        <w:jc w:val="both"/>
        <w:rPr>
          <w:rFonts w:ascii="Arial" w:hAnsi="Arial"/>
          <w:sz w:val="22"/>
          <w:szCs w:val="22"/>
        </w:rPr>
      </w:pPr>
      <w:r>
        <w:rPr>
          <w:rFonts w:ascii="Arial" w:hAnsi="Arial"/>
          <w:sz w:val="22"/>
          <w:szCs w:val="22"/>
        </w:rPr>
        <w:t>In summary, th</w:t>
      </w:r>
      <w:r w:rsidR="00D80F03">
        <w:rPr>
          <w:rFonts w:ascii="Arial" w:hAnsi="Arial"/>
          <w:sz w:val="22"/>
          <w:szCs w:val="22"/>
        </w:rPr>
        <w:t>e minor resubmission stated</w:t>
      </w:r>
      <w:r>
        <w:rPr>
          <w:rFonts w:ascii="Arial" w:hAnsi="Arial"/>
          <w:sz w:val="22"/>
          <w:szCs w:val="22"/>
        </w:rPr>
        <w:t xml:space="preserve"> that if temsirolimus (from INTORSECT) is assumed to have equal efficacy to placebo (from RECORD-1) in a conservative approach to considering sorafenib’s efficacy, the gain in overall survival (OS) with sorafenib is 4.4 months. T</w:t>
      </w:r>
      <w:r w:rsidR="00D80F03">
        <w:rPr>
          <w:rFonts w:ascii="Arial" w:hAnsi="Arial"/>
          <w:sz w:val="22"/>
          <w:szCs w:val="22"/>
        </w:rPr>
        <w:t>he minor resubmission compared</w:t>
      </w:r>
      <w:r>
        <w:rPr>
          <w:rFonts w:ascii="Arial" w:hAnsi="Arial"/>
          <w:sz w:val="22"/>
          <w:szCs w:val="22"/>
        </w:rPr>
        <w:t xml:space="preserve"> this conservative estimate with that for everolimus, </w:t>
      </w:r>
      <w:r w:rsidR="009504AE">
        <w:rPr>
          <w:rFonts w:ascii="Arial" w:hAnsi="Arial"/>
          <w:sz w:val="22"/>
          <w:szCs w:val="22"/>
        </w:rPr>
        <w:t>in which it is noted that</w:t>
      </w:r>
      <w:r>
        <w:rPr>
          <w:rFonts w:ascii="Arial" w:hAnsi="Arial"/>
          <w:sz w:val="22"/>
          <w:szCs w:val="22"/>
        </w:rPr>
        <w:t xml:space="preserve"> </w:t>
      </w:r>
      <w:r w:rsidR="009504AE">
        <w:rPr>
          <w:rFonts w:ascii="Arial" w:hAnsi="Arial"/>
          <w:sz w:val="22"/>
          <w:szCs w:val="22"/>
        </w:rPr>
        <w:t xml:space="preserve">the PBAC’s </w:t>
      </w:r>
      <w:r w:rsidRPr="009D4014">
        <w:rPr>
          <w:rFonts w:ascii="Arial" w:hAnsi="Arial"/>
          <w:sz w:val="22"/>
          <w:szCs w:val="22"/>
        </w:rPr>
        <w:t>assessment that the survival gain</w:t>
      </w:r>
      <w:r w:rsidR="009504AE">
        <w:rPr>
          <w:rFonts w:ascii="Arial" w:hAnsi="Arial"/>
          <w:sz w:val="22"/>
          <w:szCs w:val="22"/>
        </w:rPr>
        <w:t xml:space="preserve"> for everolimus compared to placebo</w:t>
      </w:r>
      <w:r w:rsidR="00EE38DD">
        <w:rPr>
          <w:rFonts w:ascii="Arial" w:hAnsi="Arial"/>
          <w:sz w:val="22"/>
          <w:szCs w:val="22"/>
        </w:rPr>
        <w:t xml:space="preserve"> was likely to be between 3 </w:t>
      </w:r>
      <w:r w:rsidRPr="009D4014">
        <w:rPr>
          <w:rFonts w:ascii="Arial" w:hAnsi="Arial"/>
          <w:sz w:val="22"/>
          <w:szCs w:val="22"/>
        </w:rPr>
        <w:t>and 4.8 months</w:t>
      </w:r>
      <w:r w:rsidR="009504AE">
        <w:rPr>
          <w:rFonts w:ascii="Arial" w:hAnsi="Arial"/>
          <w:sz w:val="22"/>
          <w:szCs w:val="22"/>
        </w:rPr>
        <w:t>.</w:t>
      </w:r>
      <w:r w:rsidRPr="009D4014">
        <w:rPr>
          <w:rFonts w:ascii="Arial" w:hAnsi="Arial"/>
          <w:sz w:val="22"/>
          <w:szCs w:val="22"/>
        </w:rPr>
        <w:t xml:space="preserve"> </w:t>
      </w:r>
      <w:r>
        <w:rPr>
          <w:rFonts w:ascii="Arial" w:hAnsi="Arial"/>
          <w:sz w:val="22"/>
          <w:szCs w:val="22"/>
        </w:rPr>
        <w:t xml:space="preserve"> </w:t>
      </w:r>
    </w:p>
    <w:p w:rsidR="001600AB" w:rsidRPr="00D80F03" w:rsidRDefault="001600AB" w:rsidP="00D80F03">
      <w:pPr>
        <w:jc w:val="both"/>
        <w:rPr>
          <w:rFonts w:ascii="Arial" w:hAnsi="Arial"/>
          <w:sz w:val="22"/>
          <w:szCs w:val="22"/>
        </w:rPr>
      </w:pPr>
    </w:p>
    <w:p w:rsidR="004B4F19" w:rsidRDefault="00ED08D2" w:rsidP="00125172">
      <w:pPr>
        <w:pStyle w:val="ListParagraph"/>
        <w:numPr>
          <w:ilvl w:val="1"/>
          <w:numId w:val="25"/>
        </w:numPr>
        <w:jc w:val="both"/>
        <w:rPr>
          <w:rFonts w:ascii="Arial" w:hAnsi="Arial"/>
          <w:sz w:val="22"/>
          <w:szCs w:val="22"/>
        </w:rPr>
      </w:pPr>
      <w:r w:rsidRPr="00ED08D2">
        <w:rPr>
          <w:rFonts w:ascii="Arial" w:hAnsi="Arial"/>
          <w:sz w:val="22"/>
          <w:szCs w:val="22"/>
        </w:rPr>
        <w:t xml:space="preserve">The PBAC noted </w:t>
      </w:r>
      <w:r>
        <w:rPr>
          <w:rFonts w:ascii="Arial" w:hAnsi="Arial"/>
          <w:sz w:val="22"/>
          <w:szCs w:val="22"/>
        </w:rPr>
        <w:t xml:space="preserve">in November 2013 </w:t>
      </w:r>
      <w:r w:rsidRPr="00ED08D2">
        <w:rPr>
          <w:rFonts w:ascii="Arial" w:hAnsi="Arial"/>
          <w:sz w:val="22"/>
          <w:szCs w:val="22"/>
        </w:rPr>
        <w:t xml:space="preserve">that the primary outcome of </w:t>
      </w:r>
      <w:r w:rsidR="00D80F03">
        <w:rPr>
          <w:rFonts w:ascii="Arial" w:hAnsi="Arial"/>
          <w:sz w:val="22"/>
          <w:szCs w:val="22"/>
        </w:rPr>
        <w:t>progression free survival (</w:t>
      </w:r>
      <w:r w:rsidRPr="00ED08D2">
        <w:rPr>
          <w:rFonts w:ascii="Arial" w:hAnsi="Arial"/>
          <w:sz w:val="22"/>
          <w:szCs w:val="22"/>
        </w:rPr>
        <w:t>PFS</w:t>
      </w:r>
      <w:r w:rsidR="00D80F03">
        <w:rPr>
          <w:rFonts w:ascii="Arial" w:hAnsi="Arial"/>
          <w:sz w:val="22"/>
          <w:szCs w:val="22"/>
        </w:rPr>
        <w:t>)</w:t>
      </w:r>
      <w:r w:rsidRPr="00ED08D2">
        <w:rPr>
          <w:rFonts w:ascii="Arial" w:hAnsi="Arial"/>
          <w:sz w:val="22"/>
          <w:szCs w:val="22"/>
        </w:rPr>
        <w:t xml:space="preserve"> in the INTORSECT trial was not statistically significant for sorafenib compared to </w:t>
      </w:r>
      <w:proofErr w:type="gramStart"/>
      <w:r w:rsidRPr="00ED08D2">
        <w:rPr>
          <w:rFonts w:ascii="Arial" w:hAnsi="Arial"/>
          <w:sz w:val="22"/>
          <w:szCs w:val="22"/>
        </w:rPr>
        <w:t>temsirolimus,</w:t>
      </w:r>
      <w:proofErr w:type="gramEnd"/>
      <w:r w:rsidRPr="00ED08D2">
        <w:rPr>
          <w:rFonts w:ascii="Arial" w:hAnsi="Arial"/>
          <w:sz w:val="22"/>
          <w:szCs w:val="22"/>
        </w:rPr>
        <w:t xml:space="preserve"> however the secondary outcome of </w:t>
      </w:r>
      <w:r w:rsidR="00D80F03">
        <w:rPr>
          <w:rFonts w:ascii="Arial" w:hAnsi="Arial"/>
          <w:sz w:val="22"/>
          <w:szCs w:val="22"/>
        </w:rPr>
        <w:t>overall survival (</w:t>
      </w:r>
      <w:r w:rsidRPr="00ED08D2">
        <w:rPr>
          <w:rFonts w:ascii="Arial" w:hAnsi="Arial"/>
          <w:sz w:val="22"/>
          <w:szCs w:val="22"/>
        </w:rPr>
        <w:t>OS</w:t>
      </w:r>
      <w:r w:rsidR="00D80F03">
        <w:rPr>
          <w:rFonts w:ascii="Arial" w:hAnsi="Arial"/>
          <w:sz w:val="22"/>
          <w:szCs w:val="22"/>
        </w:rPr>
        <w:t>)</w:t>
      </w:r>
      <w:r w:rsidRPr="00ED08D2">
        <w:rPr>
          <w:rFonts w:ascii="Arial" w:hAnsi="Arial"/>
          <w:sz w:val="22"/>
          <w:szCs w:val="22"/>
        </w:rPr>
        <w:t xml:space="preserve"> was statistically signif</w:t>
      </w:r>
      <w:r w:rsidR="007F6907">
        <w:rPr>
          <w:rFonts w:ascii="Arial" w:hAnsi="Arial"/>
          <w:sz w:val="22"/>
          <w:szCs w:val="22"/>
        </w:rPr>
        <w:t>icant with a p</w:t>
      </w:r>
      <w:r w:rsidR="007F6907">
        <w:rPr>
          <w:rFonts w:ascii="Arial" w:hAnsi="Arial"/>
          <w:sz w:val="22"/>
          <w:szCs w:val="22"/>
        </w:rPr>
        <w:noBreakHyphen/>
        <w:t xml:space="preserve">value of 0.014. </w:t>
      </w:r>
      <w:r w:rsidRPr="00ED08D2">
        <w:rPr>
          <w:rFonts w:ascii="Arial" w:hAnsi="Arial"/>
          <w:sz w:val="22"/>
          <w:szCs w:val="22"/>
        </w:rPr>
        <w:t>There was no explanation provided in the</w:t>
      </w:r>
      <w:r w:rsidR="00D7515D">
        <w:rPr>
          <w:rFonts w:ascii="Arial" w:hAnsi="Arial"/>
          <w:sz w:val="22"/>
          <w:szCs w:val="22"/>
        </w:rPr>
        <w:t xml:space="preserve"> November 2013</w:t>
      </w:r>
      <w:r w:rsidRPr="00ED08D2">
        <w:rPr>
          <w:rFonts w:ascii="Arial" w:hAnsi="Arial"/>
          <w:sz w:val="22"/>
          <w:szCs w:val="22"/>
        </w:rPr>
        <w:t xml:space="preserve"> re-submission for the finding that OS improved in the sorafenib arm however PFS was unaltered. In these circumstances it is likely that factors other than exposure to the study drugs have influenced the survival outcome. These factors include cancer management delivered following disease progression. In this regard it would be important to present the data on management of all trial patients following disease progression. Setting aside the discussion on OS, the PBAC recalled that oncology submissions have emphasised the patient relevance of changes in PFS and noted that this was quantitatively (albeit not statistically significantly) less in the sorafenib arm (3.91 months) compared with temsirolimus (4.28 months).  For all these reasons, PBAC considered the results of this trial were not interpretable</w:t>
      </w:r>
      <w:r w:rsidR="008D431A">
        <w:rPr>
          <w:rFonts w:ascii="Arial" w:hAnsi="Arial"/>
          <w:sz w:val="22"/>
          <w:szCs w:val="22"/>
        </w:rPr>
        <w:t xml:space="preserve"> in November 2013.</w:t>
      </w:r>
    </w:p>
    <w:p w:rsidR="004B4F19" w:rsidRDefault="004B4F19" w:rsidP="004B4F19">
      <w:pPr>
        <w:pStyle w:val="ListParagraph"/>
        <w:ind w:left="709"/>
        <w:jc w:val="both"/>
        <w:rPr>
          <w:rFonts w:ascii="Arial" w:hAnsi="Arial"/>
          <w:sz w:val="22"/>
          <w:szCs w:val="22"/>
        </w:rPr>
      </w:pPr>
    </w:p>
    <w:p w:rsidR="001600AB" w:rsidRPr="00D80F03" w:rsidRDefault="008D431A" w:rsidP="00125172">
      <w:pPr>
        <w:pStyle w:val="ListParagraph"/>
        <w:numPr>
          <w:ilvl w:val="1"/>
          <w:numId w:val="25"/>
        </w:numPr>
        <w:jc w:val="both"/>
        <w:rPr>
          <w:rFonts w:ascii="Arial" w:hAnsi="Arial"/>
          <w:sz w:val="22"/>
          <w:szCs w:val="22"/>
        </w:rPr>
      </w:pPr>
      <w:r w:rsidRPr="00D80F03">
        <w:rPr>
          <w:rFonts w:ascii="Arial" w:hAnsi="Arial"/>
          <w:sz w:val="22"/>
          <w:szCs w:val="22"/>
        </w:rPr>
        <w:t xml:space="preserve">The minor resubmission </w:t>
      </w:r>
      <w:r w:rsidR="00D80F03" w:rsidRPr="00D80F03">
        <w:rPr>
          <w:rFonts w:ascii="Arial" w:hAnsi="Arial"/>
          <w:sz w:val="22"/>
          <w:szCs w:val="22"/>
        </w:rPr>
        <w:t>provided</w:t>
      </w:r>
      <w:r w:rsidR="004B4F19" w:rsidRPr="00D80F03">
        <w:rPr>
          <w:rFonts w:ascii="Arial" w:hAnsi="Arial"/>
          <w:sz w:val="22"/>
          <w:szCs w:val="22"/>
        </w:rPr>
        <w:t xml:space="preserve"> the following 3 potential explanations for the lack of correlation </w:t>
      </w:r>
      <w:r w:rsidRPr="00D80F03">
        <w:rPr>
          <w:rFonts w:ascii="Arial" w:hAnsi="Arial"/>
          <w:sz w:val="22"/>
          <w:szCs w:val="22"/>
        </w:rPr>
        <w:t xml:space="preserve"> between OS and PFS results</w:t>
      </w:r>
      <w:r w:rsidR="004B4F19" w:rsidRPr="00D80F03">
        <w:rPr>
          <w:rFonts w:ascii="Arial" w:hAnsi="Arial"/>
          <w:sz w:val="22"/>
          <w:szCs w:val="22"/>
        </w:rPr>
        <w:t>:</w:t>
      </w:r>
      <w:r w:rsidRPr="00D80F03">
        <w:rPr>
          <w:rFonts w:ascii="Arial" w:hAnsi="Arial"/>
          <w:sz w:val="22"/>
          <w:szCs w:val="22"/>
        </w:rPr>
        <w:t xml:space="preserve"> </w:t>
      </w:r>
    </w:p>
    <w:p w:rsidR="00BB7EC3" w:rsidRPr="00D80F03" w:rsidRDefault="004B4F19" w:rsidP="004B4F19">
      <w:pPr>
        <w:pStyle w:val="ListParagraph"/>
        <w:numPr>
          <w:ilvl w:val="0"/>
          <w:numId w:val="42"/>
        </w:numPr>
        <w:jc w:val="both"/>
        <w:rPr>
          <w:rFonts w:ascii="Arial" w:hAnsi="Arial"/>
          <w:sz w:val="22"/>
          <w:szCs w:val="22"/>
        </w:rPr>
      </w:pPr>
      <w:r w:rsidRPr="00D80F03">
        <w:rPr>
          <w:rFonts w:ascii="Arial" w:hAnsi="Arial"/>
          <w:sz w:val="22"/>
          <w:szCs w:val="22"/>
        </w:rPr>
        <w:t>Trial design – the first post-randomisation assessment of PFS occurred at a point whereby the median had already been reached;</w:t>
      </w:r>
    </w:p>
    <w:p w:rsidR="004B4F19" w:rsidRPr="00D80F03" w:rsidRDefault="004B4F19" w:rsidP="004B4F19">
      <w:pPr>
        <w:pStyle w:val="ListParagraph"/>
        <w:numPr>
          <w:ilvl w:val="0"/>
          <w:numId w:val="42"/>
        </w:numPr>
        <w:jc w:val="both"/>
        <w:rPr>
          <w:rFonts w:ascii="Arial" w:hAnsi="Arial"/>
          <w:sz w:val="22"/>
          <w:szCs w:val="22"/>
        </w:rPr>
      </w:pPr>
      <w:r w:rsidRPr="00D80F03">
        <w:rPr>
          <w:rFonts w:ascii="Arial" w:hAnsi="Arial"/>
          <w:sz w:val="22"/>
          <w:szCs w:val="22"/>
        </w:rPr>
        <w:t xml:space="preserve">Angiogenic agents are known to have no significant impact on response rate, but rather cause the disease to be controlled (i.e. there is no further growth) </w:t>
      </w:r>
      <w:r w:rsidRPr="00D80F03">
        <w:rPr>
          <w:rFonts w:ascii="Arial" w:hAnsi="Arial"/>
          <w:sz w:val="22"/>
          <w:szCs w:val="22"/>
        </w:rPr>
        <w:lastRenderedPageBreak/>
        <w:t>presumably because of the impact of angiogenesis allowing disease destabilisation.</w:t>
      </w:r>
    </w:p>
    <w:p w:rsidR="004B4F19" w:rsidRPr="00D80F03" w:rsidRDefault="0026341B" w:rsidP="004B4F19">
      <w:pPr>
        <w:pStyle w:val="ListParagraph"/>
        <w:numPr>
          <w:ilvl w:val="0"/>
          <w:numId w:val="42"/>
        </w:numPr>
        <w:jc w:val="both"/>
        <w:rPr>
          <w:rFonts w:ascii="Arial" w:hAnsi="Arial"/>
          <w:sz w:val="22"/>
          <w:szCs w:val="22"/>
        </w:rPr>
      </w:pPr>
      <w:r w:rsidRPr="00D80F03">
        <w:rPr>
          <w:rFonts w:ascii="Arial" w:hAnsi="Arial"/>
          <w:sz w:val="22"/>
          <w:szCs w:val="22"/>
        </w:rPr>
        <w:t xml:space="preserve">Tumour control beyond ‘progression’ (defined by RECIST criteria) was possibly better in those treated with sorafenib than temsirolimus.  In other words, sorafenib had slower </w:t>
      </w:r>
      <w:r w:rsidR="00B76559" w:rsidRPr="00D80F03">
        <w:rPr>
          <w:rFonts w:ascii="Arial" w:hAnsi="Arial"/>
          <w:sz w:val="22"/>
          <w:szCs w:val="22"/>
        </w:rPr>
        <w:t>progression</w:t>
      </w:r>
      <w:r w:rsidRPr="00D80F03">
        <w:rPr>
          <w:rFonts w:ascii="Arial" w:hAnsi="Arial"/>
          <w:sz w:val="22"/>
          <w:szCs w:val="22"/>
        </w:rPr>
        <w:t xml:space="preserve"> (or even stabilisation) beyond the initial 20% increase thereby giving an OS advantage.</w:t>
      </w:r>
    </w:p>
    <w:p w:rsidR="004B4F19" w:rsidRPr="00882085" w:rsidRDefault="004B4F19" w:rsidP="00BB7EC3">
      <w:pPr>
        <w:ind w:left="709"/>
        <w:jc w:val="both"/>
        <w:rPr>
          <w:rFonts w:ascii="Arial" w:hAnsi="Arial"/>
          <w:sz w:val="22"/>
          <w:szCs w:val="22"/>
        </w:rPr>
      </w:pPr>
    </w:p>
    <w:p w:rsidR="005A3173" w:rsidRPr="00114758" w:rsidRDefault="005A3173" w:rsidP="00882085">
      <w:pPr>
        <w:jc w:val="both"/>
        <w:rPr>
          <w:rFonts w:ascii="Arial" w:hAnsi="Arial"/>
          <w:b/>
          <w:sz w:val="22"/>
          <w:szCs w:val="22"/>
        </w:rPr>
      </w:pPr>
      <w:r w:rsidRPr="00114758">
        <w:rPr>
          <w:rFonts w:ascii="Arial" w:hAnsi="Arial"/>
          <w:b/>
          <w:sz w:val="22"/>
          <w:szCs w:val="22"/>
        </w:rPr>
        <w:t>Comparative harms</w:t>
      </w:r>
    </w:p>
    <w:p w:rsidR="005A3173" w:rsidRPr="00882085" w:rsidRDefault="005A3173" w:rsidP="0026341B">
      <w:pPr>
        <w:tabs>
          <w:tab w:val="left" w:pos="1800"/>
        </w:tabs>
        <w:ind w:left="720" w:hanging="720"/>
        <w:jc w:val="both"/>
        <w:rPr>
          <w:rFonts w:ascii="Arial" w:hAnsi="Arial"/>
          <w:sz w:val="22"/>
          <w:szCs w:val="22"/>
        </w:rPr>
      </w:pPr>
    </w:p>
    <w:p w:rsidR="00042DF4" w:rsidRPr="00042DF4" w:rsidRDefault="00042DF4" w:rsidP="00125172">
      <w:pPr>
        <w:pStyle w:val="ListParagraph"/>
        <w:numPr>
          <w:ilvl w:val="1"/>
          <w:numId w:val="25"/>
        </w:numPr>
        <w:jc w:val="both"/>
        <w:rPr>
          <w:rFonts w:ascii="Arial" w:hAnsi="Arial"/>
          <w:sz w:val="22"/>
          <w:szCs w:val="22"/>
          <w:u w:val="single"/>
        </w:rPr>
      </w:pPr>
      <w:r w:rsidRPr="00042DF4">
        <w:rPr>
          <w:rFonts w:ascii="Arial" w:hAnsi="Arial"/>
          <w:sz w:val="22"/>
          <w:szCs w:val="22"/>
          <w:u w:val="single"/>
        </w:rPr>
        <w:t>Everolimus vs. placebo</w:t>
      </w:r>
      <w:r w:rsidR="00D60A4D">
        <w:rPr>
          <w:rFonts w:ascii="Arial" w:hAnsi="Arial"/>
          <w:sz w:val="22"/>
          <w:szCs w:val="22"/>
          <w:u w:val="single"/>
        </w:rPr>
        <w:t xml:space="preserve"> (RECORD-1)</w:t>
      </w:r>
    </w:p>
    <w:p w:rsidR="009B0F67" w:rsidRDefault="00042DF4" w:rsidP="00042DF4">
      <w:pPr>
        <w:pStyle w:val="ListParagraph"/>
        <w:ind w:left="709"/>
        <w:jc w:val="both"/>
        <w:rPr>
          <w:rFonts w:ascii="Arial" w:hAnsi="Arial"/>
          <w:sz w:val="22"/>
          <w:szCs w:val="22"/>
        </w:rPr>
      </w:pPr>
      <w:r>
        <w:rPr>
          <w:rFonts w:ascii="Arial" w:hAnsi="Arial"/>
          <w:sz w:val="22"/>
          <w:szCs w:val="22"/>
        </w:rPr>
        <w:t>The minor resubmission notes that everolimus has a higher incidence of adverse events than placebo. A</w:t>
      </w:r>
      <w:r w:rsidR="0026341B">
        <w:rPr>
          <w:rFonts w:ascii="Arial" w:hAnsi="Arial"/>
          <w:sz w:val="22"/>
          <w:szCs w:val="22"/>
        </w:rPr>
        <w:t xml:space="preserve"> summary of adverse events </w:t>
      </w:r>
      <w:r>
        <w:rPr>
          <w:rFonts w:ascii="Arial" w:hAnsi="Arial"/>
          <w:sz w:val="22"/>
          <w:szCs w:val="22"/>
        </w:rPr>
        <w:t xml:space="preserve">in RECORD-1 </w:t>
      </w:r>
      <w:r w:rsidR="0026341B">
        <w:rPr>
          <w:rFonts w:ascii="Arial" w:hAnsi="Arial"/>
          <w:sz w:val="22"/>
          <w:szCs w:val="22"/>
        </w:rPr>
        <w:t xml:space="preserve">occurring in </w:t>
      </w:r>
      <w:r w:rsidR="0026341B">
        <w:rPr>
          <w:rFonts w:ascii="Arial" w:hAnsi="Arial" w:cs="Arial"/>
          <w:sz w:val="22"/>
          <w:szCs w:val="22"/>
        </w:rPr>
        <w:t>≥</w:t>
      </w:r>
      <w:r w:rsidR="0026341B">
        <w:rPr>
          <w:rFonts w:ascii="Arial" w:hAnsi="Arial"/>
          <w:sz w:val="22"/>
          <w:szCs w:val="22"/>
        </w:rPr>
        <w:t xml:space="preserve"> 10% of patients in either group, irrespective of relation to treatment, is provided below.</w:t>
      </w:r>
    </w:p>
    <w:p w:rsidR="0026341B" w:rsidRDefault="0026341B" w:rsidP="0026341B">
      <w:pPr>
        <w:pStyle w:val="ListParagraph"/>
        <w:ind w:left="709"/>
        <w:jc w:val="both"/>
        <w:rPr>
          <w:rFonts w:ascii="Arial" w:hAnsi="Arial"/>
          <w:sz w:val="22"/>
          <w:szCs w:val="22"/>
        </w:rPr>
      </w:pPr>
    </w:p>
    <w:p w:rsidR="00042DF4" w:rsidRPr="00A527FE" w:rsidRDefault="00042DF4" w:rsidP="00042DF4">
      <w:pPr>
        <w:ind w:left="709"/>
        <w:jc w:val="both"/>
        <w:rPr>
          <w:rFonts w:ascii="Arial Narrow" w:eastAsiaTheme="majorEastAsia" w:hAnsi="Arial Narrow" w:cs="Arial"/>
          <w:b/>
          <w:bCs/>
          <w:sz w:val="20"/>
          <w:szCs w:val="18"/>
          <w:lang w:eastAsia="en-US" w:bidi="en-US"/>
        </w:rPr>
      </w:pPr>
      <w:r w:rsidRPr="00A527FE">
        <w:rPr>
          <w:rFonts w:ascii="Arial Narrow" w:eastAsiaTheme="majorEastAsia" w:hAnsi="Arial Narrow" w:cs="Arial"/>
          <w:b/>
          <w:bCs/>
          <w:sz w:val="20"/>
          <w:szCs w:val="18"/>
          <w:lang w:eastAsia="en-US" w:bidi="en-US"/>
        </w:rPr>
        <w:t>Adverse events irrespective of relation to treatment, occurring in ≥10% of patients in the everolimus group</w:t>
      </w:r>
    </w:p>
    <w:tbl>
      <w:tblPr>
        <w:tblStyle w:val="TableGrid1"/>
        <w:tblW w:w="0" w:type="auto"/>
        <w:tblInd w:w="817" w:type="dxa"/>
        <w:tblLook w:val="04A0" w:firstRow="1" w:lastRow="0" w:firstColumn="1" w:lastColumn="0" w:noHBand="0" w:noVBand="1"/>
      </w:tblPr>
      <w:tblGrid>
        <w:gridCol w:w="2136"/>
        <w:gridCol w:w="1096"/>
        <w:gridCol w:w="1024"/>
        <w:gridCol w:w="1024"/>
        <w:gridCol w:w="1097"/>
        <w:gridCol w:w="1024"/>
        <w:gridCol w:w="962"/>
      </w:tblGrid>
      <w:tr w:rsidR="00042DF4" w:rsidRPr="00042DF4" w:rsidTr="00A527FE">
        <w:tc>
          <w:tcPr>
            <w:tcW w:w="2136" w:type="dxa"/>
            <w:vMerge w:val="restart"/>
            <w:shd w:val="clear" w:color="auto" w:fill="D9D9D9" w:themeFill="background1" w:themeFillShade="D9"/>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Adverse Events/Abnormalities </w:t>
            </w:r>
          </w:p>
        </w:tc>
        <w:tc>
          <w:tcPr>
            <w:tcW w:w="3144" w:type="dxa"/>
            <w:gridSpan w:val="3"/>
            <w:shd w:val="clear" w:color="auto" w:fill="D9D9D9" w:themeFill="background1" w:themeFillShade="D9"/>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Everolimus + BSC, n=274 </w:t>
            </w:r>
          </w:p>
        </w:tc>
        <w:tc>
          <w:tcPr>
            <w:tcW w:w="3083" w:type="dxa"/>
            <w:gridSpan w:val="3"/>
            <w:shd w:val="clear" w:color="auto" w:fill="D9D9D9" w:themeFill="background1" w:themeFillShade="D9"/>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Placebo + BSC, n=137</w:t>
            </w:r>
          </w:p>
        </w:tc>
      </w:tr>
      <w:tr w:rsidR="00042DF4" w:rsidRPr="00042DF4" w:rsidTr="00A527FE">
        <w:tc>
          <w:tcPr>
            <w:tcW w:w="2136" w:type="dxa"/>
            <w:vMerge/>
          </w:tcPr>
          <w:p w:rsidR="00042DF4" w:rsidRPr="00042DF4" w:rsidRDefault="00042DF4" w:rsidP="00042DF4">
            <w:pPr>
              <w:rPr>
                <w:rFonts w:ascii="Arial Narrow" w:eastAsiaTheme="majorEastAsia" w:hAnsi="Arial Narrow" w:cs="Arial"/>
                <w:sz w:val="20"/>
                <w:szCs w:val="20"/>
                <w:lang w:bidi="en-US"/>
              </w:rPr>
            </w:pP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Overall Incidence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Grade 3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Grade 4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Overall Incidence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Grade 3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Grade 4 </w:t>
            </w:r>
          </w:p>
        </w:tc>
      </w:tr>
      <w:tr w:rsidR="00042DF4" w:rsidRPr="00042DF4" w:rsidTr="00A527FE">
        <w:tc>
          <w:tcPr>
            <w:tcW w:w="8363" w:type="dxa"/>
            <w:gridSpan w:val="7"/>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Adverse event, %</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Stomatitis</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44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8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Infections</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37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7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18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Asthenia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33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23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4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Fatigue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5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0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27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&lt;1</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Diarrhoea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30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7</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Cough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30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 16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Rash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29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7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Nausea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26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19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Anorexia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25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Peripheral oedema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25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8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Dyspnoea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6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15</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3</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Vomiting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20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2</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12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Pyrexia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20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9</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Mucosal inflammation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19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1 0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Headache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19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9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Epistaxis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18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Pruritus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7</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Pneumonitis</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4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Dry skin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13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&lt;1 </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5</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Dysgeusia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2</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r w:rsidR="00042DF4" w:rsidRPr="00042DF4" w:rsidTr="00A527FE">
        <w:tc>
          <w:tcPr>
            <w:tcW w:w="213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 xml:space="preserve">Pain in extremity </w:t>
            </w:r>
          </w:p>
        </w:tc>
        <w:tc>
          <w:tcPr>
            <w:tcW w:w="1096"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10</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1</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1097"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7</w:t>
            </w:r>
          </w:p>
        </w:tc>
        <w:tc>
          <w:tcPr>
            <w:tcW w:w="1024"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c>
          <w:tcPr>
            <w:tcW w:w="962" w:type="dxa"/>
          </w:tcPr>
          <w:p w:rsidR="00042DF4" w:rsidRPr="00042DF4" w:rsidRDefault="00042DF4" w:rsidP="00042DF4">
            <w:pPr>
              <w:rPr>
                <w:rFonts w:ascii="Arial Narrow" w:eastAsiaTheme="majorEastAsia" w:hAnsi="Arial Narrow" w:cs="Arial"/>
                <w:sz w:val="20"/>
                <w:szCs w:val="20"/>
                <w:lang w:bidi="en-US"/>
              </w:rPr>
            </w:pPr>
            <w:r w:rsidRPr="00042DF4">
              <w:rPr>
                <w:rFonts w:ascii="Arial Narrow" w:eastAsiaTheme="majorEastAsia" w:hAnsi="Arial Narrow" w:cs="Arial"/>
                <w:sz w:val="20"/>
                <w:szCs w:val="20"/>
                <w:lang w:bidi="en-US"/>
              </w:rPr>
              <w:t>0</w:t>
            </w:r>
          </w:p>
        </w:tc>
      </w:tr>
    </w:tbl>
    <w:p w:rsidR="0026341B" w:rsidRPr="00042DF4" w:rsidRDefault="00042DF4" w:rsidP="00042DF4">
      <w:pPr>
        <w:ind w:firstLine="720"/>
        <w:rPr>
          <w:rFonts w:ascii="Arial" w:hAnsi="Arial" w:cs="Arial"/>
          <w:sz w:val="18"/>
          <w:szCs w:val="18"/>
        </w:rPr>
      </w:pPr>
      <w:r w:rsidRPr="00042DF4">
        <w:rPr>
          <w:rFonts w:ascii="Arial" w:hAnsi="Arial" w:cs="Arial"/>
          <w:sz w:val="18"/>
          <w:szCs w:val="18"/>
        </w:rPr>
        <w:t>Sou</w:t>
      </w:r>
      <w:r>
        <w:rPr>
          <w:rFonts w:ascii="Arial" w:hAnsi="Arial" w:cs="Arial"/>
          <w:sz w:val="18"/>
          <w:szCs w:val="18"/>
        </w:rPr>
        <w:t>rce: Motzer 2010 Table 2 p. 4260 / November 2014 minor resubmission, p.11, Table 4</w:t>
      </w:r>
    </w:p>
    <w:p w:rsidR="0026341B" w:rsidRDefault="0026341B" w:rsidP="0026341B">
      <w:pPr>
        <w:pStyle w:val="ListParagraph"/>
        <w:ind w:left="709"/>
        <w:jc w:val="both"/>
        <w:rPr>
          <w:rFonts w:ascii="Arial" w:hAnsi="Arial"/>
          <w:sz w:val="22"/>
          <w:szCs w:val="22"/>
        </w:rPr>
      </w:pPr>
    </w:p>
    <w:p w:rsidR="0026341B" w:rsidRPr="00D60A4D" w:rsidRDefault="00042DF4" w:rsidP="00125172">
      <w:pPr>
        <w:pStyle w:val="ListParagraph"/>
        <w:numPr>
          <w:ilvl w:val="1"/>
          <w:numId w:val="25"/>
        </w:numPr>
        <w:jc w:val="both"/>
        <w:rPr>
          <w:rFonts w:ascii="Arial" w:hAnsi="Arial"/>
          <w:sz w:val="22"/>
          <w:szCs w:val="22"/>
          <w:u w:val="single"/>
        </w:rPr>
      </w:pPr>
      <w:r w:rsidRPr="00D60A4D">
        <w:rPr>
          <w:rFonts w:ascii="Arial" w:hAnsi="Arial"/>
          <w:sz w:val="22"/>
          <w:szCs w:val="22"/>
          <w:u w:val="single"/>
        </w:rPr>
        <w:t>Sorafenib vs. temsi</w:t>
      </w:r>
      <w:r w:rsidR="00D60A4D" w:rsidRPr="00D60A4D">
        <w:rPr>
          <w:rFonts w:ascii="Arial" w:hAnsi="Arial"/>
          <w:sz w:val="22"/>
          <w:szCs w:val="22"/>
          <w:u w:val="single"/>
        </w:rPr>
        <w:t>rolimus (INTORSECT)</w:t>
      </w:r>
    </w:p>
    <w:p w:rsidR="00D60A4D" w:rsidRPr="00D80F03" w:rsidRDefault="00D60A4D" w:rsidP="00D60A4D">
      <w:pPr>
        <w:pStyle w:val="ListParagraph"/>
        <w:ind w:left="709"/>
        <w:jc w:val="both"/>
        <w:rPr>
          <w:rFonts w:ascii="Arial" w:hAnsi="Arial"/>
          <w:sz w:val="22"/>
          <w:szCs w:val="22"/>
        </w:rPr>
      </w:pPr>
      <w:r w:rsidRPr="00D80F03">
        <w:rPr>
          <w:rFonts w:ascii="Arial" w:hAnsi="Arial"/>
          <w:sz w:val="22"/>
          <w:szCs w:val="22"/>
        </w:rPr>
        <w:t>Hutson et al (2013) concluded that each drug has a differentiated safety profile, consistent with its class and targeting profile.</w:t>
      </w:r>
    </w:p>
    <w:p w:rsidR="00D60A4D" w:rsidRDefault="00D60A4D" w:rsidP="00D60A4D">
      <w:pPr>
        <w:pStyle w:val="ListParagraph"/>
        <w:ind w:left="709"/>
        <w:jc w:val="both"/>
        <w:rPr>
          <w:rFonts w:ascii="Arial" w:hAnsi="Arial"/>
          <w:sz w:val="22"/>
          <w:szCs w:val="22"/>
        </w:rPr>
      </w:pPr>
    </w:p>
    <w:p w:rsidR="00D60A4D" w:rsidRPr="00D60A4D" w:rsidRDefault="00D60A4D" w:rsidP="00125172">
      <w:pPr>
        <w:pStyle w:val="ListParagraph"/>
        <w:numPr>
          <w:ilvl w:val="1"/>
          <w:numId w:val="25"/>
        </w:numPr>
        <w:jc w:val="both"/>
        <w:rPr>
          <w:rFonts w:ascii="Arial" w:hAnsi="Arial"/>
          <w:sz w:val="22"/>
          <w:szCs w:val="22"/>
          <w:u w:val="single"/>
        </w:rPr>
      </w:pPr>
      <w:r w:rsidRPr="00D60A4D">
        <w:rPr>
          <w:rFonts w:ascii="Arial" w:hAnsi="Arial"/>
          <w:sz w:val="22"/>
          <w:szCs w:val="22"/>
          <w:u w:val="single"/>
        </w:rPr>
        <w:t>Sorafenib vs. axitinib (AXIS)</w:t>
      </w:r>
    </w:p>
    <w:p w:rsidR="00D60A4D" w:rsidRPr="0026341B" w:rsidRDefault="00D60A4D" w:rsidP="00D60A4D">
      <w:pPr>
        <w:pStyle w:val="ListParagraph"/>
        <w:ind w:left="709"/>
        <w:jc w:val="both"/>
        <w:rPr>
          <w:rFonts w:ascii="Arial" w:hAnsi="Arial"/>
          <w:sz w:val="22"/>
          <w:szCs w:val="22"/>
        </w:rPr>
      </w:pPr>
      <w:r>
        <w:rPr>
          <w:rFonts w:ascii="Arial" w:hAnsi="Arial"/>
          <w:sz w:val="22"/>
          <w:szCs w:val="22"/>
        </w:rPr>
        <w:t xml:space="preserve">In November 2013, the PBAC noted that </w:t>
      </w:r>
      <w:r w:rsidRPr="00D60A4D">
        <w:rPr>
          <w:rFonts w:ascii="Arial" w:hAnsi="Arial"/>
          <w:sz w:val="22"/>
          <w:szCs w:val="22"/>
        </w:rPr>
        <w:t xml:space="preserve">hand-foot skin syndrome (51% v 27%; RR=1.87; 95% CI: 1.53, 2.27), rash (32% v 13%; RR=2.52; 95% CI: 1.84, 3.44) and alopecia (32% v 4%, RR=8.31; 95% CI: 4.86, 14.18) were reported more frequently with sorafenib; whereas hypertension (29% v 40%; RR=0.72; 95% CI:0.58, 0.88), </w:t>
      </w:r>
      <w:r w:rsidRPr="00D60A4D">
        <w:rPr>
          <w:rFonts w:ascii="Arial" w:hAnsi="Arial"/>
          <w:sz w:val="22"/>
          <w:szCs w:val="22"/>
        </w:rPr>
        <w:lastRenderedPageBreak/>
        <w:t xml:space="preserve">nausea (22% v 32%, RR=0.67; 95% CI: 0.52, 0.86), dysphonia (14% v 31%; RR=0.44, 95% CI: 0.32, 0.59) and hypothyroidism (8% v 19%, RR=0.43; 95% CI: 0.28, 0.64) were reported less frequently.  </w:t>
      </w:r>
    </w:p>
    <w:p w:rsidR="00FA6055" w:rsidRDefault="00FA6055" w:rsidP="00B6773F">
      <w:pPr>
        <w:jc w:val="both"/>
        <w:rPr>
          <w:rFonts w:ascii="Arial" w:hAnsi="Arial"/>
          <w:sz w:val="22"/>
          <w:szCs w:val="22"/>
        </w:rPr>
      </w:pPr>
    </w:p>
    <w:p w:rsidR="005A3173" w:rsidRPr="00114758" w:rsidRDefault="005A3173" w:rsidP="00882085">
      <w:pPr>
        <w:jc w:val="both"/>
        <w:rPr>
          <w:rFonts w:ascii="Arial" w:hAnsi="Arial"/>
          <w:b/>
          <w:sz w:val="22"/>
          <w:szCs w:val="22"/>
        </w:rPr>
      </w:pPr>
      <w:r w:rsidRPr="00114758">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BB7EC3" w:rsidRPr="00A220A8" w:rsidRDefault="009B0F67" w:rsidP="00125172">
      <w:pPr>
        <w:pStyle w:val="ListParagraph"/>
        <w:numPr>
          <w:ilvl w:val="1"/>
          <w:numId w:val="25"/>
        </w:numPr>
        <w:jc w:val="both"/>
        <w:rPr>
          <w:rFonts w:ascii="Arial" w:hAnsi="Arial"/>
          <w:sz w:val="22"/>
          <w:szCs w:val="22"/>
        </w:rPr>
      </w:pPr>
      <w:r w:rsidRPr="00A220A8">
        <w:rPr>
          <w:rFonts w:ascii="Arial" w:hAnsi="Arial"/>
          <w:sz w:val="22"/>
          <w:szCs w:val="22"/>
        </w:rPr>
        <w:t xml:space="preserve">The </w:t>
      </w:r>
      <w:r w:rsidR="00A220A8">
        <w:rPr>
          <w:rFonts w:ascii="Arial" w:hAnsi="Arial"/>
          <w:sz w:val="22"/>
          <w:szCs w:val="22"/>
        </w:rPr>
        <w:t>minor re</w:t>
      </w:r>
      <w:r w:rsidR="00D80F03">
        <w:rPr>
          <w:rFonts w:ascii="Arial" w:hAnsi="Arial"/>
          <w:sz w:val="22"/>
          <w:szCs w:val="22"/>
        </w:rPr>
        <w:t>submission claimed</w:t>
      </w:r>
      <w:r w:rsidR="00BB7EC3" w:rsidRPr="00A220A8">
        <w:rPr>
          <w:rFonts w:ascii="Arial" w:hAnsi="Arial"/>
          <w:sz w:val="22"/>
          <w:szCs w:val="22"/>
        </w:rPr>
        <w:t xml:space="preserve"> non-inferior comparative effectiveness </w:t>
      </w:r>
      <w:r w:rsidR="00A220A8">
        <w:rPr>
          <w:rFonts w:ascii="Arial" w:hAnsi="Arial"/>
          <w:sz w:val="22"/>
          <w:szCs w:val="22"/>
        </w:rPr>
        <w:t xml:space="preserve">and </w:t>
      </w:r>
      <w:r w:rsidR="00BB7EC3" w:rsidRPr="00A220A8">
        <w:rPr>
          <w:rFonts w:ascii="Arial" w:hAnsi="Arial"/>
          <w:sz w:val="22"/>
          <w:szCs w:val="22"/>
        </w:rPr>
        <w:t xml:space="preserve">non-inferior </w:t>
      </w:r>
      <w:r w:rsidR="00A220A8">
        <w:rPr>
          <w:rFonts w:ascii="Arial" w:hAnsi="Arial"/>
          <w:sz w:val="22"/>
          <w:szCs w:val="22"/>
        </w:rPr>
        <w:t xml:space="preserve">(“similar”) </w:t>
      </w:r>
      <w:r w:rsidR="00BB7EC3" w:rsidRPr="00A220A8">
        <w:rPr>
          <w:rFonts w:ascii="Arial" w:hAnsi="Arial"/>
          <w:sz w:val="22"/>
          <w:szCs w:val="22"/>
        </w:rPr>
        <w:t xml:space="preserve">comparative safety </w:t>
      </w:r>
      <w:r w:rsidR="00A220A8">
        <w:rPr>
          <w:rFonts w:ascii="Arial" w:hAnsi="Arial"/>
          <w:sz w:val="22"/>
          <w:szCs w:val="22"/>
        </w:rPr>
        <w:t>for sorafenib</w:t>
      </w:r>
      <w:r w:rsidR="00BB7EC3" w:rsidRPr="00A220A8">
        <w:rPr>
          <w:rFonts w:ascii="Arial" w:hAnsi="Arial"/>
          <w:i/>
          <w:sz w:val="22"/>
          <w:szCs w:val="22"/>
        </w:rPr>
        <w:t xml:space="preserve"> </w:t>
      </w:r>
      <w:r w:rsidR="00BB7EC3" w:rsidRPr="00A220A8">
        <w:rPr>
          <w:rFonts w:ascii="Arial" w:hAnsi="Arial"/>
          <w:sz w:val="22"/>
          <w:szCs w:val="22"/>
        </w:rPr>
        <w:t xml:space="preserve">compared </w:t>
      </w:r>
      <w:r w:rsidR="00967B0C">
        <w:rPr>
          <w:rFonts w:ascii="Arial" w:hAnsi="Arial"/>
          <w:sz w:val="22"/>
          <w:szCs w:val="22"/>
        </w:rPr>
        <w:t>to</w:t>
      </w:r>
      <w:r w:rsidR="00BB7EC3" w:rsidRPr="00A220A8">
        <w:rPr>
          <w:rFonts w:ascii="Arial" w:hAnsi="Arial"/>
          <w:sz w:val="22"/>
          <w:szCs w:val="22"/>
        </w:rPr>
        <w:t xml:space="preserve"> </w:t>
      </w:r>
      <w:r w:rsidR="00A220A8" w:rsidRPr="00A220A8">
        <w:rPr>
          <w:rFonts w:ascii="Arial" w:hAnsi="Arial"/>
          <w:sz w:val="22"/>
          <w:szCs w:val="22"/>
        </w:rPr>
        <w:t>everolimus</w:t>
      </w:r>
      <w:r w:rsidR="00A220A8">
        <w:rPr>
          <w:rFonts w:ascii="Arial" w:hAnsi="Arial"/>
          <w:i/>
          <w:sz w:val="22"/>
          <w:szCs w:val="22"/>
        </w:rPr>
        <w:t>.</w:t>
      </w:r>
      <w:r w:rsidR="00C00DA7" w:rsidRPr="00A220A8">
        <w:rPr>
          <w:rFonts w:ascii="Arial" w:hAnsi="Arial"/>
          <w:sz w:val="22"/>
          <w:szCs w:val="22"/>
        </w:rPr>
        <w:t xml:space="preserve"> </w:t>
      </w:r>
    </w:p>
    <w:p w:rsidR="00F57A6D" w:rsidRPr="00882085" w:rsidRDefault="00F57A6D" w:rsidP="00A220A8">
      <w:pPr>
        <w:jc w:val="both"/>
        <w:rPr>
          <w:rFonts w:ascii="Arial" w:hAnsi="Arial"/>
          <w:sz w:val="22"/>
          <w:szCs w:val="22"/>
        </w:rPr>
      </w:pPr>
    </w:p>
    <w:p w:rsidR="005A3173" w:rsidRPr="00114758" w:rsidRDefault="005A3173" w:rsidP="00882085">
      <w:pPr>
        <w:ind w:left="720" w:hanging="720"/>
        <w:jc w:val="both"/>
        <w:rPr>
          <w:rFonts w:ascii="Arial" w:hAnsi="Arial"/>
          <w:b/>
          <w:sz w:val="22"/>
          <w:szCs w:val="22"/>
        </w:rPr>
      </w:pPr>
      <w:r w:rsidRPr="00114758">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C702A7" w:rsidRDefault="009B0F67" w:rsidP="00125172">
      <w:pPr>
        <w:pStyle w:val="ListParagraph"/>
        <w:numPr>
          <w:ilvl w:val="1"/>
          <w:numId w:val="25"/>
        </w:numPr>
        <w:jc w:val="both"/>
        <w:rPr>
          <w:rFonts w:ascii="Arial" w:hAnsi="Arial"/>
          <w:sz w:val="22"/>
          <w:szCs w:val="22"/>
        </w:rPr>
      </w:pPr>
      <w:r>
        <w:rPr>
          <w:rFonts w:ascii="Arial" w:hAnsi="Arial"/>
          <w:sz w:val="22"/>
          <w:szCs w:val="22"/>
        </w:rPr>
        <w:t xml:space="preserve">In the previous major submission considered in </w:t>
      </w:r>
      <w:r w:rsidR="00A220A8">
        <w:rPr>
          <w:rFonts w:ascii="Arial" w:hAnsi="Arial"/>
          <w:sz w:val="22"/>
          <w:szCs w:val="22"/>
        </w:rPr>
        <w:t>November 2013</w:t>
      </w:r>
      <w:r>
        <w:rPr>
          <w:rFonts w:ascii="Arial" w:hAnsi="Arial"/>
          <w:sz w:val="22"/>
          <w:szCs w:val="22"/>
        </w:rPr>
        <w:t xml:space="preserve">, the submission presented </w:t>
      </w:r>
      <w:r w:rsidR="00A220A8" w:rsidRPr="00A220A8">
        <w:rPr>
          <w:rFonts w:ascii="Arial" w:hAnsi="Arial"/>
          <w:sz w:val="22"/>
          <w:szCs w:val="22"/>
        </w:rPr>
        <w:t>a modelled economic evaluation (cost utility analysis, CUA) based on t</w:t>
      </w:r>
      <w:r w:rsidR="00A220A8">
        <w:rPr>
          <w:rFonts w:ascii="Arial" w:hAnsi="Arial"/>
          <w:sz w:val="22"/>
          <w:szCs w:val="22"/>
        </w:rPr>
        <w:t xml:space="preserve">he claim of superior efficacy </w:t>
      </w:r>
      <w:r>
        <w:rPr>
          <w:rFonts w:ascii="Arial" w:hAnsi="Arial"/>
          <w:sz w:val="22"/>
          <w:szCs w:val="22"/>
        </w:rPr>
        <w:t xml:space="preserve">against </w:t>
      </w:r>
      <w:r w:rsidR="00A220A8">
        <w:rPr>
          <w:rFonts w:ascii="Arial" w:hAnsi="Arial"/>
          <w:sz w:val="22"/>
          <w:szCs w:val="22"/>
        </w:rPr>
        <w:t>best supportive care</w:t>
      </w:r>
      <w:r>
        <w:rPr>
          <w:rFonts w:ascii="Arial" w:hAnsi="Arial"/>
          <w:sz w:val="22"/>
          <w:szCs w:val="22"/>
        </w:rPr>
        <w:t xml:space="preserve">. </w:t>
      </w:r>
    </w:p>
    <w:p w:rsidR="00C702A7" w:rsidRDefault="00C702A7" w:rsidP="00C702A7">
      <w:pPr>
        <w:pStyle w:val="ListParagraph"/>
        <w:ind w:left="709"/>
        <w:jc w:val="both"/>
        <w:rPr>
          <w:rFonts w:ascii="Arial" w:hAnsi="Arial"/>
          <w:sz w:val="22"/>
          <w:szCs w:val="22"/>
        </w:rPr>
      </w:pPr>
    </w:p>
    <w:p w:rsidR="005963BB" w:rsidRDefault="00C702A7" w:rsidP="00125172">
      <w:pPr>
        <w:pStyle w:val="ListParagraph"/>
        <w:numPr>
          <w:ilvl w:val="1"/>
          <w:numId w:val="25"/>
        </w:numPr>
        <w:jc w:val="both"/>
        <w:rPr>
          <w:rFonts w:ascii="Arial" w:hAnsi="Arial"/>
          <w:sz w:val="22"/>
          <w:szCs w:val="22"/>
        </w:rPr>
      </w:pPr>
      <w:r w:rsidRPr="00C702A7">
        <w:rPr>
          <w:rFonts w:ascii="Arial" w:hAnsi="Arial"/>
          <w:sz w:val="22"/>
          <w:szCs w:val="22"/>
        </w:rPr>
        <w:t xml:space="preserve">This minor </w:t>
      </w:r>
      <w:r w:rsidR="00D80F03">
        <w:rPr>
          <w:rFonts w:ascii="Arial" w:hAnsi="Arial"/>
          <w:sz w:val="22"/>
          <w:szCs w:val="22"/>
        </w:rPr>
        <w:t xml:space="preserve">November 2014 </w:t>
      </w:r>
      <w:r w:rsidRPr="00C702A7">
        <w:rPr>
          <w:rFonts w:ascii="Arial" w:hAnsi="Arial"/>
          <w:sz w:val="22"/>
          <w:szCs w:val="22"/>
        </w:rPr>
        <w:t>re</w:t>
      </w:r>
      <w:r w:rsidR="00D80F03">
        <w:rPr>
          <w:rFonts w:ascii="Arial" w:hAnsi="Arial"/>
          <w:sz w:val="22"/>
          <w:szCs w:val="22"/>
        </w:rPr>
        <w:t xml:space="preserve">submission </w:t>
      </w:r>
      <w:r w:rsidR="006E5874">
        <w:rPr>
          <w:rFonts w:ascii="Arial" w:hAnsi="Arial"/>
          <w:sz w:val="22"/>
          <w:szCs w:val="22"/>
        </w:rPr>
        <w:t>proposed</w:t>
      </w:r>
      <w:r>
        <w:rPr>
          <w:rFonts w:ascii="Arial" w:hAnsi="Arial"/>
          <w:sz w:val="22"/>
          <w:szCs w:val="22"/>
        </w:rPr>
        <w:t xml:space="preserve"> listing sorafenib on a cost-minimisation basis against everolimus.</w:t>
      </w:r>
    </w:p>
    <w:p w:rsidR="00C702A7" w:rsidRDefault="00C702A7" w:rsidP="00A527FE">
      <w:pPr>
        <w:pStyle w:val="ListParagraph"/>
        <w:jc w:val="both"/>
        <w:rPr>
          <w:rFonts w:ascii="Arial" w:hAnsi="Arial"/>
          <w:sz w:val="22"/>
          <w:szCs w:val="22"/>
        </w:rPr>
      </w:pPr>
    </w:p>
    <w:p w:rsidR="005963BB" w:rsidRPr="00896FE4" w:rsidRDefault="00C702A7" w:rsidP="00896FE4">
      <w:pPr>
        <w:pStyle w:val="ListParagraph"/>
        <w:numPr>
          <w:ilvl w:val="1"/>
          <w:numId w:val="25"/>
        </w:numPr>
        <w:jc w:val="both"/>
        <w:rPr>
          <w:rFonts w:ascii="Arial" w:hAnsi="Arial"/>
          <w:sz w:val="22"/>
          <w:szCs w:val="22"/>
        </w:rPr>
      </w:pPr>
      <w:r>
        <w:rPr>
          <w:rFonts w:ascii="Arial" w:hAnsi="Arial"/>
          <w:sz w:val="22"/>
          <w:szCs w:val="22"/>
        </w:rPr>
        <w:t xml:space="preserve">The minor resubmission </w:t>
      </w:r>
      <w:r w:rsidR="006E5874">
        <w:rPr>
          <w:rFonts w:ascii="Arial" w:hAnsi="Arial"/>
          <w:sz w:val="22"/>
          <w:szCs w:val="22"/>
        </w:rPr>
        <w:t>proposed</w:t>
      </w:r>
      <w:r>
        <w:rPr>
          <w:rFonts w:ascii="Arial" w:hAnsi="Arial"/>
          <w:sz w:val="22"/>
          <w:szCs w:val="22"/>
        </w:rPr>
        <w:t xml:space="preserve"> that the equi-effective doses are sorafenib 800 mg and everolimus 10 mg.</w:t>
      </w:r>
    </w:p>
    <w:p w:rsidR="006E5874" w:rsidRPr="006E5874" w:rsidRDefault="006E5874" w:rsidP="006E5874">
      <w:pPr>
        <w:pStyle w:val="ListParagraph"/>
        <w:jc w:val="both"/>
        <w:rPr>
          <w:rFonts w:ascii="Arial" w:hAnsi="Arial"/>
          <w:sz w:val="22"/>
          <w:szCs w:val="22"/>
        </w:rPr>
      </w:pPr>
    </w:p>
    <w:p w:rsidR="005A3173" w:rsidRPr="00114758" w:rsidRDefault="005A3173" w:rsidP="00882085">
      <w:pPr>
        <w:ind w:left="720" w:hanging="720"/>
        <w:jc w:val="both"/>
        <w:rPr>
          <w:rFonts w:ascii="Arial" w:hAnsi="Arial"/>
          <w:b/>
          <w:sz w:val="22"/>
          <w:szCs w:val="22"/>
        </w:rPr>
      </w:pPr>
      <w:r w:rsidRPr="00114758">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6E5874" w:rsidRDefault="00C00DA7" w:rsidP="00C00DA7">
      <w:pPr>
        <w:pStyle w:val="ListParagraph"/>
        <w:numPr>
          <w:ilvl w:val="1"/>
          <w:numId w:val="25"/>
        </w:numPr>
        <w:jc w:val="both"/>
        <w:rPr>
          <w:rFonts w:ascii="Arial" w:hAnsi="Arial"/>
          <w:sz w:val="22"/>
          <w:szCs w:val="22"/>
        </w:rPr>
      </w:pPr>
      <w:r w:rsidRPr="006E5874">
        <w:rPr>
          <w:rFonts w:ascii="Arial" w:hAnsi="Arial"/>
          <w:sz w:val="22"/>
          <w:szCs w:val="22"/>
        </w:rPr>
        <w:t xml:space="preserve">The minor </w:t>
      </w:r>
      <w:r w:rsidR="005479E7" w:rsidRPr="006E5874">
        <w:rPr>
          <w:rFonts w:ascii="Arial" w:hAnsi="Arial"/>
          <w:sz w:val="22"/>
          <w:szCs w:val="22"/>
        </w:rPr>
        <w:t>re</w:t>
      </w:r>
      <w:r w:rsidRPr="006E5874">
        <w:rPr>
          <w:rFonts w:ascii="Arial" w:hAnsi="Arial"/>
          <w:sz w:val="22"/>
          <w:szCs w:val="22"/>
        </w:rPr>
        <w:t xml:space="preserve">submission </w:t>
      </w:r>
      <w:r w:rsidR="005479E7" w:rsidRPr="006E5874">
        <w:rPr>
          <w:rFonts w:ascii="Arial" w:hAnsi="Arial"/>
          <w:sz w:val="22"/>
          <w:szCs w:val="22"/>
        </w:rPr>
        <w:t>d</w:t>
      </w:r>
      <w:r w:rsidR="006E5874" w:rsidRPr="006E5874">
        <w:rPr>
          <w:rFonts w:ascii="Arial" w:hAnsi="Arial"/>
          <w:sz w:val="22"/>
          <w:szCs w:val="22"/>
        </w:rPr>
        <w:t>id</w:t>
      </w:r>
      <w:r w:rsidR="005479E7" w:rsidRPr="006E5874">
        <w:rPr>
          <w:rFonts w:ascii="Arial" w:hAnsi="Arial"/>
          <w:sz w:val="22"/>
          <w:szCs w:val="22"/>
        </w:rPr>
        <w:t xml:space="preserve"> not provide any estimates on the</w:t>
      </w:r>
      <w:r w:rsidRPr="006E5874">
        <w:rPr>
          <w:rFonts w:ascii="Arial" w:hAnsi="Arial"/>
          <w:sz w:val="22"/>
          <w:szCs w:val="22"/>
        </w:rPr>
        <w:t xml:space="preserve"> fi</w:t>
      </w:r>
      <w:r w:rsidR="005479E7" w:rsidRPr="006E5874">
        <w:rPr>
          <w:rFonts w:ascii="Arial" w:hAnsi="Arial"/>
          <w:sz w:val="22"/>
          <w:szCs w:val="22"/>
        </w:rPr>
        <w:t xml:space="preserve">nancial implications to the PBS and </w:t>
      </w:r>
      <w:r w:rsidRPr="006E5874">
        <w:rPr>
          <w:rFonts w:ascii="Arial" w:hAnsi="Arial"/>
          <w:sz w:val="22"/>
          <w:szCs w:val="22"/>
        </w:rPr>
        <w:t>changes in PBS usage</w:t>
      </w:r>
      <w:r w:rsidR="005479E7" w:rsidRPr="006E5874">
        <w:rPr>
          <w:rFonts w:ascii="Arial" w:hAnsi="Arial"/>
          <w:sz w:val="22"/>
          <w:szCs w:val="22"/>
        </w:rPr>
        <w:t>.</w:t>
      </w:r>
      <w:r w:rsidRPr="006E5874">
        <w:rPr>
          <w:rFonts w:ascii="Arial" w:hAnsi="Arial"/>
          <w:sz w:val="22"/>
          <w:szCs w:val="22"/>
        </w:rPr>
        <w:t xml:space="preserve"> </w:t>
      </w:r>
      <w:r w:rsidR="005479E7" w:rsidRPr="006E5874">
        <w:rPr>
          <w:rFonts w:ascii="Arial" w:hAnsi="Arial"/>
          <w:sz w:val="22"/>
          <w:szCs w:val="22"/>
        </w:rPr>
        <w:t>The minor resubmission’s justification for not providing any further estimates of PBS us</w:t>
      </w:r>
      <w:r w:rsidR="006E5874" w:rsidRPr="006E5874">
        <w:rPr>
          <w:rFonts w:ascii="Arial" w:hAnsi="Arial"/>
          <w:sz w:val="22"/>
          <w:szCs w:val="22"/>
        </w:rPr>
        <w:t>age and financial implications was that listing wa</w:t>
      </w:r>
      <w:r w:rsidR="005479E7" w:rsidRPr="006E5874">
        <w:rPr>
          <w:rFonts w:ascii="Arial" w:hAnsi="Arial"/>
          <w:sz w:val="22"/>
          <w:szCs w:val="22"/>
        </w:rPr>
        <w:t>s sough</w:t>
      </w:r>
      <w:r w:rsidR="006E5874" w:rsidRPr="006E5874">
        <w:rPr>
          <w:rFonts w:ascii="Arial" w:hAnsi="Arial"/>
          <w:sz w:val="22"/>
          <w:szCs w:val="22"/>
        </w:rPr>
        <w:t>t</w:t>
      </w:r>
      <w:r w:rsidR="005479E7" w:rsidRPr="006E5874">
        <w:rPr>
          <w:rFonts w:ascii="Arial" w:hAnsi="Arial"/>
          <w:sz w:val="22"/>
          <w:szCs w:val="22"/>
        </w:rPr>
        <w:t xml:space="preserve"> on a cost-minimisation basis and that the</w:t>
      </w:r>
      <w:r w:rsidR="006E5874" w:rsidRPr="006E5874">
        <w:rPr>
          <w:rFonts w:ascii="Arial" w:hAnsi="Arial"/>
          <w:sz w:val="22"/>
          <w:szCs w:val="22"/>
        </w:rPr>
        <w:t xml:space="preserve"> effective price of everolimus wa</w:t>
      </w:r>
      <w:r w:rsidR="005479E7" w:rsidRPr="006E5874">
        <w:rPr>
          <w:rFonts w:ascii="Arial" w:hAnsi="Arial"/>
          <w:sz w:val="22"/>
          <w:szCs w:val="22"/>
        </w:rPr>
        <w:t>s not known to the sponsor</w:t>
      </w:r>
      <w:r w:rsidR="006E5874" w:rsidRPr="006E5874">
        <w:rPr>
          <w:rFonts w:ascii="Arial" w:hAnsi="Arial"/>
          <w:sz w:val="22"/>
          <w:szCs w:val="22"/>
        </w:rPr>
        <w:t xml:space="preserve"> of sorafenib</w:t>
      </w:r>
      <w:r w:rsidR="005479E7" w:rsidRPr="006E5874">
        <w:rPr>
          <w:rFonts w:ascii="Arial" w:hAnsi="Arial"/>
          <w:sz w:val="22"/>
          <w:szCs w:val="22"/>
        </w:rPr>
        <w:t>.</w:t>
      </w:r>
      <w:r w:rsidR="00740244" w:rsidRPr="006E5874">
        <w:rPr>
          <w:rFonts w:ascii="Arial" w:hAnsi="Arial"/>
          <w:sz w:val="22"/>
          <w:szCs w:val="22"/>
        </w:rPr>
        <w:t xml:space="preserve">  </w:t>
      </w:r>
    </w:p>
    <w:p w:rsidR="00BB7EC3" w:rsidRDefault="00BB7EC3" w:rsidP="00BB7EC3">
      <w:pPr>
        <w:pStyle w:val="ListParagraph"/>
        <w:ind w:left="709"/>
        <w:jc w:val="both"/>
        <w:rPr>
          <w:rFonts w:ascii="Arial" w:hAnsi="Arial"/>
          <w:sz w:val="22"/>
          <w:szCs w:val="22"/>
        </w:rPr>
      </w:pPr>
    </w:p>
    <w:p w:rsidR="006E5874" w:rsidRPr="00882085" w:rsidRDefault="006E5874" w:rsidP="006E5874">
      <w:pPr>
        <w:jc w:val="both"/>
        <w:rPr>
          <w:rFonts w:ascii="Arial" w:hAnsi="Arial"/>
          <w:b/>
          <w:sz w:val="22"/>
          <w:szCs w:val="22"/>
        </w:rPr>
      </w:pPr>
    </w:p>
    <w:p w:rsidR="006E5874" w:rsidRPr="00882085" w:rsidRDefault="006E5874" w:rsidP="006E5874">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Outcome </w:t>
      </w:r>
    </w:p>
    <w:p w:rsidR="006E5874" w:rsidRPr="00882085" w:rsidRDefault="006E5874" w:rsidP="006E5874">
      <w:pPr>
        <w:jc w:val="both"/>
        <w:rPr>
          <w:rFonts w:ascii="Arial" w:hAnsi="Arial"/>
          <w:b/>
          <w:sz w:val="22"/>
          <w:szCs w:val="22"/>
        </w:rPr>
      </w:pPr>
    </w:p>
    <w:p w:rsidR="006E5874" w:rsidRPr="00A81E7A" w:rsidRDefault="006E5874" w:rsidP="00A81E7A">
      <w:pPr>
        <w:pStyle w:val="ListParagraph"/>
        <w:numPr>
          <w:ilvl w:val="1"/>
          <w:numId w:val="25"/>
        </w:numPr>
        <w:jc w:val="both"/>
        <w:rPr>
          <w:rFonts w:ascii="Arial" w:hAnsi="Arial"/>
          <w:sz w:val="22"/>
          <w:szCs w:val="22"/>
        </w:rPr>
      </w:pPr>
      <w:r w:rsidRPr="00861316">
        <w:rPr>
          <w:rFonts w:ascii="Arial" w:hAnsi="Arial"/>
          <w:sz w:val="22"/>
          <w:szCs w:val="22"/>
        </w:rPr>
        <w:t xml:space="preserve">The PBAC recommended </w:t>
      </w:r>
      <w:r w:rsidR="00A81E7A">
        <w:rPr>
          <w:rFonts w:ascii="Arial" w:hAnsi="Arial"/>
          <w:sz w:val="22"/>
          <w:szCs w:val="22"/>
        </w:rPr>
        <w:t>extending</w:t>
      </w:r>
      <w:r w:rsidRPr="00861316">
        <w:rPr>
          <w:rFonts w:ascii="Arial" w:hAnsi="Arial"/>
          <w:sz w:val="22"/>
          <w:szCs w:val="22"/>
        </w:rPr>
        <w:t xml:space="preserve"> </w:t>
      </w:r>
      <w:r w:rsidR="00861316">
        <w:rPr>
          <w:rFonts w:ascii="Arial" w:hAnsi="Arial"/>
          <w:sz w:val="22"/>
          <w:szCs w:val="22"/>
        </w:rPr>
        <w:t>s</w:t>
      </w:r>
      <w:r w:rsidR="00A81E7A">
        <w:rPr>
          <w:rFonts w:ascii="Arial" w:hAnsi="Arial"/>
          <w:sz w:val="22"/>
          <w:szCs w:val="22"/>
        </w:rPr>
        <w:t>orafenib’s existing listing to include second-line treatment of s</w:t>
      </w:r>
      <w:r w:rsidR="00A81E7A" w:rsidRPr="00A81E7A">
        <w:rPr>
          <w:rFonts w:ascii="Arial" w:hAnsi="Arial"/>
          <w:sz w:val="22"/>
          <w:szCs w:val="22"/>
        </w:rPr>
        <w:t xml:space="preserve">tage IV clear cell variant renal cell </w:t>
      </w:r>
      <w:r w:rsidRPr="00861316">
        <w:rPr>
          <w:rFonts w:ascii="Arial" w:hAnsi="Arial"/>
          <w:sz w:val="22"/>
          <w:szCs w:val="22"/>
        </w:rPr>
        <w:t xml:space="preserve">on </w:t>
      </w:r>
      <w:r w:rsidR="00861316">
        <w:rPr>
          <w:rFonts w:ascii="Arial" w:hAnsi="Arial"/>
          <w:sz w:val="22"/>
          <w:szCs w:val="22"/>
        </w:rPr>
        <w:t xml:space="preserve">a cost-minimisation basis against everolimus. </w:t>
      </w:r>
      <w:r w:rsidR="00A81E7A">
        <w:rPr>
          <w:rFonts w:ascii="Arial" w:hAnsi="Arial"/>
          <w:sz w:val="22"/>
          <w:szCs w:val="22"/>
        </w:rPr>
        <w:t xml:space="preserve">The equi-effective doses are </w:t>
      </w:r>
      <w:r w:rsidR="00A81E7A" w:rsidRPr="00A81E7A">
        <w:rPr>
          <w:rFonts w:ascii="Arial" w:hAnsi="Arial"/>
          <w:sz w:val="22"/>
          <w:szCs w:val="22"/>
        </w:rPr>
        <w:t>sorafenib 800 mg and everolimus 10 mg.</w:t>
      </w:r>
    </w:p>
    <w:p w:rsidR="006E5874" w:rsidRPr="00BB7EC3" w:rsidRDefault="006E5874" w:rsidP="006E5874">
      <w:pPr>
        <w:pStyle w:val="ListParagraph"/>
        <w:jc w:val="both"/>
        <w:rPr>
          <w:rFonts w:ascii="Arial" w:hAnsi="Arial"/>
          <w:sz w:val="22"/>
          <w:szCs w:val="22"/>
        </w:rPr>
      </w:pPr>
    </w:p>
    <w:p w:rsidR="00412962" w:rsidRDefault="00A81E7A" w:rsidP="00FC770D">
      <w:pPr>
        <w:pStyle w:val="ListParagraph"/>
        <w:numPr>
          <w:ilvl w:val="1"/>
          <w:numId w:val="25"/>
        </w:numPr>
        <w:jc w:val="both"/>
        <w:rPr>
          <w:rFonts w:ascii="Arial" w:hAnsi="Arial"/>
          <w:sz w:val="22"/>
          <w:szCs w:val="22"/>
        </w:rPr>
      </w:pPr>
      <w:r w:rsidRPr="00FC770D">
        <w:rPr>
          <w:rFonts w:ascii="Arial" w:hAnsi="Arial"/>
          <w:sz w:val="22"/>
          <w:szCs w:val="22"/>
        </w:rPr>
        <w:t xml:space="preserve">The PBAC recalled that it had recommended everolimus for use as second-line treatment of </w:t>
      </w:r>
      <w:r w:rsidR="00B36615">
        <w:rPr>
          <w:rFonts w:ascii="Arial" w:hAnsi="Arial"/>
          <w:sz w:val="22"/>
          <w:szCs w:val="22"/>
        </w:rPr>
        <w:t>RCC</w:t>
      </w:r>
      <w:r w:rsidR="00FC770D">
        <w:rPr>
          <w:rFonts w:ascii="Arial" w:hAnsi="Arial"/>
          <w:sz w:val="22"/>
          <w:szCs w:val="22"/>
        </w:rPr>
        <w:t xml:space="preserve"> after pazopanib and sunitinib</w:t>
      </w:r>
      <w:r w:rsidRPr="00FC770D">
        <w:rPr>
          <w:rFonts w:ascii="Arial" w:hAnsi="Arial"/>
          <w:sz w:val="22"/>
          <w:szCs w:val="22"/>
        </w:rPr>
        <w:t xml:space="preserve"> in </w:t>
      </w:r>
      <w:r w:rsidR="009B107B" w:rsidRPr="00FC770D">
        <w:rPr>
          <w:rFonts w:ascii="Arial" w:hAnsi="Arial"/>
          <w:sz w:val="22"/>
          <w:szCs w:val="22"/>
        </w:rPr>
        <w:t xml:space="preserve">March 2014 and that listing had become effective since </w:t>
      </w:r>
      <w:r w:rsidR="00FC770D" w:rsidRPr="00FC770D">
        <w:rPr>
          <w:rFonts w:ascii="Arial" w:hAnsi="Arial"/>
          <w:sz w:val="22"/>
          <w:szCs w:val="22"/>
        </w:rPr>
        <w:t>1 September 2014</w:t>
      </w:r>
      <w:r w:rsidR="006E5874" w:rsidRPr="00FC770D">
        <w:rPr>
          <w:rFonts w:ascii="Arial" w:hAnsi="Arial"/>
          <w:sz w:val="22"/>
          <w:szCs w:val="22"/>
        </w:rPr>
        <w:t xml:space="preserve">. </w:t>
      </w:r>
      <w:r w:rsidR="00412962">
        <w:rPr>
          <w:rFonts w:ascii="Arial" w:hAnsi="Arial"/>
          <w:sz w:val="22"/>
          <w:szCs w:val="22"/>
        </w:rPr>
        <w:t xml:space="preserve">Consumer comments received for this sorafenib resubmission commented on a lack of second line treatment options in Australia for patients with </w:t>
      </w:r>
      <w:r w:rsidR="00B36615">
        <w:rPr>
          <w:rFonts w:ascii="Arial" w:hAnsi="Arial"/>
          <w:sz w:val="22"/>
          <w:szCs w:val="22"/>
        </w:rPr>
        <w:t>RCC</w:t>
      </w:r>
      <w:r w:rsidR="00412962">
        <w:rPr>
          <w:rFonts w:ascii="Arial" w:hAnsi="Arial"/>
          <w:sz w:val="22"/>
          <w:szCs w:val="22"/>
        </w:rPr>
        <w:t xml:space="preserve">. </w:t>
      </w:r>
      <w:r w:rsidR="00FC770D" w:rsidRPr="00FC770D">
        <w:rPr>
          <w:rFonts w:ascii="Arial" w:hAnsi="Arial"/>
          <w:sz w:val="22"/>
          <w:szCs w:val="22"/>
        </w:rPr>
        <w:t>The minor resubmission</w:t>
      </w:r>
      <w:r w:rsidR="00FC770D">
        <w:rPr>
          <w:rFonts w:ascii="Arial" w:hAnsi="Arial"/>
          <w:sz w:val="22"/>
          <w:szCs w:val="22"/>
        </w:rPr>
        <w:t xml:space="preserve">’s proposal of </w:t>
      </w:r>
      <w:r w:rsidR="00FC770D" w:rsidRPr="00FC770D">
        <w:rPr>
          <w:rFonts w:ascii="Arial" w:hAnsi="Arial"/>
          <w:sz w:val="22"/>
          <w:szCs w:val="22"/>
        </w:rPr>
        <w:t xml:space="preserve">sorafenib as a second-line alternative therapy to everolimus for </w:t>
      </w:r>
      <w:r w:rsidR="00B36615">
        <w:rPr>
          <w:rFonts w:ascii="Arial" w:hAnsi="Arial"/>
          <w:sz w:val="22"/>
          <w:szCs w:val="22"/>
        </w:rPr>
        <w:t>RCC</w:t>
      </w:r>
      <w:r w:rsidR="00FC770D">
        <w:rPr>
          <w:rFonts w:ascii="Arial" w:hAnsi="Arial"/>
          <w:sz w:val="22"/>
          <w:szCs w:val="22"/>
        </w:rPr>
        <w:t xml:space="preserve"> </w:t>
      </w:r>
      <w:r w:rsidR="00412962">
        <w:rPr>
          <w:rFonts w:ascii="Arial" w:hAnsi="Arial"/>
          <w:sz w:val="22"/>
          <w:szCs w:val="22"/>
        </w:rPr>
        <w:t xml:space="preserve">would </w:t>
      </w:r>
      <w:r w:rsidR="00FC770D">
        <w:rPr>
          <w:rFonts w:ascii="Arial" w:hAnsi="Arial"/>
          <w:sz w:val="22"/>
          <w:szCs w:val="22"/>
        </w:rPr>
        <w:t>therefore</w:t>
      </w:r>
      <w:r w:rsidR="00412962">
        <w:rPr>
          <w:rFonts w:ascii="Arial" w:hAnsi="Arial"/>
          <w:sz w:val="22"/>
          <w:szCs w:val="22"/>
        </w:rPr>
        <w:t xml:space="preserve"> meet the perceived treatment gap to some extent.  The recent PBS listing of everolimus for second-line treatment of </w:t>
      </w:r>
      <w:r w:rsidR="00B36615">
        <w:rPr>
          <w:rFonts w:ascii="Arial" w:hAnsi="Arial"/>
          <w:sz w:val="22"/>
          <w:szCs w:val="22"/>
        </w:rPr>
        <w:t>RCC</w:t>
      </w:r>
      <w:r w:rsidR="00412962">
        <w:rPr>
          <w:rFonts w:ascii="Arial" w:hAnsi="Arial"/>
          <w:sz w:val="22"/>
          <w:szCs w:val="22"/>
        </w:rPr>
        <w:t xml:space="preserve"> also influenced the choice of comparator for the resubmission. </w:t>
      </w:r>
      <w:r w:rsidR="00FC770D">
        <w:rPr>
          <w:rFonts w:ascii="Arial" w:hAnsi="Arial"/>
          <w:sz w:val="22"/>
          <w:szCs w:val="22"/>
        </w:rPr>
        <w:t xml:space="preserve"> </w:t>
      </w:r>
    </w:p>
    <w:p w:rsidR="00412962" w:rsidRDefault="00412962" w:rsidP="00412962">
      <w:pPr>
        <w:pStyle w:val="ListParagraph"/>
        <w:jc w:val="both"/>
        <w:rPr>
          <w:rFonts w:ascii="Arial" w:hAnsi="Arial"/>
          <w:sz w:val="22"/>
          <w:szCs w:val="22"/>
        </w:rPr>
      </w:pPr>
    </w:p>
    <w:p w:rsidR="006E5874" w:rsidRPr="007478DB" w:rsidRDefault="00412962" w:rsidP="007478DB">
      <w:pPr>
        <w:pStyle w:val="ListParagraph"/>
        <w:numPr>
          <w:ilvl w:val="1"/>
          <w:numId w:val="25"/>
        </w:numPr>
        <w:jc w:val="both"/>
        <w:rPr>
          <w:rFonts w:ascii="Arial" w:hAnsi="Arial"/>
          <w:sz w:val="22"/>
          <w:szCs w:val="22"/>
        </w:rPr>
      </w:pPr>
      <w:r w:rsidRPr="007478DB">
        <w:rPr>
          <w:rFonts w:ascii="Arial" w:hAnsi="Arial"/>
          <w:sz w:val="22"/>
          <w:szCs w:val="22"/>
        </w:rPr>
        <w:t xml:space="preserve">Previously, </w:t>
      </w:r>
      <w:r w:rsidR="00FC770D" w:rsidRPr="007478DB">
        <w:rPr>
          <w:rFonts w:ascii="Arial" w:hAnsi="Arial"/>
          <w:sz w:val="22"/>
          <w:szCs w:val="22"/>
        </w:rPr>
        <w:t>best sup</w:t>
      </w:r>
      <w:r w:rsidRPr="007478DB">
        <w:rPr>
          <w:rFonts w:ascii="Arial" w:hAnsi="Arial"/>
          <w:sz w:val="22"/>
          <w:szCs w:val="22"/>
        </w:rPr>
        <w:t xml:space="preserve">portive care was nominated as the comparator in </w:t>
      </w:r>
      <w:r w:rsidR="00907222" w:rsidRPr="007478DB">
        <w:rPr>
          <w:rFonts w:ascii="Arial" w:hAnsi="Arial"/>
          <w:sz w:val="22"/>
          <w:szCs w:val="22"/>
        </w:rPr>
        <w:t xml:space="preserve">the </w:t>
      </w:r>
      <w:r w:rsidR="00FC770D" w:rsidRPr="007478DB">
        <w:rPr>
          <w:rFonts w:ascii="Arial" w:hAnsi="Arial"/>
          <w:sz w:val="22"/>
          <w:szCs w:val="22"/>
        </w:rPr>
        <w:t>submission last considered by the PBAC in November 2013</w:t>
      </w:r>
      <w:r w:rsidRPr="007478DB">
        <w:rPr>
          <w:rFonts w:ascii="Arial" w:hAnsi="Arial"/>
          <w:sz w:val="22"/>
          <w:szCs w:val="22"/>
        </w:rPr>
        <w:t xml:space="preserve">. </w:t>
      </w:r>
      <w:r w:rsidR="00907222" w:rsidRPr="007478DB">
        <w:rPr>
          <w:rFonts w:ascii="Arial" w:hAnsi="Arial"/>
          <w:sz w:val="22"/>
          <w:szCs w:val="22"/>
        </w:rPr>
        <w:t xml:space="preserve">Following the March 2014 PBAC recommendation and listing of everolimus for second-line use in </w:t>
      </w:r>
      <w:r w:rsidR="00B36615">
        <w:rPr>
          <w:rFonts w:ascii="Arial" w:hAnsi="Arial"/>
          <w:sz w:val="22"/>
          <w:szCs w:val="22"/>
        </w:rPr>
        <w:t>RCC</w:t>
      </w:r>
      <w:r w:rsidR="00907222" w:rsidRPr="007478DB">
        <w:rPr>
          <w:rFonts w:ascii="Arial" w:hAnsi="Arial"/>
          <w:sz w:val="22"/>
          <w:szCs w:val="22"/>
        </w:rPr>
        <w:t xml:space="preserve">, the minor resubmission nominated everolimus as the </w:t>
      </w:r>
      <w:r w:rsidR="00367C17" w:rsidRPr="007478DB">
        <w:rPr>
          <w:rFonts w:ascii="Arial" w:hAnsi="Arial"/>
          <w:sz w:val="22"/>
          <w:szCs w:val="22"/>
        </w:rPr>
        <w:t>comparator.</w:t>
      </w:r>
      <w:r w:rsidR="00907222" w:rsidRPr="007478DB">
        <w:rPr>
          <w:rFonts w:ascii="Arial" w:hAnsi="Arial"/>
          <w:sz w:val="22"/>
          <w:szCs w:val="22"/>
        </w:rPr>
        <w:t xml:space="preserve"> The PBAC considered this to </w:t>
      </w:r>
      <w:r w:rsidR="00907222" w:rsidRPr="007478DB">
        <w:rPr>
          <w:rFonts w:ascii="Arial" w:hAnsi="Arial"/>
          <w:sz w:val="22"/>
          <w:szCs w:val="22"/>
        </w:rPr>
        <w:lastRenderedPageBreak/>
        <w:t>be appropriate</w:t>
      </w:r>
      <w:r w:rsidR="00C269D8" w:rsidRPr="007478DB">
        <w:rPr>
          <w:rFonts w:ascii="Arial" w:hAnsi="Arial"/>
          <w:sz w:val="22"/>
          <w:szCs w:val="22"/>
        </w:rPr>
        <w:t>.</w:t>
      </w:r>
      <w:r w:rsidR="007478DB" w:rsidRPr="007478DB">
        <w:rPr>
          <w:rFonts w:ascii="Arial" w:hAnsi="Arial"/>
          <w:sz w:val="22"/>
          <w:szCs w:val="22"/>
        </w:rPr>
        <w:t xml:space="preserve"> The PBAC also recalled that in November 2013, it had considered that axitinib was also a relevant comparator.</w:t>
      </w:r>
    </w:p>
    <w:p w:rsidR="00907222" w:rsidRDefault="00907222" w:rsidP="00907222">
      <w:pPr>
        <w:pStyle w:val="ListParagraph"/>
        <w:jc w:val="both"/>
        <w:rPr>
          <w:rFonts w:ascii="Arial" w:hAnsi="Arial"/>
          <w:sz w:val="22"/>
          <w:szCs w:val="22"/>
        </w:rPr>
      </w:pPr>
    </w:p>
    <w:p w:rsidR="00907222" w:rsidRDefault="00907222" w:rsidP="00907222">
      <w:pPr>
        <w:pStyle w:val="ListParagraph"/>
        <w:numPr>
          <w:ilvl w:val="1"/>
          <w:numId w:val="25"/>
        </w:numPr>
        <w:jc w:val="both"/>
        <w:rPr>
          <w:rFonts w:ascii="Arial" w:hAnsi="Arial"/>
          <w:sz w:val="22"/>
          <w:szCs w:val="22"/>
        </w:rPr>
      </w:pPr>
      <w:r>
        <w:rPr>
          <w:rFonts w:ascii="Arial" w:hAnsi="Arial"/>
          <w:sz w:val="22"/>
          <w:szCs w:val="22"/>
        </w:rPr>
        <w:t>The PBAC noted that n</w:t>
      </w:r>
      <w:r w:rsidRPr="00907222">
        <w:rPr>
          <w:rFonts w:ascii="Arial" w:hAnsi="Arial"/>
          <w:sz w:val="22"/>
          <w:szCs w:val="22"/>
        </w:rPr>
        <w:t>o new clinical trials were presented in the minor res</w:t>
      </w:r>
      <w:r>
        <w:rPr>
          <w:rFonts w:ascii="Arial" w:hAnsi="Arial"/>
          <w:sz w:val="22"/>
          <w:szCs w:val="22"/>
        </w:rPr>
        <w:t xml:space="preserve">ubmission </w:t>
      </w:r>
      <w:r w:rsidR="00C269D8">
        <w:rPr>
          <w:rFonts w:ascii="Arial" w:hAnsi="Arial"/>
          <w:sz w:val="22"/>
          <w:szCs w:val="22"/>
        </w:rPr>
        <w:t>to inform an assessment of comparative efficacy and safety for sorafenib compared to everolimus.  T</w:t>
      </w:r>
      <w:r w:rsidRPr="00907222">
        <w:rPr>
          <w:rFonts w:ascii="Arial" w:hAnsi="Arial"/>
          <w:sz w:val="22"/>
          <w:szCs w:val="22"/>
        </w:rPr>
        <w:t>he evidence base (INTORS</w:t>
      </w:r>
      <w:r>
        <w:rPr>
          <w:rFonts w:ascii="Arial" w:hAnsi="Arial"/>
          <w:sz w:val="22"/>
          <w:szCs w:val="22"/>
        </w:rPr>
        <w:t>ECT, RECORD-1 and AXIS trials) for the</w:t>
      </w:r>
      <w:r w:rsidR="00367C17">
        <w:rPr>
          <w:rFonts w:ascii="Arial" w:hAnsi="Arial"/>
          <w:sz w:val="22"/>
          <w:szCs w:val="22"/>
        </w:rPr>
        <w:t xml:space="preserve"> minor resubmission remained largely</w:t>
      </w:r>
      <w:r w:rsidRPr="00907222">
        <w:rPr>
          <w:rFonts w:ascii="Arial" w:hAnsi="Arial"/>
          <w:sz w:val="22"/>
          <w:szCs w:val="22"/>
        </w:rPr>
        <w:t xml:space="preserve"> unchanged from the N</w:t>
      </w:r>
      <w:r w:rsidR="00367C17">
        <w:rPr>
          <w:rFonts w:ascii="Arial" w:hAnsi="Arial"/>
          <w:sz w:val="22"/>
          <w:szCs w:val="22"/>
        </w:rPr>
        <w:t>ovember 2013 major resubmission, with the exception being that results from the INTORSECT trial had since been published in December 2013.</w:t>
      </w:r>
    </w:p>
    <w:p w:rsidR="00F32A32" w:rsidRDefault="00F32A32" w:rsidP="00F32A32">
      <w:pPr>
        <w:pStyle w:val="ListParagraph"/>
        <w:jc w:val="both"/>
        <w:rPr>
          <w:rFonts w:ascii="Arial" w:hAnsi="Arial"/>
          <w:sz w:val="22"/>
          <w:szCs w:val="22"/>
        </w:rPr>
      </w:pPr>
    </w:p>
    <w:p w:rsidR="00AF4AA2" w:rsidRDefault="00F32A32" w:rsidP="007478DB">
      <w:pPr>
        <w:pStyle w:val="ListParagraph"/>
        <w:numPr>
          <w:ilvl w:val="1"/>
          <w:numId w:val="25"/>
        </w:numPr>
        <w:jc w:val="both"/>
        <w:rPr>
          <w:rFonts w:ascii="Arial" w:hAnsi="Arial"/>
          <w:sz w:val="22"/>
          <w:szCs w:val="22"/>
        </w:rPr>
      </w:pPr>
      <w:r w:rsidRPr="007478DB">
        <w:rPr>
          <w:rFonts w:ascii="Arial" w:hAnsi="Arial"/>
          <w:sz w:val="22"/>
          <w:szCs w:val="22"/>
        </w:rPr>
        <w:t xml:space="preserve">In terms of </w:t>
      </w:r>
      <w:r w:rsidR="00B21543" w:rsidRPr="007478DB">
        <w:rPr>
          <w:rFonts w:ascii="Arial" w:hAnsi="Arial"/>
          <w:sz w:val="22"/>
          <w:szCs w:val="22"/>
        </w:rPr>
        <w:t xml:space="preserve">assessing </w:t>
      </w:r>
      <w:r w:rsidRPr="007478DB">
        <w:rPr>
          <w:rFonts w:ascii="Arial" w:hAnsi="Arial"/>
          <w:sz w:val="22"/>
          <w:szCs w:val="22"/>
        </w:rPr>
        <w:t xml:space="preserve">comparative effectiveness, </w:t>
      </w:r>
      <w:r w:rsidR="00B21543" w:rsidRPr="007478DB">
        <w:rPr>
          <w:rFonts w:ascii="Arial" w:hAnsi="Arial"/>
          <w:sz w:val="22"/>
          <w:szCs w:val="22"/>
        </w:rPr>
        <w:t>the PBAC recalled</w:t>
      </w:r>
      <w:r w:rsidR="00B91F9F" w:rsidRPr="007478DB">
        <w:rPr>
          <w:rFonts w:ascii="Arial" w:hAnsi="Arial"/>
          <w:sz w:val="22"/>
          <w:szCs w:val="22"/>
        </w:rPr>
        <w:t xml:space="preserve"> its previous concerns </w:t>
      </w:r>
      <w:r w:rsidR="007478DB">
        <w:rPr>
          <w:rFonts w:ascii="Arial" w:hAnsi="Arial"/>
          <w:sz w:val="22"/>
          <w:szCs w:val="22"/>
        </w:rPr>
        <w:t xml:space="preserve">that </w:t>
      </w:r>
      <w:r w:rsidR="007478DB" w:rsidRPr="007478DB">
        <w:rPr>
          <w:rFonts w:ascii="Arial" w:hAnsi="Arial"/>
          <w:sz w:val="22"/>
          <w:szCs w:val="22"/>
        </w:rPr>
        <w:t>results of the indirect comparison did not provide a reliable basis for estimating the effectiveness of sorafenib</w:t>
      </w:r>
      <w:r w:rsidR="007478DB">
        <w:rPr>
          <w:rFonts w:ascii="Arial" w:hAnsi="Arial"/>
          <w:sz w:val="22"/>
          <w:szCs w:val="22"/>
        </w:rPr>
        <w:t>.</w:t>
      </w:r>
      <w:r w:rsidR="007478DB" w:rsidRPr="007478DB">
        <w:rPr>
          <w:rFonts w:ascii="Arial" w:hAnsi="Arial"/>
          <w:sz w:val="22"/>
          <w:szCs w:val="22"/>
        </w:rPr>
        <w:t xml:space="preserve"> </w:t>
      </w:r>
      <w:r w:rsidR="00B21543" w:rsidRPr="007478DB">
        <w:rPr>
          <w:rFonts w:ascii="Arial" w:hAnsi="Arial"/>
          <w:sz w:val="22"/>
          <w:szCs w:val="22"/>
        </w:rPr>
        <w:t xml:space="preserve">However, </w:t>
      </w:r>
      <w:r w:rsidRPr="007478DB">
        <w:rPr>
          <w:rFonts w:ascii="Arial" w:hAnsi="Arial"/>
          <w:sz w:val="22"/>
          <w:szCs w:val="22"/>
        </w:rPr>
        <w:t>the</w:t>
      </w:r>
      <w:r w:rsidR="007478DB">
        <w:rPr>
          <w:rFonts w:ascii="Arial" w:hAnsi="Arial"/>
          <w:sz w:val="22"/>
          <w:szCs w:val="22"/>
        </w:rPr>
        <w:t xml:space="preserve"> PBAC noted</w:t>
      </w:r>
      <w:r w:rsidR="00842C5A" w:rsidRPr="007478DB">
        <w:rPr>
          <w:rFonts w:ascii="Arial" w:hAnsi="Arial"/>
          <w:sz w:val="22"/>
          <w:szCs w:val="22"/>
        </w:rPr>
        <w:t xml:space="preserve"> that this was in the context of best supportive care being the comparator</w:t>
      </w:r>
      <w:r w:rsidRPr="007478DB">
        <w:rPr>
          <w:rFonts w:ascii="Arial" w:hAnsi="Arial"/>
          <w:sz w:val="22"/>
          <w:szCs w:val="22"/>
        </w:rPr>
        <w:t xml:space="preserve"> </w:t>
      </w:r>
      <w:r w:rsidR="00842C5A" w:rsidRPr="007478DB">
        <w:rPr>
          <w:rFonts w:ascii="Arial" w:hAnsi="Arial"/>
          <w:sz w:val="22"/>
          <w:szCs w:val="22"/>
        </w:rPr>
        <w:t xml:space="preserve">and an assessment of the incremental benefit of sorafenib over best supportive care. </w:t>
      </w:r>
      <w:r w:rsidR="005A27CF" w:rsidRPr="007478DB">
        <w:rPr>
          <w:rFonts w:ascii="Arial" w:hAnsi="Arial"/>
          <w:sz w:val="22"/>
          <w:szCs w:val="22"/>
        </w:rPr>
        <w:t>As everolimus was now accepted as the appropriate comparator,</w:t>
      </w:r>
      <w:r w:rsidR="00E020DB">
        <w:rPr>
          <w:rFonts w:ascii="Arial" w:hAnsi="Arial"/>
          <w:sz w:val="22"/>
          <w:szCs w:val="22"/>
        </w:rPr>
        <w:t xml:space="preserve"> noting that axitinib was also under consideration for the same </w:t>
      </w:r>
      <w:r w:rsidR="00ED6B18">
        <w:rPr>
          <w:rFonts w:ascii="Arial" w:hAnsi="Arial"/>
          <w:sz w:val="22"/>
          <w:szCs w:val="22"/>
        </w:rPr>
        <w:t xml:space="preserve">second-line </w:t>
      </w:r>
      <w:r w:rsidR="00B36615">
        <w:rPr>
          <w:rFonts w:ascii="Arial" w:hAnsi="Arial"/>
          <w:sz w:val="22"/>
          <w:szCs w:val="22"/>
        </w:rPr>
        <w:t>RCC</w:t>
      </w:r>
      <w:r w:rsidR="00ED6B18">
        <w:rPr>
          <w:rFonts w:ascii="Arial" w:hAnsi="Arial"/>
          <w:sz w:val="22"/>
          <w:szCs w:val="22"/>
        </w:rPr>
        <w:t xml:space="preserve"> </w:t>
      </w:r>
      <w:r w:rsidR="00E020DB">
        <w:rPr>
          <w:rFonts w:ascii="Arial" w:hAnsi="Arial"/>
          <w:sz w:val="22"/>
          <w:szCs w:val="22"/>
        </w:rPr>
        <w:t>listing</w:t>
      </w:r>
      <w:r w:rsidR="00ED6B18">
        <w:rPr>
          <w:rFonts w:ascii="Arial" w:hAnsi="Arial"/>
          <w:sz w:val="22"/>
          <w:szCs w:val="22"/>
        </w:rPr>
        <w:t xml:space="preserve"> as everolimus and sorafenib</w:t>
      </w:r>
      <w:r w:rsidR="00E020DB">
        <w:rPr>
          <w:rFonts w:ascii="Arial" w:hAnsi="Arial"/>
          <w:sz w:val="22"/>
          <w:szCs w:val="22"/>
        </w:rPr>
        <w:t xml:space="preserve"> at this meeting, the PBAC considered an acceptance that axitinib provides similar health benefits compared to everolimus would provide </w:t>
      </w:r>
      <w:r w:rsidR="00ED6B18">
        <w:rPr>
          <w:rFonts w:ascii="Arial" w:hAnsi="Arial"/>
          <w:sz w:val="22"/>
          <w:szCs w:val="22"/>
        </w:rPr>
        <w:t xml:space="preserve">a </w:t>
      </w:r>
      <w:r w:rsidR="00E020DB">
        <w:rPr>
          <w:rFonts w:ascii="Arial" w:hAnsi="Arial"/>
          <w:sz w:val="22"/>
          <w:szCs w:val="22"/>
        </w:rPr>
        <w:t xml:space="preserve">sufficient basis to </w:t>
      </w:r>
      <w:r w:rsidR="00ED6B18">
        <w:rPr>
          <w:rFonts w:ascii="Arial" w:hAnsi="Arial"/>
          <w:sz w:val="22"/>
          <w:szCs w:val="22"/>
        </w:rPr>
        <w:t xml:space="preserve">accept that </w:t>
      </w:r>
      <w:r w:rsidR="00E020DB">
        <w:rPr>
          <w:rFonts w:ascii="Arial" w:hAnsi="Arial"/>
          <w:sz w:val="22"/>
          <w:szCs w:val="22"/>
        </w:rPr>
        <w:t>sorafenib</w:t>
      </w:r>
      <w:r w:rsidR="00ED6B18">
        <w:rPr>
          <w:rFonts w:ascii="Arial" w:hAnsi="Arial"/>
          <w:sz w:val="22"/>
          <w:szCs w:val="22"/>
        </w:rPr>
        <w:t xml:space="preserve"> would also provide similar health benefits compared to everolimus</w:t>
      </w:r>
      <w:r w:rsidR="00E020DB">
        <w:rPr>
          <w:rFonts w:ascii="Arial" w:hAnsi="Arial"/>
          <w:sz w:val="22"/>
          <w:szCs w:val="22"/>
        </w:rPr>
        <w:t xml:space="preserve"> since</w:t>
      </w:r>
      <w:r w:rsidR="005A27CF" w:rsidRPr="007478DB">
        <w:rPr>
          <w:rFonts w:ascii="Arial" w:hAnsi="Arial"/>
          <w:sz w:val="22"/>
          <w:szCs w:val="22"/>
        </w:rPr>
        <w:t xml:space="preserve"> </w:t>
      </w:r>
      <w:r w:rsidR="007478DB">
        <w:rPr>
          <w:rFonts w:ascii="Arial" w:hAnsi="Arial"/>
          <w:sz w:val="22"/>
          <w:szCs w:val="22"/>
        </w:rPr>
        <w:t>t</w:t>
      </w:r>
      <w:r w:rsidR="007478DB" w:rsidRPr="007478DB">
        <w:rPr>
          <w:rFonts w:ascii="Arial" w:hAnsi="Arial"/>
          <w:sz w:val="22"/>
          <w:szCs w:val="22"/>
        </w:rPr>
        <w:t xml:space="preserve">he PBAC </w:t>
      </w:r>
      <w:r w:rsidR="007478DB">
        <w:rPr>
          <w:rFonts w:ascii="Arial" w:hAnsi="Arial"/>
          <w:sz w:val="22"/>
          <w:szCs w:val="22"/>
        </w:rPr>
        <w:t xml:space="preserve">had previously </w:t>
      </w:r>
      <w:r w:rsidR="007478DB" w:rsidRPr="007478DB">
        <w:rPr>
          <w:rFonts w:ascii="Arial" w:hAnsi="Arial"/>
          <w:sz w:val="22"/>
          <w:szCs w:val="22"/>
        </w:rPr>
        <w:t>considered</w:t>
      </w:r>
      <w:r w:rsidR="007478DB">
        <w:rPr>
          <w:rFonts w:ascii="Arial" w:hAnsi="Arial"/>
          <w:sz w:val="22"/>
          <w:szCs w:val="22"/>
        </w:rPr>
        <w:t xml:space="preserve"> in November 2013</w:t>
      </w:r>
      <w:r w:rsidR="007478DB" w:rsidRPr="007478DB">
        <w:rPr>
          <w:rFonts w:ascii="Arial" w:hAnsi="Arial"/>
          <w:sz w:val="22"/>
          <w:szCs w:val="22"/>
        </w:rPr>
        <w:t xml:space="preserve"> that the available data, including the head-to-head AXIS trial, appeared to demonstrate non-inferior efficacy between sorafenib and axitinib.</w:t>
      </w:r>
      <w:r w:rsidR="00E020DB">
        <w:rPr>
          <w:rFonts w:ascii="Arial" w:hAnsi="Arial"/>
          <w:sz w:val="22"/>
          <w:szCs w:val="22"/>
        </w:rPr>
        <w:t xml:space="preserve"> </w:t>
      </w:r>
    </w:p>
    <w:p w:rsidR="006E5874" w:rsidRPr="00C269D8" w:rsidRDefault="006E5874" w:rsidP="00C269D8">
      <w:pPr>
        <w:jc w:val="both"/>
        <w:rPr>
          <w:rFonts w:ascii="Arial" w:hAnsi="Arial"/>
          <w:sz w:val="22"/>
          <w:szCs w:val="22"/>
        </w:rPr>
      </w:pPr>
    </w:p>
    <w:p w:rsidR="006B70AA" w:rsidRDefault="0050283C" w:rsidP="006B70AA">
      <w:pPr>
        <w:pStyle w:val="ListParagraph"/>
        <w:numPr>
          <w:ilvl w:val="1"/>
          <w:numId w:val="25"/>
        </w:numPr>
        <w:jc w:val="both"/>
        <w:rPr>
          <w:rFonts w:ascii="Arial" w:hAnsi="Arial"/>
          <w:iCs/>
          <w:sz w:val="22"/>
          <w:szCs w:val="22"/>
        </w:rPr>
      </w:pPr>
      <w:r>
        <w:rPr>
          <w:rFonts w:ascii="Arial" w:hAnsi="Arial"/>
          <w:iCs/>
          <w:sz w:val="22"/>
          <w:szCs w:val="22"/>
        </w:rPr>
        <w:t>As there</w:t>
      </w:r>
      <w:r w:rsidRPr="006B70AA">
        <w:rPr>
          <w:rFonts w:ascii="Arial" w:hAnsi="Arial"/>
          <w:iCs/>
          <w:sz w:val="22"/>
          <w:szCs w:val="22"/>
        </w:rPr>
        <w:t xml:space="preserve"> </w:t>
      </w:r>
      <w:r>
        <w:rPr>
          <w:rFonts w:ascii="Arial" w:hAnsi="Arial"/>
          <w:iCs/>
          <w:sz w:val="22"/>
          <w:szCs w:val="22"/>
        </w:rPr>
        <w:t>were no</w:t>
      </w:r>
      <w:r w:rsidR="006B70AA" w:rsidRPr="006B70AA">
        <w:rPr>
          <w:rFonts w:ascii="Arial" w:hAnsi="Arial"/>
          <w:iCs/>
          <w:sz w:val="22"/>
          <w:szCs w:val="22"/>
        </w:rPr>
        <w:t xml:space="preserve"> head-to-head randomised controlled trials comparing </w:t>
      </w:r>
      <w:r w:rsidR="006B70AA">
        <w:rPr>
          <w:rFonts w:ascii="Arial" w:hAnsi="Arial"/>
          <w:iCs/>
          <w:sz w:val="22"/>
          <w:szCs w:val="22"/>
        </w:rPr>
        <w:t xml:space="preserve">sorafenib to </w:t>
      </w:r>
      <w:r w:rsidR="006B70AA" w:rsidRPr="006B70AA">
        <w:rPr>
          <w:rFonts w:ascii="Arial" w:hAnsi="Arial"/>
          <w:iCs/>
          <w:sz w:val="22"/>
          <w:szCs w:val="22"/>
        </w:rPr>
        <w:t xml:space="preserve">everolimus </w:t>
      </w:r>
      <w:r>
        <w:rPr>
          <w:rFonts w:ascii="Arial" w:hAnsi="Arial"/>
          <w:iCs/>
          <w:sz w:val="22"/>
          <w:szCs w:val="22"/>
        </w:rPr>
        <w:t>or</w:t>
      </w:r>
      <w:r w:rsidR="006B70AA">
        <w:rPr>
          <w:rFonts w:ascii="Arial" w:hAnsi="Arial"/>
          <w:iCs/>
          <w:sz w:val="22"/>
          <w:szCs w:val="22"/>
        </w:rPr>
        <w:t xml:space="preserve"> any trials that would enable a reliable</w:t>
      </w:r>
      <w:r w:rsidR="006B70AA" w:rsidRPr="006B70AA">
        <w:rPr>
          <w:rFonts w:ascii="Arial" w:hAnsi="Arial"/>
          <w:iCs/>
          <w:sz w:val="22"/>
          <w:szCs w:val="22"/>
        </w:rPr>
        <w:t xml:space="preserve"> indirect comparison of </w:t>
      </w:r>
      <w:r w:rsidR="00D57700">
        <w:rPr>
          <w:rFonts w:ascii="Arial" w:hAnsi="Arial"/>
          <w:iCs/>
          <w:sz w:val="22"/>
          <w:szCs w:val="22"/>
        </w:rPr>
        <w:t>sorafenib to everolimus</w:t>
      </w:r>
      <w:r w:rsidR="006B70AA" w:rsidRPr="006B70AA">
        <w:rPr>
          <w:rFonts w:ascii="Arial" w:hAnsi="Arial"/>
          <w:iCs/>
          <w:sz w:val="22"/>
          <w:szCs w:val="22"/>
        </w:rPr>
        <w:t xml:space="preserve">, the comparative benefits/harms of </w:t>
      </w:r>
      <w:r w:rsidR="006B70AA">
        <w:rPr>
          <w:rFonts w:ascii="Arial" w:hAnsi="Arial"/>
          <w:iCs/>
          <w:sz w:val="22"/>
          <w:szCs w:val="22"/>
        </w:rPr>
        <w:t xml:space="preserve">sorafenib compared to </w:t>
      </w:r>
      <w:r w:rsidR="006B70AA" w:rsidRPr="006B70AA">
        <w:rPr>
          <w:rFonts w:ascii="Arial" w:hAnsi="Arial"/>
          <w:iCs/>
          <w:sz w:val="22"/>
          <w:szCs w:val="22"/>
        </w:rPr>
        <w:t>everolimus could not be quantified.</w:t>
      </w:r>
      <w:r w:rsidR="006B70AA">
        <w:rPr>
          <w:rFonts w:ascii="Arial" w:hAnsi="Arial"/>
          <w:iCs/>
          <w:sz w:val="22"/>
          <w:szCs w:val="22"/>
        </w:rPr>
        <w:t xml:space="preserve"> However, based on the safety data present in the INTORSECT, RECORD-1 and AXIS trials, the PBAC </w:t>
      </w:r>
      <w:r w:rsidR="00D57700">
        <w:rPr>
          <w:rFonts w:ascii="Arial" w:hAnsi="Arial"/>
          <w:iCs/>
          <w:sz w:val="22"/>
          <w:szCs w:val="22"/>
        </w:rPr>
        <w:t xml:space="preserve">accepted </w:t>
      </w:r>
      <w:r w:rsidR="006B70AA">
        <w:rPr>
          <w:rFonts w:ascii="Arial" w:hAnsi="Arial"/>
          <w:iCs/>
          <w:sz w:val="22"/>
          <w:szCs w:val="22"/>
        </w:rPr>
        <w:t>that sorafenib’s comparative safety would be</w:t>
      </w:r>
      <w:r w:rsidR="00D57700">
        <w:rPr>
          <w:rFonts w:ascii="Arial" w:hAnsi="Arial"/>
          <w:iCs/>
          <w:sz w:val="22"/>
          <w:szCs w:val="22"/>
        </w:rPr>
        <w:t xml:space="preserve"> likely to be comparable</w:t>
      </w:r>
      <w:r w:rsidR="006B70AA">
        <w:rPr>
          <w:rFonts w:ascii="Arial" w:hAnsi="Arial"/>
          <w:iCs/>
          <w:sz w:val="22"/>
          <w:szCs w:val="22"/>
        </w:rPr>
        <w:t xml:space="preserve"> to everolimus</w:t>
      </w:r>
      <w:r>
        <w:rPr>
          <w:rFonts w:ascii="Arial" w:hAnsi="Arial"/>
          <w:iCs/>
          <w:sz w:val="22"/>
          <w:szCs w:val="22"/>
        </w:rPr>
        <w:t>’</w:t>
      </w:r>
      <w:r w:rsidR="006B70AA">
        <w:rPr>
          <w:rFonts w:ascii="Arial" w:hAnsi="Arial"/>
          <w:iCs/>
          <w:sz w:val="22"/>
          <w:szCs w:val="22"/>
        </w:rPr>
        <w:t xml:space="preserve"> </w:t>
      </w:r>
      <w:r>
        <w:rPr>
          <w:rFonts w:ascii="Arial" w:hAnsi="Arial"/>
          <w:iCs/>
          <w:sz w:val="22"/>
          <w:szCs w:val="22"/>
        </w:rPr>
        <w:t xml:space="preserve">and </w:t>
      </w:r>
      <w:r w:rsidR="006B70AA">
        <w:rPr>
          <w:rFonts w:ascii="Arial" w:hAnsi="Arial"/>
          <w:iCs/>
          <w:sz w:val="22"/>
          <w:szCs w:val="22"/>
        </w:rPr>
        <w:t xml:space="preserve">axitinib’s safety profile in clinical practice. </w:t>
      </w:r>
    </w:p>
    <w:p w:rsidR="00C21C22" w:rsidRPr="006B70AA" w:rsidRDefault="00C21C22" w:rsidP="00C21C22">
      <w:pPr>
        <w:pStyle w:val="ListParagraph"/>
        <w:jc w:val="both"/>
        <w:rPr>
          <w:rFonts w:ascii="Arial" w:hAnsi="Arial"/>
          <w:iCs/>
          <w:sz w:val="22"/>
          <w:szCs w:val="22"/>
        </w:rPr>
      </w:pPr>
    </w:p>
    <w:p w:rsidR="00C21C22" w:rsidRDefault="00C21C22" w:rsidP="006E5874">
      <w:pPr>
        <w:pStyle w:val="ListParagraph"/>
        <w:numPr>
          <w:ilvl w:val="1"/>
          <w:numId w:val="25"/>
        </w:numPr>
        <w:jc w:val="both"/>
        <w:rPr>
          <w:rFonts w:ascii="Arial" w:hAnsi="Arial"/>
          <w:sz w:val="22"/>
          <w:szCs w:val="22"/>
        </w:rPr>
      </w:pPr>
      <w:r>
        <w:rPr>
          <w:rFonts w:ascii="Arial" w:hAnsi="Arial"/>
          <w:sz w:val="22"/>
          <w:szCs w:val="22"/>
        </w:rPr>
        <w:t xml:space="preserve">The PBAC therefore accepted the minor resubmission’s clinical claim of </w:t>
      </w:r>
      <w:r w:rsidRPr="00C21C22">
        <w:rPr>
          <w:rFonts w:ascii="Arial" w:hAnsi="Arial"/>
          <w:sz w:val="22"/>
          <w:szCs w:val="22"/>
        </w:rPr>
        <w:t>non-inferior comparative effectiveness and non-inferior (“similar”) comparative safety for sorafenib</w:t>
      </w:r>
      <w:r w:rsidRPr="00C21C22">
        <w:rPr>
          <w:rFonts w:ascii="Arial" w:hAnsi="Arial"/>
          <w:i/>
          <w:sz w:val="22"/>
          <w:szCs w:val="22"/>
        </w:rPr>
        <w:t xml:space="preserve"> </w:t>
      </w:r>
      <w:r w:rsidRPr="00C21C22">
        <w:rPr>
          <w:rFonts w:ascii="Arial" w:hAnsi="Arial"/>
          <w:sz w:val="22"/>
          <w:szCs w:val="22"/>
        </w:rPr>
        <w:t>compared to everolimus</w:t>
      </w:r>
      <w:r w:rsidRPr="00C21C22">
        <w:rPr>
          <w:rFonts w:ascii="Arial" w:hAnsi="Arial"/>
          <w:i/>
          <w:sz w:val="22"/>
          <w:szCs w:val="22"/>
        </w:rPr>
        <w:t>.</w:t>
      </w:r>
      <w:r>
        <w:rPr>
          <w:rFonts w:ascii="Arial" w:hAnsi="Arial"/>
          <w:i/>
          <w:sz w:val="22"/>
          <w:szCs w:val="22"/>
        </w:rPr>
        <w:t xml:space="preserve"> </w:t>
      </w:r>
    </w:p>
    <w:p w:rsidR="00896FE4" w:rsidRPr="00C21C22" w:rsidRDefault="00896FE4" w:rsidP="00896FE4">
      <w:pPr>
        <w:pStyle w:val="ListParagraph"/>
        <w:jc w:val="both"/>
        <w:rPr>
          <w:rFonts w:ascii="Arial" w:hAnsi="Arial"/>
          <w:sz w:val="22"/>
          <w:szCs w:val="22"/>
        </w:rPr>
      </w:pPr>
    </w:p>
    <w:p w:rsidR="00C21C22" w:rsidRPr="00C21C22" w:rsidRDefault="0050283C" w:rsidP="00C21C22">
      <w:pPr>
        <w:pStyle w:val="ListParagraph"/>
        <w:numPr>
          <w:ilvl w:val="1"/>
          <w:numId w:val="25"/>
        </w:numPr>
        <w:jc w:val="both"/>
        <w:rPr>
          <w:rFonts w:ascii="Arial" w:hAnsi="Arial"/>
          <w:sz w:val="22"/>
          <w:szCs w:val="22"/>
        </w:rPr>
      </w:pPr>
      <w:r>
        <w:rPr>
          <w:rFonts w:ascii="Arial" w:hAnsi="Arial"/>
          <w:sz w:val="22"/>
          <w:szCs w:val="22"/>
        </w:rPr>
        <w:t>Given the</w:t>
      </w:r>
      <w:r w:rsidR="00C21C22" w:rsidRPr="00C21C22">
        <w:rPr>
          <w:rFonts w:ascii="Arial" w:hAnsi="Arial"/>
          <w:sz w:val="22"/>
          <w:szCs w:val="22"/>
        </w:rPr>
        <w:t xml:space="preserve"> clinical claim of non-inferiority, the PBAC considered the submission’s cost-minimisation approach to the economic analysis to be appropriate.</w:t>
      </w:r>
      <w:r w:rsidR="00C21C22">
        <w:rPr>
          <w:rFonts w:ascii="Arial" w:hAnsi="Arial"/>
          <w:sz w:val="22"/>
          <w:szCs w:val="22"/>
        </w:rPr>
        <w:t xml:space="preserve"> The PBAC noted that t</w:t>
      </w:r>
      <w:r w:rsidR="00C21C22" w:rsidRPr="00C21C22">
        <w:rPr>
          <w:rFonts w:ascii="Arial" w:hAnsi="Arial"/>
          <w:sz w:val="22"/>
          <w:szCs w:val="22"/>
        </w:rPr>
        <w:t xml:space="preserve">he minor resubmission further proposed to list sorafenib at an equivalent cost per patient per course of treatment compared to everolimus. However, the minor resubmission’s cost per course of treatment calculations assumed the treatment duration with everolimus is </w:t>
      </w:r>
      <w:r w:rsidR="00D31DD6">
        <w:rPr>
          <w:rFonts w:ascii="Arial" w:hAnsi="Arial"/>
          <w:noProof/>
          <w:color w:val="000000"/>
          <w:sz w:val="22"/>
          <w:szCs w:val="22"/>
          <w:highlight w:val="black"/>
        </w:rPr>
        <w:t>'''''''' '''''''''''</w:t>
      </w:r>
      <w:r w:rsidR="00C21C22" w:rsidRPr="00C21C22">
        <w:rPr>
          <w:rFonts w:ascii="Arial" w:hAnsi="Arial"/>
          <w:sz w:val="22"/>
          <w:szCs w:val="22"/>
        </w:rPr>
        <w:t xml:space="preserve"> (</w:t>
      </w:r>
      <w:r w:rsidR="00D31DD6">
        <w:rPr>
          <w:rFonts w:ascii="Arial" w:hAnsi="Arial"/>
          <w:noProof/>
          <w:color w:val="000000"/>
          <w:sz w:val="22"/>
          <w:szCs w:val="22"/>
          <w:highlight w:val="black"/>
        </w:rPr>
        <w:t>'''''' '''''''' ''''''' '''''''''''''''''''''' ''' ''''''''''</w:t>
      </w:r>
      <w:r w:rsidR="00C21C22" w:rsidRPr="00C21C22">
        <w:rPr>
          <w:rFonts w:ascii="Arial" w:hAnsi="Arial"/>
          <w:sz w:val="22"/>
          <w:szCs w:val="22"/>
        </w:rPr>
        <w:t xml:space="preserve">) whilst the treatment duration with sorafenib is </w:t>
      </w:r>
      <w:r w:rsidR="00D31DD6">
        <w:rPr>
          <w:rFonts w:ascii="Arial" w:hAnsi="Arial"/>
          <w:noProof/>
          <w:color w:val="000000"/>
          <w:sz w:val="22"/>
          <w:szCs w:val="22"/>
          <w:highlight w:val="black"/>
        </w:rPr>
        <w:t>'''''''''' '''''''''''</w:t>
      </w:r>
      <w:r w:rsidR="00C21C22" w:rsidRPr="00C21C22">
        <w:rPr>
          <w:rFonts w:ascii="Arial" w:hAnsi="Arial"/>
          <w:sz w:val="22"/>
          <w:szCs w:val="22"/>
        </w:rPr>
        <w:t xml:space="preserve"> (</w:t>
      </w:r>
      <w:r w:rsidR="00D31DD6">
        <w:rPr>
          <w:rFonts w:ascii="Arial" w:hAnsi="Arial"/>
          <w:noProof/>
          <w:color w:val="000000"/>
          <w:sz w:val="22"/>
          <w:szCs w:val="22"/>
          <w:highlight w:val="black"/>
        </w:rPr>
        <w:t>''''''''''''''' ''''' '''''''''''''''''''''''''''''''''' ''''''''' '''''''''''' ''''''''''</w:t>
      </w:r>
      <w:r w:rsidR="00C21C22" w:rsidRPr="00C21C22">
        <w:rPr>
          <w:rFonts w:ascii="Arial" w:hAnsi="Arial"/>
          <w:sz w:val="22"/>
          <w:szCs w:val="22"/>
        </w:rPr>
        <w:t xml:space="preserve">), which resulted in different DPMQs (dispensed price for maximum quantities) and sorafenib’s price being higher than everolimus’ price. </w:t>
      </w:r>
      <w:r w:rsidR="00896FE4">
        <w:rPr>
          <w:rFonts w:ascii="Arial" w:hAnsi="Arial"/>
          <w:sz w:val="22"/>
          <w:szCs w:val="22"/>
        </w:rPr>
        <w:t>The PBAC did not agree with this approach given the lack of a common comparator across the trials and the resulting imprecision in estimates of comparative efficacy. Instead, the PBAC recommended that equi-effective doses between sorafenib and everolimus be determined by the most common doses used in the trials alone which equated to a daily dose of sorafenib 800 mg and everolimus 10 mg.</w:t>
      </w:r>
    </w:p>
    <w:p w:rsidR="006E5874" w:rsidRPr="00896FE4" w:rsidRDefault="006E5874" w:rsidP="00896FE4">
      <w:pPr>
        <w:jc w:val="both"/>
        <w:rPr>
          <w:rFonts w:ascii="Arial" w:hAnsi="Arial"/>
          <w:sz w:val="22"/>
          <w:szCs w:val="22"/>
        </w:rPr>
      </w:pPr>
    </w:p>
    <w:p w:rsidR="006E5874" w:rsidRPr="007E6222" w:rsidRDefault="007E6222" w:rsidP="007E6222">
      <w:pPr>
        <w:pStyle w:val="ListParagraph"/>
        <w:numPr>
          <w:ilvl w:val="1"/>
          <w:numId w:val="25"/>
        </w:numPr>
        <w:jc w:val="both"/>
        <w:rPr>
          <w:rFonts w:ascii="Arial" w:hAnsi="Arial"/>
          <w:sz w:val="22"/>
          <w:szCs w:val="22"/>
        </w:rPr>
      </w:pPr>
      <w:r>
        <w:rPr>
          <w:rFonts w:ascii="Arial" w:hAnsi="Arial"/>
          <w:sz w:val="22"/>
          <w:szCs w:val="22"/>
        </w:rPr>
        <w:lastRenderedPageBreak/>
        <w:t>The PBAC noted</w:t>
      </w:r>
      <w:r w:rsidR="004331FA">
        <w:rPr>
          <w:rFonts w:ascii="Arial" w:hAnsi="Arial"/>
          <w:sz w:val="22"/>
          <w:szCs w:val="22"/>
        </w:rPr>
        <w:t xml:space="preserve"> t</w:t>
      </w:r>
      <w:r w:rsidR="004331FA" w:rsidRPr="004331FA">
        <w:rPr>
          <w:rFonts w:ascii="Arial" w:hAnsi="Arial"/>
          <w:sz w:val="22"/>
          <w:szCs w:val="22"/>
        </w:rPr>
        <w:t>he minor resubmission did not provide any estimates on the financial implications to the PBS and changes in</w:t>
      </w:r>
      <w:r w:rsidR="004331FA">
        <w:rPr>
          <w:rFonts w:ascii="Arial" w:hAnsi="Arial"/>
          <w:sz w:val="22"/>
          <w:szCs w:val="22"/>
        </w:rPr>
        <w:t xml:space="preserve"> PBS usage</w:t>
      </w:r>
      <w:r>
        <w:rPr>
          <w:rFonts w:ascii="Arial" w:hAnsi="Arial"/>
          <w:sz w:val="22"/>
          <w:szCs w:val="22"/>
        </w:rPr>
        <w:t>.</w:t>
      </w:r>
      <w:r w:rsidR="004331FA">
        <w:rPr>
          <w:rFonts w:ascii="Arial" w:hAnsi="Arial"/>
          <w:sz w:val="22"/>
          <w:szCs w:val="22"/>
        </w:rPr>
        <w:t xml:space="preserve"> </w:t>
      </w:r>
      <w:r w:rsidRPr="007E6222">
        <w:rPr>
          <w:rFonts w:ascii="Arial" w:hAnsi="Arial"/>
          <w:sz w:val="22"/>
          <w:szCs w:val="22"/>
        </w:rPr>
        <w:t xml:space="preserve">To further ensure that the PBS listing of </w:t>
      </w:r>
      <w:r>
        <w:rPr>
          <w:rFonts w:ascii="Arial" w:hAnsi="Arial"/>
          <w:sz w:val="22"/>
          <w:szCs w:val="22"/>
        </w:rPr>
        <w:t>sorafenib</w:t>
      </w:r>
      <w:r w:rsidRPr="007E6222">
        <w:rPr>
          <w:rFonts w:ascii="Arial" w:hAnsi="Arial"/>
          <w:sz w:val="22"/>
          <w:szCs w:val="22"/>
        </w:rPr>
        <w:t xml:space="preserve"> for second line treatment in </w:t>
      </w:r>
      <w:r>
        <w:rPr>
          <w:rFonts w:ascii="Arial" w:hAnsi="Arial"/>
          <w:sz w:val="22"/>
          <w:szCs w:val="22"/>
        </w:rPr>
        <w:t>renal cell carcinoma</w:t>
      </w:r>
      <w:r w:rsidRPr="007E6222">
        <w:rPr>
          <w:rFonts w:ascii="Arial" w:hAnsi="Arial"/>
          <w:sz w:val="22"/>
          <w:szCs w:val="22"/>
        </w:rPr>
        <w:t xml:space="preserve"> </w:t>
      </w:r>
      <w:r>
        <w:rPr>
          <w:rFonts w:ascii="Arial" w:hAnsi="Arial"/>
          <w:sz w:val="22"/>
          <w:szCs w:val="22"/>
        </w:rPr>
        <w:t>meets the intent of a</w:t>
      </w:r>
      <w:r w:rsidRPr="007E6222">
        <w:rPr>
          <w:rFonts w:ascii="Arial" w:hAnsi="Arial"/>
          <w:sz w:val="22"/>
          <w:szCs w:val="22"/>
        </w:rPr>
        <w:t xml:space="preserve"> cost-minimisation </w:t>
      </w:r>
      <w:r>
        <w:rPr>
          <w:rFonts w:ascii="Arial" w:hAnsi="Arial"/>
          <w:sz w:val="22"/>
          <w:szCs w:val="22"/>
        </w:rPr>
        <w:t>recommendation</w:t>
      </w:r>
      <w:r w:rsidRPr="007E6222">
        <w:rPr>
          <w:rFonts w:ascii="Arial" w:hAnsi="Arial"/>
          <w:sz w:val="22"/>
          <w:szCs w:val="22"/>
        </w:rPr>
        <w:t>,</w:t>
      </w:r>
      <w:r>
        <w:rPr>
          <w:rFonts w:ascii="Arial" w:hAnsi="Arial"/>
          <w:sz w:val="22"/>
          <w:szCs w:val="22"/>
        </w:rPr>
        <w:t xml:space="preserve"> </w:t>
      </w:r>
      <w:r w:rsidR="004331FA">
        <w:rPr>
          <w:rFonts w:ascii="Arial" w:hAnsi="Arial"/>
          <w:sz w:val="22"/>
          <w:szCs w:val="22"/>
        </w:rPr>
        <w:t xml:space="preserve">the PBAC </w:t>
      </w:r>
      <w:r w:rsidR="00DA5964">
        <w:rPr>
          <w:rFonts w:ascii="Arial" w:hAnsi="Arial"/>
          <w:sz w:val="22"/>
          <w:szCs w:val="22"/>
        </w:rPr>
        <w:t>advised</w:t>
      </w:r>
      <w:r w:rsidR="004331FA">
        <w:rPr>
          <w:rFonts w:ascii="Arial" w:hAnsi="Arial"/>
          <w:sz w:val="22"/>
          <w:szCs w:val="22"/>
        </w:rPr>
        <w:t xml:space="preserve"> that sorafenib </w:t>
      </w:r>
      <w:r w:rsidR="00DA5964">
        <w:rPr>
          <w:rFonts w:ascii="Arial" w:hAnsi="Arial"/>
          <w:sz w:val="22"/>
          <w:szCs w:val="22"/>
        </w:rPr>
        <w:t xml:space="preserve">should </w:t>
      </w:r>
      <w:r w:rsidR="004331FA">
        <w:rPr>
          <w:rFonts w:ascii="Arial" w:hAnsi="Arial"/>
          <w:sz w:val="22"/>
          <w:szCs w:val="22"/>
        </w:rPr>
        <w:t xml:space="preserve">join </w:t>
      </w:r>
      <w:r w:rsidR="00DA5964">
        <w:rPr>
          <w:rFonts w:ascii="Arial" w:hAnsi="Arial"/>
          <w:sz w:val="22"/>
          <w:szCs w:val="22"/>
        </w:rPr>
        <w:t xml:space="preserve">the </w:t>
      </w:r>
      <w:r w:rsidR="004331FA">
        <w:rPr>
          <w:rFonts w:ascii="Arial" w:hAnsi="Arial"/>
          <w:sz w:val="22"/>
          <w:szCs w:val="22"/>
        </w:rPr>
        <w:t>risk sharing arrangement</w:t>
      </w:r>
      <w:r w:rsidR="00DA5964">
        <w:rPr>
          <w:rFonts w:ascii="Arial" w:hAnsi="Arial"/>
          <w:sz w:val="22"/>
          <w:szCs w:val="22"/>
        </w:rPr>
        <w:t xml:space="preserve"> currently in place for </w:t>
      </w:r>
      <w:r w:rsidR="004331FA">
        <w:rPr>
          <w:rFonts w:ascii="Arial" w:hAnsi="Arial"/>
          <w:sz w:val="22"/>
          <w:szCs w:val="22"/>
        </w:rPr>
        <w:t>everolimus</w:t>
      </w:r>
      <w:r w:rsidR="00DA5964">
        <w:rPr>
          <w:rFonts w:ascii="Arial" w:hAnsi="Arial"/>
          <w:sz w:val="22"/>
          <w:szCs w:val="22"/>
        </w:rPr>
        <w:t xml:space="preserve"> in </w:t>
      </w:r>
      <w:r w:rsidR="00B36615">
        <w:rPr>
          <w:rFonts w:ascii="Arial" w:hAnsi="Arial"/>
          <w:sz w:val="22"/>
          <w:szCs w:val="22"/>
        </w:rPr>
        <w:t>RCC</w:t>
      </w:r>
      <w:r>
        <w:rPr>
          <w:rFonts w:ascii="Arial" w:hAnsi="Arial"/>
          <w:sz w:val="22"/>
          <w:szCs w:val="22"/>
        </w:rPr>
        <w:t xml:space="preserve">.  </w:t>
      </w:r>
      <w:r w:rsidRPr="007E6222">
        <w:rPr>
          <w:rFonts w:ascii="Arial" w:hAnsi="Arial"/>
          <w:sz w:val="22"/>
          <w:szCs w:val="22"/>
        </w:rPr>
        <w:t xml:space="preserve">The PBAC recognised that listing further second-line treatments such as </w:t>
      </w:r>
      <w:r>
        <w:rPr>
          <w:rFonts w:ascii="Arial" w:hAnsi="Arial"/>
          <w:sz w:val="22"/>
          <w:szCs w:val="22"/>
        </w:rPr>
        <w:t>sorafenib</w:t>
      </w:r>
      <w:r w:rsidRPr="007E6222">
        <w:rPr>
          <w:rFonts w:ascii="Arial" w:hAnsi="Arial"/>
          <w:sz w:val="22"/>
          <w:szCs w:val="22"/>
        </w:rPr>
        <w:t xml:space="preserve"> for </w:t>
      </w:r>
      <w:r w:rsidR="00B36615">
        <w:rPr>
          <w:rFonts w:ascii="Arial" w:hAnsi="Arial"/>
          <w:sz w:val="22"/>
          <w:szCs w:val="22"/>
        </w:rPr>
        <w:t>RCC</w:t>
      </w:r>
      <w:r w:rsidRPr="007E6222">
        <w:rPr>
          <w:rFonts w:ascii="Arial" w:hAnsi="Arial"/>
          <w:sz w:val="22"/>
          <w:szCs w:val="22"/>
        </w:rPr>
        <w:t xml:space="preserve"> may potentially result in </w:t>
      </w:r>
      <w:r w:rsidR="00B36615" w:rsidRPr="007E6222">
        <w:rPr>
          <w:rFonts w:ascii="Arial" w:hAnsi="Arial"/>
          <w:sz w:val="22"/>
          <w:szCs w:val="22"/>
        </w:rPr>
        <w:t xml:space="preserve">growth in the </w:t>
      </w:r>
      <w:r w:rsidRPr="007E6222">
        <w:rPr>
          <w:rFonts w:ascii="Arial" w:hAnsi="Arial"/>
          <w:sz w:val="22"/>
          <w:szCs w:val="22"/>
        </w:rPr>
        <w:t xml:space="preserve">use of </w:t>
      </w:r>
      <w:r w:rsidR="00B36615" w:rsidRPr="007E6222">
        <w:rPr>
          <w:rFonts w:ascii="Arial" w:hAnsi="Arial"/>
          <w:sz w:val="22"/>
          <w:szCs w:val="22"/>
        </w:rPr>
        <w:t xml:space="preserve">second-line </w:t>
      </w:r>
      <w:r w:rsidRPr="007E6222">
        <w:rPr>
          <w:rFonts w:ascii="Arial" w:hAnsi="Arial"/>
          <w:sz w:val="22"/>
          <w:szCs w:val="22"/>
        </w:rPr>
        <w:t>treatments in a third-line or later treatment setting where cost-effectiveness has not been demonstrated or accepted.</w:t>
      </w:r>
      <w:r>
        <w:rPr>
          <w:rFonts w:ascii="Arial" w:hAnsi="Arial"/>
          <w:sz w:val="22"/>
          <w:szCs w:val="22"/>
        </w:rPr>
        <w:t xml:space="preserve"> </w:t>
      </w:r>
      <w:r w:rsidRPr="007E6222">
        <w:rPr>
          <w:rFonts w:ascii="Arial" w:hAnsi="Arial"/>
          <w:sz w:val="22"/>
          <w:szCs w:val="22"/>
        </w:rPr>
        <w:t xml:space="preserve">To protect the Commonwealth from higher than expected costs resulting from the use of second-line treatments beyond disease progression, the PBAC recommended that any existing caps in the current risk sharing arrangement remain unchanged.   </w:t>
      </w:r>
      <w:r w:rsidR="00B36615" w:rsidRPr="007E6222">
        <w:rPr>
          <w:rFonts w:ascii="Arial" w:hAnsi="Arial"/>
          <w:sz w:val="22"/>
          <w:szCs w:val="22"/>
        </w:rPr>
        <w:t xml:space="preserve"> </w:t>
      </w:r>
    </w:p>
    <w:p w:rsidR="00AE30C0" w:rsidRDefault="00AE30C0" w:rsidP="00AE30C0">
      <w:pPr>
        <w:pStyle w:val="ListParagraph"/>
        <w:jc w:val="both"/>
        <w:rPr>
          <w:rFonts w:ascii="Arial" w:hAnsi="Arial"/>
          <w:sz w:val="22"/>
          <w:szCs w:val="22"/>
        </w:rPr>
      </w:pPr>
    </w:p>
    <w:p w:rsidR="00082516" w:rsidRDefault="004331FA" w:rsidP="006E5874">
      <w:pPr>
        <w:pStyle w:val="ListParagraph"/>
        <w:numPr>
          <w:ilvl w:val="1"/>
          <w:numId w:val="25"/>
        </w:numPr>
        <w:jc w:val="both"/>
        <w:rPr>
          <w:rFonts w:ascii="Arial" w:hAnsi="Arial"/>
          <w:sz w:val="22"/>
          <w:szCs w:val="22"/>
        </w:rPr>
      </w:pPr>
      <w:r>
        <w:rPr>
          <w:rFonts w:ascii="Arial" w:hAnsi="Arial"/>
          <w:sz w:val="22"/>
          <w:szCs w:val="22"/>
        </w:rPr>
        <w:t xml:space="preserve">With respect to implementing a PBS restriction for sorafenib, the PBAC recommended that the </w:t>
      </w:r>
      <w:r w:rsidR="001B6E16">
        <w:rPr>
          <w:rFonts w:ascii="Arial" w:hAnsi="Arial"/>
          <w:sz w:val="22"/>
          <w:szCs w:val="22"/>
        </w:rPr>
        <w:t>intent of the</w:t>
      </w:r>
      <w:r>
        <w:rPr>
          <w:rFonts w:ascii="Arial" w:hAnsi="Arial"/>
          <w:sz w:val="22"/>
          <w:szCs w:val="22"/>
        </w:rPr>
        <w:t xml:space="preserve"> PBS restriction applying to everolimus in second-line </w:t>
      </w:r>
      <w:r w:rsidR="00B36615">
        <w:rPr>
          <w:rFonts w:ascii="Arial" w:hAnsi="Arial"/>
          <w:sz w:val="22"/>
          <w:szCs w:val="22"/>
        </w:rPr>
        <w:t>RCC</w:t>
      </w:r>
      <w:r>
        <w:rPr>
          <w:rFonts w:ascii="Arial" w:hAnsi="Arial"/>
          <w:sz w:val="22"/>
          <w:szCs w:val="22"/>
        </w:rPr>
        <w:t xml:space="preserve"> also apply to sorafenib.</w:t>
      </w:r>
      <w:r w:rsidR="00082516">
        <w:rPr>
          <w:rFonts w:ascii="Arial" w:hAnsi="Arial"/>
          <w:sz w:val="22"/>
          <w:szCs w:val="22"/>
        </w:rPr>
        <w:t xml:space="preserve"> </w:t>
      </w:r>
      <w:r w:rsidR="000E1D4C">
        <w:rPr>
          <w:rFonts w:ascii="Arial" w:hAnsi="Arial"/>
          <w:sz w:val="22"/>
          <w:szCs w:val="22"/>
        </w:rPr>
        <w:t>T</w:t>
      </w:r>
      <w:r w:rsidR="00AE30C0">
        <w:rPr>
          <w:rFonts w:ascii="Arial" w:hAnsi="Arial"/>
          <w:sz w:val="22"/>
          <w:szCs w:val="22"/>
        </w:rPr>
        <w:t>he PBAC did not agree with the Secretariat</w:t>
      </w:r>
      <w:r w:rsidR="000E1D4C">
        <w:rPr>
          <w:rFonts w:ascii="Arial" w:hAnsi="Arial"/>
          <w:sz w:val="22"/>
          <w:szCs w:val="22"/>
        </w:rPr>
        <w:t>’s</w:t>
      </w:r>
      <w:r w:rsidR="00AE30C0">
        <w:rPr>
          <w:rFonts w:ascii="Arial" w:hAnsi="Arial"/>
          <w:sz w:val="22"/>
          <w:szCs w:val="22"/>
        </w:rPr>
        <w:t xml:space="preserve"> suggestion to insert a clinical criterion that explicitly </w:t>
      </w:r>
      <w:r w:rsidR="00B91F9F">
        <w:rPr>
          <w:rFonts w:ascii="Arial" w:hAnsi="Arial"/>
          <w:sz w:val="22"/>
          <w:szCs w:val="22"/>
        </w:rPr>
        <w:t>states that the drug is not PBS-subsidised for disease progression following use of another</w:t>
      </w:r>
      <w:r w:rsidR="00AE30C0">
        <w:rPr>
          <w:rFonts w:ascii="Arial" w:hAnsi="Arial"/>
          <w:sz w:val="22"/>
          <w:szCs w:val="22"/>
        </w:rPr>
        <w:t xml:space="preserve"> second-line </w:t>
      </w:r>
      <w:r w:rsidR="000E1D4C">
        <w:rPr>
          <w:rFonts w:ascii="Arial" w:hAnsi="Arial"/>
          <w:sz w:val="22"/>
          <w:szCs w:val="22"/>
        </w:rPr>
        <w:t xml:space="preserve">PBS subsidised </w:t>
      </w:r>
      <w:r w:rsidR="00B91F9F">
        <w:rPr>
          <w:rFonts w:ascii="Arial" w:hAnsi="Arial"/>
          <w:sz w:val="22"/>
          <w:szCs w:val="22"/>
        </w:rPr>
        <w:t>therapy</w:t>
      </w:r>
      <w:r w:rsidR="00DA5964">
        <w:rPr>
          <w:rFonts w:ascii="Arial" w:hAnsi="Arial"/>
          <w:sz w:val="22"/>
          <w:szCs w:val="22"/>
        </w:rPr>
        <w:t>, as t</w:t>
      </w:r>
      <w:r w:rsidR="00DB51C1" w:rsidRPr="00DB51C1">
        <w:rPr>
          <w:rFonts w:ascii="Arial" w:hAnsi="Arial"/>
          <w:sz w:val="22"/>
          <w:szCs w:val="22"/>
        </w:rPr>
        <w:t xml:space="preserve">he PBAC was </w:t>
      </w:r>
      <w:r w:rsidR="00393D1E">
        <w:rPr>
          <w:rFonts w:ascii="Arial" w:hAnsi="Arial"/>
          <w:sz w:val="22"/>
          <w:szCs w:val="22"/>
        </w:rPr>
        <w:t xml:space="preserve">mindful of not unduly influencing clinical treatment guidelines on </w:t>
      </w:r>
      <w:r w:rsidR="00B36615">
        <w:rPr>
          <w:rFonts w:ascii="Arial" w:hAnsi="Arial"/>
          <w:sz w:val="22"/>
          <w:szCs w:val="22"/>
        </w:rPr>
        <w:t xml:space="preserve">RCC </w:t>
      </w:r>
      <w:r w:rsidR="007E6222">
        <w:rPr>
          <w:rFonts w:ascii="Arial" w:hAnsi="Arial"/>
          <w:sz w:val="22"/>
          <w:szCs w:val="22"/>
        </w:rPr>
        <w:t xml:space="preserve">which tend to </w:t>
      </w:r>
      <w:r w:rsidR="00393D1E">
        <w:rPr>
          <w:rFonts w:ascii="Arial" w:hAnsi="Arial"/>
          <w:sz w:val="22"/>
          <w:szCs w:val="22"/>
        </w:rPr>
        <w:t>evolve over time</w:t>
      </w:r>
      <w:r w:rsidR="00DB51C1">
        <w:rPr>
          <w:rFonts w:ascii="Arial" w:hAnsi="Arial"/>
          <w:sz w:val="22"/>
          <w:szCs w:val="22"/>
        </w:rPr>
        <w:t>.</w:t>
      </w:r>
    </w:p>
    <w:p w:rsidR="006E5874" w:rsidRPr="00C269D8" w:rsidRDefault="006E5874" w:rsidP="00C269D8">
      <w:pPr>
        <w:jc w:val="both"/>
        <w:rPr>
          <w:rFonts w:ascii="Arial" w:hAnsi="Arial"/>
          <w:sz w:val="22"/>
          <w:szCs w:val="22"/>
        </w:rPr>
      </w:pPr>
    </w:p>
    <w:p w:rsidR="00393D1E" w:rsidRPr="00393D1E" w:rsidRDefault="00393D1E" w:rsidP="00393D1E">
      <w:pPr>
        <w:pStyle w:val="ListParagraph"/>
        <w:numPr>
          <w:ilvl w:val="1"/>
          <w:numId w:val="25"/>
        </w:numPr>
        <w:rPr>
          <w:rFonts w:ascii="Arial" w:hAnsi="Arial"/>
          <w:sz w:val="22"/>
          <w:szCs w:val="22"/>
          <w:u w:val="single"/>
        </w:rPr>
      </w:pPr>
      <w:r w:rsidRPr="00393D1E">
        <w:rPr>
          <w:rFonts w:ascii="Arial" w:hAnsi="Arial"/>
          <w:sz w:val="22"/>
          <w:szCs w:val="22"/>
          <w:u w:val="single"/>
        </w:rPr>
        <w:t xml:space="preserve">Advice to the Minister under section 101 (3BA) of the </w:t>
      </w:r>
      <w:r w:rsidRPr="00393D1E">
        <w:rPr>
          <w:rFonts w:ascii="Arial" w:hAnsi="Arial"/>
          <w:i/>
          <w:sz w:val="22"/>
          <w:szCs w:val="22"/>
          <w:u w:val="single"/>
        </w:rPr>
        <w:t>National Health Act</w:t>
      </w:r>
      <w:r w:rsidRPr="00393D1E">
        <w:rPr>
          <w:rFonts w:ascii="Arial" w:hAnsi="Arial"/>
          <w:sz w:val="22"/>
          <w:szCs w:val="22"/>
          <w:u w:val="single"/>
        </w:rPr>
        <w:t xml:space="preserve"> </w:t>
      </w:r>
    </w:p>
    <w:p w:rsidR="006E5874" w:rsidRDefault="006E5874" w:rsidP="00393D1E">
      <w:pPr>
        <w:pStyle w:val="ListParagraph"/>
        <w:jc w:val="both"/>
        <w:rPr>
          <w:rFonts w:ascii="Arial" w:hAnsi="Arial"/>
          <w:sz w:val="22"/>
          <w:szCs w:val="22"/>
        </w:rPr>
      </w:pPr>
      <w:r>
        <w:rPr>
          <w:rFonts w:ascii="Arial" w:hAnsi="Arial"/>
          <w:sz w:val="22"/>
          <w:szCs w:val="22"/>
        </w:rPr>
        <w:t>The PBAC</w:t>
      </w:r>
      <w:r w:rsidR="00393D1E">
        <w:rPr>
          <w:rFonts w:ascii="Arial" w:hAnsi="Arial"/>
          <w:sz w:val="22"/>
          <w:szCs w:val="22"/>
        </w:rPr>
        <w:t xml:space="preserve">, </w:t>
      </w:r>
      <w:r w:rsidR="00393D1E" w:rsidRPr="00393D1E">
        <w:rPr>
          <w:rFonts w:ascii="Arial" w:hAnsi="Arial"/>
          <w:sz w:val="22"/>
          <w:szCs w:val="22"/>
        </w:rPr>
        <w:t xml:space="preserve">under Section 101(3BA) of the </w:t>
      </w:r>
      <w:r w:rsidR="00393D1E" w:rsidRPr="00393D1E">
        <w:rPr>
          <w:rFonts w:ascii="Arial" w:hAnsi="Arial"/>
          <w:i/>
          <w:sz w:val="22"/>
          <w:szCs w:val="22"/>
        </w:rPr>
        <w:t>National Health Act</w:t>
      </w:r>
      <w:r w:rsidR="00393D1E" w:rsidRPr="00393D1E">
        <w:rPr>
          <w:rFonts w:ascii="Arial" w:hAnsi="Arial"/>
          <w:sz w:val="22"/>
          <w:szCs w:val="22"/>
        </w:rPr>
        <w:t xml:space="preserve"> 1953</w:t>
      </w:r>
      <w:r w:rsidR="00393D1E">
        <w:rPr>
          <w:rFonts w:ascii="Arial" w:hAnsi="Arial"/>
          <w:sz w:val="22"/>
          <w:szCs w:val="22"/>
        </w:rPr>
        <w:t>, advised</w:t>
      </w:r>
      <w:r>
        <w:rPr>
          <w:rFonts w:ascii="Arial" w:hAnsi="Arial"/>
          <w:sz w:val="22"/>
          <w:szCs w:val="22"/>
        </w:rPr>
        <w:t xml:space="preserve"> that </w:t>
      </w:r>
      <w:r w:rsidR="00DB51C1">
        <w:rPr>
          <w:rFonts w:ascii="Arial" w:hAnsi="Arial"/>
          <w:sz w:val="22"/>
          <w:szCs w:val="22"/>
        </w:rPr>
        <w:t>sorafenib</w:t>
      </w:r>
      <w:r>
        <w:rPr>
          <w:rFonts w:ascii="Arial" w:hAnsi="Arial"/>
          <w:sz w:val="22"/>
          <w:szCs w:val="22"/>
        </w:rPr>
        <w:t xml:space="preserve"> should be treated as interchangeable on an individual patient basis with </w:t>
      </w:r>
      <w:r w:rsidR="00DB51C1">
        <w:rPr>
          <w:rFonts w:ascii="Arial" w:hAnsi="Arial"/>
          <w:sz w:val="22"/>
          <w:szCs w:val="22"/>
        </w:rPr>
        <w:t>axitinib</w:t>
      </w:r>
      <w:r>
        <w:rPr>
          <w:rFonts w:ascii="Arial" w:hAnsi="Arial"/>
          <w:sz w:val="22"/>
          <w:szCs w:val="22"/>
        </w:rPr>
        <w:t xml:space="preserve">. </w:t>
      </w:r>
      <w:r w:rsidR="00DB51C1">
        <w:rPr>
          <w:rFonts w:ascii="Arial" w:hAnsi="Arial"/>
          <w:sz w:val="22"/>
          <w:szCs w:val="22"/>
        </w:rPr>
        <w:t>The PBAC further advised that</w:t>
      </w:r>
      <w:r>
        <w:rPr>
          <w:rFonts w:ascii="Arial" w:hAnsi="Arial"/>
          <w:sz w:val="22"/>
          <w:szCs w:val="22"/>
        </w:rPr>
        <w:t xml:space="preserve"> </w:t>
      </w:r>
      <w:r w:rsidR="00DB51C1">
        <w:rPr>
          <w:rFonts w:ascii="Arial" w:hAnsi="Arial"/>
          <w:sz w:val="22"/>
          <w:szCs w:val="22"/>
        </w:rPr>
        <w:t xml:space="preserve">sorafenib </w:t>
      </w:r>
      <w:r>
        <w:rPr>
          <w:rFonts w:ascii="Arial" w:hAnsi="Arial"/>
          <w:sz w:val="22"/>
          <w:szCs w:val="22"/>
        </w:rPr>
        <w:t xml:space="preserve">should not be treated as interchangeable </w:t>
      </w:r>
      <w:r w:rsidR="00DB51C1">
        <w:rPr>
          <w:rFonts w:ascii="Arial" w:hAnsi="Arial"/>
          <w:sz w:val="22"/>
          <w:szCs w:val="22"/>
        </w:rPr>
        <w:t xml:space="preserve">on an individual patient basis </w:t>
      </w:r>
      <w:r>
        <w:rPr>
          <w:rFonts w:ascii="Arial" w:hAnsi="Arial"/>
          <w:sz w:val="22"/>
          <w:szCs w:val="22"/>
        </w:rPr>
        <w:t xml:space="preserve">with </w:t>
      </w:r>
      <w:r w:rsidR="00DB51C1">
        <w:rPr>
          <w:rFonts w:ascii="Arial" w:hAnsi="Arial"/>
          <w:sz w:val="22"/>
          <w:szCs w:val="22"/>
        </w:rPr>
        <w:t>everolimus.</w:t>
      </w:r>
      <w:r>
        <w:rPr>
          <w:rFonts w:ascii="Arial" w:hAnsi="Arial"/>
          <w:sz w:val="22"/>
          <w:szCs w:val="22"/>
        </w:rPr>
        <w:t xml:space="preserve"> </w:t>
      </w:r>
    </w:p>
    <w:p w:rsidR="006E5874" w:rsidRPr="00DB51C1" w:rsidRDefault="006E5874" w:rsidP="00DB51C1">
      <w:pPr>
        <w:jc w:val="both"/>
        <w:rPr>
          <w:rFonts w:ascii="Arial" w:hAnsi="Arial"/>
          <w:sz w:val="22"/>
          <w:szCs w:val="22"/>
        </w:rPr>
      </w:pPr>
    </w:p>
    <w:p w:rsidR="006E5874" w:rsidRDefault="004A2D1A" w:rsidP="006E5874">
      <w:pPr>
        <w:pStyle w:val="ListParagraph"/>
        <w:numPr>
          <w:ilvl w:val="1"/>
          <w:numId w:val="25"/>
        </w:numPr>
        <w:jc w:val="both"/>
        <w:rPr>
          <w:rFonts w:ascii="Arial" w:hAnsi="Arial"/>
          <w:sz w:val="22"/>
          <w:szCs w:val="22"/>
        </w:rPr>
      </w:pPr>
      <w:r>
        <w:rPr>
          <w:rFonts w:ascii="Arial" w:hAnsi="Arial"/>
          <w:sz w:val="22"/>
          <w:szCs w:val="22"/>
        </w:rPr>
        <w:t>As sorafenib is not suitable</w:t>
      </w:r>
      <w:r w:rsidR="007F6907">
        <w:rPr>
          <w:rFonts w:ascii="Arial" w:hAnsi="Arial"/>
          <w:sz w:val="22"/>
          <w:szCs w:val="22"/>
        </w:rPr>
        <w:t xml:space="preserve"> for prescribing by nurse practiti</w:t>
      </w:r>
      <w:r>
        <w:rPr>
          <w:rFonts w:ascii="Arial" w:hAnsi="Arial"/>
          <w:sz w:val="22"/>
          <w:szCs w:val="22"/>
        </w:rPr>
        <w:t>oners for its current PBS indication, t</w:t>
      </w:r>
      <w:r w:rsidR="006E5874">
        <w:rPr>
          <w:rFonts w:ascii="Arial" w:hAnsi="Arial"/>
          <w:sz w:val="22"/>
          <w:szCs w:val="22"/>
        </w:rPr>
        <w:t xml:space="preserve">he PBAC advised that </w:t>
      </w:r>
      <w:r>
        <w:rPr>
          <w:rFonts w:ascii="Arial" w:hAnsi="Arial"/>
          <w:sz w:val="22"/>
          <w:szCs w:val="22"/>
        </w:rPr>
        <w:t xml:space="preserve">sorafenib would also </w:t>
      </w:r>
      <w:r w:rsidR="006E5874">
        <w:rPr>
          <w:rFonts w:ascii="Arial" w:hAnsi="Arial"/>
          <w:sz w:val="22"/>
          <w:szCs w:val="22"/>
        </w:rPr>
        <w:t>not</w:t>
      </w:r>
      <w:r>
        <w:rPr>
          <w:rFonts w:ascii="Arial" w:hAnsi="Arial"/>
          <w:sz w:val="22"/>
          <w:szCs w:val="22"/>
        </w:rPr>
        <w:t xml:space="preserve"> be</w:t>
      </w:r>
      <w:r w:rsidR="006E5874">
        <w:rPr>
          <w:rFonts w:ascii="Arial" w:hAnsi="Arial"/>
          <w:sz w:val="22"/>
          <w:szCs w:val="22"/>
        </w:rPr>
        <w:t xml:space="preserve"> suitable for prescribing by </w:t>
      </w:r>
      <w:r w:rsidR="006E5874" w:rsidRPr="00882085">
        <w:rPr>
          <w:rFonts w:ascii="Arial" w:hAnsi="Arial"/>
          <w:sz w:val="22"/>
          <w:szCs w:val="22"/>
        </w:rPr>
        <w:t>nurse practitioner</w:t>
      </w:r>
      <w:r>
        <w:rPr>
          <w:rFonts w:ascii="Arial" w:hAnsi="Arial"/>
          <w:sz w:val="22"/>
          <w:szCs w:val="22"/>
        </w:rPr>
        <w:t xml:space="preserve">s in </w:t>
      </w:r>
      <w:r w:rsidR="00B36615">
        <w:rPr>
          <w:rFonts w:ascii="Arial" w:hAnsi="Arial"/>
          <w:sz w:val="22"/>
          <w:szCs w:val="22"/>
        </w:rPr>
        <w:t>RCC</w:t>
      </w:r>
      <w:r>
        <w:rPr>
          <w:rFonts w:ascii="Arial" w:hAnsi="Arial"/>
          <w:sz w:val="22"/>
          <w:szCs w:val="22"/>
        </w:rPr>
        <w:t>.</w:t>
      </w:r>
      <w:r w:rsidR="006E5874">
        <w:rPr>
          <w:rFonts w:ascii="Arial" w:hAnsi="Arial"/>
          <w:sz w:val="22"/>
          <w:szCs w:val="22"/>
        </w:rPr>
        <w:t xml:space="preserve"> </w:t>
      </w:r>
      <w:r w:rsidR="006E5874" w:rsidRPr="00882085">
        <w:rPr>
          <w:rFonts w:ascii="Arial" w:hAnsi="Arial"/>
          <w:sz w:val="22"/>
          <w:szCs w:val="22"/>
        </w:rPr>
        <w:t xml:space="preserve"> </w:t>
      </w:r>
    </w:p>
    <w:p w:rsidR="006E5874" w:rsidRPr="00BB7EC3" w:rsidRDefault="006E5874" w:rsidP="006E5874">
      <w:pPr>
        <w:pStyle w:val="ListParagraph"/>
        <w:jc w:val="both"/>
        <w:rPr>
          <w:rFonts w:ascii="Arial" w:hAnsi="Arial"/>
          <w:sz w:val="22"/>
          <w:szCs w:val="22"/>
        </w:rPr>
      </w:pPr>
    </w:p>
    <w:p w:rsidR="006E5874" w:rsidRDefault="006E5874" w:rsidP="006E5874">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w:t>
      </w:r>
      <w:r w:rsidR="004A2D1A">
        <w:rPr>
          <w:rFonts w:ascii="Arial" w:hAnsi="Arial"/>
          <w:sz w:val="22"/>
          <w:szCs w:val="22"/>
        </w:rPr>
        <w:t>, consistent with sorafenib’s current PBS indication</w:t>
      </w:r>
      <w:r>
        <w:rPr>
          <w:rFonts w:ascii="Arial" w:hAnsi="Arial"/>
          <w:sz w:val="22"/>
          <w:szCs w:val="22"/>
        </w:rPr>
        <w:t>.</w:t>
      </w:r>
      <w:r w:rsidRPr="00882085">
        <w:rPr>
          <w:rFonts w:ascii="Arial" w:hAnsi="Arial"/>
          <w:sz w:val="22"/>
          <w:szCs w:val="22"/>
        </w:rPr>
        <w:t xml:space="preserve"> </w:t>
      </w:r>
    </w:p>
    <w:p w:rsidR="006E5874" w:rsidRPr="004A2D1A" w:rsidRDefault="006E5874" w:rsidP="004A2D1A">
      <w:pPr>
        <w:jc w:val="both"/>
        <w:rPr>
          <w:rFonts w:ascii="Arial" w:hAnsi="Arial"/>
          <w:sz w:val="22"/>
          <w:szCs w:val="22"/>
        </w:rPr>
      </w:pPr>
    </w:p>
    <w:p w:rsidR="006E5874" w:rsidRPr="004A2D1A" w:rsidRDefault="006E5874" w:rsidP="004A2D1A">
      <w:pPr>
        <w:jc w:val="both"/>
        <w:rPr>
          <w:rFonts w:ascii="Arial" w:hAnsi="Arial"/>
          <w:b/>
          <w:sz w:val="22"/>
          <w:szCs w:val="22"/>
        </w:rPr>
      </w:pPr>
      <w:r w:rsidRPr="004A2D1A">
        <w:rPr>
          <w:rFonts w:ascii="Arial" w:hAnsi="Arial"/>
          <w:b/>
          <w:sz w:val="22"/>
          <w:szCs w:val="22"/>
        </w:rPr>
        <w:t>Outcome:</w:t>
      </w:r>
    </w:p>
    <w:p w:rsidR="006E5874" w:rsidRPr="004A2D1A" w:rsidRDefault="006E5874" w:rsidP="004A2D1A">
      <w:pPr>
        <w:jc w:val="both"/>
        <w:rPr>
          <w:rFonts w:ascii="Arial" w:hAnsi="Arial"/>
          <w:sz w:val="22"/>
          <w:szCs w:val="22"/>
        </w:rPr>
      </w:pPr>
      <w:r w:rsidRPr="004A2D1A">
        <w:rPr>
          <w:rFonts w:ascii="Arial" w:hAnsi="Arial"/>
          <w:sz w:val="22"/>
          <w:szCs w:val="22"/>
        </w:rPr>
        <w:t xml:space="preserve">Recommended </w:t>
      </w:r>
    </w:p>
    <w:p w:rsidR="006E5874" w:rsidRDefault="006E5874" w:rsidP="006E5874">
      <w:pPr>
        <w:pStyle w:val="ListParagraph"/>
        <w:jc w:val="both"/>
        <w:rPr>
          <w:rFonts w:ascii="Arial" w:hAnsi="Arial"/>
          <w:sz w:val="22"/>
          <w:szCs w:val="22"/>
        </w:rPr>
      </w:pPr>
    </w:p>
    <w:p w:rsidR="00856AB1" w:rsidRPr="00856AB1" w:rsidRDefault="00856AB1" w:rsidP="00856AB1">
      <w:pPr>
        <w:jc w:val="both"/>
        <w:rPr>
          <w:rFonts w:ascii="Arial" w:hAnsi="Arial"/>
          <w:sz w:val="22"/>
          <w:szCs w:val="22"/>
        </w:rPr>
      </w:pPr>
    </w:p>
    <w:p w:rsidR="006E5874" w:rsidRPr="00856AB1" w:rsidRDefault="006E5874" w:rsidP="00856AB1">
      <w:pPr>
        <w:pStyle w:val="Header"/>
        <w:numPr>
          <w:ilvl w:val="0"/>
          <w:numId w:val="25"/>
        </w:numPr>
        <w:tabs>
          <w:tab w:val="clear" w:pos="4153"/>
          <w:tab w:val="clear" w:pos="8306"/>
        </w:tabs>
        <w:jc w:val="both"/>
        <w:rPr>
          <w:rFonts w:ascii="Arial" w:hAnsi="Arial"/>
          <w:b/>
          <w:sz w:val="22"/>
          <w:szCs w:val="22"/>
        </w:rPr>
      </w:pPr>
      <w:r w:rsidRPr="00856AB1">
        <w:rPr>
          <w:rFonts w:ascii="Arial" w:hAnsi="Arial"/>
          <w:b/>
          <w:sz w:val="22"/>
          <w:szCs w:val="22"/>
        </w:rPr>
        <w:t>Recommended listing</w:t>
      </w:r>
    </w:p>
    <w:p w:rsidR="006E5874" w:rsidRPr="00856AB1" w:rsidRDefault="006E5874" w:rsidP="006E5874">
      <w:pPr>
        <w:jc w:val="both"/>
        <w:rPr>
          <w:rFonts w:ascii="Arial" w:hAnsi="Arial"/>
          <w:b/>
          <w:sz w:val="22"/>
          <w:szCs w:val="22"/>
        </w:rPr>
      </w:pPr>
    </w:p>
    <w:p w:rsidR="00856AB1" w:rsidRPr="001B6E16" w:rsidRDefault="00856AB1" w:rsidP="00856AB1">
      <w:pPr>
        <w:pStyle w:val="ListParagraph"/>
        <w:numPr>
          <w:ilvl w:val="1"/>
          <w:numId w:val="25"/>
        </w:numPr>
        <w:jc w:val="both"/>
        <w:rPr>
          <w:rFonts w:ascii="Arial" w:hAnsi="Arial"/>
          <w:sz w:val="22"/>
          <w:szCs w:val="22"/>
        </w:rPr>
      </w:pPr>
      <w:r>
        <w:rPr>
          <w:rFonts w:ascii="Arial" w:hAnsi="Arial"/>
          <w:sz w:val="22"/>
          <w:szCs w:val="22"/>
        </w:rPr>
        <w:t>Add new indication</w:t>
      </w:r>
      <w:r w:rsidR="006E5874" w:rsidRPr="00856AB1">
        <w:rPr>
          <w:rFonts w:ascii="Arial" w:hAnsi="Arial"/>
          <w:sz w:val="22"/>
          <w:szCs w:val="22"/>
        </w:rPr>
        <w:t>:</w:t>
      </w:r>
    </w:p>
    <w:p w:rsidR="00861316" w:rsidRPr="00552722" w:rsidRDefault="00861316" w:rsidP="00861316">
      <w:pPr>
        <w:jc w:val="both"/>
        <w:rPr>
          <w:rFonts w:ascii="Arial" w:hAnsi="Arial" w:cs="Arial"/>
          <w:sz w:val="22"/>
          <w:szCs w:val="22"/>
        </w:rPr>
      </w:pPr>
    </w:p>
    <w:tbl>
      <w:tblPr>
        <w:tblW w:w="8080" w:type="dxa"/>
        <w:tblInd w:w="817" w:type="dxa"/>
        <w:tblLayout w:type="fixed"/>
        <w:tblLook w:val="0000" w:firstRow="0" w:lastRow="0" w:firstColumn="0" w:lastColumn="0" w:noHBand="0" w:noVBand="0"/>
      </w:tblPr>
      <w:tblGrid>
        <w:gridCol w:w="1701"/>
        <w:gridCol w:w="851"/>
        <w:gridCol w:w="992"/>
        <w:gridCol w:w="992"/>
        <w:gridCol w:w="1134"/>
        <w:gridCol w:w="1559"/>
        <w:gridCol w:w="851"/>
      </w:tblGrid>
      <w:tr w:rsidR="00861316" w:rsidRPr="00260CE3" w:rsidTr="00861316">
        <w:trPr>
          <w:cantSplit/>
          <w:trHeight w:val="471"/>
        </w:trPr>
        <w:tc>
          <w:tcPr>
            <w:tcW w:w="2552" w:type="dxa"/>
            <w:gridSpan w:val="2"/>
            <w:tcBorders>
              <w:bottom w:val="single" w:sz="4" w:space="0" w:color="auto"/>
            </w:tcBorders>
          </w:tcPr>
          <w:p w:rsidR="00861316" w:rsidRPr="00260CE3" w:rsidRDefault="00861316" w:rsidP="00393D1E">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61316" w:rsidRPr="00260CE3" w:rsidRDefault="00861316" w:rsidP="00393D1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992" w:type="dxa"/>
            <w:tcBorders>
              <w:bottom w:val="single" w:sz="4" w:space="0" w:color="auto"/>
            </w:tcBorders>
          </w:tcPr>
          <w:p w:rsidR="00861316" w:rsidRPr="00260CE3" w:rsidRDefault="00861316" w:rsidP="00393D1E">
            <w:pPr>
              <w:keepNext/>
              <w:ind w:left="-108"/>
              <w:rPr>
                <w:rFonts w:ascii="Arial Narrow" w:hAnsi="Arial Narrow" w:cs="Arial"/>
                <w:sz w:val="20"/>
                <w:szCs w:val="20"/>
              </w:rPr>
            </w:pPr>
            <w:r w:rsidRPr="00260CE3">
              <w:rPr>
                <w:rFonts w:ascii="Arial Narrow" w:hAnsi="Arial Narrow" w:cs="Arial"/>
                <w:sz w:val="20"/>
                <w:szCs w:val="20"/>
              </w:rPr>
              <w:t>Max.</w:t>
            </w:r>
            <w:r>
              <w:rPr>
                <w:rFonts w:ascii="Arial Narrow" w:hAnsi="Arial Narrow" w:cs="Arial"/>
                <w:sz w:val="20"/>
                <w:szCs w:val="20"/>
              </w:rPr>
              <w:t xml:space="preserve"> </w:t>
            </w:r>
            <w:r w:rsidRPr="00260CE3">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861316" w:rsidRPr="00260CE3" w:rsidRDefault="00861316" w:rsidP="00393D1E">
            <w:pPr>
              <w:keepNext/>
              <w:ind w:left="-108"/>
              <w:rPr>
                <w:rFonts w:ascii="Arial Narrow" w:hAnsi="Arial Narrow" w:cs="Arial"/>
                <w:sz w:val="20"/>
                <w:szCs w:val="20"/>
              </w:rPr>
            </w:pPr>
            <w:r>
              <w:rPr>
                <w:rFonts w:ascii="Arial Narrow" w:hAnsi="Arial Narrow" w:cs="Arial"/>
                <w:sz w:val="20"/>
                <w:szCs w:val="20"/>
              </w:rPr>
              <w:t>Max. Qty (Units)</w:t>
            </w:r>
          </w:p>
        </w:tc>
        <w:tc>
          <w:tcPr>
            <w:tcW w:w="1134" w:type="dxa"/>
            <w:tcBorders>
              <w:bottom w:val="single" w:sz="4" w:space="0" w:color="auto"/>
            </w:tcBorders>
          </w:tcPr>
          <w:p w:rsidR="00861316" w:rsidRDefault="00861316" w:rsidP="00393D1E">
            <w:pPr>
              <w:keepNext/>
              <w:ind w:left="-108"/>
              <w:jc w:val="both"/>
              <w:rPr>
                <w:rFonts w:ascii="Arial Narrow" w:hAnsi="Arial Narrow" w:cs="Arial"/>
                <w:sz w:val="20"/>
                <w:szCs w:val="20"/>
              </w:rPr>
            </w:pPr>
            <w:r>
              <w:rPr>
                <w:rFonts w:ascii="Arial Narrow" w:hAnsi="Arial Narrow" w:cs="Arial"/>
                <w:sz w:val="20"/>
                <w:szCs w:val="20"/>
              </w:rPr>
              <w:t xml:space="preserve">No. of </w:t>
            </w: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Rpts</w:t>
            </w:r>
          </w:p>
        </w:tc>
        <w:tc>
          <w:tcPr>
            <w:tcW w:w="2410" w:type="dxa"/>
            <w:gridSpan w:val="2"/>
            <w:tcBorders>
              <w:bottom w:val="single" w:sz="4" w:space="0" w:color="auto"/>
            </w:tcBorders>
          </w:tcPr>
          <w:p w:rsidR="00861316" w:rsidRPr="00260CE3" w:rsidRDefault="00861316" w:rsidP="00861316">
            <w:pPr>
              <w:keepNext/>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61316" w:rsidRPr="00260CE3" w:rsidTr="00861316">
        <w:trPr>
          <w:cantSplit/>
          <w:trHeight w:val="577"/>
        </w:trPr>
        <w:tc>
          <w:tcPr>
            <w:tcW w:w="2552" w:type="dxa"/>
            <w:gridSpan w:val="2"/>
          </w:tcPr>
          <w:p w:rsidR="00861316" w:rsidRPr="00260CE3" w:rsidRDefault="00861316" w:rsidP="00393D1E">
            <w:pPr>
              <w:keepNext/>
              <w:ind w:left="-108"/>
              <w:jc w:val="both"/>
              <w:rPr>
                <w:rFonts w:ascii="Arial Narrow" w:hAnsi="Arial Narrow" w:cs="Arial"/>
                <w:sz w:val="20"/>
                <w:szCs w:val="20"/>
              </w:rPr>
            </w:pPr>
            <w:r>
              <w:rPr>
                <w:rFonts w:ascii="Arial Narrow" w:hAnsi="Arial Narrow" w:cs="Arial"/>
                <w:smallCaps/>
                <w:sz w:val="20"/>
                <w:szCs w:val="20"/>
              </w:rPr>
              <w:t>Sorafenib</w:t>
            </w: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Sorafenib 200 mg tablets, 60</w:t>
            </w:r>
          </w:p>
        </w:tc>
        <w:tc>
          <w:tcPr>
            <w:tcW w:w="992" w:type="dxa"/>
          </w:tcPr>
          <w:p w:rsidR="00861316" w:rsidRPr="00260CE3"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2</w:t>
            </w:r>
          </w:p>
        </w:tc>
        <w:tc>
          <w:tcPr>
            <w:tcW w:w="992" w:type="dxa"/>
          </w:tcPr>
          <w:p w:rsidR="00861316" w:rsidRPr="00260CE3"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120</w:t>
            </w:r>
          </w:p>
        </w:tc>
        <w:tc>
          <w:tcPr>
            <w:tcW w:w="1134" w:type="dxa"/>
          </w:tcPr>
          <w:p w:rsidR="00861316"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2</w:t>
            </w:r>
          </w:p>
        </w:tc>
        <w:tc>
          <w:tcPr>
            <w:tcW w:w="1559" w:type="dxa"/>
          </w:tcPr>
          <w:p w:rsidR="00861316" w:rsidRDefault="00861316" w:rsidP="00393D1E">
            <w:pPr>
              <w:keepNext/>
              <w:jc w:val="both"/>
              <w:rPr>
                <w:rFonts w:ascii="Arial Narrow" w:hAnsi="Arial Narrow" w:cs="Arial"/>
                <w:sz w:val="20"/>
                <w:szCs w:val="20"/>
              </w:rPr>
            </w:pPr>
          </w:p>
          <w:p w:rsidR="00861316" w:rsidRPr="00260CE3" w:rsidRDefault="00861316" w:rsidP="00393D1E">
            <w:pPr>
              <w:keepNext/>
              <w:jc w:val="both"/>
              <w:rPr>
                <w:rFonts w:ascii="Arial Narrow" w:hAnsi="Arial Narrow" w:cs="Arial"/>
                <w:sz w:val="20"/>
                <w:szCs w:val="20"/>
              </w:rPr>
            </w:pPr>
            <w:r>
              <w:rPr>
                <w:rFonts w:ascii="Arial Narrow" w:hAnsi="Arial Narrow" w:cs="Arial"/>
                <w:sz w:val="20"/>
                <w:szCs w:val="20"/>
              </w:rPr>
              <w:t>Nexavar</w:t>
            </w:r>
          </w:p>
        </w:tc>
        <w:tc>
          <w:tcPr>
            <w:tcW w:w="851" w:type="dxa"/>
          </w:tcPr>
          <w:p w:rsidR="00861316" w:rsidRDefault="00861316" w:rsidP="00393D1E">
            <w:pPr>
              <w:keepNext/>
              <w:jc w:val="both"/>
              <w:rPr>
                <w:rFonts w:ascii="Arial Narrow" w:hAnsi="Arial Narrow" w:cs="Arial"/>
                <w:sz w:val="20"/>
                <w:szCs w:val="20"/>
              </w:rPr>
            </w:pPr>
          </w:p>
          <w:p w:rsidR="00861316" w:rsidRPr="00260CE3" w:rsidRDefault="00861316" w:rsidP="00393D1E">
            <w:pPr>
              <w:keepNext/>
              <w:jc w:val="both"/>
              <w:rPr>
                <w:rFonts w:ascii="Arial Narrow" w:hAnsi="Arial Narrow" w:cs="Arial"/>
                <w:sz w:val="20"/>
                <w:szCs w:val="20"/>
              </w:rPr>
            </w:pPr>
            <w:r>
              <w:rPr>
                <w:rFonts w:ascii="Arial Narrow" w:hAnsi="Arial Narrow" w:cs="Arial"/>
                <w:sz w:val="20"/>
                <w:szCs w:val="20"/>
              </w:rPr>
              <w:t>BY</w:t>
            </w:r>
          </w:p>
        </w:tc>
      </w:tr>
      <w:tr w:rsidR="00861316" w:rsidRPr="00260CE3" w:rsidTr="00861316">
        <w:trPr>
          <w:cantSplit/>
          <w:trHeight w:val="360"/>
        </w:trPr>
        <w:tc>
          <w:tcPr>
            <w:tcW w:w="8080" w:type="dxa"/>
            <w:gridSpan w:val="7"/>
            <w:tcBorders>
              <w:bottom w:val="single" w:sz="4" w:space="0" w:color="auto"/>
            </w:tcBorders>
          </w:tcPr>
          <w:p w:rsidR="00861316" w:rsidRPr="00260CE3" w:rsidRDefault="00861316" w:rsidP="00393D1E">
            <w:pPr>
              <w:jc w:val="both"/>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t>GENERAL – General Schedule (Code GE)</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lastRenderedPageBreak/>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Stage IV</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clear cell variant renal cell carcinoma</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Stage IV clear cell variant renal cell carcinoma</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Treatment phase:</w:t>
            </w:r>
          </w:p>
          <w:p w:rsidR="00861316" w:rsidRPr="00260CE3" w:rsidRDefault="00861316" w:rsidP="00393D1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Initial treatment</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61316" w:rsidRPr="00260CE3" w:rsidRDefault="00861316" w:rsidP="00393D1E">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106BCF" w:rsidRDefault="00861316" w:rsidP="00393D1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61316" w:rsidRDefault="00861316" w:rsidP="00393D1E">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Clinical criteria:</w:t>
            </w:r>
          </w:p>
          <w:p w:rsidR="00861316" w:rsidRPr="00260CE3" w:rsidRDefault="00861316" w:rsidP="00393D1E">
            <w:pPr>
              <w:jc w:val="both"/>
              <w:rPr>
                <w:rFonts w:ascii="Arial Narrow" w:hAnsi="Arial Narrow" w:cs="Arial"/>
                <w:i/>
                <w:sz w:val="20"/>
                <w:szCs w:val="20"/>
              </w:rPr>
            </w:pPr>
          </w:p>
          <w:p w:rsidR="00861316" w:rsidRPr="00260CE3" w:rsidRDefault="00861316" w:rsidP="00393D1E">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Patient must have progressive disease according to the Response Evaluation Criteria In Solid Tumours (RECIST) following first-line treatment with a tyrosine kinase inhibitor,</w:t>
            </w:r>
          </w:p>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AND</w:t>
            </w:r>
          </w:p>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Patient must have a WHO performance status of 2 or less,</w:t>
            </w:r>
          </w:p>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AND</w:t>
            </w:r>
          </w:p>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The treatment must be the sole PBS-subsidised therapy for this condition.</w:t>
            </w:r>
          </w:p>
          <w:p w:rsidR="00861316" w:rsidRPr="00260CE3" w:rsidRDefault="00861316" w:rsidP="00393D1E">
            <w:pPr>
              <w:jc w:val="both"/>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BD4C63" w:rsidP="00393D1E">
            <w:pPr>
              <w:jc w:val="both"/>
              <w:rPr>
                <w:rFonts w:ascii="Arial Narrow" w:hAnsi="Arial Narrow" w:cs="Arial"/>
                <w:b/>
                <w:sz w:val="20"/>
                <w:szCs w:val="20"/>
              </w:rPr>
            </w:pPr>
            <w:r>
              <w:rPr>
                <w:rFonts w:ascii="Arial Narrow" w:hAnsi="Arial Narrow" w:cs="Arial"/>
                <w:b/>
                <w:sz w:val="20"/>
                <w:szCs w:val="20"/>
              </w:rPr>
              <w:t>Prescriber Instruction</w:t>
            </w:r>
          </w:p>
          <w:p w:rsidR="00861316" w:rsidRPr="00260CE3" w:rsidRDefault="00861316" w:rsidP="00393D1E">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233198" w:rsidRDefault="00861316" w:rsidP="00393D1E">
            <w:pPr>
              <w:rPr>
                <w:rFonts w:ascii="Arial Narrow" w:hAnsi="Arial Narrow" w:cs="Arial"/>
                <w:sz w:val="20"/>
                <w:szCs w:val="20"/>
              </w:rPr>
            </w:pPr>
            <w:r w:rsidRPr="00233198">
              <w:rPr>
                <w:rFonts w:ascii="Arial Narrow" w:hAnsi="Arial Narrow" w:cs="Arial"/>
                <w:sz w:val="20"/>
                <w:szCs w:val="20"/>
              </w:rPr>
              <w:t xml:space="preserve">Patients who have developed intolerance to a tyrosine kinase inhibitor of a severity necessitating permanent treatment withdrawal are eligible to receive PBS-subsidised </w:t>
            </w:r>
            <w:r>
              <w:rPr>
                <w:rFonts w:ascii="Arial Narrow" w:hAnsi="Arial Narrow" w:cs="Arial"/>
                <w:sz w:val="20"/>
                <w:szCs w:val="20"/>
              </w:rPr>
              <w:t>treatment with this drug</w:t>
            </w:r>
            <w:r w:rsidRPr="00233198">
              <w:rPr>
                <w:rFonts w:ascii="Arial Narrow" w:hAnsi="Arial Narrow" w:cs="Arial"/>
                <w:sz w:val="20"/>
                <w:szCs w:val="20"/>
              </w:rPr>
              <w:t xml:space="preserve">. </w:t>
            </w:r>
          </w:p>
          <w:p w:rsidR="00861316" w:rsidRPr="00260CE3" w:rsidRDefault="00861316" w:rsidP="00393D1E">
            <w:pPr>
              <w:rPr>
                <w:rFonts w:ascii="Arial Narrow" w:hAnsi="Arial Narrow" w:cs="Arial"/>
                <w:sz w:val="20"/>
                <w:szCs w:val="20"/>
              </w:rPr>
            </w:pPr>
          </w:p>
        </w:tc>
      </w:tr>
      <w:tr w:rsidR="00BD4C63"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BD4C63" w:rsidRPr="00260CE3" w:rsidRDefault="00BD4C63" w:rsidP="00393D1E">
            <w:pPr>
              <w:jc w:val="both"/>
              <w:rPr>
                <w:rFonts w:ascii="Arial Narrow" w:hAnsi="Arial Narrow" w:cs="Arial"/>
                <w:b/>
                <w:sz w:val="20"/>
                <w:szCs w:val="20"/>
              </w:rPr>
            </w:pPr>
            <w:r>
              <w:rPr>
                <w:rFonts w:ascii="Arial Narrow" w:hAnsi="Arial Narrow" w:cs="Arial"/>
                <w:b/>
                <w:sz w:val="20"/>
                <w:szCs w:val="20"/>
              </w:rPr>
              <w:t>Prescriber Instruction</w:t>
            </w:r>
          </w:p>
        </w:tc>
        <w:tc>
          <w:tcPr>
            <w:tcW w:w="6379" w:type="dxa"/>
            <w:gridSpan w:val="6"/>
            <w:tcBorders>
              <w:top w:val="single" w:sz="4" w:space="0" w:color="auto"/>
              <w:left w:val="single" w:sz="4" w:space="0" w:color="auto"/>
              <w:bottom w:val="single" w:sz="4" w:space="0" w:color="auto"/>
              <w:right w:val="single" w:sz="4" w:space="0" w:color="auto"/>
            </w:tcBorders>
          </w:tcPr>
          <w:p w:rsidR="00BD4C63" w:rsidRPr="00BD4C63" w:rsidRDefault="00BD4C63" w:rsidP="00BD4C63">
            <w:pPr>
              <w:rPr>
                <w:rFonts w:ascii="Arial Narrow" w:hAnsi="Arial Narrow" w:cs="Arial"/>
                <w:sz w:val="20"/>
                <w:szCs w:val="20"/>
              </w:rPr>
            </w:pPr>
            <w:r w:rsidRPr="00BD4C63">
              <w:rPr>
                <w:rFonts w:ascii="Arial Narrow" w:hAnsi="Arial Narrow" w:cs="Arial"/>
                <w:sz w:val="20"/>
                <w:szCs w:val="20"/>
              </w:rPr>
              <w:t xml:space="preserve">Patients who have progressive disease with </w:t>
            </w:r>
            <w:r>
              <w:rPr>
                <w:rFonts w:ascii="Arial Narrow" w:hAnsi="Arial Narrow" w:cs="Arial"/>
                <w:sz w:val="20"/>
                <w:szCs w:val="20"/>
              </w:rPr>
              <w:t>this drug</w:t>
            </w:r>
            <w:r w:rsidRPr="00BD4C63">
              <w:rPr>
                <w:rFonts w:ascii="Arial Narrow" w:hAnsi="Arial Narrow" w:cs="Arial"/>
                <w:sz w:val="20"/>
                <w:szCs w:val="20"/>
              </w:rPr>
              <w:t xml:space="preserve"> are no longer eligible for PBS-subsidised </w:t>
            </w:r>
            <w:r>
              <w:rPr>
                <w:rFonts w:ascii="Arial Narrow" w:hAnsi="Arial Narrow" w:cs="Arial"/>
                <w:sz w:val="20"/>
                <w:szCs w:val="20"/>
              </w:rPr>
              <w:t>treatment with this drug</w:t>
            </w:r>
            <w:r w:rsidRPr="00BD4C63">
              <w:rPr>
                <w:rFonts w:ascii="Arial Narrow" w:hAnsi="Arial Narrow" w:cs="Arial"/>
                <w:sz w:val="20"/>
                <w:szCs w:val="20"/>
              </w:rPr>
              <w:t>.</w:t>
            </w:r>
          </w:p>
          <w:p w:rsidR="00BD4C63" w:rsidRPr="00233198" w:rsidRDefault="00BD4C63"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Administrative Advice</w:t>
            </w:r>
          </w:p>
          <w:p w:rsidR="00861316" w:rsidRPr="00260CE3" w:rsidRDefault="00861316" w:rsidP="00393D1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BD0E8B" w:rsidRDefault="00861316" w:rsidP="00393D1E">
            <w:pPr>
              <w:rPr>
                <w:rFonts w:ascii="Arial Narrow" w:hAnsi="Arial Narrow" w:cs="Arial"/>
                <w:sz w:val="20"/>
                <w:szCs w:val="20"/>
                <w:u w:val="single"/>
              </w:rPr>
            </w:pPr>
            <w:r w:rsidRPr="00BD0E8B">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No increase in the maximum quantity or number of units may be authorised.</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BD0E8B"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p w:rsidR="00861316" w:rsidRPr="00BD0E8B" w:rsidRDefault="00861316" w:rsidP="00393D1E">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BD0E8B" w:rsidRDefault="00861316" w:rsidP="00393D1E">
            <w:pPr>
              <w:rPr>
                <w:rFonts w:ascii="Arial Narrow" w:hAnsi="Arial Narrow" w:cs="Arial"/>
                <w:sz w:val="20"/>
                <w:szCs w:val="20"/>
                <w:u w:val="single"/>
              </w:rPr>
            </w:pPr>
            <w:r w:rsidRPr="00BD0E8B">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No increase in the maximum number of repeats may be authorised.</w:t>
            </w:r>
          </w:p>
          <w:p w:rsidR="00861316" w:rsidRPr="00260CE3" w:rsidRDefault="00861316" w:rsidP="00393D1E">
            <w:pPr>
              <w:rPr>
                <w:rFonts w:ascii="Arial Narrow" w:hAnsi="Arial Narrow" w:cs="Arial"/>
                <w:sz w:val="20"/>
                <w:szCs w:val="20"/>
              </w:rPr>
            </w:pPr>
          </w:p>
        </w:tc>
      </w:tr>
      <w:tr w:rsidR="00861316" w:rsidRPr="00BD0E8B"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p w:rsidR="00861316" w:rsidRDefault="00861316" w:rsidP="00393D1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Default="00861316" w:rsidP="00393D1E">
            <w:pPr>
              <w:rPr>
                <w:rFonts w:ascii="Arial Narrow" w:hAnsi="Arial Narrow" w:cs="Arial"/>
                <w:sz w:val="20"/>
                <w:szCs w:val="20"/>
                <w:u w:val="single"/>
              </w:rPr>
            </w:pPr>
            <w:r>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Response Evaluation Criteria In Solid Tumours (RECIST) is defined as follows: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Complete response (CR) is disappearance of all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Partial response (PR) is a 30% decrease in the sum of the longest diameter of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Progressive disease (PD) is a 20% increase in the sum of the longest diameter of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Stable disease (SD) is small changes that do not meet above criteria.</w:t>
            </w:r>
          </w:p>
          <w:p w:rsidR="00861316" w:rsidRPr="00BD0E8B" w:rsidRDefault="00861316" w:rsidP="00393D1E">
            <w:pPr>
              <w:rPr>
                <w:rFonts w:ascii="Arial Narrow" w:hAnsi="Arial Narrow" w:cs="Arial"/>
                <w:sz w:val="20"/>
                <w:szCs w:val="20"/>
                <w:u w:val="single"/>
              </w:rPr>
            </w:pPr>
          </w:p>
        </w:tc>
      </w:tr>
      <w:tr w:rsidR="00861316" w:rsidRPr="00BD0E8B"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861316" w:rsidRDefault="00861316" w:rsidP="00393D1E">
            <w:pPr>
              <w:rPr>
                <w:rFonts w:ascii="Arial Narrow" w:hAnsi="Arial Narrow" w:cs="Arial"/>
                <w:sz w:val="20"/>
                <w:szCs w:val="20"/>
                <w:u w:val="single"/>
              </w:rPr>
            </w:pPr>
            <w:r>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Special Pricing Arrangements apply.</w:t>
            </w:r>
          </w:p>
        </w:tc>
      </w:tr>
    </w:tbl>
    <w:p w:rsidR="00861316" w:rsidRDefault="00861316" w:rsidP="00861316">
      <w:pPr>
        <w:jc w:val="both"/>
        <w:rPr>
          <w:rFonts w:ascii="Arial" w:hAnsi="Arial"/>
          <w:sz w:val="22"/>
          <w:szCs w:val="22"/>
        </w:rPr>
      </w:pPr>
    </w:p>
    <w:p w:rsidR="00861316" w:rsidRDefault="00861316" w:rsidP="00861316">
      <w:pPr>
        <w:rPr>
          <w:rFonts w:ascii="Arial" w:hAnsi="Arial"/>
          <w:sz w:val="22"/>
          <w:szCs w:val="22"/>
        </w:rPr>
      </w:pPr>
    </w:p>
    <w:p w:rsidR="00861316" w:rsidRPr="004465BD" w:rsidRDefault="00861316" w:rsidP="00861316">
      <w:pPr>
        <w:jc w:val="both"/>
        <w:rPr>
          <w:rFonts w:ascii="Arial" w:hAnsi="Arial"/>
          <w:sz w:val="22"/>
          <w:szCs w:val="22"/>
        </w:rPr>
      </w:pPr>
    </w:p>
    <w:tbl>
      <w:tblPr>
        <w:tblW w:w="8080" w:type="dxa"/>
        <w:tblInd w:w="817" w:type="dxa"/>
        <w:tblLayout w:type="fixed"/>
        <w:tblLook w:val="0000" w:firstRow="0" w:lastRow="0" w:firstColumn="0" w:lastColumn="0" w:noHBand="0" w:noVBand="0"/>
      </w:tblPr>
      <w:tblGrid>
        <w:gridCol w:w="1701"/>
        <w:gridCol w:w="851"/>
        <w:gridCol w:w="992"/>
        <w:gridCol w:w="992"/>
        <w:gridCol w:w="1134"/>
        <w:gridCol w:w="1559"/>
        <w:gridCol w:w="851"/>
      </w:tblGrid>
      <w:tr w:rsidR="00861316" w:rsidRPr="00260CE3" w:rsidTr="00861316">
        <w:trPr>
          <w:cantSplit/>
          <w:trHeight w:val="471"/>
        </w:trPr>
        <w:tc>
          <w:tcPr>
            <w:tcW w:w="2552" w:type="dxa"/>
            <w:gridSpan w:val="2"/>
            <w:tcBorders>
              <w:bottom w:val="single" w:sz="4" w:space="0" w:color="auto"/>
            </w:tcBorders>
          </w:tcPr>
          <w:p w:rsidR="00861316" w:rsidRPr="00260CE3" w:rsidRDefault="00861316" w:rsidP="00393D1E">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861316" w:rsidRPr="00260CE3" w:rsidRDefault="00861316" w:rsidP="00393D1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992" w:type="dxa"/>
            <w:tcBorders>
              <w:bottom w:val="single" w:sz="4" w:space="0" w:color="auto"/>
            </w:tcBorders>
          </w:tcPr>
          <w:p w:rsidR="00861316" w:rsidRPr="00260CE3" w:rsidRDefault="00861316" w:rsidP="00393D1E">
            <w:pPr>
              <w:keepNext/>
              <w:ind w:left="-108"/>
              <w:rPr>
                <w:rFonts w:ascii="Arial Narrow" w:hAnsi="Arial Narrow" w:cs="Arial"/>
                <w:sz w:val="20"/>
                <w:szCs w:val="20"/>
              </w:rPr>
            </w:pPr>
            <w:r w:rsidRPr="00260CE3">
              <w:rPr>
                <w:rFonts w:ascii="Arial Narrow" w:hAnsi="Arial Narrow" w:cs="Arial"/>
                <w:sz w:val="20"/>
                <w:szCs w:val="20"/>
              </w:rPr>
              <w:t>Max.</w:t>
            </w:r>
            <w:r>
              <w:rPr>
                <w:rFonts w:ascii="Arial Narrow" w:hAnsi="Arial Narrow" w:cs="Arial"/>
                <w:sz w:val="20"/>
                <w:szCs w:val="20"/>
              </w:rPr>
              <w:t xml:space="preserve"> </w:t>
            </w:r>
            <w:r w:rsidRPr="00260CE3">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861316" w:rsidRPr="00260CE3" w:rsidRDefault="00861316" w:rsidP="00393D1E">
            <w:pPr>
              <w:keepNext/>
              <w:ind w:left="-108"/>
              <w:rPr>
                <w:rFonts w:ascii="Arial Narrow" w:hAnsi="Arial Narrow" w:cs="Arial"/>
                <w:sz w:val="20"/>
                <w:szCs w:val="20"/>
              </w:rPr>
            </w:pPr>
            <w:r>
              <w:rPr>
                <w:rFonts w:ascii="Arial Narrow" w:hAnsi="Arial Narrow" w:cs="Arial"/>
                <w:sz w:val="20"/>
                <w:szCs w:val="20"/>
              </w:rPr>
              <w:t>Max. Qty (Units)</w:t>
            </w:r>
          </w:p>
        </w:tc>
        <w:tc>
          <w:tcPr>
            <w:tcW w:w="1134" w:type="dxa"/>
            <w:tcBorders>
              <w:bottom w:val="single" w:sz="4" w:space="0" w:color="auto"/>
            </w:tcBorders>
          </w:tcPr>
          <w:p w:rsidR="00861316" w:rsidRDefault="00861316" w:rsidP="00393D1E">
            <w:pPr>
              <w:keepNext/>
              <w:ind w:left="-108"/>
              <w:jc w:val="both"/>
              <w:rPr>
                <w:rFonts w:ascii="Arial Narrow" w:hAnsi="Arial Narrow" w:cs="Arial"/>
                <w:sz w:val="20"/>
                <w:szCs w:val="20"/>
              </w:rPr>
            </w:pPr>
            <w:r>
              <w:rPr>
                <w:rFonts w:ascii="Arial Narrow" w:hAnsi="Arial Narrow" w:cs="Arial"/>
                <w:sz w:val="20"/>
                <w:szCs w:val="20"/>
              </w:rPr>
              <w:t xml:space="preserve">No. of </w:t>
            </w: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Rpts</w:t>
            </w:r>
          </w:p>
        </w:tc>
        <w:tc>
          <w:tcPr>
            <w:tcW w:w="2410" w:type="dxa"/>
            <w:gridSpan w:val="2"/>
            <w:tcBorders>
              <w:bottom w:val="single" w:sz="4" w:space="0" w:color="auto"/>
            </w:tcBorders>
          </w:tcPr>
          <w:p w:rsidR="00861316" w:rsidRPr="00260CE3" w:rsidRDefault="00861316" w:rsidP="00861316">
            <w:pPr>
              <w:keepNext/>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61316" w:rsidRPr="00260CE3" w:rsidTr="00861316">
        <w:trPr>
          <w:cantSplit/>
          <w:trHeight w:val="577"/>
        </w:trPr>
        <w:tc>
          <w:tcPr>
            <w:tcW w:w="2552" w:type="dxa"/>
            <w:gridSpan w:val="2"/>
          </w:tcPr>
          <w:p w:rsidR="00861316" w:rsidRPr="00260CE3" w:rsidRDefault="00861316" w:rsidP="00393D1E">
            <w:pPr>
              <w:keepNext/>
              <w:ind w:left="-108"/>
              <w:jc w:val="both"/>
              <w:rPr>
                <w:rFonts w:ascii="Arial Narrow" w:hAnsi="Arial Narrow" w:cs="Arial"/>
                <w:sz w:val="20"/>
                <w:szCs w:val="20"/>
              </w:rPr>
            </w:pPr>
            <w:r>
              <w:rPr>
                <w:rFonts w:ascii="Arial Narrow" w:hAnsi="Arial Narrow" w:cs="Arial"/>
                <w:smallCaps/>
                <w:sz w:val="20"/>
                <w:szCs w:val="20"/>
              </w:rPr>
              <w:t>Sorafenib</w:t>
            </w: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Sorafenib 200 mg tablets, 60</w:t>
            </w:r>
          </w:p>
        </w:tc>
        <w:tc>
          <w:tcPr>
            <w:tcW w:w="992" w:type="dxa"/>
          </w:tcPr>
          <w:p w:rsidR="00861316" w:rsidRPr="00260CE3"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2</w:t>
            </w:r>
          </w:p>
        </w:tc>
        <w:tc>
          <w:tcPr>
            <w:tcW w:w="992" w:type="dxa"/>
          </w:tcPr>
          <w:p w:rsidR="00861316" w:rsidRPr="00260CE3"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120</w:t>
            </w:r>
          </w:p>
        </w:tc>
        <w:tc>
          <w:tcPr>
            <w:tcW w:w="1134" w:type="dxa"/>
          </w:tcPr>
          <w:p w:rsidR="00861316" w:rsidRDefault="00861316" w:rsidP="00393D1E">
            <w:pPr>
              <w:keepNext/>
              <w:ind w:left="-108"/>
              <w:jc w:val="both"/>
              <w:rPr>
                <w:rFonts w:ascii="Arial Narrow" w:hAnsi="Arial Narrow" w:cs="Arial"/>
                <w:sz w:val="20"/>
                <w:szCs w:val="20"/>
              </w:rPr>
            </w:pPr>
          </w:p>
          <w:p w:rsidR="00861316" w:rsidRPr="00260CE3" w:rsidRDefault="00861316" w:rsidP="00393D1E">
            <w:pPr>
              <w:keepNext/>
              <w:ind w:left="-108"/>
              <w:jc w:val="both"/>
              <w:rPr>
                <w:rFonts w:ascii="Arial Narrow" w:hAnsi="Arial Narrow" w:cs="Arial"/>
                <w:sz w:val="20"/>
                <w:szCs w:val="20"/>
              </w:rPr>
            </w:pPr>
            <w:r>
              <w:rPr>
                <w:rFonts w:ascii="Arial Narrow" w:hAnsi="Arial Narrow" w:cs="Arial"/>
                <w:sz w:val="20"/>
                <w:szCs w:val="20"/>
              </w:rPr>
              <w:t>5</w:t>
            </w:r>
          </w:p>
        </w:tc>
        <w:tc>
          <w:tcPr>
            <w:tcW w:w="1559" w:type="dxa"/>
          </w:tcPr>
          <w:p w:rsidR="00861316" w:rsidRDefault="00861316" w:rsidP="00393D1E">
            <w:pPr>
              <w:keepNext/>
              <w:jc w:val="both"/>
              <w:rPr>
                <w:rFonts w:ascii="Arial Narrow" w:hAnsi="Arial Narrow" w:cs="Arial"/>
                <w:sz w:val="20"/>
                <w:szCs w:val="20"/>
              </w:rPr>
            </w:pPr>
          </w:p>
          <w:p w:rsidR="00861316" w:rsidRPr="00260CE3" w:rsidRDefault="00861316" w:rsidP="00393D1E">
            <w:pPr>
              <w:keepNext/>
              <w:jc w:val="both"/>
              <w:rPr>
                <w:rFonts w:ascii="Arial Narrow" w:hAnsi="Arial Narrow" w:cs="Arial"/>
                <w:sz w:val="20"/>
                <w:szCs w:val="20"/>
              </w:rPr>
            </w:pPr>
            <w:r>
              <w:rPr>
                <w:rFonts w:ascii="Arial Narrow" w:hAnsi="Arial Narrow" w:cs="Arial"/>
                <w:sz w:val="20"/>
                <w:szCs w:val="20"/>
              </w:rPr>
              <w:t>Nexavar</w:t>
            </w:r>
          </w:p>
        </w:tc>
        <w:tc>
          <w:tcPr>
            <w:tcW w:w="851" w:type="dxa"/>
          </w:tcPr>
          <w:p w:rsidR="00861316" w:rsidRDefault="00861316" w:rsidP="00393D1E">
            <w:pPr>
              <w:keepNext/>
              <w:jc w:val="both"/>
              <w:rPr>
                <w:rFonts w:ascii="Arial Narrow" w:hAnsi="Arial Narrow" w:cs="Arial"/>
                <w:sz w:val="20"/>
                <w:szCs w:val="20"/>
              </w:rPr>
            </w:pPr>
          </w:p>
          <w:p w:rsidR="00861316" w:rsidRPr="00260CE3" w:rsidRDefault="00861316" w:rsidP="00393D1E">
            <w:pPr>
              <w:keepNext/>
              <w:jc w:val="both"/>
              <w:rPr>
                <w:rFonts w:ascii="Arial Narrow" w:hAnsi="Arial Narrow" w:cs="Arial"/>
                <w:sz w:val="20"/>
                <w:szCs w:val="20"/>
              </w:rPr>
            </w:pPr>
            <w:r>
              <w:rPr>
                <w:rFonts w:ascii="Arial Narrow" w:hAnsi="Arial Narrow" w:cs="Arial"/>
                <w:sz w:val="20"/>
                <w:szCs w:val="20"/>
              </w:rPr>
              <w:t>BY</w:t>
            </w:r>
          </w:p>
        </w:tc>
      </w:tr>
      <w:tr w:rsidR="00861316" w:rsidRPr="00260CE3" w:rsidTr="00861316">
        <w:trPr>
          <w:cantSplit/>
          <w:trHeight w:val="360"/>
        </w:trPr>
        <w:tc>
          <w:tcPr>
            <w:tcW w:w="8080" w:type="dxa"/>
            <w:gridSpan w:val="7"/>
            <w:tcBorders>
              <w:bottom w:val="single" w:sz="4" w:space="0" w:color="auto"/>
            </w:tcBorders>
          </w:tcPr>
          <w:p w:rsidR="00861316" w:rsidRPr="00260CE3" w:rsidRDefault="00861316" w:rsidP="00393D1E">
            <w:pPr>
              <w:jc w:val="both"/>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t>GENERAL – General Schedule (Code GE)</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61316" w:rsidRPr="00260CE3" w:rsidRDefault="00861316" w:rsidP="00393D1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Stage IV</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clear cell variant renal cell carcinoma</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Stage IV clear cell variant renal cell carcinoma</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Treatment phase:</w:t>
            </w:r>
          </w:p>
          <w:p w:rsidR="00861316" w:rsidRPr="00260CE3" w:rsidRDefault="00861316" w:rsidP="00393D1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260CE3" w:rsidRDefault="00861316" w:rsidP="00393D1E">
            <w:pPr>
              <w:rPr>
                <w:rFonts w:ascii="Arial Narrow" w:hAnsi="Arial Narrow" w:cs="Arial"/>
                <w:sz w:val="20"/>
                <w:szCs w:val="20"/>
              </w:rPr>
            </w:pPr>
            <w:r>
              <w:rPr>
                <w:rFonts w:ascii="Arial Narrow" w:hAnsi="Arial Narrow" w:cs="Arial"/>
                <w:sz w:val="20"/>
                <w:szCs w:val="20"/>
              </w:rPr>
              <w:t>Continuing treatment beyond 3 months</w:t>
            </w: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61316" w:rsidRPr="00260CE3" w:rsidRDefault="00861316" w:rsidP="00393D1E">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106BCF" w:rsidRDefault="00861316" w:rsidP="00393D1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61316" w:rsidRPr="00106BCF" w:rsidRDefault="00861316" w:rsidP="00393D1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61316" w:rsidRDefault="00861316" w:rsidP="00393D1E">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F1963">
              <w:rPr>
                <w:rFonts w:ascii="Arial Narrow" w:hAnsi="Arial Narrow" w:cs="Arial"/>
                <w:sz w:val="20"/>
                <w:szCs w:val="20"/>
              </w:rPr>
            </w:r>
            <w:r w:rsidR="001F19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Clinical criteria:</w:t>
            </w:r>
          </w:p>
          <w:p w:rsidR="00861316" w:rsidRPr="00260CE3" w:rsidRDefault="00861316" w:rsidP="00393D1E">
            <w:pPr>
              <w:jc w:val="both"/>
              <w:rPr>
                <w:rFonts w:ascii="Arial Narrow" w:hAnsi="Arial Narrow" w:cs="Arial"/>
                <w:i/>
                <w:sz w:val="20"/>
                <w:szCs w:val="20"/>
              </w:rPr>
            </w:pPr>
          </w:p>
          <w:p w:rsidR="00861316" w:rsidRPr="00260CE3" w:rsidRDefault="00861316" w:rsidP="00393D1E">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C1536E" w:rsidRDefault="00861316" w:rsidP="00393D1E">
            <w:pPr>
              <w:rPr>
                <w:rFonts w:ascii="Arial Narrow" w:hAnsi="Arial Narrow" w:cs="Arial"/>
                <w:sz w:val="20"/>
                <w:szCs w:val="20"/>
              </w:rPr>
            </w:pPr>
            <w:r w:rsidRPr="00C1536E">
              <w:rPr>
                <w:rFonts w:ascii="Arial Narrow" w:hAnsi="Arial Narrow" w:cs="Arial"/>
                <w:sz w:val="20"/>
                <w:szCs w:val="20"/>
              </w:rPr>
              <w:t>Patient must have previously been issued with an authority prescription for this drug for this condition,</w:t>
            </w:r>
          </w:p>
          <w:p w:rsidR="00861316" w:rsidRPr="00C1536E" w:rsidRDefault="00861316" w:rsidP="00393D1E">
            <w:pPr>
              <w:rPr>
                <w:rFonts w:ascii="Arial Narrow" w:hAnsi="Arial Narrow" w:cs="Arial"/>
                <w:sz w:val="20"/>
                <w:szCs w:val="20"/>
              </w:rPr>
            </w:pPr>
            <w:r w:rsidRPr="00C1536E">
              <w:rPr>
                <w:rFonts w:ascii="Arial Narrow" w:hAnsi="Arial Narrow" w:cs="Arial"/>
                <w:sz w:val="20"/>
                <w:szCs w:val="20"/>
              </w:rPr>
              <w:t>AND</w:t>
            </w:r>
          </w:p>
          <w:p w:rsidR="00861316" w:rsidRPr="00C1536E" w:rsidRDefault="00861316" w:rsidP="00393D1E">
            <w:pPr>
              <w:rPr>
                <w:rFonts w:ascii="Arial Narrow" w:hAnsi="Arial Narrow" w:cs="Arial"/>
                <w:sz w:val="20"/>
                <w:szCs w:val="20"/>
              </w:rPr>
            </w:pPr>
            <w:r w:rsidRPr="00C1536E">
              <w:rPr>
                <w:rFonts w:ascii="Arial Narrow" w:hAnsi="Arial Narrow" w:cs="Arial"/>
                <w:sz w:val="20"/>
                <w:szCs w:val="20"/>
              </w:rPr>
              <w:t>Patient must have stable or responding disease according to the Response Evaluation Criteria In Solid Tumours (RECIST),</w:t>
            </w:r>
          </w:p>
          <w:p w:rsidR="00861316" w:rsidRPr="00C1536E" w:rsidRDefault="00861316" w:rsidP="00393D1E">
            <w:pPr>
              <w:rPr>
                <w:rFonts w:ascii="Arial Narrow" w:hAnsi="Arial Narrow" w:cs="Arial"/>
                <w:sz w:val="20"/>
                <w:szCs w:val="20"/>
              </w:rPr>
            </w:pPr>
            <w:r w:rsidRPr="00C1536E">
              <w:rPr>
                <w:rFonts w:ascii="Arial Narrow" w:hAnsi="Arial Narrow" w:cs="Arial"/>
                <w:sz w:val="20"/>
                <w:szCs w:val="20"/>
              </w:rPr>
              <w:t>AND</w:t>
            </w:r>
          </w:p>
          <w:p w:rsidR="00861316" w:rsidRPr="00C1536E" w:rsidRDefault="00861316" w:rsidP="00393D1E">
            <w:pPr>
              <w:rPr>
                <w:rFonts w:ascii="Arial Narrow" w:hAnsi="Arial Narrow" w:cs="Arial"/>
                <w:sz w:val="20"/>
                <w:szCs w:val="20"/>
              </w:rPr>
            </w:pPr>
            <w:r w:rsidRPr="00C1536E">
              <w:rPr>
                <w:rFonts w:ascii="Arial Narrow" w:hAnsi="Arial Narrow" w:cs="Arial"/>
                <w:sz w:val="20"/>
                <w:szCs w:val="20"/>
              </w:rPr>
              <w:t>The treatment must be the sole PBS-subsidised therapy for this condition.</w:t>
            </w:r>
          </w:p>
          <w:p w:rsidR="00861316" w:rsidRPr="00260CE3" w:rsidRDefault="00861316" w:rsidP="00393D1E">
            <w:pPr>
              <w:jc w:val="both"/>
              <w:rPr>
                <w:rFonts w:ascii="Arial Narrow" w:hAnsi="Arial Narrow" w:cs="Arial"/>
                <w:sz w:val="20"/>
                <w:szCs w:val="20"/>
              </w:rPr>
            </w:pPr>
          </w:p>
        </w:tc>
      </w:tr>
      <w:tr w:rsidR="00BD4C63"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BD4C63" w:rsidRPr="00260CE3" w:rsidRDefault="00BD4C63" w:rsidP="00393D1E">
            <w:pPr>
              <w:jc w:val="both"/>
              <w:rPr>
                <w:rFonts w:ascii="Arial Narrow" w:hAnsi="Arial Narrow" w:cs="Arial"/>
                <w:b/>
                <w:sz w:val="20"/>
                <w:szCs w:val="20"/>
              </w:rPr>
            </w:pPr>
            <w:r>
              <w:rPr>
                <w:rFonts w:ascii="Arial Narrow" w:hAnsi="Arial Narrow" w:cs="Arial"/>
                <w:b/>
                <w:sz w:val="20"/>
                <w:szCs w:val="20"/>
              </w:rPr>
              <w:t>Prescriber Instruction</w:t>
            </w:r>
          </w:p>
        </w:tc>
        <w:tc>
          <w:tcPr>
            <w:tcW w:w="6379" w:type="dxa"/>
            <w:gridSpan w:val="6"/>
            <w:tcBorders>
              <w:top w:val="single" w:sz="4" w:space="0" w:color="auto"/>
              <w:left w:val="single" w:sz="4" w:space="0" w:color="auto"/>
              <w:bottom w:val="single" w:sz="4" w:space="0" w:color="auto"/>
              <w:right w:val="single" w:sz="4" w:space="0" w:color="auto"/>
            </w:tcBorders>
          </w:tcPr>
          <w:p w:rsidR="00BD4C63" w:rsidRPr="00BD4C63" w:rsidRDefault="00BD4C63" w:rsidP="00BD4C63">
            <w:pPr>
              <w:rPr>
                <w:rFonts w:ascii="Arial Narrow" w:hAnsi="Arial Narrow" w:cs="Arial"/>
                <w:sz w:val="20"/>
                <w:szCs w:val="20"/>
              </w:rPr>
            </w:pPr>
            <w:r w:rsidRPr="00BD4C63">
              <w:rPr>
                <w:rFonts w:ascii="Arial Narrow" w:hAnsi="Arial Narrow" w:cs="Arial"/>
                <w:sz w:val="20"/>
                <w:szCs w:val="20"/>
              </w:rPr>
              <w:t xml:space="preserve">Patients who have progressive disease with </w:t>
            </w:r>
            <w:r>
              <w:rPr>
                <w:rFonts w:ascii="Arial Narrow" w:hAnsi="Arial Narrow" w:cs="Arial"/>
                <w:sz w:val="20"/>
                <w:szCs w:val="20"/>
              </w:rPr>
              <w:t>this drug</w:t>
            </w:r>
            <w:r w:rsidRPr="00BD4C63">
              <w:rPr>
                <w:rFonts w:ascii="Arial Narrow" w:hAnsi="Arial Narrow" w:cs="Arial"/>
                <w:sz w:val="20"/>
                <w:szCs w:val="20"/>
              </w:rPr>
              <w:t xml:space="preserve"> are no longer eligible for PBS-subsidised</w:t>
            </w:r>
            <w:r>
              <w:rPr>
                <w:rFonts w:ascii="Arial Narrow" w:hAnsi="Arial Narrow" w:cs="Arial"/>
                <w:sz w:val="20"/>
                <w:szCs w:val="20"/>
              </w:rPr>
              <w:t xml:space="preserve"> treatment with this drug</w:t>
            </w:r>
            <w:r w:rsidRPr="00BD4C63">
              <w:rPr>
                <w:rFonts w:ascii="Arial Narrow" w:hAnsi="Arial Narrow" w:cs="Arial"/>
                <w:sz w:val="20"/>
                <w:szCs w:val="20"/>
              </w:rPr>
              <w:t>.</w:t>
            </w:r>
          </w:p>
          <w:p w:rsidR="00BD4C63" w:rsidRPr="00C1536E" w:rsidRDefault="00BD4C63"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260CE3" w:rsidRDefault="00861316" w:rsidP="00393D1E">
            <w:pPr>
              <w:jc w:val="both"/>
              <w:rPr>
                <w:rFonts w:ascii="Arial Narrow" w:hAnsi="Arial Narrow" w:cs="Arial"/>
                <w:b/>
                <w:sz w:val="20"/>
                <w:szCs w:val="20"/>
              </w:rPr>
            </w:pPr>
            <w:r w:rsidRPr="00260CE3">
              <w:rPr>
                <w:rFonts w:ascii="Arial Narrow" w:hAnsi="Arial Narrow" w:cs="Arial"/>
                <w:b/>
                <w:sz w:val="20"/>
                <w:szCs w:val="20"/>
              </w:rPr>
              <w:t>Administrative Advice</w:t>
            </w:r>
          </w:p>
          <w:p w:rsidR="00861316" w:rsidRPr="00260CE3" w:rsidRDefault="00861316" w:rsidP="00393D1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BD0E8B" w:rsidRDefault="00861316" w:rsidP="00393D1E">
            <w:pPr>
              <w:rPr>
                <w:rFonts w:ascii="Arial Narrow" w:hAnsi="Arial Narrow" w:cs="Arial"/>
                <w:sz w:val="20"/>
                <w:szCs w:val="20"/>
                <w:u w:val="single"/>
              </w:rPr>
            </w:pPr>
            <w:r w:rsidRPr="00BD0E8B">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No increase in the maximum quantity or number of units may be authorised.</w:t>
            </w:r>
          </w:p>
          <w:p w:rsidR="00861316" w:rsidRPr="00260CE3" w:rsidRDefault="00861316" w:rsidP="00393D1E">
            <w:pPr>
              <w:rPr>
                <w:rFonts w:ascii="Arial Narrow" w:hAnsi="Arial Narrow" w:cs="Arial"/>
                <w:sz w:val="20"/>
                <w:szCs w:val="20"/>
              </w:rPr>
            </w:pPr>
          </w:p>
        </w:tc>
      </w:tr>
      <w:tr w:rsidR="00861316" w:rsidRPr="00260CE3"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Pr="00BD0E8B"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p w:rsidR="00861316" w:rsidRPr="00BD0E8B" w:rsidRDefault="00861316" w:rsidP="00393D1E">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Pr="00BD0E8B" w:rsidRDefault="00861316" w:rsidP="00393D1E">
            <w:pPr>
              <w:rPr>
                <w:rFonts w:ascii="Arial Narrow" w:hAnsi="Arial Narrow" w:cs="Arial"/>
                <w:sz w:val="20"/>
                <w:szCs w:val="20"/>
                <w:u w:val="single"/>
              </w:rPr>
            </w:pPr>
            <w:r w:rsidRPr="00BD0E8B">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No increase in the maximum number of repeats may be authorised.</w:t>
            </w:r>
          </w:p>
          <w:p w:rsidR="00861316" w:rsidRPr="00260CE3" w:rsidRDefault="00861316" w:rsidP="00393D1E">
            <w:pPr>
              <w:rPr>
                <w:rFonts w:ascii="Arial Narrow" w:hAnsi="Arial Narrow" w:cs="Arial"/>
                <w:sz w:val="20"/>
                <w:szCs w:val="20"/>
              </w:rPr>
            </w:pPr>
          </w:p>
        </w:tc>
      </w:tr>
      <w:tr w:rsidR="00861316" w:rsidRPr="00BD0E8B"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p w:rsidR="00861316" w:rsidRDefault="00861316" w:rsidP="00393D1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61316" w:rsidRDefault="00861316" w:rsidP="00393D1E">
            <w:pPr>
              <w:rPr>
                <w:rFonts w:ascii="Arial Narrow" w:hAnsi="Arial Narrow" w:cs="Arial"/>
                <w:sz w:val="20"/>
                <w:szCs w:val="20"/>
                <w:u w:val="single"/>
              </w:rPr>
            </w:pPr>
            <w:r>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Response Evaluation Criteria In Solid Tumours (RECIST) is defined as follows: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Complete response (CR) is disappearance of all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Partial response (PR) is a 30% decrease in the sum of the longest diameter of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Progressive disease (PD) is a 20% increase in the sum of the longest diameter of target lesions.</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Stable disease (SD) is small changes that do not meet above criteria.</w:t>
            </w:r>
          </w:p>
          <w:p w:rsidR="00861316" w:rsidRPr="00BD0E8B" w:rsidRDefault="00861316" w:rsidP="00393D1E">
            <w:pPr>
              <w:rPr>
                <w:rFonts w:ascii="Arial Narrow" w:hAnsi="Arial Narrow" w:cs="Arial"/>
                <w:sz w:val="20"/>
                <w:szCs w:val="20"/>
                <w:u w:val="single"/>
              </w:rPr>
            </w:pPr>
          </w:p>
        </w:tc>
      </w:tr>
      <w:tr w:rsidR="00861316" w:rsidRPr="00BD0E8B" w:rsidTr="001B6E16">
        <w:trPr>
          <w:cantSplit/>
          <w:trHeight w:val="360"/>
        </w:trPr>
        <w:tc>
          <w:tcPr>
            <w:tcW w:w="1701" w:type="dxa"/>
            <w:tcBorders>
              <w:top w:val="single" w:sz="4" w:space="0" w:color="auto"/>
              <w:left w:val="single" w:sz="4" w:space="0" w:color="auto"/>
              <w:bottom w:val="single" w:sz="4" w:space="0" w:color="auto"/>
              <w:right w:val="single" w:sz="4" w:space="0" w:color="auto"/>
            </w:tcBorders>
          </w:tcPr>
          <w:p w:rsidR="00861316" w:rsidRDefault="00861316" w:rsidP="00393D1E">
            <w:pPr>
              <w:jc w:val="both"/>
              <w:rPr>
                <w:rFonts w:ascii="Arial Narrow" w:hAnsi="Arial Narrow" w:cs="Arial"/>
                <w:b/>
                <w:sz w:val="20"/>
                <w:szCs w:val="20"/>
              </w:rPr>
            </w:pPr>
            <w:r>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861316" w:rsidRDefault="00861316" w:rsidP="00393D1E">
            <w:pPr>
              <w:rPr>
                <w:rFonts w:ascii="Arial Narrow" w:hAnsi="Arial Narrow" w:cs="Arial"/>
                <w:sz w:val="20"/>
                <w:szCs w:val="20"/>
                <w:u w:val="single"/>
              </w:rPr>
            </w:pPr>
            <w:r>
              <w:rPr>
                <w:rFonts w:ascii="Arial Narrow" w:hAnsi="Arial Narrow" w:cs="Arial"/>
                <w:sz w:val="20"/>
                <w:szCs w:val="20"/>
                <w:u w:val="single"/>
              </w:rPr>
              <w:t>NOTE:</w:t>
            </w:r>
          </w:p>
          <w:p w:rsidR="00861316" w:rsidRPr="00BD0E8B" w:rsidRDefault="00861316" w:rsidP="00393D1E">
            <w:pPr>
              <w:rPr>
                <w:rFonts w:ascii="Arial Narrow" w:hAnsi="Arial Narrow" w:cs="Arial"/>
                <w:sz w:val="20"/>
                <w:szCs w:val="20"/>
              </w:rPr>
            </w:pPr>
            <w:r w:rsidRPr="00BD0E8B">
              <w:rPr>
                <w:rFonts w:ascii="Arial Narrow" w:hAnsi="Arial Narrow" w:cs="Arial"/>
                <w:sz w:val="20"/>
                <w:szCs w:val="20"/>
              </w:rPr>
              <w:t>Special Pricing Arrangements apply.</w:t>
            </w:r>
          </w:p>
        </w:tc>
      </w:tr>
    </w:tbl>
    <w:p w:rsidR="006E5874" w:rsidRDefault="006E5874" w:rsidP="006E5874">
      <w:pPr>
        <w:rPr>
          <w:rFonts w:ascii="Arial" w:hAnsi="Arial"/>
        </w:rPr>
      </w:pPr>
    </w:p>
    <w:p w:rsidR="007B2590" w:rsidRDefault="007B2590" w:rsidP="006E5874">
      <w:pPr>
        <w:rPr>
          <w:rFonts w:ascii="Arial" w:hAnsi="Arial"/>
        </w:rPr>
      </w:pPr>
    </w:p>
    <w:p w:rsidR="005C5291" w:rsidRDefault="005C5291" w:rsidP="005C5291">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5C5291" w:rsidRPr="00D4420F" w:rsidRDefault="005C5291" w:rsidP="005C5291">
      <w:pPr>
        <w:pStyle w:val="ListParagraph"/>
        <w:jc w:val="both"/>
        <w:rPr>
          <w:rFonts w:ascii="Arial" w:hAnsi="Arial" w:cs="Arial"/>
          <w:b/>
          <w:sz w:val="22"/>
        </w:rPr>
      </w:pPr>
    </w:p>
    <w:p w:rsidR="005C5291" w:rsidRPr="00D4420F" w:rsidRDefault="005C5291" w:rsidP="005C5291">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C5291" w:rsidRDefault="005C5291" w:rsidP="005C5291">
      <w:pPr>
        <w:jc w:val="both"/>
        <w:rPr>
          <w:rFonts w:ascii="Arial" w:hAnsi="Arial" w:cs="Arial"/>
          <w:sz w:val="22"/>
        </w:rPr>
      </w:pPr>
    </w:p>
    <w:p w:rsidR="007B2590" w:rsidRPr="00D4420F" w:rsidRDefault="007B2590" w:rsidP="005C5291">
      <w:pPr>
        <w:jc w:val="both"/>
        <w:rPr>
          <w:rFonts w:ascii="Arial" w:hAnsi="Arial" w:cs="Arial"/>
          <w:sz w:val="22"/>
        </w:rPr>
      </w:pPr>
    </w:p>
    <w:p w:rsidR="005C5291" w:rsidRDefault="005C5291" w:rsidP="005C5291">
      <w:pPr>
        <w:pStyle w:val="ListParagraph"/>
        <w:numPr>
          <w:ilvl w:val="0"/>
          <w:numId w:val="25"/>
        </w:numPr>
        <w:jc w:val="both"/>
        <w:rPr>
          <w:rFonts w:ascii="Arial" w:hAnsi="Arial" w:cs="Arial"/>
          <w:b/>
          <w:sz w:val="22"/>
        </w:rPr>
      </w:pPr>
      <w:r w:rsidRPr="00D4420F">
        <w:rPr>
          <w:rFonts w:ascii="Arial" w:hAnsi="Arial" w:cs="Arial"/>
          <w:b/>
          <w:sz w:val="22"/>
        </w:rPr>
        <w:t>Sponsor’s Comment</w:t>
      </w:r>
    </w:p>
    <w:p w:rsidR="006E5874" w:rsidRPr="009B2EE1" w:rsidRDefault="006E5874" w:rsidP="006E5874">
      <w:pPr>
        <w:rPr>
          <w:rFonts w:ascii="Arial" w:hAnsi="Arial"/>
          <w:sz w:val="22"/>
          <w:szCs w:val="22"/>
        </w:rPr>
      </w:pPr>
    </w:p>
    <w:p w:rsidR="006E5874" w:rsidRPr="009B2EE1" w:rsidRDefault="009B2EE1" w:rsidP="009B2EE1">
      <w:pPr>
        <w:ind w:left="720"/>
        <w:rPr>
          <w:rFonts w:ascii="Arial" w:hAnsi="Arial"/>
          <w:sz w:val="22"/>
          <w:szCs w:val="22"/>
        </w:rPr>
      </w:pPr>
      <w:r w:rsidRPr="009B2EE1">
        <w:rPr>
          <w:rFonts w:ascii="Arial" w:hAnsi="Arial"/>
          <w:sz w:val="22"/>
          <w:szCs w:val="22"/>
        </w:rPr>
        <w:t>Bayer has remained fully committed to Nexavar knowing that it has an important place for use as a second line treatment in patients with advanced kidney cancer as well as its current listing in hepatocellular carcinoma (liver cancer).</w:t>
      </w:r>
    </w:p>
    <w:p w:rsidR="006E5874" w:rsidRPr="009B2EE1" w:rsidRDefault="006E5874" w:rsidP="006E5874">
      <w:pPr>
        <w:rPr>
          <w:rFonts w:ascii="Arial" w:hAnsi="Arial"/>
          <w:sz w:val="22"/>
          <w:szCs w:val="22"/>
        </w:rPr>
      </w:pPr>
    </w:p>
    <w:p w:rsidR="00CE10C4" w:rsidRPr="00882085" w:rsidRDefault="00CE10C4" w:rsidP="00882085">
      <w:pPr>
        <w:jc w:val="both"/>
        <w:rPr>
          <w:rFonts w:ascii="Arial" w:hAnsi="Arial"/>
          <w:b/>
          <w:sz w:val="22"/>
          <w:szCs w:val="22"/>
        </w:rPr>
      </w:pPr>
    </w:p>
    <w:sectPr w:rsidR="00CE10C4" w:rsidRPr="00882085" w:rsidSect="00600552">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D6" w:rsidRDefault="00D31DD6">
      <w:r>
        <w:separator/>
      </w:r>
    </w:p>
  </w:endnote>
  <w:endnote w:type="continuationSeparator" w:id="0">
    <w:p w:rsidR="00D31DD6" w:rsidRDefault="00D3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57700" w:rsidTr="005A3173">
      <w:trPr>
        <w:trHeight w:val="151"/>
      </w:trPr>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7700" w:rsidRPr="005A3173" w:rsidRDefault="00D577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r>
    <w:tr w:rsidR="00D57700" w:rsidTr="005A3173">
      <w:trPr>
        <w:trHeight w:val="150"/>
      </w:trPr>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0" w:type="auto"/>
          <w:vMerge/>
          <w:vAlign w:val="center"/>
          <w:hideMark/>
        </w:tcPr>
        <w:p w:rsidR="00D57700" w:rsidRPr="005A3173" w:rsidRDefault="00D577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r>
  </w:tbl>
  <w:p w:rsidR="00D57700" w:rsidRDefault="00D577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7700" w:rsidRDefault="00D57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00" w:rsidRDefault="00D57700" w:rsidP="00600552">
    <w:pPr>
      <w:pStyle w:val="Footer"/>
      <w:jc w:val="center"/>
    </w:pPr>
  </w:p>
  <w:p w:rsidR="00D57700" w:rsidRPr="00695307" w:rsidRDefault="001F1963">
    <w:pPr>
      <w:pStyle w:val="Footer"/>
      <w:jc w:val="center"/>
      <w:rPr>
        <w:rFonts w:ascii="Arial" w:hAnsi="Arial" w:cs="Arial"/>
        <w:sz w:val="20"/>
        <w:szCs w:val="20"/>
      </w:rPr>
    </w:pPr>
    <w:sdt>
      <w:sdtPr>
        <w:id w:val="646254239"/>
        <w:docPartObj>
          <w:docPartGallery w:val="Page Numbers (Bottom of Page)"/>
          <w:docPartUnique/>
        </w:docPartObj>
      </w:sdtPr>
      <w:sdtEndPr>
        <w:rPr>
          <w:rFonts w:ascii="Arial" w:hAnsi="Arial" w:cs="Arial"/>
          <w:noProof/>
          <w:sz w:val="20"/>
          <w:szCs w:val="20"/>
        </w:rPr>
      </w:sdtEndPr>
      <w:sdtContent>
        <w:r w:rsidR="00D57700" w:rsidRPr="00695307">
          <w:rPr>
            <w:rFonts w:ascii="Arial" w:hAnsi="Arial" w:cs="Arial"/>
            <w:sz w:val="20"/>
            <w:szCs w:val="20"/>
          </w:rPr>
          <w:fldChar w:fldCharType="begin"/>
        </w:r>
        <w:r w:rsidR="00D57700" w:rsidRPr="00695307">
          <w:rPr>
            <w:rFonts w:ascii="Arial" w:hAnsi="Arial" w:cs="Arial"/>
            <w:sz w:val="20"/>
            <w:szCs w:val="20"/>
          </w:rPr>
          <w:instrText xml:space="preserve"> PAGE   \* MERGEFORMAT </w:instrText>
        </w:r>
        <w:r w:rsidR="00D57700" w:rsidRPr="00695307">
          <w:rPr>
            <w:rFonts w:ascii="Arial" w:hAnsi="Arial" w:cs="Arial"/>
            <w:sz w:val="20"/>
            <w:szCs w:val="20"/>
          </w:rPr>
          <w:fldChar w:fldCharType="separate"/>
        </w:r>
        <w:r>
          <w:rPr>
            <w:rFonts w:ascii="Arial" w:hAnsi="Arial" w:cs="Arial"/>
            <w:noProof/>
            <w:sz w:val="20"/>
            <w:szCs w:val="20"/>
          </w:rPr>
          <w:t>1</w:t>
        </w:r>
        <w:r w:rsidR="00D57700" w:rsidRPr="00695307">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57700" w:rsidTr="005A3173">
      <w:trPr>
        <w:trHeight w:val="151"/>
      </w:trPr>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7700" w:rsidRPr="005A3173" w:rsidRDefault="00D577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r>
    <w:tr w:rsidR="00D57700" w:rsidTr="005A3173">
      <w:trPr>
        <w:trHeight w:val="150"/>
      </w:trPr>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0" w:type="auto"/>
          <w:vMerge/>
          <w:vAlign w:val="center"/>
          <w:hideMark/>
        </w:tcPr>
        <w:p w:rsidR="00D57700" w:rsidRPr="005A3173" w:rsidRDefault="00D577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57700" w:rsidTr="005A3173">
      <w:trPr>
        <w:trHeight w:val="151"/>
      </w:trPr>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7700" w:rsidRPr="005A3173" w:rsidRDefault="00D577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7700" w:rsidRPr="005A3173" w:rsidRDefault="00D57700" w:rsidP="005A3173">
          <w:pPr>
            <w:pStyle w:val="Header"/>
            <w:spacing w:line="276" w:lineRule="auto"/>
            <w:rPr>
              <w:rFonts w:ascii="Calibri" w:eastAsia="MS Gothic" w:hAnsi="Calibri"/>
              <w:b/>
              <w:bCs/>
              <w:color w:val="4F81BD"/>
            </w:rPr>
          </w:pPr>
        </w:p>
      </w:tc>
    </w:tr>
    <w:tr w:rsidR="00D57700" w:rsidTr="005A3173">
      <w:trPr>
        <w:trHeight w:val="150"/>
      </w:trPr>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c>
        <w:tcPr>
          <w:tcW w:w="0" w:type="auto"/>
          <w:vMerge/>
          <w:vAlign w:val="center"/>
          <w:hideMark/>
        </w:tcPr>
        <w:p w:rsidR="00D57700" w:rsidRPr="005A3173" w:rsidRDefault="00D577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7700" w:rsidRPr="005A3173" w:rsidRDefault="00D57700" w:rsidP="005A3173">
          <w:pPr>
            <w:pStyle w:val="Header"/>
            <w:spacing w:line="276" w:lineRule="auto"/>
            <w:rPr>
              <w:rFonts w:ascii="Calibri" w:eastAsia="MS Gothic" w:hAnsi="Calibri"/>
              <w:b/>
              <w:bCs/>
              <w:color w:val="4F81BD"/>
            </w:rPr>
          </w:pPr>
        </w:p>
      </w:tc>
    </w:tr>
  </w:tbl>
  <w:p w:rsidR="00D57700" w:rsidRPr="007C0F57" w:rsidRDefault="00D577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57700" w:rsidRPr="007C0F57" w:rsidRDefault="00D57700"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D6" w:rsidRDefault="00D31DD6">
      <w:r>
        <w:separator/>
      </w:r>
    </w:p>
  </w:footnote>
  <w:footnote w:type="continuationSeparator" w:id="0">
    <w:p w:rsidR="00D31DD6" w:rsidRDefault="00D3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57700" w:rsidRPr="008E0D90" w:rsidTr="00A06225">
      <w:trPr>
        <w:trHeight w:val="151"/>
      </w:trPr>
      <w:tc>
        <w:tcPr>
          <w:tcW w:w="2389" w:type="pct"/>
          <w:tcBorders>
            <w:top w:val="nil"/>
            <w:left w:val="nil"/>
            <w:bottom w:val="single" w:sz="4" w:space="0" w:color="4F81BD"/>
            <w:right w:val="nil"/>
          </w:tcBorders>
        </w:tcPr>
        <w:p w:rsidR="00D57700" w:rsidRPr="00A06225" w:rsidRDefault="00D57700">
          <w:pPr>
            <w:pStyle w:val="Header"/>
            <w:spacing w:line="276" w:lineRule="auto"/>
            <w:rPr>
              <w:rFonts w:ascii="Cambria" w:eastAsia="MS Gothic" w:hAnsi="Cambria"/>
              <w:b/>
              <w:bCs/>
              <w:color w:val="4F81BD"/>
            </w:rPr>
          </w:pPr>
        </w:p>
      </w:tc>
      <w:tc>
        <w:tcPr>
          <w:tcW w:w="333" w:type="pct"/>
          <w:vMerge w:val="restart"/>
          <w:noWrap/>
          <w:vAlign w:val="center"/>
          <w:hideMark/>
        </w:tcPr>
        <w:p w:rsidR="00D57700" w:rsidRPr="00A06225" w:rsidRDefault="00D5770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57700" w:rsidRPr="00A06225" w:rsidRDefault="00D57700">
          <w:pPr>
            <w:pStyle w:val="Header"/>
            <w:spacing w:line="276" w:lineRule="auto"/>
            <w:rPr>
              <w:rFonts w:ascii="Cambria" w:eastAsia="MS Gothic" w:hAnsi="Cambria"/>
              <w:b/>
              <w:bCs/>
              <w:color w:val="4F81BD"/>
            </w:rPr>
          </w:pPr>
        </w:p>
      </w:tc>
    </w:tr>
    <w:tr w:rsidR="00D57700" w:rsidRPr="008E0D90" w:rsidTr="00A06225">
      <w:trPr>
        <w:trHeight w:val="150"/>
      </w:trPr>
      <w:tc>
        <w:tcPr>
          <w:tcW w:w="2389" w:type="pct"/>
          <w:tcBorders>
            <w:top w:val="single" w:sz="4" w:space="0" w:color="4F81BD"/>
            <w:left w:val="nil"/>
            <w:bottom w:val="nil"/>
            <w:right w:val="nil"/>
          </w:tcBorders>
        </w:tcPr>
        <w:p w:rsidR="00D57700" w:rsidRPr="00A06225" w:rsidRDefault="00D57700">
          <w:pPr>
            <w:pStyle w:val="Header"/>
            <w:spacing w:line="276" w:lineRule="auto"/>
            <w:rPr>
              <w:rFonts w:ascii="Cambria" w:eastAsia="MS Gothic" w:hAnsi="Cambria"/>
              <w:b/>
              <w:bCs/>
              <w:color w:val="4F81BD"/>
            </w:rPr>
          </w:pPr>
        </w:p>
      </w:tc>
      <w:tc>
        <w:tcPr>
          <w:tcW w:w="0" w:type="auto"/>
          <w:vMerge/>
          <w:vAlign w:val="center"/>
          <w:hideMark/>
        </w:tcPr>
        <w:p w:rsidR="00D57700" w:rsidRPr="00A06225" w:rsidRDefault="00D57700">
          <w:pPr>
            <w:rPr>
              <w:rFonts w:ascii="Cambria" w:hAnsi="Cambria"/>
              <w:color w:val="4F81BD"/>
              <w:sz w:val="22"/>
              <w:szCs w:val="22"/>
            </w:rPr>
          </w:pPr>
        </w:p>
      </w:tc>
      <w:tc>
        <w:tcPr>
          <w:tcW w:w="2278" w:type="pct"/>
          <w:tcBorders>
            <w:top w:val="single" w:sz="4" w:space="0" w:color="4F81BD"/>
            <w:left w:val="nil"/>
            <w:bottom w:val="nil"/>
            <w:right w:val="nil"/>
          </w:tcBorders>
        </w:tcPr>
        <w:p w:rsidR="00D57700" w:rsidRPr="00A06225" w:rsidRDefault="00D57700">
          <w:pPr>
            <w:pStyle w:val="Header"/>
            <w:spacing w:line="276" w:lineRule="auto"/>
            <w:rPr>
              <w:rFonts w:ascii="Cambria" w:eastAsia="MS Gothic" w:hAnsi="Cambria"/>
              <w:b/>
              <w:bCs/>
              <w:color w:val="4F81BD"/>
            </w:rPr>
          </w:pPr>
        </w:p>
      </w:tc>
    </w:tr>
  </w:tbl>
  <w:p w:rsidR="00D57700" w:rsidRDefault="00D57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00" w:rsidRPr="00DF217D" w:rsidRDefault="00296207" w:rsidP="00695307">
    <w:pPr>
      <w:pStyle w:val="Header"/>
      <w:jc w:val="center"/>
      <w:rPr>
        <w:rFonts w:ascii="Arial" w:hAnsi="Arial" w:cs="Arial"/>
        <w:i/>
        <w:color w:val="808080"/>
        <w:sz w:val="22"/>
      </w:rPr>
    </w:pPr>
    <w:r>
      <w:rPr>
        <w:rFonts w:ascii="Arial" w:hAnsi="Arial" w:cs="Arial"/>
        <w:i/>
        <w:color w:val="808080"/>
        <w:sz w:val="22"/>
      </w:rPr>
      <w:t xml:space="preserve">Public Summary Document </w:t>
    </w:r>
    <w:r w:rsidR="00D57700" w:rsidRPr="00DF217D">
      <w:rPr>
        <w:rFonts w:ascii="Arial" w:hAnsi="Arial" w:cs="Arial"/>
        <w:i/>
        <w:color w:val="808080"/>
        <w:sz w:val="22"/>
      </w:rPr>
      <w:t xml:space="preserve">– </w:t>
    </w:r>
    <w:r w:rsidR="00D57700">
      <w:rPr>
        <w:rFonts w:ascii="Arial" w:hAnsi="Arial" w:cs="Arial"/>
        <w:i/>
        <w:color w:val="808080"/>
        <w:sz w:val="22"/>
      </w:rPr>
      <w:t xml:space="preserve">November 2014 </w:t>
    </w:r>
    <w:r w:rsidR="00D57700" w:rsidRPr="00DF217D">
      <w:rPr>
        <w:rFonts w:ascii="Arial" w:hAnsi="Arial" w:cs="Arial"/>
        <w:i/>
        <w:color w:val="808080"/>
        <w:sz w:val="22"/>
      </w:rPr>
      <w:t>PBAC</w:t>
    </w:r>
    <w:r w:rsidR="00D57700">
      <w:rPr>
        <w:rFonts w:ascii="Arial" w:hAnsi="Arial" w:cs="Arial"/>
        <w:i/>
        <w:color w:val="808080"/>
        <w:sz w:val="22"/>
      </w:rPr>
      <w:t xml:space="preserve"> </w:t>
    </w:r>
    <w:r w:rsidR="00D57700" w:rsidRPr="00DF217D">
      <w:rPr>
        <w:rFonts w:ascii="Arial" w:hAnsi="Arial" w:cs="Arial"/>
        <w:i/>
        <w:color w:val="808080"/>
        <w:sz w:val="22"/>
      </w:rPr>
      <w:t>Meeting</w:t>
    </w:r>
  </w:p>
  <w:p w:rsidR="00D57700" w:rsidRDefault="00D57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BC5196"/>
    <w:multiLevelType w:val="multilevel"/>
    <w:tmpl w:val="0D40C2D4"/>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E12884"/>
    <w:multiLevelType w:val="hybridMultilevel"/>
    <w:tmpl w:val="05526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C82CD72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nsid w:val="7DFB5393"/>
    <w:multiLevelType w:val="hybridMultilevel"/>
    <w:tmpl w:val="DD06E54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33"/>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1"/>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4"/>
  </w:num>
  <w:num w:numId="15">
    <w:abstractNumId w:val="26"/>
  </w:num>
  <w:num w:numId="16">
    <w:abstractNumId w:val="22"/>
  </w:num>
  <w:num w:numId="17">
    <w:abstractNumId w:val="36"/>
  </w:num>
  <w:num w:numId="18">
    <w:abstractNumId w:val="12"/>
  </w:num>
  <w:num w:numId="19">
    <w:abstractNumId w:val="17"/>
  </w:num>
  <w:num w:numId="20">
    <w:abstractNumId w:val="3"/>
  </w:num>
  <w:num w:numId="21">
    <w:abstractNumId w:val="30"/>
  </w:num>
  <w:num w:numId="22">
    <w:abstractNumId w:val="32"/>
  </w:num>
  <w:num w:numId="23">
    <w:abstractNumId w:val="38"/>
  </w:num>
  <w:num w:numId="24">
    <w:abstractNumId w:val="14"/>
  </w:num>
  <w:num w:numId="25">
    <w:abstractNumId w:val="37"/>
  </w:num>
  <w:num w:numId="26">
    <w:abstractNumId w:val="27"/>
  </w:num>
  <w:num w:numId="27">
    <w:abstractNumId w:val="11"/>
  </w:num>
  <w:num w:numId="28">
    <w:abstractNumId w:val="6"/>
  </w:num>
  <w:num w:numId="29">
    <w:abstractNumId w:val="24"/>
  </w:num>
  <w:num w:numId="30">
    <w:abstractNumId w:val="2"/>
  </w:num>
  <w:num w:numId="31">
    <w:abstractNumId w:val="25"/>
  </w:num>
  <w:num w:numId="32">
    <w:abstractNumId w:val="35"/>
  </w:num>
  <w:num w:numId="33">
    <w:abstractNumId w:val="23"/>
  </w:num>
  <w:num w:numId="34">
    <w:abstractNumId w:val="39"/>
  </w:num>
  <w:num w:numId="35">
    <w:abstractNumId w:val="10"/>
  </w:num>
  <w:num w:numId="36">
    <w:abstractNumId w:val="21"/>
  </w:num>
  <w:num w:numId="37">
    <w:abstractNumId w:val="29"/>
  </w:num>
  <w:num w:numId="38">
    <w:abstractNumId w:val="8"/>
  </w:num>
  <w:num w:numId="39">
    <w:abstractNumId w:val="16"/>
  </w:num>
  <w:num w:numId="40">
    <w:abstractNumId w:val="1"/>
  </w:num>
  <w:num w:numId="41">
    <w:abstractNumId w:val="13"/>
  </w:num>
  <w:num w:numId="42">
    <w:abstractNumId w:val="4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4E4A"/>
    <w:rsid w:val="0003106B"/>
    <w:rsid w:val="000421A1"/>
    <w:rsid w:val="0004240E"/>
    <w:rsid w:val="00042DF4"/>
    <w:rsid w:val="00045E26"/>
    <w:rsid w:val="00050B20"/>
    <w:rsid w:val="000514B5"/>
    <w:rsid w:val="00060E64"/>
    <w:rsid w:val="00066755"/>
    <w:rsid w:val="00082516"/>
    <w:rsid w:val="000969AD"/>
    <w:rsid w:val="000B558D"/>
    <w:rsid w:val="000C6996"/>
    <w:rsid w:val="000D23BA"/>
    <w:rsid w:val="000E1D4C"/>
    <w:rsid w:val="000E681E"/>
    <w:rsid w:val="000E7EC0"/>
    <w:rsid w:val="000F2617"/>
    <w:rsid w:val="000F4E6A"/>
    <w:rsid w:val="000F6712"/>
    <w:rsid w:val="001107BF"/>
    <w:rsid w:val="00114758"/>
    <w:rsid w:val="0012417C"/>
    <w:rsid w:val="00125172"/>
    <w:rsid w:val="00136108"/>
    <w:rsid w:val="00142395"/>
    <w:rsid w:val="00142714"/>
    <w:rsid w:val="001452ED"/>
    <w:rsid w:val="001600AB"/>
    <w:rsid w:val="001657B0"/>
    <w:rsid w:val="001830CE"/>
    <w:rsid w:val="001838D7"/>
    <w:rsid w:val="001841E9"/>
    <w:rsid w:val="00196307"/>
    <w:rsid w:val="001B017F"/>
    <w:rsid w:val="001B5129"/>
    <w:rsid w:val="001B6E16"/>
    <w:rsid w:val="001C1195"/>
    <w:rsid w:val="001F1963"/>
    <w:rsid w:val="00213CFB"/>
    <w:rsid w:val="00233198"/>
    <w:rsid w:val="0026341B"/>
    <w:rsid w:val="00271BA1"/>
    <w:rsid w:val="00277505"/>
    <w:rsid w:val="0029458F"/>
    <w:rsid w:val="00296207"/>
    <w:rsid w:val="002A104C"/>
    <w:rsid w:val="002A4960"/>
    <w:rsid w:val="002B1AE6"/>
    <w:rsid w:val="002B30F8"/>
    <w:rsid w:val="002B4F7C"/>
    <w:rsid w:val="002B5F56"/>
    <w:rsid w:val="002C15C1"/>
    <w:rsid w:val="002C212F"/>
    <w:rsid w:val="002E1FF0"/>
    <w:rsid w:val="002E72CA"/>
    <w:rsid w:val="00326E79"/>
    <w:rsid w:val="00336278"/>
    <w:rsid w:val="003367EF"/>
    <w:rsid w:val="00341AE4"/>
    <w:rsid w:val="00367C17"/>
    <w:rsid w:val="00393D1E"/>
    <w:rsid w:val="003A5B4A"/>
    <w:rsid w:val="003B23C5"/>
    <w:rsid w:val="003B2A75"/>
    <w:rsid w:val="003D4AC4"/>
    <w:rsid w:val="003D63B7"/>
    <w:rsid w:val="003E3371"/>
    <w:rsid w:val="003E468B"/>
    <w:rsid w:val="003F5C8C"/>
    <w:rsid w:val="00412962"/>
    <w:rsid w:val="004331FA"/>
    <w:rsid w:val="004465BD"/>
    <w:rsid w:val="00466ADA"/>
    <w:rsid w:val="00470E97"/>
    <w:rsid w:val="00476245"/>
    <w:rsid w:val="00485940"/>
    <w:rsid w:val="004977C0"/>
    <w:rsid w:val="004A2D1A"/>
    <w:rsid w:val="004A5A85"/>
    <w:rsid w:val="004B4F19"/>
    <w:rsid w:val="004B5640"/>
    <w:rsid w:val="004C1BD7"/>
    <w:rsid w:val="004C691D"/>
    <w:rsid w:val="004E692D"/>
    <w:rsid w:val="0050283C"/>
    <w:rsid w:val="005044BC"/>
    <w:rsid w:val="00514CD7"/>
    <w:rsid w:val="00534E2E"/>
    <w:rsid w:val="00544552"/>
    <w:rsid w:val="005479E7"/>
    <w:rsid w:val="00571C39"/>
    <w:rsid w:val="00581932"/>
    <w:rsid w:val="005963BB"/>
    <w:rsid w:val="005A27CF"/>
    <w:rsid w:val="005A3173"/>
    <w:rsid w:val="005A3223"/>
    <w:rsid w:val="005A3DA3"/>
    <w:rsid w:val="005A52C4"/>
    <w:rsid w:val="005C5291"/>
    <w:rsid w:val="005D03AB"/>
    <w:rsid w:val="005D5017"/>
    <w:rsid w:val="00600552"/>
    <w:rsid w:val="00601A91"/>
    <w:rsid w:val="006026BB"/>
    <w:rsid w:val="00602BA3"/>
    <w:rsid w:val="00614159"/>
    <w:rsid w:val="00617C00"/>
    <w:rsid w:val="00624F13"/>
    <w:rsid w:val="006263BF"/>
    <w:rsid w:val="00630A2C"/>
    <w:rsid w:val="00651169"/>
    <w:rsid w:val="00653D69"/>
    <w:rsid w:val="00670A76"/>
    <w:rsid w:val="006711AA"/>
    <w:rsid w:val="00675622"/>
    <w:rsid w:val="006906DB"/>
    <w:rsid w:val="00695307"/>
    <w:rsid w:val="006A12A5"/>
    <w:rsid w:val="006B0D94"/>
    <w:rsid w:val="006B485D"/>
    <w:rsid w:val="006B70AA"/>
    <w:rsid w:val="006C55C2"/>
    <w:rsid w:val="006C708E"/>
    <w:rsid w:val="006D6EC7"/>
    <w:rsid w:val="006E5874"/>
    <w:rsid w:val="006F1B74"/>
    <w:rsid w:val="006F5125"/>
    <w:rsid w:val="007174BB"/>
    <w:rsid w:val="00731F38"/>
    <w:rsid w:val="007330C3"/>
    <w:rsid w:val="00740244"/>
    <w:rsid w:val="007478DB"/>
    <w:rsid w:val="0076420C"/>
    <w:rsid w:val="007753C2"/>
    <w:rsid w:val="007838B8"/>
    <w:rsid w:val="007B2590"/>
    <w:rsid w:val="007B4AC2"/>
    <w:rsid w:val="007B5CF1"/>
    <w:rsid w:val="007C0F57"/>
    <w:rsid w:val="007C40B6"/>
    <w:rsid w:val="007C729F"/>
    <w:rsid w:val="007E1D28"/>
    <w:rsid w:val="007E6222"/>
    <w:rsid w:val="007F2641"/>
    <w:rsid w:val="007F6907"/>
    <w:rsid w:val="007F7BE3"/>
    <w:rsid w:val="007F7C36"/>
    <w:rsid w:val="00806796"/>
    <w:rsid w:val="00826F6D"/>
    <w:rsid w:val="00842C5A"/>
    <w:rsid w:val="00856AB1"/>
    <w:rsid w:val="00856DDD"/>
    <w:rsid w:val="00861316"/>
    <w:rsid w:val="00863E68"/>
    <w:rsid w:val="00871DC7"/>
    <w:rsid w:val="00877BB7"/>
    <w:rsid w:val="00882085"/>
    <w:rsid w:val="00883188"/>
    <w:rsid w:val="00896FE4"/>
    <w:rsid w:val="00897D58"/>
    <w:rsid w:val="008A1956"/>
    <w:rsid w:val="008A4937"/>
    <w:rsid w:val="008C061A"/>
    <w:rsid w:val="008D3C82"/>
    <w:rsid w:val="008D431A"/>
    <w:rsid w:val="008D447E"/>
    <w:rsid w:val="008D7A41"/>
    <w:rsid w:val="008E3680"/>
    <w:rsid w:val="008E5870"/>
    <w:rsid w:val="008F1434"/>
    <w:rsid w:val="008F7355"/>
    <w:rsid w:val="009067B7"/>
    <w:rsid w:val="00907222"/>
    <w:rsid w:val="00910AAC"/>
    <w:rsid w:val="00910BDC"/>
    <w:rsid w:val="00930937"/>
    <w:rsid w:val="00933E6C"/>
    <w:rsid w:val="00942160"/>
    <w:rsid w:val="00947D90"/>
    <w:rsid w:val="009504AE"/>
    <w:rsid w:val="009602C5"/>
    <w:rsid w:val="00967B0C"/>
    <w:rsid w:val="00974C21"/>
    <w:rsid w:val="00977AC9"/>
    <w:rsid w:val="009B0CC7"/>
    <w:rsid w:val="009B0F67"/>
    <w:rsid w:val="009B107B"/>
    <w:rsid w:val="009B2EE1"/>
    <w:rsid w:val="009B4E66"/>
    <w:rsid w:val="009C703C"/>
    <w:rsid w:val="009D3CAA"/>
    <w:rsid w:val="009D4014"/>
    <w:rsid w:val="009F4E46"/>
    <w:rsid w:val="009F5B65"/>
    <w:rsid w:val="009F5F2E"/>
    <w:rsid w:val="00A06225"/>
    <w:rsid w:val="00A220A8"/>
    <w:rsid w:val="00A250A1"/>
    <w:rsid w:val="00A2559D"/>
    <w:rsid w:val="00A37C8D"/>
    <w:rsid w:val="00A5273B"/>
    <w:rsid w:val="00A527FE"/>
    <w:rsid w:val="00A53A9D"/>
    <w:rsid w:val="00A62C1A"/>
    <w:rsid w:val="00A6426D"/>
    <w:rsid w:val="00A70622"/>
    <w:rsid w:val="00A70977"/>
    <w:rsid w:val="00A81E7A"/>
    <w:rsid w:val="00A8390C"/>
    <w:rsid w:val="00A868AE"/>
    <w:rsid w:val="00AA4D1C"/>
    <w:rsid w:val="00AC5206"/>
    <w:rsid w:val="00AE11A5"/>
    <w:rsid w:val="00AE30C0"/>
    <w:rsid w:val="00AF4AA2"/>
    <w:rsid w:val="00AF68CC"/>
    <w:rsid w:val="00B205AA"/>
    <w:rsid w:val="00B21543"/>
    <w:rsid w:val="00B22E84"/>
    <w:rsid w:val="00B25F75"/>
    <w:rsid w:val="00B36615"/>
    <w:rsid w:val="00B43E90"/>
    <w:rsid w:val="00B50E90"/>
    <w:rsid w:val="00B56118"/>
    <w:rsid w:val="00B66CE8"/>
    <w:rsid w:val="00B6773F"/>
    <w:rsid w:val="00B76559"/>
    <w:rsid w:val="00B91F9F"/>
    <w:rsid w:val="00BB4EC4"/>
    <w:rsid w:val="00BB69F5"/>
    <w:rsid w:val="00BB7EC3"/>
    <w:rsid w:val="00BC4B9A"/>
    <w:rsid w:val="00BD0E8B"/>
    <w:rsid w:val="00BD4C63"/>
    <w:rsid w:val="00BD784C"/>
    <w:rsid w:val="00BF4CB6"/>
    <w:rsid w:val="00C00DA7"/>
    <w:rsid w:val="00C03B22"/>
    <w:rsid w:val="00C07593"/>
    <w:rsid w:val="00C12768"/>
    <w:rsid w:val="00C1536E"/>
    <w:rsid w:val="00C21C22"/>
    <w:rsid w:val="00C269D8"/>
    <w:rsid w:val="00C35996"/>
    <w:rsid w:val="00C5342C"/>
    <w:rsid w:val="00C5604D"/>
    <w:rsid w:val="00C56E2A"/>
    <w:rsid w:val="00C6256A"/>
    <w:rsid w:val="00C702A7"/>
    <w:rsid w:val="00C91449"/>
    <w:rsid w:val="00C92D10"/>
    <w:rsid w:val="00CE10C4"/>
    <w:rsid w:val="00CE27B5"/>
    <w:rsid w:val="00CF0FF2"/>
    <w:rsid w:val="00D0321E"/>
    <w:rsid w:val="00D1455A"/>
    <w:rsid w:val="00D163BF"/>
    <w:rsid w:val="00D31DD6"/>
    <w:rsid w:val="00D3280C"/>
    <w:rsid w:val="00D3406A"/>
    <w:rsid w:val="00D469B2"/>
    <w:rsid w:val="00D57700"/>
    <w:rsid w:val="00D60A4D"/>
    <w:rsid w:val="00D67501"/>
    <w:rsid w:val="00D741EB"/>
    <w:rsid w:val="00D7515D"/>
    <w:rsid w:val="00D75846"/>
    <w:rsid w:val="00D80F03"/>
    <w:rsid w:val="00D91271"/>
    <w:rsid w:val="00DA2CB5"/>
    <w:rsid w:val="00DA4BAC"/>
    <w:rsid w:val="00DA5964"/>
    <w:rsid w:val="00DB51C1"/>
    <w:rsid w:val="00DE6D27"/>
    <w:rsid w:val="00DF217D"/>
    <w:rsid w:val="00DF26A7"/>
    <w:rsid w:val="00E020DB"/>
    <w:rsid w:val="00E164B3"/>
    <w:rsid w:val="00E16910"/>
    <w:rsid w:val="00E364F3"/>
    <w:rsid w:val="00E65E54"/>
    <w:rsid w:val="00E748AC"/>
    <w:rsid w:val="00E80155"/>
    <w:rsid w:val="00E848C0"/>
    <w:rsid w:val="00E91B96"/>
    <w:rsid w:val="00E941A1"/>
    <w:rsid w:val="00E95CE3"/>
    <w:rsid w:val="00E96CD5"/>
    <w:rsid w:val="00EA2825"/>
    <w:rsid w:val="00EB4CD5"/>
    <w:rsid w:val="00EB5088"/>
    <w:rsid w:val="00ED08D2"/>
    <w:rsid w:val="00ED1644"/>
    <w:rsid w:val="00ED6B18"/>
    <w:rsid w:val="00EE38DD"/>
    <w:rsid w:val="00EF44A0"/>
    <w:rsid w:val="00F050BD"/>
    <w:rsid w:val="00F05657"/>
    <w:rsid w:val="00F25578"/>
    <w:rsid w:val="00F258E5"/>
    <w:rsid w:val="00F300BC"/>
    <w:rsid w:val="00F32A32"/>
    <w:rsid w:val="00F3334E"/>
    <w:rsid w:val="00F4777E"/>
    <w:rsid w:val="00F50EC4"/>
    <w:rsid w:val="00F57A6D"/>
    <w:rsid w:val="00F638CC"/>
    <w:rsid w:val="00F8247A"/>
    <w:rsid w:val="00F9185F"/>
    <w:rsid w:val="00F9629A"/>
    <w:rsid w:val="00FA5875"/>
    <w:rsid w:val="00FA5883"/>
    <w:rsid w:val="00FA6055"/>
    <w:rsid w:val="00FB1564"/>
    <w:rsid w:val="00FB322F"/>
    <w:rsid w:val="00FB442F"/>
    <w:rsid w:val="00FB4FEB"/>
    <w:rsid w:val="00FB5961"/>
    <w:rsid w:val="00FC1929"/>
    <w:rsid w:val="00FC5B46"/>
    <w:rsid w:val="00FC770D"/>
    <w:rsid w:val="00FE4D59"/>
    <w:rsid w:val="00FF00BD"/>
    <w:rsid w:val="00FF1ED4"/>
    <w:rsid w:val="00FF6287"/>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rsid w:val="00042D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6B70AA"/>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5C52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rsid w:val="00042D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6B70AA"/>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5C52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06620323">
      <w:bodyDiv w:val="1"/>
      <w:marLeft w:val="0"/>
      <w:marRight w:val="0"/>
      <w:marTop w:val="0"/>
      <w:marBottom w:val="0"/>
      <w:divBdr>
        <w:top w:val="none" w:sz="0" w:space="0" w:color="auto"/>
        <w:left w:val="none" w:sz="0" w:space="0" w:color="auto"/>
        <w:bottom w:val="none" w:sz="0" w:space="0" w:color="auto"/>
        <w:right w:val="none" w:sz="0" w:space="0" w:color="auto"/>
      </w:divBdr>
      <w:divsChild>
        <w:div w:id="872420163">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55577014">
      <w:bodyDiv w:val="1"/>
      <w:marLeft w:val="0"/>
      <w:marRight w:val="0"/>
      <w:marTop w:val="0"/>
      <w:marBottom w:val="0"/>
      <w:divBdr>
        <w:top w:val="none" w:sz="0" w:space="0" w:color="auto"/>
        <w:left w:val="none" w:sz="0" w:space="0" w:color="auto"/>
        <w:bottom w:val="none" w:sz="0" w:space="0" w:color="auto"/>
        <w:right w:val="none" w:sz="0" w:space="0" w:color="auto"/>
      </w:divBdr>
      <w:divsChild>
        <w:div w:id="157812979">
          <w:marLeft w:val="0"/>
          <w:marRight w:val="0"/>
          <w:marTop w:val="0"/>
          <w:marBottom w:val="0"/>
          <w:divBdr>
            <w:top w:val="none" w:sz="0" w:space="0" w:color="auto"/>
            <w:left w:val="none" w:sz="0" w:space="0" w:color="auto"/>
            <w:bottom w:val="none" w:sz="0" w:space="0" w:color="auto"/>
            <w:right w:val="none" w:sz="0" w:space="0" w:color="auto"/>
          </w:divBdr>
          <w:divsChild>
            <w:div w:id="1781799528">
              <w:marLeft w:val="0"/>
              <w:marRight w:val="0"/>
              <w:marTop w:val="0"/>
              <w:marBottom w:val="0"/>
              <w:divBdr>
                <w:top w:val="none" w:sz="0" w:space="0" w:color="auto"/>
                <w:left w:val="none" w:sz="0" w:space="0" w:color="auto"/>
                <w:bottom w:val="none" w:sz="0" w:space="0" w:color="auto"/>
                <w:right w:val="none" w:sz="0" w:space="0" w:color="auto"/>
              </w:divBdr>
              <w:divsChild>
                <w:div w:id="674111206">
                  <w:marLeft w:val="0"/>
                  <w:marRight w:val="0"/>
                  <w:marTop w:val="0"/>
                  <w:marBottom w:val="0"/>
                  <w:divBdr>
                    <w:top w:val="none" w:sz="0" w:space="0" w:color="auto"/>
                    <w:left w:val="none" w:sz="0" w:space="0" w:color="auto"/>
                    <w:bottom w:val="none" w:sz="0" w:space="0" w:color="auto"/>
                    <w:right w:val="none" w:sz="0" w:space="0" w:color="auto"/>
                  </w:divBdr>
                  <w:divsChild>
                    <w:div w:id="1981494099">
                      <w:marLeft w:val="0"/>
                      <w:marRight w:val="0"/>
                      <w:marTop w:val="0"/>
                      <w:marBottom w:val="0"/>
                      <w:divBdr>
                        <w:top w:val="none" w:sz="0" w:space="0" w:color="auto"/>
                        <w:left w:val="none" w:sz="0" w:space="0" w:color="auto"/>
                        <w:bottom w:val="none" w:sz="0" w:space="0" w:color="auto"/>
                        <w:right w:val="none" w:sz="0" w:space="0" w:color="auto"/>
                      </w:divBdr>
                      <w:divsChild>
                        <w:div w:id="6998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2B29-4B0D-427F-8652-788E8238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3644</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2015-02-23T05:57:00Z</dcterms:created>
  <dcterms:modified xsi:type="dcterms:W3CDTF">2015-03-03T03:01:00Z</dcterms:modified>
</cp:coreProperties>
</file>