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82" w:rsidRPr="00EF0F93" w:rsidRDefault="00193F06" w:rsidP="00EF0F93">
      <w:pPr>
        <w:pStyle w:val="BodyText"/>
        <w:rPr>
          <w:b/>
          <w:sz w:val="28"/>
        </w:rPr>
      </w:pPr>
      <w:bookmarkStart w:id="0" w:name="_Toc398646914"/>
      <w:r w:rsidRPr="00EF0F93">
        <w:rPr>
          <w:b/>
          <w:sz w:val="28"/>
        </w:rPr>
        <w:t>7.6</w:t>
      </w:r>
      <w:r w:rsidR="00B60939" w:rsidRPr="00EF0F93">
        <w:rPr>
          <w:b/>
          <w:sz w:val="28"/>
        </w:rPr>
        <w:tab/>
      </w:r>
      <w:r w:rsidR="00B00CD8" w:rsidRPr="00EF0F93">
        <w:rPr>
          <w:b/>
          <w:sz w:val="28"/>
        </w:rPr>
        <w:t>TALIGLUCERASE ALFA</w:t>
      </w:r>
    </w:p>
    <w:p w:rsidR="00C739EC" w:rsidRPr="00EF0F93" w:rsidRDefault="00B00CD8" w:rsidP="00EF0F93">
      <w:pPr>
        <w:pStyle w:val="BodyText"/>
        <w:ind w:left="709"/>
        <w:rPr>
          <w:b/>
          <w:sz w:val="28"/>
        </w:rPr>
      </w:pPr>
      <w:proofErr w:type="gramStart"/>
      <w:r w:rsidRPr="00EF0F93">
        <w:rPr>
          <w:b/>
          <w:sz w:val="28"/>
        </w:rPr>
        <w:t>powder</w:t>
      </w:r>
      <w:proofErr w:type="gramEnd"/>
      <w:r w:rsidRPr="00EF0F93">
        <w:rPr>
          <w:b/>
          <w:sz w:val="28"/>
        </w:rPr>
        <w:t xml:space="preserve"> for IV infusion</w:t>
      </w:r>
      <w:r w:rsidR="00B60939" w:rsidRPr="00EF0F93">
        <w:rPr>
          <w:b/>
          <w:sz w:val="28"/>
        </w:rPr>
        <w:t xml:space="preserve">, </w:t>
      </w:r>
      <w:r w:rsidRPr="00EF0F93">
        <w:rPr>
          <w:b/>
          <w:sz w:val="28"/>
        </w:rPr>
        <w:t xml:space="preserve">200 </w:t>
      </w:r>
      <w:r w:rsidR="00AE7FA0" w:rsidRPr="00EF0F93">
        <w:rPr>
          <w:b/>
          <w:sz w:val="28"/>
        </w:rPr>
        <w:t>units</w:t>
      </w:r>
      <w:r w:rsidR="00C739EC" w:rsidRPr="00EF0F93">
        <w:rPr>
          <w:b/>
          <w:sz w:val="28"/>
        </w:rPr>
        <w:t>;</w:t>
      </w:r>
    </w:p>
    <w:p w:rsidR="00B60939" w:rsidRPr="00EF0F93" w:rsidRDefault="00B00CD8" w:rsidP="00EF0F93">
      <w:pPr>
        <w:pStyle w:val="BodyText"/>
        <w:ind w:left="709"/>
        <w:rPr>
          <w:b/>
          <w:sz w:val="28"/>
        </w:rPr>
      </w:pPr>
      <w:proofErr w:type="spellStart"/>
      <w:proofErr w:type="gramStart"/>
      <w:r w:rsidRPr="00EF0F93">
        <w:rPr>
          <w:b/>
          <w:sz w:val="28"/>
        </w:rPr>
        <w:t>Elelyso</w:t>
      </w:r>
      <w:proofErr w:type="spellEnd"/>
      <w:r w:rsidR="00B60939" w:rsidRPr="00EF0F93">
        <w:rPr>
          <w:b/>
          <w:sz w:val="28"/>
        </w:rPr>
        <w:t>®</w:t>
      </w:r>
      <w:r w:rsidR="00C739EC" w:rsidRPr="00EF0F93">
        <w:rPr>
          <w:b/>
          <w:sz w:val="28"/>
        </w:rPr>
        <w:t>;</w:t>
      </w:r>
      <w:r w:rsidR="00B60939" w:rsidRPr="00EF0F93">
        <w:rPr>
          <w:b/>
          <w:sz w:val="28"/>
        </w:rPr>
        <w:t xml:space="preserve"> </w:t>
      </w:r>
      <w:r w:rsidRPr="00EF0F93">
        <w:rPr>
          <w:b/>
          <w:sz w:val="28"/>
        </w:rPr>
        <w:t>Pfizer</w:t>
      </w:r>
      <w:r w:rsidR="00AE7FA0" w:rsidRPr="00EF0F93">
        <w:rPr>
          <w:b/>
          <w:sz w:val="28"/>
        </w:rPr>
        <w:t xml:space="preserve"> Australia Pty Ltd</w:t>
      </w:r>
      <w:bookmarkEnd w:id="0"/>
      <w:r w:rsidR="005A6AFD" w:rsidRPr="00EF0F93">
        <w:rPr>
          <w:b/>
          <w:sz w:val="28"/>
        </w:rPr>
        <w:t>.</w:t>
      </w:r>
      <w:proofErr w:type="gramEnd"/>
    </w:p>
    <w:p w:rsidR="00AC1B85" w:rsidRDefault="00AC1B85" w:rsidP="005A6AFD">
      <w:pPr>
        <w:rPr>
          <w:b/>
          <w:sz w:val="24"/>
          <w:szCs w:val="22"/>
        </w:rPr>
      </w:pPr>
    </w:p>
    <w:p w:rsidR="00B60939" w:rsidRDefault="00B60939" w:rsidP="00577717"/>
    <w:p w:rsidR="00860143" w:rsidRDefault="00F338FF" w:rsidP="00577D82">
      <w:pPr>
        <w:pStyle w:val="ListParagraph"/>
        <w:widowControl/>
        <w:numPr>
          <w:ilvl w:val="0"/>
          <w:numId w:val="2"/>
        </w:numPr>
        <w:rPr>
          <w:b/>
        </w:rPr>
      </w:pPr>
      <w:bookmarkStart w:id="1" w:name="_Toc398646916"/>
      <w:r w:rsidRPr="00407F2D">
        <w:rPr>
          <w:b/>
        </w:rPr>
        <w:t>Purpose of Application</w:t>
      </w:r>
      <w:bookmarkEnd w:id="1"/>
    </w:p>
    <w:p w:rsidR="00577D82" w:rsidRDefault="00577D82" w:rsidP="00577D82">
      <w:pPr>
        <w:pStyle w:val="ListParagraph"/>
        <w:widowControl/>
        <w:rPr>
          <w:b/>
        </w:rPr>
      </w:pPr>
    </w:p>
    <w:p w:rsidR="00860143" w:rsidRPr="00D204E3" w:rsidRDefault="00DE2F0C" w:rsidP="00C32489">
      <w:pPr>
        <w:pStyle w:val="ListParagraph"/>
        <w:widowControl/>
        <w:numPr>
          <w:ilvl w:val="1"/>
          <w:numId w:val="2"/>
        </w:numPr>
        <w:ind w:left="709" w:hanging="709"/>
        <w:rPr>
          <w:b/>
        </w:rPr>
      </w:pPr>
      <w:r>
        <w:t xml:space="preserve">The </w:t>
      </w:r>
      <w:r w:rsidR="004A4B1F">
        <w:t xml:space="preserve">major </w:t>
      </w:r>
      <w:r>
        <w:t>re</w:t>
      </w:r>
      <w:r w:rsidR="004517EA">
        <w:t xml:space="preserve">submission </w:t>
      </w:r>
      <w:r w:rsidR="00AA69CC">
        <w:t xml:space="preserve">sought PBS listing </w:t>
      </w:r>
      <w:r w:rsidR="004517EA">
        <w:t>a</w:t>
      </w:r>
      <w:r w:rsidR="00AA69CC">
        <w:t>s a</w:t>
      </w:r>
      <w:r w:rsidR="004517EA">
        <w:t xml:space="preserve"> </w:t>
      </w:r>
      <w:r w:rsidR="004517EA" w:rsidRPr="004B3DDB">
        <w:t>Section 100</w:t>
      </w:r>
      <w:r w:rsidR="00AA69CC">
        <w:t xml:space="preserve"> (Highly Specialised Drugs Program) benefit for </w:t>
      </w:r>
      <w:r w:rsidR="004517EA">
        <w:t xml:space="preserve">long-term enzyme replacement therapy </w:t>
      </w:r>
      <w:r w:rsidR="00AA69CC">
        <w:t>in</w:t>
      </w:r>
      <w:r w:rsidR="004517EA">
        <w:t xml:space="preserve"> patients with a confirmed diagnosis of Type 1 </w:t>
      </w:r>
      <w:proofErr w:type="spellStart"/>
      <w:r w:rsidR="004517EA">
        <w:t>Gaucher</w:t>
      </w:r>
      <w:proofErr w:type="spellEnd"/>
      <w:r w:rsidR="004517EA">
        <w:t xml:space="preserve"> disease</w:t>
      </w:r>
      <w:r w:rsidR="004517EA" w:rsidRPr="004B3DDB">
        <w:t>.</w:t>
      </w:r>
      <w:r w:rsidR="00481F8D">
        <w:t xml:space="preserve"> </w:t>
      </w:r>
    </w:p>
    <w:p w:rsidR="00577D82" w:rsidRDefault="00577D82" w:rsidP="00577D82">
      <w:pPr>
        <w:pStyle w:val="PBACheading1"/>
        <w:numPr>
          <w:ilvl w:val="0"/>
          <w:numId w:val="0"/>
        </w:numPr>
        <w:ind w:left="720"/>
      </w:pPr>
      <w:bookmarkStart w:id="2" w:name="_Toc398646917"/>
    </w:p>
    <w:p w:rsidR="00577D82" w:rsidRDefault="00577D82" w:rsidP="00577D82">
      <w:pPr>
        <w:pStyle w:val="PBACheading1"/>
        <w:numPr>
          <w:ilvl w:val="0"/>
          <w:numId w:val="0"/>
        </w:numPr>
        <w:ind w:left="720"/>
      </w:pPr>
    </w:p>
    <w:bookmarkEnd w:id="2"/>
    <w:p w:rsidR="00577D82" w:rsidRDefault="00577D82" w:rsidP="00577D82">
      <w:pPr>
        <w:pStyle w:val="ListParagraph"/>
        <w:widowControl/>
        <w:numPr>
          <w:ilvl w:val="0"/>
          <w:numId w:val="2"/>
        </w:numPr>
        <w:rPr>
          <w:b/>
          <w:szCs w:val="22"/>
        </w:rPr>
      </w:pPr>
      <w:r w:rsidRPr="00407F2D">
        <w:rPr>
          <w:b/>
          <w:szCs w:val="22"/>
        </w:rPr>
        <w:t>Requested listing</w:t>
      </w:r>
    </w:p>
    <w:p w:rsidR="00577D82" w:rsidRPr="00407F2D" w:rsidRDefault="00577D82" w:rsidP="00577D82">
      <w:pPr>
        <w:pStyle w:val="ListParagraph"/>
        <w:widowControl/>
        <w:rPr>
          <w:b/>
          <w:szCs w:val="22"/>
        </w:rPr>
      </w:pPr>
    </w:p>
    <w:p w:rsidR="00E013C9" w:rsidRDefault="004A4B1F" w:rsidP="00C32489">
      <w:pPr>
        <w:pStyle w:val="ListParagraph"/>
        <w:widowControl/>
        <w:numPr>
          <w:ilvl w:val="1"/>
          <w:numId w:val="2"/>
        </w:numPr>
        <w:ind w:left="709" w:hanging="709"/>
        <w:rPr>
          <w:snapToGrid/>
          <w:lang w:eastAsia="en-AU"/>
        </w:rPr>
      </w:pPr>
      <w:r>
        <w:rPr>
          <w:snapToGrid/>
          <w:lang w:eastAsia="en-AU"/>
        </w:rPr>
        <w:t xml:space="preserve">The requested listing is shown below with </w:t>
      </w:r>
      <w:r w:rsidR="00E013C9">
        <w:rPr>
          <w:snapToGrid/>
          <w:lang w:eastAsia="en-AU"/>
        </w:rPr>
        <w:t xml:space="preserve">Secretariat </w:t>
      </w:r>
      <w:r>
        <w:rPr>
          <w:snapToGrid/>
          <w:lang w:eastAsia="en-AU"/>
        </w:rPr>
        <w:t xml:space="preserve">suggestions shown in </w:t>
      </w:r>
      <w:r w:rsidRPr="004A4B1F">
        <w:rPr>
          <w:i/>
          <w:snapToGrid/>
          <w:lang w:eastAsia="en-AU"/>
        </w:rPr>
        <w:t>italics</w:t>
      </w:r>
      <w:r>
        <w:rPr>
          <w:snapToGrid/>
          <w:lang w:eastAsia="en-AU"/>
        </w:rPr>
        <w:t xml:space="preserve"> (additions) and </w:t>
      </w:r>
      <w:r w:rsidRPr="004A4B1F">
        <w:rPr>
          <w:strike/>
          <w:snapToGrid/>
          <w:lang w:eastAsia="en-AU"/>
        </w:rPr>
        <w:t>strikethrough</w:t>
      </w:r>
      <w:r>
        <w:rPr>
          <w:snapToGrid/>
          <w:lang w:eastAsia="en-AU"/>
        </w:rPr>
        <w:t xml:space="preserve"> (deletions): </w:t>
      </w:r>
    </w:p>
    <w:p w:rsidR="00E013C9" w:rsidRDefault="00E013C9" w:rsidP="00E013C9">
      <w:pPr>
        <w:pStyle w:val="PBACheading1"/>
        <w:numPr>
          <w:ilvl w:val="0"/>
          <w:numId w:val="0"/>
        </w:numPr>
        <w:rPr>
          <w:snapToGrid/>
          <w:lang w:eastAsia="en-AU"/>
        </w:rPr>
      </w:pPr>
    </w:p>
    <w:tbl>
      <w:tblPr>
        <w:tblW w:w="8363" w:type="dxa"/>
        <w:tblInd w:w="817" w:type="dxa"/>
        <w:tblLayout w:type="fixed"/>
        <w:tblLook w:val="0000" w:firstRow="0" w:lastRow="0" w:firstColumn="0" w:lastColumn="0" w:noHBand="0" w:noVBand="0"/>
      </w:tblPr>
      <w:tblGrid>
        <w:gridCol w:w="1559"/>
        <w:gridCol w:w="3402"/>
        <w:gridCol w:w="993"/>
        <w:gridCol w:w="708"/>
        <w:gridCol w:w="1134"/>
        <w:gridCol w:w="567"/>
      </w:tblGrid>
      <w:tr w:rsidR="000B03E3" w:rsidRPr="00260CE3" w:rsidTr="00EB6319">
        <w:trPr>
          <w:cantSplit/>
          <w:trHeight w:val="471"/>
        </w:trPr>
        <w:tc>
          <w:tcPr>
            <w:tcW w:w="4961" w:type="dxa"/>
            <w:gridSpan w:val="2"/>
            <w:tcBorders>
              <w:bottom w:val="single" w:sz="4" w:space="0" w:color="auto"/>
            </w:tcBorders>
          </w:tcPr>
          <w:p w:rsidR="000B03E3" w:rsidRPr="00260CE3" w:rsidRDefault="000B03E3" w:rsidP="000B03E3">
            <w:pPr>
              <w:keepNext/>
              <w:ind w:left="-108"/>
              <w:rPr>
                <w:rFonts w:ascii="Arial Narrow" w:hAnsi="Arial Narrow"/>
                <w:sz w:val="20"/>
              </w:rPr>
            </w:pPr>
            <w:r w:rsidRPr="00260CE3">
              <w:rPr>
                <w:rFonts w:ascii="Arial Narrow" w:hAnsi="Arial Narrow"/>
                <w:sz w:val="20"/>
              </w:rPr>
              <w:t>Name, Restriction,</w:t>
            </w:r>
          </w:p>
          <w:p w:rsidR="000B03E3" w:rsidRPr="00260CE3" w:rsidRDefault="000B03E3" w:rsidP="000B03E3">
            <w:pPr>
              <w:keepNext/>
              <w:ind w:left="-108"/>
              <w:rPr>
                <w:rFonts w:ascii="Arial Narrow" w:hAnsi="Arial Narrow"/>
                <w:sz w:val="20"/>
              </w:rPr>
            </w:pPr>
            <w:r w:rsidRPr="00260CE3">
              <w:rPr>
                <w:rFonts w:ascii="Arial Narrow" w:hAnsi="Arial Narrow"/>
                <w:sz w:val="20"/>
              </w:rPr>
              <w:t>Manner of administration and form</w:t>
            </w:r>
          </w:p>
        </w:tc>
        <w:tc>
          <w:tcPr>
            <w:tcW w:w="993" w:type="dxa"/>
            <w:tcBorders>
              <w:bottom w:val="single" w:sz="4" w:space="0" w:color="auto"/>
            </w:tcBorders>
          </w:tcPr>
          <w:p w:rsidR="000B03E3" w:rsidRPr="00260CE3" w:rsidRDefault="000B03E3" w:rsidP="000B03E3">
            <w:pPr>
              <w:keepNext/>
              <w:ind w:left="-108"/>
              <w:rPr>
                <w:rFonts w:ascii="Arial Narrow" w:hAnsi="Arial Narrow"/>
                <w:sz w:val="20"/>
              </w:rPr>
            </w:pPr>
            <w:r w:rsidRPr="00260CE3">
              <w:rPr>
                <w:rFonts w:ascii="Arial Narrow" w:hAnsi="Arial Narrow"/>
                <w:sz w:val="20"/>
              </w:rPr>
              <w:t>Max.</w:t>
            </w:r>
          </w:p>
          <w:p w:rsidR="000B03E3" w:rsidRPr="00260CE3" w:rsidRDefault="000B03E3" w:rsidP="000B03E3">
            <w:pPr>
              <w:keepNext/>
              <w:ind w:left="-108"/>
              <w:rPr>
                <w:rFonts w:ascii="Arial Narrow" w:hAnsi="Arial Narrow"/>
                <w:sz w:val="20"/>
              </w:rPr>
            </w:pPr>
            <w:r w:rsidRPr="00260CE3">
              <w:rPr>
                <w:rFonts w:ascii="Arial Narrow" w:hAnsi="Arial Narrow"/>
                <w:sz w:val="20"/>
              </w:rPr>
              <w:t>Qty</w:t>
            </w:r>
          </w:p>
        </w:tc>
        <w:tc>
          <w:tcPr>
            <w:tcW w:w="708" w:type="dxa"/>
            <w:tcBorders>
              <w:bottom w:val="single" w:sz="4" w:space="0" w:color="auto"/>
            </w:tcBorders>
          </w:tcPr>
          <w:p w:rsidR="000B03E3" w:rsidRPr="00260CE3" w:rsidRDefault="000B03E3" w:rsidP="000B03E3">
            <w:pPr>
              <w:keepNext/>
              <w:ind w:left="-108"/>
              <w:rPr>
                <w:rFonts w:ascii="Arial Narrow" w:hAnsi="Arial Narrow"/>
                <w:sz w:val="20"/>
              </w:rPr>
            </w:pPr>
            <w:r w:rsidRPr="00260CE3">
              <w:rPr>
                <w:rFonts w:ascii="Arial Narrow" w:hAnsi="Arial Narrow"/>
                <w:sz w:val="20"/>
              </w:rPr>
              <w:t>№.of</w:t>
            </w:r>
          </w:p>
          <w:p w:rsidR="000B03E3" w:rsidRPr="00260CE3" w:rsidRDefault="000B03E3" w:rsidP="000B03E3">
            <w:pPr>
              <w:keepNext/>
              <w:ind w:left="-108"/>
              <w:rPr>
                <w:rFonts w:ascii="Arial Narrow" w:hAnsi="Arial Narrow"/>
                <w:sz w:val="20"/>
              </w:rPr>
            </w:pPr>
            <w:r w:rsidRPr="00260CE3">
              <w:rPr>
                <w:rFonts w:ascii="Arial Narrow" w:hAnsi="Arial Narrow"/>
                <w:sz w:val="20"/>
              </w:rPr>
              <w:t>Rpts</w:t>
            </w:r>
          </w:p>
        </w:tc>
        <w:tc>
          <w:tcPr>
            <w:tcW w:w="1701" w:type="dxa"/>
            <w:gridSpan w:val="2"/>
            <w:tcBorders>
              <w:bottom w:val="single" w:sz="4" w:space="0" w:color="auto"/>
            </w:tcBorders>
          </w:tcPr>
          <w:p w:rsidR="000B03E3" w:rsidRPr="00260CE3" w:rsidRDefault="000B03E3" w:rsidP="000B03E3">
            <w:pPr>
              <w:keepNext/>
              <w:rPr>
                <w:rFonts w:ascii="Arial Narrow" w:hAnsi="Arial Narrow"/>
                <w:sz w:val="20"/>
                <w:lang w:val="fr-FR"/>
              </w:rPr>
            </w:pPr>
            <w:r w:rsidRPr="00260CE3">
              <w:rPr>
                <w:rFonts w:ascii="Arial Narrow" w:hAnsi="Arial Narrow"/>
                <w:sz w:val="20"/>
              </w:rPr>
              <w:t>Proprietary Name and Manufacturer</w:t>
            </w:r>
          </w:p>
        </w:tc>
      </w:tr>
      <w:tr w:rsidR="000B03E3" w:rsidRPr="00260CE3" w:rsidTr="00EB6319">
        <w:trPr>
          <w:cantSplit/>
          <w:trHeight w:val="577"/>
        </w:trPr>
        <w:tc>
          <w:tcPr>
            <w:tcW w:w="4961" w:type="dxa"/>
            <w:gridSpan w:val="2"/>
          </w:tcPr>
          <w:p w:rsidR="000B03E3" w:rsidRPr="00260CE3" w:rsidRDefault="000B03E3" w:rsidP="000B03E3">
            <w:pPr>
              <w:keepNext/>
              <w:ind w:left="-108"/>
              <w:rPr>
                <w:rFonts w:ascii="Arial Narrow" w:hAnsi="Arial Narrow"/>
                <w:sz w:val="20"/>
              </w:rPr>
            </w:pPr>
            <w:r>
              <w:rPr>
                <w:rFonts w:ascii="Arial Narrow" w:hAnsi="Arial Narrow"/>
                <w:smallCaps/>
                <w:sz w:val="20"/>
              </w:rPr>
              <w:t>TALIGLUCERASE ALFA</w:t>
            </w:r>
          </w:p>
          <w:p w:rsidR="000B03E3" w:rsidRPr="00260CE3" w:rsidRDefault="000B03E3" w:rsidP="000B03E3">
            <w:pPr>
              <w:keepNext/>
              <w:ind w:left="-108"/>
              <w:rPr>
                <w:rFonts w:ascii="Arial Narrow" w:hAnsi="Arial Narrow"/>
                <w:sz w:val="20"/>
              </w:rPr>
            </w:pPr>
            <w:r>
              <w:rPr>
                <w:rFonts w:ascii="Arial Narrow" w:hAnsi="Arial Narrow"/>
                <w:sz w:val="20"/>
              </w:rPr>
              <w:t>200 units injection, 1 vial</w:t>
            </w:r>
          </w:p>
        </w:tc>
        <w:tc>
          <w:tcPr>
            <w:tcW w:w="993" w:type="dxa"/>
          </w:tcPr>
          <w:p w:rsidR="000B03E3" w:rsidRPr="00260CE3" w:rsidRDefault="000B03E3" w:rsidP="000B03E3">
            <w:pPr>
              <w:keepNext/>
              <w:ind w:left="-108"/>
              <w:rPr>
                <w:rFonts w:ascii="Arial Narrow" w:hAnsi="Arial Narrow"/>
                <w:sz w:val="20"/>
              </w:rPr>
            </w:pPr>
          </w:p>
          <w:p w:rsidR="000B03E3" w:rsidRPr="00260CE3" w:rsidRDefault="000B03E3" w:rsidP="000B03E3">
            <w:pPr>
              <w:keepNext/>
              <w:ind w:left="-108"/>
              <w:rPr>
                <w:rFonts w:ascii="Arial Narrow" w:hAnsi="Arial Narrow"/>
                <w:sz w:val="20"/>
              </w:rPr>
            </w:pPr>
            <w:r>
              <w:rPr>
                <w:rFonts w:ascii="Arial Narrow" w:hAnsi="Arial Narrow"/>
                <w:sz w:val="20"/>
              </w:rPr>
              <w:t>1</w:t>
            </w:r>
          </w:p>
        </w:tc>
        <w:tc>
          <w:tcPr>
            <w:tcW w:w="708" w:type="dxa"/>
          </w:tcPr>
          <w:p w:rsidR="000B03E3" w:rsidRDefault="000B03E3" w:rsidP="000B03E3">
            <w:pPr>
              <w:keepNext/>
              <w:ind w:left="-108"/>
              <w:rPr>
                <w:rFonts w:ascii="Arial Narrow" w:hAnsi="Arial Narrow"/>
                <w:sz w:val="20"/>
              </w:rPr>
            </w:pPr>
          </w:p>
          <w:p w:rsidR="000B03E3" w:rsidRPr="00260CE3" w:rsidRDefault="000B03E3" w:rsidP="000B03E3">
            <w:pPr>
              <w:keepNext/>
              <w:ind w:left="-108"/>
              <w:rPr>
                <w:rFonts w:ascii="Arial Narrow" w:hAnsi="Arial Narrow"/>
                <w:sz w:val="20"/>
              </w:rPr>
            </w:pPr>
            <w:r>
              <w:rPr>
                <w:rFonts w:ascii="Arial Narrow" w:hAnsi="Arial Narrow"/>
                <w:sz w:val="20"/>
              </w:rPr>
              <w:t>0</w:t>
            </w:r>
          </w:p>
        </w:tc>
        <w:tc>
          <w:tcPr>
            <w:tcW w:w="1134" w:type="dxa"/>
          </w:tcPr>
          <w:p w:rsidR="00AE7FA0" w:rsidRDefault="00AE7FA0" w:rsidP="000B03E3">
            <w:pPr>
              <w:keepNext/>
              <w:rPr>
                <w:rFonts w:ascii="Arial Narrow" w:hAnsi="Arial Narrow"/>
                <w:sz w:val="20"/>
              </w:rPr>
            </w:pPr>
          </w:p>
          <w:p w:rsidR="000B03E3" w:rsidRPr="00260CE3" w:rsidRDefault="000B03E3" w:rsidP="000B03E3">
            <w:pPr>
              <w:keepNext/>
              <w:rPr>
                <w:rFonts w:ascii="Arial Narrow" w:hAnsi="Arial Narrow"/>
                <w:sz w:val="20"/>
              </w:rPr>
            </w:pPr>
            <w:proofErr w:type="spellStart"/>
            <w:r>
              <w:rPr>
                <w:rFonts w:ascii="Arial Narrow" w:hAnsi="Arial Narrow"/>
                <w:sz w:val="20"/>
              </w:rPr>
              <w:t>Elelyso</w:t>
            </w:r>
            <w:proofErr w:type="spellEnd"/>
            <w:r w:rsidRPr="0093634C">
              <w:rPr>
                <w:rFonts w:ascii="Arial Narrow" w:hAnsi="Arial Narrow"/>
                <w:sz w:val="20"/>
                <w:vertAlign w:val="superscript"/>
              </w:rPr>
              <w:t>®</w:t>
            </w:r>
          </w:p>
        </w:tc>
        <w:tc>
          <w:tcPr>
            <w:tcW w:w="567" w:type="dxa"/>
          </w:tcPr>
          <w:p w:rsidR="00AE7FA0" w:rsidRDefault="00AE7FA0" w:rsidP="000B03E3">
            <w:pPr>
              <w:keepNext/>
              <w:rPr>
                <w:rFonts w:ascii="Arial Narrow" w:hAnsi="Arial Narrow"/>
                <w:sz w:val="20"/>
              </w:rPr>
            </w:pPr>
          </w:p>
          <w:p w:rsidR="000B03E3" w:rsidRPr="00260CE3" w:rsidRDefault="00AE7FA0" w:rsidP="00AE7FA0">
            <w:pPr>
              <w:keepNext/>
              <w:rPr>
                <w:rFonts w:ascii="Arial Narrow" w:hAnsi="Arial Narrow"/>
                <w:sz w:val="20"/>
              </w:rPr>
            </w:pPr>
            <w:r>
              <w:rPr>
                <w:rFonts w:ascii="Arial Narrow" w:hAnsi="Arial Narrow"/>
                <w:sz w:val="20"/>
              </w:rPr>
              <w:t>PZ</w:t>
            </w:r>
          </w:p>
        </w:tc>
      </w:tr>
      <w:tr w:rsidR="000B03E3" w:rsidRPr="00260CE3" w:rsidTr="00EB6319">
        <w:trPr>
          <w:cantSplit/>
          <w:trHeight w:val="360"/>
        </w:trPr>
        <w:tc>
          <w:tcPr>
            <w:tcW w:w="8363" w:type="dxa"/>
            <w:gridSpan w:val="6"/>
            <w:tcBorders>
              <w:bottom w:val="single" w:sz="4" w:space="0" w:color="auto"/>
            </w:tcBorders>
          </w:tcPr>
          <w:p w:rsidR="000B03E3" w:rsidRPr="00260CE3" w:rsidRDefault="000B03E3" w:rsidP="000B03E3">
            <w:pPr>
              <w:rPr>
                <w:rFonts w:ascii="Arial Narrow" w:hAnsi="Arial Narrow"/>
                <w:sz w:val="20"/>
              </w:rPr>
            </w:pPr>
          </w:p>
        </w:tc>
      </w:tr>
      <w:tr w:rsidR="000B03E3" w:rsidRPr="00260CE3"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0B03E3" w:rsidRPr="00260CE3" w:rsidRDefault="000B03E3" w:rsidP="000B03E3">
            <w:pPr>
              <w:rPr>
                <w:rFonts w:ascii="Arial Narrow" w:hAnsi="Arial Narrow"/>
                <w:b/>
                <w:sz w:val="20"/>
              </w:rPr>
            </w:pPr>
            <w:r w:rsidRPr="00260CE3">
              <w:rPr>
                <w:rFonts w:ascii="Arial Narrow" w:hAnsi="Arial Narrow"/>
                <w:b/>
                <w:sz w:val="20"/>
              </w:rPr>
              <w:t xml:space="preserve">Category / </w:t>
            </w:r>
          </w:p>
          <w:p w:rsidR="000B03E3" w:rsidRPr="00260CE3" w:rsidRDefault="000B03E3" w:rsidP="000B03E3">
            <w:pPr>
              <w:rPr>
                <w:rFonts w:ascii="Arial Narrow" w:hAnsi="Arial Narrow"/>
                <w:b/>
                <w:sz w:val="20"/>
              </w:rPr>
            </w:pPr>
            <w:r w:rsidRPr="00260CE3">
              <w:rPr>
                <w:rFonts w:ascii="Arial Narrow" w:hAnsi="Arial Narrow"/>
                <w:b/>
                <w:sz w:val="20"/>
              </w:rPr>
              <w:t>Program</w:t>
            </w:r>
          </w:p>
        </w:tc>
        <w:tc>
          <w:tcPr>
            <w:tcW w:w="6804" w:type="dxa"/>
            <w:gridSpan w:val="5"/>
            <w:tcBorders>
              <w:top w:val="single" w:sz="4" w:space="0" w:color="auto"/>
              <w:left w:val="single" w:sz="4" w:space="0" w:color="auto"/>
              <w:bottom w:val="single" w:sz="4" w:space="0" w:color="auto"/>
              <w:right w:val="single" w:sz="4" w:space="0" w:color="auto"/>
            </w:tcBorders>
          </w:tcPr>
          <w:p w:rsidR="000B03E3" w:rsidRDefault="000B03E3" w:rsidP="000B03E3">
            <w:pPr>
              <w:rPr>
                <w:rFonts w:ascii="Arial Narrow" w:hAnsi="Arial Narrow"/>
                <w:sz w:val="20"/>
              </w:rPr>
            </w:pPr>
            <w:r w:rsidRPr="00260CE3">
              <w:rPr>
                <w:rFonts w:ascii="Arial Narrow" w:hAnsi="Arial Narrow"/>
                <w:sz w:val="20"/>
              </w:rPr>
              <w:t>Section 100 – Highly Specialised Drugs Program</w:t>
            </w:r>
            <w:r w:rsidR="00945C33">
              <w:rPr>
                <w:rFonts w:ascii="Arial Narrow" w:hAnsi="Arial Narrow"/>
                <w:sz w:val="20"/>
              </w:rPr>
              <w:t xml:space="preserve"> (Private Hospital)</w:t>
            </w:r>
          </w:p>
          <w:p w:rsidR="00945C33" w:rsidRPr="00260CE3" w:rsidRDefault="00945C33" w:rsidP="000B03E3">
            <w:pPr>
              <w:rPr>
                <w:rFonts w:ascii="Arial Narrow" w:hAnsi="Arial Narrow"/>
                <w:sz w:val="20"/>
              </w:rPr>
            </w:pPr>
            <w:r>
              <w:rPr>
                <w:rFonts w:ascii="Arial Narrow" w:hAnsi="Arial Narrow"/>
                <w:sz w:val="20"/>
              </w:rPr>
              <w:t>Section 100 – Highly Specialised Drugs Program (Public Hospital)</w:t>
            </w:r>
          </w:p>
          <w:p w:rsidR="000B03E3" w:rsidRPr="00260CE3" w:rsidRDefault="000B03E3" w:rsidP="000B03E3">
            <w:pPr>
              <w:rPr>
                <w:rFonts w:ascii="Arial Narrow" w:hAnsi="Arial Narrow"/>
                <w:sz w:val="20"/>
              </w:rPr>
            </w:pPr>
          </w:p>
        </w:tc>
      </w:tr>
      <w:tr w:rsidR="0011744B" w:rsidRPr="00260CE3"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11744B" w:rsidRPr="00260CE3" w:rsidRDefault="0011744B" w:rsidP="000B03E3">
            <w:pPr>
              <w:rPr>
                <w:rFonts w:ascii="Arial Narrow" w:hAnsi="Arial Narrow"/>
                <w:b/>
                <w:sz w:val="20"/>
              </w:rPr>
            </w:pPr>
            <w:r w:rsidRPr="00260CE3">
              <w:rPr>
                <w:rFonts w:ascii="Arial Narrow" w:hAnsi="Arial Narrow"/>
                <w:b/>
                <w:sz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11744B" w:rsidRPr="00260CE3" w:rsidRDefault="00321C73" w:rsidP="000B03E3">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11744B" w:rsidRPr="00260CE3">
              <w:rPr>
                <w:rFonts w:ascii="Arial Narrow" w:hAnsi="Arial Narrow"/>
                <w:sz w:val="20"/>
              </w:rPr>
              <w:instrText xml:space="preserve"> FORMCHECKBOX </w:instrText>
            </w:r>
            <w:r w:rsidR="008914C9">
              <w:rPr>
                <w:rFonts w:ascii="Arial Narrow" w:hAnsi="Arial Narrow"/>
                <w:sz w:val="20"/>
              </w:rPr>
            </w:r>
            <w:r w:rsidR="008914C9">
              <w:rPr>
                <w:rFonts w:ascii="Arial Narrow" w:hAnsi="Arial Narrow"/>
                <w:sz w:val="20"/>
              </w:rPr>
              <w:fldChar w:fldCharType="separate"/>
            </w:r>
            <w:r w:rsidRPr="00260CE3">
              <w:rPr>
                <w:rFonts w:ascii="Arial Narrow" w:hAnsi="Arial Narrow"/>
                <w:sz w:val="20"/>
              </w:rPr>
              <w:fldChar w:fldCharType="end"/>
            </w:r>
            <w:r w:rsidR="0011744B"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11744B">
              <w:rPr>
                <w:rFonts w:ascii="Arial Narrow" w:hAnsi="Arial Narrow"/>
                <w:sz w:val="20"/>
              </w:rPr>
              <w:instrText xml:space="preserve"> FORMCHECKBOX </w:instrText>
            </w:r>
            <w:r w:rsidR="008914C9">
              <w:rPr>
                <w:rFonts w:ascii="Arial Narrow" w:hAnsi="Arial Narrow"/>
                <w:sz w:val="20"/>
              </w:rPr>
            </w:r>
            <w:r w:rsidR="008914C9">
              <w:rPr>
                <w:rFonts w:ascii="Arial Narrow" w:hAnsi="Arial Narrow"/>
                <w:sz w:val="20"/>
              </w:rPr>
              <w:fldChar w:fldCharType="separate"/>
            </w:r>
            <w:r>
              <w:rPr>
                <w:rFonts w:ascii="Arial Narrow" w:hAnsi="Arial Narrow"/>
                <w:sz w:val="20"/>
              </w:rPr>
              <w:fldChar w:fldCharType="end"/>
            </w:r>
            <w:r w:rsidR="0011744B"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0011744B" w:rsidRPr="00260CE3">
              <w:rPr>
                <w:rFonts w:ascii="Arial Narrow" w:hAnsi="Arial Narrow"/>
                <w:sz w:val="20"/>
              </w:rPr>
              <w:instrText xml:space="preserve"> FORMCHECKBOX </w:instrText>
            </w:r>
            <w:r w:rsidR="008914C9">
              <w:rPr>
                <w:rFonts w:ascii="Arial Narrow" w:hAnsi="Arial Narrow"/>
                <w:sz w:val="20"/>
              </w:rPr>
            </w:r>
            <w:r w:rsidR="008914C9">
              <w:rPr>
                <w:rFonts w:ascii="Arial Narrow" w:hAnsi="Arial Narrow"/>
                <w:sz w:val="20"/>
              </w:rPr>
              <w:fldChar w:fldCharType="separate"/>
            </w:r>
            <w:r w:rsidRPr="00260CE3">
              <w:rPr>
                <w:rFonts w:ascii="Arial Narrow" w:hAnsi="Arial Narrow"/>
                <w:sz w:val="20"/>
              </w:rPr>
              <w:fldChar w:fldCharType="end"/>
            </w:r>
            <w:r w:rsidR="0011744B"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11744B" w:rsidRPr="00260CE3">
              <w:rPr>
                <w:rFonts w:ascii="Arial Narrow" w:hAnsi="Arial Narrow"/>
                <w:sz w:val="20"/>
              </w:rPr>
              <w:instrText xml:space="preserve"> FORMCHECKBOX </w:instrText>
            </w:r>
            <w:r w:rsidR="008914C9">
              <w:rPr>
                <w:rFonts w:ascii="Arial Narrow" w:hAnsi="Arial Narrow"/>
                <w:sz w:val="20"/>
              </w:rPr>
            </w:r>
            <w:r w:rsidR="008914C9">
              <w:rPr>
                <w:rFonts w:ascii="Arial Narrow" w:hAnsi="Arial Narrow"/>
                <w:sz w:val="20"/>
              </w:rPr>
              <w:fldChar w:fldCharType="separate"/>
            </w:r>
            <w:r w:rsidRPr="00260CE3">
              <w:rPr>
                <w:rFonts w:ascii="Arial Narrow" w:hAnsi="Arial Narrow"/>
                <w:sz w:val="20"/>
              </w:rPr>
              <w:fldChar w:fldCharType="end"/>
            </w:r>
            <w:r w:rsidR="0011744B" w:rsidRPr="00260CE3">
              <w:rPr>
                <w:rFonts w:ascii="Arial Narrow" w:hAnsi="Arial Narrow"/>
                <w:sz w:val="20"/>
              </w:rPr>
              <w:t>Optometrists</w:t>
            </w:r>
            <w:r w:rsidR="00EB6319">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0011744B" w:rsidRPr="00260CE3">
              <w:rPr>
                <w:rFonts w:ascii="Arial Narrow" w:hAnsi="Arial Narrow"/>
                <w:sz w:val="20"/>
              </w:rPr>
              <w:instrText xml:space="preserve"> FORMCHECKBOX </w:instrText>
            </w:r>
            <w:r w:rsidR="008914C9">
              <w:rPr>
                <w:rFonts w:ascii="Arial Narrow" w:hAnsi="Arial Narrow"/>
                <w:sz w:val="20"/>
              </w:rPr>
            </w:r>
            <w:r w:rsidR="008914C9">
              <w:rPr>
                <w:rFonts w:ascii="Arial Narrow" w:hAnsi="Arial Narrow"/>
                <w:sz w:val="20"/>
              </w:rPr>
              <w:fldChar w:fldCharType="separate"/>
            </w:r>
            <w:r w:rsidRPr="00260CE3">
              <w:rPr>
                <w:rFonts w:ascii="Arial Narrow" w:hAnsi="Arial Narrow"/>
                <w:sz w:val="20"/>
              </w:rPr>
              <w:fldChar w:fldCharType="end"/>
            </w:r>
            <w:r w:rsidR="0011744B" w:rsidRPr="00260CE3">
              <w:rPr>
                <w:rFonts w:ascii="Arial Narrow" w:hAnsi="Arial Narrow"/>
                <w:sz w:val="20"/>
              </w:rPr>
              <w:t>Midwives</w:t>
            </w:r>
          </w:p>
        </w:tc>
      </w:tr>
      <w:tr w:rsidR="0011744B" w:rsidRPr="00260CE3"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11744B" w:rsidRPr="0011744B" w:rsidRDefault="0011744B" w:rsidP="000B03E3">
            <w:pPr>
              <w:rPr>
                <w:rFonts w:ascii="Arial Narrow" w:hAnsi="Arial Narrow"/>
                <w:b/>
                <w:i/>
                <w:sz w:val="20"/>
              </w:rPr>
            </w:pPr>
            <w:proofErr w:type="spellStart"/>
            <w:r w:rsidRPr="0011744B">
              <w:rPr>
                <w:rFonts w:ascii="Arial Narrow" w:hAnsi="Arial Narrow"/>
                <w:b/>
                <w:i/>
                <w:sz w:val="20"/>
              </w:rPr>
              <w:t>Episodicity</w:t>
            </w:r>
            <w:proofErr w:type="spellEnd"/>
            <w:r w:rsidRPr="0011744B">
              <w:rPr>
                <w:rFonts w:ascii="Arial Narrow" w:hAnsi="Arial Narrow"/>
                <w:b/>
                <w:i/>
                <w:sz w:val="20"/>
              </w:rPr>
              <w:t>:</w:t>
            </w:r>
          </w:p>
        </w:tc>
        <w:tc>
          <w:tcPr>
            <w:tcW w:w="6804" w:type="dxa"/>
            <w:gridSpan w:val="5"/>
            <w:tcBorders>
              <w:top w:val="single" w:sz="4" w:space="0" w:color="auto"/>
              <w:left w:val="single" w:sz="4" w:space="0" w:color="auto"/>
              <w:bottom w:val="single" w:sz="4" w:space="0" w:color="auto"/>
              <w:right w:val="single" w:sz="4" w:space="0" w:color="auto"/>
            </w:tcBorders>
          </w:tcPr>
          <w:p w:rsidR="0011744B" w:rsidRPr="00260CE3" w:rsidRDefault="0011744B" w:rsidP="001148D2">
            <w:pPr>
              <w:rPr>
                <w:rFonts w:ascii="Arial Narrow" w:hAnsi="Arial Narrow"/>
                <w:sz w:val="20"/>
              </w:rPr>
            </w:pPr>
            <w:r>
              <w:rPr>
                <w:rFonts w:ascii="Arial Narrow" w:hAnsi="Arial Narrow"/>
                <w:sz w:val="20"/>
              </w:rPr>
              <w:t>---</w:t>
            </w:r>
          </w:p>
        </w:tc>
      </w:tr>
      <w:tr w:rsidR="0011744B" w:rsidRPr="00260CE3"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11744B" w:rsidRPr="0011744B" w:rsidRDefault="0011744B" w:rsidP="000B03E3">
            <w:pPr>
              <w:rPr>
                <w:rFonts w:ascii="Arial Narrow" w:hAnsi="Arial Narrow"/>
                <w:b/>
                <w:i/>
                <w:sz w:val="20"/>
              </w:rPr>
            </w:pPr>
            <w:r w:rsidRPr="0011744B">
              <w:rPr>
                <w:rFonts w:ascii="Arial Narrow" w:hAnsi="Arial Narrow"/>
                <w:b/>
                <w:i/>
                <w:sz w:val="20"/>
              </w:rPr>
              <w:t>Severity:</w:t>
            </w:r>
          </w:p>
        </w:tc>
        <w:tc>
          <w:tcPr>
            <w:tcW w:w="6804" w:type="dxa"/>
            <w:gridSpan w:val="5"/>
            <w:tcBorders>
              <w:top w:val="single" w:sz="4" w:space="0" w:color="auto"/>
              <w:left w:val="single" w:sz="4" w:space="0" w:color="auto"/>
              <w:bottom w:val="single" w:sz="4" w:space="0" w:color="auto"/>
              <w:right w:val="single" w:sz="4" w:space="0" w:color="auto"/>
            </w:tcBorders>
          </w:tcPr>
          <w:p w:rsidR="0011744B" w:rsidRDefault="0011744B" w:rsidP="001148D2">
            <w:pPr>
              <w:rPr>
                <w:rFonts w:ascii="Arial Narrow" w:hAnsi="Arial Narrow"/>
                <w:sz w:val="20"/>
              </w:rPr>
            </w:pPr>
            <w:r>
              <w:rPr>
                <w:rFonts w:ascii="Arial Narrow" w:hAnsi="Arial Narrow"/>
                <w:sz w:val="20"/>
              </w:rPr>
              <w:t>---</w:t>
            </w:r>
          </w:p>
        </w:tc>
      </w:tr>
      <w:tr w:rsidR="0011744B" w:rsidRPr="00260CE3" w:rsidTr="00EB6319">
        <w:trPr>
          <w:cantSplit/>
          <w:trHeight w:val="527"/>
        </w:trPr>
        <w:tc>
          <w:tcPr>
            <w:tcW w:w="1559" w:type="dxa"/>
            <w:tcBorders>
              <w:top w:val="single" w:sz="4" w:space="0" w:color="auto"/>
              <w:left w:val="single" w:sz="4" w:space="0" w:color="auto"/>
              <w:bottom w:val="single" w:sz="4" w:space="0" w:color="auto"/>
              <w:right w:val="single" w:sz="4" w:space="0" w:color="auto"/>
            </w:tcBorders>
          </w:tcPr>
          <w:p w:rsidR="0011744B" w:rsidRPr="00945C33" w:rsidRDefault="0011744B" w:rsidP="000B03E3">
            <w:pPr>
              <w:rPr>
                <w:rFonts w:ascii="Arial Narrow" w:hAnsi="Arial Narrow"/>
                <w:b/>
                <w:i/>
                <w:sz w:val="20"/>
              </w:rPr>
            </w:pPr>
            <w:r w:rsidRPr="00945C33">
              <w:rPr>
                <w:rFonts w:ascii="Arial Narrow" w:hAnsi="Arial Narrow"/>
                <w:b/>
                <w:i/>
                <w:sz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11744B" w:rsidRPr="00945C33" w:rsidRDefault="0011744B" w:rsidP="000B03E3">
            <w:pPr>
              <w:rPr>
                <w:rFonts w:ascii="Arial Narrow" w:hAnsi="Arial Narrow"/>
                <w:i/>
                <w:sz w:val="20"/>
              </w:rPr>
            </w:pPr>
            <w:r w:rsidRPr="00945C33">
              <w:rPr>
                <w:rFonts w:ascii="Arial Narrow" w:hAnsi="Arial Narrow"/>
                <w:i/>
                <w:sz w:val="20"/>
              </w:rPr>
              <w:t xml:space="preserve">Type 1 </w:t>
            </w:r>
            <w:proofErr w:type="spellStart"/>
            <w:r w:rsidRPr="00945C33">
              <w:rPr>
                <w:rFonts w:ascii="Arial Narrow" w:hAnsi="Arial Narrow"/>
                <w:i/>
                <w:sz w:val="20"/>
              </w:rPr>
              <w:t>Gaucher</w:t>
            </w:r>
            <w:proofErr w:type="spellEnd"/>
            <w:r w:rsidRPr="00945C33">
              <w:rPr>
                <w:rFonts w:ascii="Arial Narrow" w:hAnsi="Arial Narrow"/>
                <w:i/>
                <w:sz w:val="20"/>
              </w:rPr>
              <w:t xml:space="preserve"> Disease</w:t>
            </w:r>
          </w:p>
        </w:tc>
      </w:tr>
      <w:tr w:rsidR="0011744B" w:rsidRPr="003C3EF6"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11744B" w:rsidRPr="00260CE3" w:rsidRDefault="0011744B" w:rsidP="000B03E3">
            <w:pPr>
              <w:rPr>
                <w:rFonts w:ascii="Arial Narrow" w:hAnsi="Arial Narrow"/>
                <w:b/>
                <w:sz w:val="20"/>
              </w:rPr>
            </w:pPr>
            <w:r w:rsidRPr="00260CE3">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11744B" w:rsidRDefault="0011744B" w:rsidP="000B03E3">
            <w:pPr>
              <w:rPr>
                <w:rFonts w:ascii="Arial Narrow" w:hAnsi="Arial Narrow"/>
                <w:iCs/>
                <w:color w:val="000000"/>
                <w:sz w:val="20"/>
                <w:lang w:val="en-GB"/>
              </w:rPr>
            </w:pPr>
            <w:r w:rsidRPr="003C3EF6">
              <w:rPr>
                <w:rFonts w:ascii="Arial Narrow" w:hAnsi="Arial Narrow"/>
                <w:iCs/>
                <w:strike/>
                <w:color w:val="000000"/>
                <w:sz w:val="20"/>
                <w:lang w:val="en-GB"/>
              </w:rPr>
              <w:t>Long-term enzyme replacement therapy for adult and paediatric patients with a confirmed diagnosis of</w:t>
            </w:r>
            <w:r w:rsidRPr="003C3EF6">
              <w:rPr>
                <w:rFonts w:ascii="Arial Narrow" w:hAnsi="Arial Narrow"/>
                <w:iCs/>
                <w:color w:val="000000"/>
                <w:sz w:val="20"/>
                <w:lang w:val="en-GB"/>
              </w:rPr>
              <w:t xml:space="preserve"> Type 1 </w:t>
            </w:r>
            <w:proofErr w:type="spellStart"/>
            <w:r w:rsidRPr="003C3EF6">
              <w:rPr>
                <w:rFonts w:ascii="Arial Narrow" w:hAnsi="Arial Narrow"/>
                <w:iCs/>
                <w:color w:val="000000"/>
                <w:sz w:val="20"/>
                <w:lang w:val="en-GB"/>
              </w:rPr>
              <w:t>Gaucher</w:t>
            </w:r>
            <w:proofErr w:type="spellEnd"/>
            <w:r w:rsidRPr="003C3EF6">
              <w:rPr>
                <w:rFonts w:ascii="Arial Narrow" w:hAnsi="Arial Narrow"/>
                <w:iCs/>
                <w:color w:val="000000"/>
                <w:sz w:val="20"/>
                <w:lang w:val="en-GB"/>
              </w:rPr>
              <w:t xml:space="preserve"> disease</w:t>
            </w:r>
          </w:p>
          <w:p w:rsidR="0011744B" w:rsidRPr="003C3EF6" w:rsidRDefault="0011744B" w:rsidP="000B03E3">
            <w:pPr>
              <w:rPr>
                <w:rFonts w:ascii="Arial Narrow" w:hAnsi="Arial Narrow"/>
                <w:sz w:val="20"/>
              </w:rPr>
            </w:pPr>
          </w:p>
        </w:tc>
      </w:tr>
      <w:tr w:rsidR="0011744B" w:rsidRPr="00260CE3"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11744B" w:rsidRPr="0011744B" w:rsidRDefault="0011744B" w:rsidP="000B03E3">
            <w:pPr>
              <w:rPr>
                <w:rFonts w:ascii="Arial Narrow" w:hAnsi="Arial Narrow"/>
                <w:b/>
                <w:i/>
                <w:sz w:val="20"/>
              </w:rPr>
            </w:pPr>
            <w:r w:rsidRPr="0011744B">
              <w:rPr>
                <w:rFonts w:ascii="Arial Narrow" w:hAnsi="Arial Narrow"/>
                <w:b/>
                <w:i/>
                <w:sz w:val="20"/>
              </w:rPr>
              <w:t>Restriction level / Method:</w:t>
            </w:r>
          </w:p>
          <w:p w:rsidR="0011744B" w:rsidRPr="00260CE3" w:rsidRDefault="0011744B" w:rsidP="000B03E3">
            <w:pPr>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11744B" w:rsidRPr="0011744B" w:rsidRDefault="00321C73" w:rsidP="0011744B">
            <w:pPr>
              <w:widowControl/>
              <w:jc w:val="left"/>
              <w:rPr>
                <w:rFonts w:ascii="Arial Narrow" w:hAnsi="Arial Narrow"/>
                <w:i/>
                <w:snapToGrid/>
                <w:sz w:val="20"/>
                <w:lang w:eastAsia="en-AU"/>
              </w:rPr>
            </w:pPr>
            <w:r w:rsidRPr="0011744B">
              <w:rPr>
                <w:rFonts w:ascii="Arial Narrow" w:hAnsi="Arial Narrow"/>
                <w:snapToGrid/>
                <w:sz w:val="20"/>
                <w:lang w:eastAsia="en-AU"/>
              </w:rPr>
              <w:fldChar w:fldCharType="begin">
                <w:ffData>
                  <w:name w:val="Check1"/>
                  <w:enabled/>
                  <w:calcOnExit w:val="0"/>
                  <w:checkBox>
                    <w:sizeAuto/>
                    <w:default w:val="0"/>
                  </w:checkBox>
                </w:ffData>
              </w:fldChar>
            </w:r>
            <w:r w:rsidR="0011744B" w:rsidRPr="0011744B">
              <w:rPr>
                <w:rFonts w:ascii="Arial Narrow" w:hAnsi="Arial Narrow"/>
                <w:snapToGrid/>
                <w:sz w:val="20"/>
                <w:lang w:eastAsia="en-AU"/>
              </w:rPr>
              <w:instrText xml:space="preserve"> FORMCHECKBOX </w:instrText>
            </w:r>
            <w:r w:rsidR="008914C9">
              <w:rPr>
                <w:rFonts w:ascii="Arial Narrow" w:hAnsi="Arial Narrow"/>
                <w:snapToGrid/>
                <w:sz w:val="20"/>
                <w:lang w:eastAsia="en-AU"/>
              </w:rPr>
            </w:r>
            <w:r w:rsidR="008914C9">
              <w:rPr>
                <w:rFonts w:ascii="Arial Narrow" w:hAnsi="Arial Narrow"/>
                <w:snapToGrid/>
                <w:sz w:val="20"/>
                <w:lang w:eastAsia="en-AU"/>
              </w:rPr>
              <w:fldChar w:fldCharType="separate"/>
            </w:r>
            <w:r w:rsidRPr="0011744B">
              <w:rPr>
                <w:rFonts w:ascii="Arial Narrow" w:hAnsi="Arial Narrow"/>
                <w:snapToGrid/>
                <w:sz w:val="20"/>
                <w:lang w:eastAsia="en-AU"/>
              </w:rPr>
              <w:fldChar w:fldCharType="end"/>
            </w:r>
            <w:r w:rsidR="0011744B" w:rsidRPr="0011744B">
              <w:rPr>
                <w:rFonts w:ascii="Arial Narrow" w:hAnsi="Arial Narrow"/>
                <w:i/>
                <w:snapToGrid/>
                <w:sz w:val="20"/>
                <w:lang w:eastAsia="en-AU"/>
              </w:rPr>
              <w:t>Restricted benefit</w:t>
            </w:r>
          </w:p>
          <w:p w:rsidR="0011744B" w:rsidRPr="0011744B" w:rsidRDefault="00321C73" w:rsidP="0011744B">
            <w:pPr>
              <w:widowControl/>
              <w:jc w:val="left"/>
              <w:rPr>
                <w:rFonts w:ascii="Arial Narrow" w:hAnsi="Arial Narrow"/>
                <w:i/>
                <w:snapToGrid/>
                <w:sz w:val="20"/>
                <w:lang w:eastAsia="en-AU"/>
              </w:rPr>
            </w:pPr>
            <w:r w:rsidRPr="0011744B">
              <w:rPr>
                <w:rFonts w:ascii="Arial Narrow" w:hAnsi="Arial Narrow"/>
                <w:i/>
                <w:snapToGrid/>
                <w:sz w:val="20"/>
                <w:lang w:eastAsia="en-AU"/>
              </w:rPr>
              <w:fldChar w:fldCharType="begin">
                <w:ffData>
                  <w:name w:val=""/>
                  <w:enabled/>
                  <w:calcOnExit w:val="0"/>
                  <w:checkBox>
                    <w:sizeAuto/>
                    <w:default w:val="1"/>
                  </w:checkBox>
                </w:ffData>
              </w:fldChar>
            </w:r>
            <w:r w:rsidR="0011744B" w:rsidRPr="0011744B">
              <w:rPr>
                <w:rFonts w:ascii="Arial Narrow" w:hAnsi="Arial Narrow"/>
                <w:i/>
                <w:snapToGrid/>
                <w:sz w:val="20"/>
                <w:lang w:eastAsia="en-AU"/>
              </w:rPr>
              <w:instrText xml:space="preserve"> FORMCHECKBOX </w:instrText>
            </w:r>
            <w:r w:rsidR="008914C9">
              <w:rPr>
                <w:rFonts w:ascii="Arial Narrow" w:hAnsi="Arial Narrow"/>
                <w:i/>
                <w:snapToGrid/>
                <w:sz w:val="20"/>
                <w:lang w:eastAsia="en-AU"/>
              </w:rPr>
            </w:r>
            <w:r w:rsidR="008914C9">
              <w:rPr>
                <w:rFonts w:ascii="Arial Narrow" w:hAnsi="Arial Narrow"/>
                <w:i/>
                <w:snapToGrid/>
                <w:sz w:val="20"/>
                <w:lang w:eastAsia="en-AU"/>
              </w:rPr>
              <w:fldChar w:fldCharType="separate"/>
            </w:r>
            <w:r w:rsidRPr="0011744B">
              <w:rPr>
                <w:rFonts w:ascii="Arial Narrow" w:hAnsi="Arial Narrow"/>
                <w:i/>
                <w:snapToGrid/>
                <w:sz w:val="20"/>
                <w:lang w:eastAsia="en-AU"/>
              </w:rPr>
              <w:fldChar w:fldCharType="end"/>
            </w:r>
            <w:r w:rsidR="0011744B" w:rsidRPr="0011744B">
              <w:rPr>
                <w:rFonts w:ascii="Arial Narrow" w:hAnsi="Arial Narrow"/>
                <w:i/>
                <w:snapToGrid/>
                <w:sz w:val="20"/>
                <w:lang w:eastAsia="en-AU"/>
              </w:rPr>
              <w:t>Authority Required - In Writing</w:t>
            </w:r>
          </w:p>
          <w:p w:rsidR="0011744B" w:rsidRPr="0011744B" w:rsidRDefault="00321C73" w:rsidP="0011744B">
            <w:pPr>
              <w:widowControl/>
              <w:jc w:val="left"/>
              <w:rPr>
                <w:rFonts w:ascii="Arial Narrow" w:hAnsi="Arial Narrow"/>
                <w:i/>
                <w:snapToGrid/>
                <w:sz w:val="20"/>
                <w:lang w:eastAsia="en-AU"/>
              </w:rPr>
            </w:pPr>
            <w:r w:rsidRPr="0011744B">
              <w:rPr>
                <w:rFonts w:ascii="Arial Narrow" w:hAnsi="Arial Narrow"/>
                <w:i/>
                <w:snapToGrid/>
                <w:sz w:val="20"/>
                <w:lang w:eastAsia="en-AU"/>
              </w:rPr>
              <w:fldChar w:fldCharType="begin">
                <w:ffData>
                  <w:name w:val="Check3"/>
                  <w:enabled/>
                  <w:calcOnExit w:val="0"/>
                  <w:checkBox>
                    <w:sizeAuto/>
                    <w:default w:val="1"/>
                  </w:checkBox>
                </w:ffData>
              </w:fldChar>
            </w:r>
            <w:r w:rsidR="0011744B" w:rsidRPr="0011744B">
              <w:rPr>
                <w:rFonts w:ascii="Arial Narrow" w:hAnsi="Arial Narrow"/>
                <w:i/>
                <w:snapToGrid/>
                <w:sz w:val="20"/>
                <w:lang w:eastAsia="en-AU"/>
              </w:rPr>
              <w:instrText xml:space="preserve"> </w:instrText>
            </w:r>
            <w:bookmarkStart w:id="3" w:name="Check3"/>
            <w:r w:rsidR="0011744B" w:rsidRPr="0011744B">
              <w:rPr>
                <w:rFonts w:ascii="Arial Narrow" w:hAnsi="Arial Narrow"/>
                <w:i/>
                <w:snapToGrid/>
                <w:sz w:val="20"/>
                <w:lang w:eastAsia="en-AU"/>
              </w:rPr>
              <w:instrText xml:space="preserve">FORMCHECKBOX </w:instrText>
            </w:r>
            <w:r w:rsidR="008914C9">
              <w:rPr>
                <w:rFonts w:ascii="Arial Narrow" w:hAnsi="Arial Narrow"/>
                <w:i/>
                <w:snapToGrid/>
                <w:sz w:val="20"/>
                <w:lang w:eastAsia="en-AU"/>
              </w:rPr>
            </w:r>
            <w:r w:rsidR="008914C9">
              <w:rPr>
                <w:rFonts w:ascii="Arial Narrow" w:hAnsi="Arial Narrow"/>
                <w:i/>
                <w:snapToGrid/>
                <w:sz w:val="20"/>
                <w:lang w:eastAsia="en-AU"/>
              </w:rPr>
              <w:fldChar w:fldCharType="separate"/>
            </w:r>
            <w:r w:rsidRPr="0011744B">
              <w:rPr>
                <w:rFonts w:ascii="Arial Narrow" w:hAnsi="Arial Narrow"/>
                <w:i/>
                <w:snapToGrid/>
                <w:sz w:val="20"/>
                <w:lang w:eastAsia="en-AU"/>
              </w:rPr>
              <w:fldChar w:fldCharType="end"/>
            </w:r>
            <w:bookmarkEnd w:id="3"/>
            <w:r w:rsidR="0011744B" w:rsidRPr="0011744B">
              <w:rPr>
                <w:rFonts w:ascii="Arial Narrow" w:hAnsi="Arial Narrow"/>
                <w:i/>
                <w:snapToGrid/>
                <w:sz w:val="20"/>
                <w:lang w:eastAsia="en-AU"/>
              </w:rPr>
              <w:t>Authority Required - Telephone</w:t>
            </w:r>
          </w:p>
          <w:p w:rsidR="0011744B" w:rsidRPr="0011744B" w:rsidRDefault="00321C73" w:rsidP="0011744B">
            <w:pPr>
              <w:widowControl/>
              <w:jc w:val="left"/>
              <w:rPr>
                <w:rFonts w:ascii="Arial Narrow" w:hAnsi="Arial Narrow"/>
                <w:i/>
                <w:snapToGrid/>
                <w:sz w:val="20"/>
                <w:lang w:eastAsia="en-AU"/>
              </w:rPr>
            </w:pPr>
            <w:r w:rsidRPr="0011744B">
              <w:rPr>
                <w:rFonts w:ascii="Arial Narrow" w:hAnsi="Arial Narrow"/>
                <w:i/>
                <w:snapToGrid/>
                <w:sz w:val="20"/>
                <w:lang w:eastAsia="en-AU"/>
              </w:rPr>
              <w:fldChar w:fldCharType="begin">
                <w:ffData>
                  <w:name w:val=""/>
                  <w:enabled/>
                  <w:calcOnExit w:val="0"/>
                  <w:checkBox>
                    <w:sizeAuto/>
                    <w:default w:val="1"/>
                  </w:checkBox>
                </w:ffData>
              </w:fldChar>
            </w:r>
            <w:r w:rsidR="0011744B" w:rsidRPr="0011744B">
              <w:rPr>
                <w:rFonts w:ascii="Arial Narrow" w:hAnsi="Arial Narrow"/>
                <w:i/>
                <w:snapToGrid/>
                <w:sz w:val="20"/>
                <w:lang w:eastAsia="en-AU"/>
              </w:rPr>
              <w:instrText xml:space="preserve"> FORMCHECKBOX </w:instrText>
            </w:r>
            <w:r w:rsidR="008914C9">
              <w:rPr>
                <w:rFonts w:ascii="Arial Narrow" w:hAnsi="Arial Narrow"/>
                <w:i/>
                <w:snapToGrid/>
                <w:sz w:val="20"/>
                <w:lang w:eastAsia="en-AU"/>
              </w:rPr>
            </w:r>
            <w:r w:rsidR="008914C9">
              <w:rPr>
                <w:rFonts w:ascii="Arial Narrow" w:hAnsi="Arial Narrow"/>
                <w:i/>
                <w:snapToGrid/>
                <w:sz w:val="20"/>
                <w:lang w:eastAsia="en-AU"/>
              </w:rPr>
              <w:fldChar w:fldCharType="separate"/>
            </w:r>
            <w:r w:rsidRPr="0011744B">
              <w:rPr>
                <w:rFonts w:ascii="Arial Narrow" w:hAnsi="Arial Narrow"/>
                <w:i/>
                <w:snapToGrid/>
                <w:sz w:val="20"/>
                <w:lang w:eastAsia="en-AU"/>
              </w:rPr>
              <w:fldChar w:fldCharType="end"/>
            </w:r>
            <w:r w:rsidR="0011744B" w:rsidRPr="0011744B">
              <w:rPr>
                <w:rFonts w:ascii="Arial Narrow" w:hAnsi="Arial Narrow"/>
                <w:i/>
                <w:snapToGrid/>
                <w:sz w:val="20"/>
                <w:lang w:eastAsia="en-AU"/>
              </w:rPr>
              <w:t>Authority Required – Emergency</w:t>
            </w:r>
          </w:p>
          <w:p w:rsidR="0011744B" w:rsidRPr="0011744B" w:rsidRDefault="00321C73" w:rsidP="0011744B">
            <w:pPr>
              <w:widowControl/>
              <w:jc w:val="left"/>
              <w:rPr>
                <w:rFonts w:ascii="Arial Narrow" w:hAnsi="Arial Narrow"/>
                <w:i/>
                <w:snapToGrid/>
                <w:sz w:val="20"/>
                <w:lang w:eastAsia="en-AU"/>
              </w:rPr>
            </w:pPr>
            <w:r w:rsidRPr="0011744B">
              <w:rPr>
                <w:rFonts w:ascii="Arial Narrow" w:hAnsi="Arial Narrow"/>
                <w:i/>
                <w:snapToGrid/>
                <w:sz w:val="20"/>
                <w:lang w:eastAsia="en-AU"/>
              </w:rPr>
              <w:fldChar w:fldCharType="begin">
                <w:ffData>
                  <w:name w:val="Check5"/>
                  <w:enabled/>
                  <w:calcOnExit w:val="0"/>
                  <w:checkBox>
                    <w:sizeAuto/>
                    <w:default w:val="1"/>
                  </w:checkBox>
                </w:ffData>
              </w:fldChar>
            </w:r>
            <w:r w:rsidR="0011744B" w:rsidRPr="0011744B">
              <w:rPr>
                <w:rFonts w:ascii="Arial Narrow" w:hAnsi="Arial Narrow"/>
                <w:i/>
                <w:snapToGrid/>
                <w:sz w:val="20"/>
                <w:lang w:eastAsia="en-AU"/>
              </w:rPr>
              <w:instrText xml:space="preserve"> </w:instrText>
            </w:r>
            <w:bookmarkStart w:id="4" w:name="Check5"/>
            <w:r w:rsidR="0011744B" w:rsidRPr="0011744B">
              <w:rPr>
                <w:rFonts w:ascii="Arial Narrow" w:hAnsi="Arial Narrow"/>
                <w:i/>
                <w:snapToGrid/>
                <w:sz w:val="20"/>
                <w:lang w:eastAsia="en-AU"/>
              </w:rPr>
              <w:instrText xml:space="preserve">FORMCHECKBOX </w:instrText>
            </w:r>
            <w:r w:rsidR="008914C9">
              <w:rPr>
                <w:rFonts w:ascii="Arial Narrow" w:hAnsi="Arial Narrow"/>
                <w:i/>
                <w:snapToGrid/>
                <w:sz w:val="20"/>
                <w:lang w:eastAsia="en-AU"/>
              </w:rPr>
            </w:r>
            <w:r w:rsidR="008914C9">
              <w:rPr>
                <w:rFonts w:ascii="Arial Narrow" w:hAnsi="Arial Narrow"/>
                <w:i/>
                <w:snapToGrid/>
                <w:sz w:val="20"/>
                <w:lang w:eastAsia="en-AU"/>
              </w:rPr>
              <w:fldChar w:fldCharType="separate"/>
            </w:r>
            <w:r w:rsidRPr="0011744B">
              <w:rPr>
                <w:rFonts w:ascii="Arial Narrow" w:hAnsi="Arial Narrow"/>
                <w:i/>
                <w:snapToGrid/>
                <w:sz w:val="20"/>
                <w:lang w:eastAsia="en-AU"/>
              </w:rPr>
              <w:fldChar w:fldCharType="end"/>
            </w:r>
            <w:bookmarkEnd w:id="4"/>
            <w:r w:rsidR="0011744B" w:rsidRPr="0011744B">
              <w:rPr>
                <w:rFonts w:ascii="Arial Narrow" w:hAnsi="Arial Narrow"/>
                <w:i/>
                <w:snapToGrid/>
                <w:sz w:val="20"/>
                <w:lang w:eastAsia="en-AU"/>
              </w:rPr>
              <w:t>Authority Required - Electronic</w:t>
            </w:r>
          </w:p>
          <w:p w:rsidR="0011744B" w:rsidRPr="0011744B" w:rsidRDefault="00321C73" w:rsidP="0011744B">
            <w:pPr>
              <w:rPr>
                <w:rFonts w:ascii="Arial Narrow" w:hAnsi="Arial Narrow"/>
                <w:i/>
                <w:snapToGrid/>
                <w:sz w:val="20"/>
                <w:lang w:eastAsia="en-AU"/>
              </w:rPr>
            </w:pPr>
            <w:r w:rsidRPr="0011744B">
              <w:rPr>
                <w:rFonts w:ascii="Arial Narrow" w:hAnsi="Arial Narrow"/>
                <w:i/>
                <w:snapToGrid/>
                <w:sz w:val="20"/>
                <w:lang w:eastAsia="en-AU"/>
              </w:rPr>
              <w:fldChar w:fldCharType="begin">
                <w:ffData>
                  <w:name w:val="Check5"/>
                  <w:enabled/>
                  <w:calcOnExit w:val="0"/>
                  <w:checkBox>
                    <w:sizeAuto/>
                    <w:default w:val="0"/>
                  </w:checkBox>
                </w:ffData>
              </w:fldChar>
            </w:r>
            <w:r w:rsidR="0011744B" w:rsidRPr="0011744B">
              <w:rPr>
                <w:rFonts w:ascii="Arial Narrow" w:hAnsi="Arial Narrow"/>
                <w:i/>
                <w:snapToGrid/>
                <w:sz w:val="20"/>
                <w:lang w:eastAsia="en-AU"/>
              </w:rPr>
              <w:instrText xml:space="preserve"> FORMCHECKBOX </w:instrText>
            </w:r>
            <w:r w:rsidR="008914C9">
              <w:rPr>
                <w:rFonts w:ascii="Arial Narrow" w:hAnsi="Arial Narrow"/>
                <w:i/>
                <w:snapToGrid/>
                <w:sz w:val="20"/>
                <w:lang w:eastAsia="en-AU"/>
              </w:rPr>
            </w:r>
            <w:r w:rsidR="008914C9">
              <w:rPr>
                <w:rFonts w:ascii="Arial Narrow" w:hAnsi="Arial Narrow"/>
                <w:i/>
                <w:snapToGrid/>
                <w:sz w:val="20"/>
                <w:lang w:eastAsia="en-AU"/>
              </w:rPr>
              <w:fldChar w:fldCharType="separate"/>
            </w:r>
            <w:r w:rsidRPr="0011744B">
              <w:rPr>
                <w:rFonts w:ascii="Arial Narrow" w:hAnsi="Arial Narrow"/>
                <w:i/>
                <w:snapToGrid/>
                <w:sz w:val="20"/>
                <w:lang w:eastAsia="en-AU"/>
              </w:rPr>
              <w:fldChar w:fldCharType="end"/>
            </w:r>
            <w:r w:rsidR="0011744B" w:rsidRPr="0011744B">
              <w:rPr>
                <w:rFonts w:ascii="Arial Narrow" w:hAnsi="Arial Narrow"/>
                <w:i/>
                <w:snapToGrid/>
                <w:sz w:val="20"/>
                <w:lang w:eastAsia="en-AU"/>
              </w:rPr>
              <w:t>Streamlined</w:t>
            </w:r>
          </w:p>
          <w:p w:rsidR="0011744B" w:rsidRPr="00260CE3" w:rsidRDefault="0011744B" w:rsidP="0011744B">
            <w:pPr>
              <w:rPr>
                <w:rFonts w:ascii="Arial Narrow" w:hAnsi="Arial Narrow"/>
                <w:sz w:val="20"/>
              </w:rPr>
            </w:pPr>
          </w:p>
        </w:tc>
      </w:tr>
      <w:tr w:rsidR="0011744B" w:rsidRPr="00260CE3"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11744B" w:rsidRPr="00260CE3" w:rsidRDefault="0011744B" w:rsidP="000B03E3">
            <w:pPr>
              <w:rPr>
                <w:rFonts w:ascii="Arial Narrow" w:hAnsi="Arial Narrow"/>
                <w:b/>
                <w:sz w:val="20"/>
              </w:rPr>
            </w:pPr>
            <w:r w:rsidRPr="00260CE3">
              <w:rPr>
                <w:rFonts w:ascii="Arial Narrow" w:hAnsi="Arial Narrow"/>
                <w:b/>
                <w:sz w:val="20"/>
              </w:rPr>
              <w:t>Treatment criteria:</w:t>
            </w:r>
          </w:p>
          <w:p w:rsidR="0011744B" w:rsidRPr="00260CE3" w:rsidRDefault="0011744B" w:rsidP="000B03E3">
            <w:pPr>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11744B" w:rsidRPr="00260CE3" w:rsidRDefault="0011744B" w:rsidP="000B03E3">
            <w:pPr>
              <w:rPr>
                <w:rFonts w:ascii="Arial Narrow" w:hAnsi="Arial Narrow"/>
                <w:sz w:val="20"/>
              </w:rPr>
            </w:pPr>
            <w:r w:rsidRPr="00265834">
              <w:rPr>
                <w:rFonts w:ascii="Arial Narrow" w:hAnsi="Arial Narrow"/>
                <w:i/>
                <w:sz w:val="20"/>
              </w:rPr>
              <w:t xml:space="preserve">Must be treated by a metabolic physician </w:t>
            </w:r>
          </w:p>
        </w:tc>
      </w:tr>
      <w:tr w:rsidR="0011744B" w:rsidRPr="00265834"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11744B" w:rsidRPr="00260CE3" w:rsidRDefault="0011744B" w:rsidP="000B03E3">
            <w:pPr>
              <w:rPr>
                <w:rFonts w:ascii="Arial Narrow" w:hAnsi="Arial Narrow"/>
                <w:b/>
                <w:sz w:val="20"/>
              </w:rPr>
            </w:pPr>
            <w:r w:rsidRPr="00260CE3">
              <w:rPr>
                <w:rFonts w:ascii="Arial Narrow" w:hAnsi="Arial Narrow"/>
                <w:b/>
                <w:sz w:val="20"/>
              </w:rPr>
              <w:t>Clinical criteria:</w:t>
            </w:r>
          </w:p>
          <w:p w:rsidR="0011744B" w:rsidRPr="00260CE3" w:rsidRDefault="0011744B" w:rsidP="000B03E3">
            <w:pPr>
              <w:rPr>
                <w:rFonts w:ascii="Arial Narrow" w:hAnsi="Arial Narrow"/>
                <w:i/>
                <w:sz w:val="20"/>
              </w:rPr>
            </w:pPr>
          </w:p>
          <w:p w:rsidR="0011744B" w:rsidRPr="00260CE3" w:rsidRDefault="0011744B" w:rsidP="000B03E3">
            <w:pPr>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11744B" w:rsidRPr="0011744B" w:rsidRDefault="0011744B" w:rsidP="000B03E3">
            <w:pPr>
              <w:rPr>
                <w:rFonts w:ascii="Arial Narrow" w:hAnsi="Arial Narrow"/>
                <w:sz w:val="20"/>
              </w:rPr>
            </w:pPr>
            <w:r w:rsidRPr="0011744B">
              <w:rPr>
                <w:rFonts w:ascii="Arial Narrow" w:hAnsi="Arial Narrow"/>
                <w:sz w:val="20"/>
              </w:rPr>
              <w:t xml:space="preserve">The condition </w:t>
            </w:r>
            <w:proofErr w:type="gramStart"/>
            <w:r w:rsidRPr="0011744B">
              <w:rPr>
                <w:rFonts w:ascii="Arial Narrow" w:hAnsi="Arial Narrow"/>
                <w:strike/>
                <w:sz w:val="20"/>
              </w:rPr>
              <w:t>may</w:t>
            </w:r>
            <w:r w:rsidRPr="0011744B">
              <w:rPr>
                <w:rFonts w:ascii="Arial Narrow" w:hAnsi="Arial Narrow"/>
                <w:sz w:val="20"/>
              </w:rPr>
              <w:t xml:space="preserve"> </w:t>
            </w:r>
            <w:r w:rsidRPr="0011744B">
              <w:rPr>
                <w:rFonts w:ascii="Arial Narrow" w:hAnsi="Arial Narrow"/>
                <w:i/>
                <w:sz w:val="20"/>
              </w:rPr>
              <w:t>must</w:t>
            </w:r>
            <w:proofErr w:type="gramEnd"/>
            <w:r w:rsidRPr="0011744B">
              <w:rPr>
                <w:rFonts w:ascii="Arial Narrow" w:hAnsi="Arial Narrow"/>
                <w:sz w:val="20"/>
              </w:rPr>
              <w:t xml:space="preserve"> include one or more of </w:t>
            </w:r>
            <w:r w:rsidRPr="0011744B">
              <w:rPr>
                <w:rFonts w:ascii="Arial Narrow" w:hAnsi="Arial Narrow"/>
                <w:strike/>
                <w:sz w:val="20"/>
              </w:rPr>
              <w:t>the following:</w:t>
            </w:r>
            <w:r>
              <w:rPr>
                <w:rFonts w:ascii="Arial Narrow" w:hAnsi="Arial Narrow"/>
                <w:sz w:val="20"/>
              </w:rPr>
              <w:t xml:space="preserve"> </w:t>
            </w:r>
            <w:r w:rsidRPr="0011744B">
              <w:rPr>
                <w:rFonts w:ascii="Arial Narrow" w:hAnsi="Arial Narrow"/>
                <w:sz w:val="20"/>
              </w:rPr>
              <w:t xml:space="preserve">splenomegaly, hepatomegaly, anaemia or thrombocytopenia. </w:t>
            </w:r>
          </w:p>
          <w:p w:rsidR="0011744B" w:rsidRPr="00265834" w:rsidRDefault="0011744B" w:rsidP="000B03E3">
            <w:pPr>
              <w:rPr>
                <w:rFonts w:ascii="Arial Narrow" w:hAnsi="Arial Narrow"/>
                <w:i/>
                <w:sz w:val="20"/>
              </w:rPr>
            </w:pPr>
          </w:p>
        </w:tc>
      </w:tr>
      <w:tr w:rsidR="0011744B" w:rsidRPr="00903198"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11744B" w:rsidRPr="00260CE3" w:rsidRDefault="0011744B" w:rsidP="000B03E3">
            <w:pPr>
              <w:rPr>
                <w:rFonts w:ascii="Arial Narrow" w:hAnsi="Arial Narrow"/>
                <w:b/>
                <w:sz w:val="20"/>
              </w:rPr>
            </w:pPr>
            <w:r w:rsidRPr="00260CE3">
              <w:rPr>
                <w:rFonts w:ascii="Arial Narrow" w:hAnsi="Arial Narrow"/>
                <w:b/>
                <w:sz w:val="20"/>
              </w:rPr>
              <w:lastRenderedPageBreak/>
              <w:t>Prescriber Instructions</w:t>
            </w:r>
          </w:p>
          <w:p w:rsidR="0011744B" w:rsidRPr="00260CE3" w:rsidRDefault="0011744B" w:rsidP="000B03E3">
            <w:pPr>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11744B" w:rsidRDefault="0011744B" w:rsidP="000B03E3">
            <w:pPr>
              <w:rPr>
                <w:rFonts w:ascii="Arial Narrow" w:hAnsi="Arial Narrow"/>
                <w:i/>
                <w:sz w:val="20"/>
              </w:rPr>
            </w:pPr>
            <w:r>
              <w:rPr>
                <w:rFonts w:ascii="Arial Narrow" w:hAnsi="Arial Narrow"/>
                <w:i/>
                <w:sz w:val="20"/>
              </w:rPr>
              <w:t xml:space="preserve">Clinical criteria are defined as: </w:t>
            </w:r>
          </w:p>
          <w:p w:rsidR="0011744B" w:rsidRDefault="0011744B" w:rsidP="00C32489">
            <w:pPr>
              <w:widowControl/>
              <w:numPr>
                <w:ilvl w:val="0"/>
                <w:numId w:val="3"/>
              </w:numPr>
              <w:jc w:val="left"/>
              <w:rPr>
                <w:rFonts w:ascii="Arial Narrow" w:hAnsi="Arial Narrow"/>
                <w:i/>
                <w:sz w:val="20"/>
              </w:rPr>
            </w:pPr>
            <w:r>
              <w:rPr>
                <w:rFonts w:ascii="Arial Narrow" w:hAnsi="Arial Narrow"/>
                <w:i/>
                <w:sz w:val="20"/>
              </w:rPr>
              <w:t>Haemoglobin ≤ 105 g/L for females and ≤115 g/L for males on at least 2 occasions more than 1 month apart</w:t>
            </w:r>
          </w:p>
          <w:p w:rsidR="0011744B" w:rsidRDefault="0011744B" w:rsidP="00C32489">
            <w:pPr>
              <w:widowControl/>
              <w:numPr>
                <w:ilvl w:val="0"/>
                <w:numId w:val="3"/>
              </w:numPr>
              <w:jc w:val="left"/>
              <w:rPr>
                <w:rFonts w:ascii="Arial Narrow" w:hAnsi="Arial Narrow"/>
                <w:i/>
                <w:sz w:val="20"/>
              </w:rPr>
            </w:pPr>
            <w:r>
              <w:rPr>
                <w:rFonts w:ascii="Arial Narrow" w:hAnsi="Arial Narrow"/>
                <w:i/>
                <w:sz w:val="20"/>
              </w:rPr>
              <w:t>Platelet count ≤ 120 x 10</w:t>
            </w:r>
            <w:r w:rsidRPr="00903198">
              <w:rPr>
                <w:rFonts w:ascii="Arial Narrow" w:hAnsi="Arial Narrow"/>
                <w:i/>
                <w:sz w:val="20"/>
                <w:vertAlign w:val="superscript"/>
              </w:rPr>
              <w:t>9</w:t>
            </w:r>
            <w:r>
              <w:rPr>
                <w:rFonts w:ascii="Arial Narrow" w:hAnsi="Arial Narrow"/>
                <w:i/>
                <w:sz w:val="20"/>
                <w:vertAlign w:val="superscript"/>
              </w:rPr>
              <w:t xml:space="preserve"> </w:t>
            </w:r>
            <w:r>
              <w:rPr>
                <w:rFonts w:ascii="Arial Narrow" w:hAnsi="Arial Narrow"/>
                <w:i/>
                <w:sz w:val="20"/>
              </w:rPr>
              <w:t>/L on at least 2 occasions more than 1 month apart</w:t>
            </w:r>
          </w:p>
          <w:p w:rsidR="0011744B" w:rsidRDefault="0011744B" w:rsidP="00C32489">
            <w:pPr>
              <w:widowControl/>
              <w:numPr>
                <w:ilvl w:val="0"/>
                <w:numId w:val="3"/>
              </w:numPr>
              <w:jc w:val="left"/>
              <w:rPr>
                <w:rFonts w:ascii="Arial Narrow" w:hAnsi="Arial Narrow"/>
                <w:i/>
                <w:sz w:val="20"/>
              </w:rPr>
            </w:pPr>
            <w:r>
              <w:rPr>
                <w:rFonts w:ascii="Arial Narrow" w:hAnsi="Arial Narrow"/>
                <w:i/>
                <w:sz w:val="20"/>
              </w:rPr>
              <w:t>Liver volume 1.25 times normal (CT or MRI)</w:t>
            </w:r>
          </w:p>
          <w:p w:rsidR="0011744B" w:rsidRPr="00903198" w:rsidRDefault="0011744B" w:rsidP="00C32489">
            <w:pPr>
              <w:widowControl/>
              <w:numPr>
                <w:ilvl w:val="0"/>
                <w:numId w:val="3"/>
              </w:numPr>
              <w:jc w:val="left"/>
              <w:rPr>
                <w:rFonts w:ascii="Arial Narrow" w:hAnsi="Arial Narrow"/>
                <w:i/>
                <w:sz w:val="20"/>
              </w:rPr>
            </w:pPr>
            <w:r>
              <w:rPr>
                <w:rFonts w:ascii="Arial Narrow" w:hAnsi="Arial Narrow"/>
                <w:i/>
                <w:sz w:val="20"/>
              </w:rPr>
              <w:t>Spleen volume 5 times normal (CT or MRI).</w:t>
            </w:r>
          </w:p>
        </w:tc>
      </w:tr>
      <w:tr w:rsidR="0011744B" w:rsidRPr="00265834" w:rsidTr="00EB6319">
        <w:trPr>
          <w:cantSplit/>
          <w:trHeight w:val="360"/>
        </w:trPr>
        <w:tc>
          <w:tcPr>
            <w:tcW w:w="1559" w:type="dxa"/>
            <w:tcBorders>
              <w:top w:val="single" w:sz="4" w:space="0" w:color="auto"/>
              <w:left w:val="single" w:sz="4" w:space="0" w:color="auto"/>
              <w:bottom w:val="single" w:sz="4" w:space="0" w:color="auto"/>
              <w:right w:val="single" w:sz="4" w:space="0" w:color="auto"/>
            </w:tcBorders>
          </w:tcPr>
          <w:p w:rsidR="0011744B" w:rsidRPr="00260CE3" w:rsidRDefault="0011744B" w:rsidP="000B03E3">
            <w:pPr>
              <w:rPr>
                <w:rFonts w:ascii="Arial Narrow" w:hAnsi="Arial Narrow"/>
                <w:b/>
                <w:sz w:val="20"/>
              </w:rPr>
            </w:pPr>
            <w:r w:rsidRPr="00260CE3">
              <w:rPr>
                <w:rFonts w:ascii="Arial Narrow" w:hAnsi="Arial Narrow"/>
                <w:b/>
                <w:sz w:val="20"/>
              </w:rPr>
              <w:t>Administrative Advice</w:t>
            </w:r>
          </w:p>
          <w:p w:rsidR="0011744B" w:rsidRPr="00260CE3" w:rsidRDefault="0011744B" w:rsidP="000B03E3">
            <w:pPr>
              <w:rPr>
                <w:rFonts w:ascii="Arial Narrow" w:hAnsi="Arial Narrow"/>
                <w:i/>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11744B" w:rsidRPr="0011744B" w:rsidRDefault="0011744B" w:rsidP="000B03E3">
            <w:pPr>
              <w:rPr>
                <w:rFonts w:ascii="Arial Narrow" w:hAnsi="Arial Narrow"/>
                <w:i/>
                <w:sz w:val="20"/>
                <w:u w:val="single"/>
              </w:rPr>
            </w:pPr>
            <w:r w:rsidRPr="0011744B">
              <w:rPr>
                <w:rFonts w:ascii="Arial Narrow" w:hAnsi="Arial Narrow"/>
                <w:i/>
                <w:sz w:val="20"/>
                <w:u w:val="single"/>
              </w:rPr>
              <w:t>NOTE:</w:t>
            </w:r>
          </w:p>
          <w:p w:rsidR="0011744B" w:rsidRDefault="0011744B" w:rsidP="000B03E3">
            <w:pPr>
              <w:rPr>
                <w:rFonts w:ascii="Arial Narrow" w:hAnsi="Arial Narrow"/>
                <w:i/>
                <w:sz w:val="20"/>
              </w:rPr>
            </w:pPr>
            <w:r w:rsidRPr="00265834">
              <w:rPr>
                <w:rFonts w:ascii="Arial Narrow" w:hAnsi="Arial Narrow"/>
                <w:i/>
                <w:sz w:val="20"/>
              </w:rPr>
              <w:t xml:space="preserve">Increased maximum quantities should be based on a dosing regimen of </w:t>
            </w:r>
            <w:r>
              <w:rPr>
                <w:rFonts w:ascii="Arial Narrow" w:hAnsi="Arial Narrow"/>
                <w:i/>
                <w:sz w:val="20"/>
              </w:rPr>
              <w:t>30 to 60 units/kg every 2 weeks to provide sufficient supply for one month treatment</w:t>
            </w:r>
          </w:p>
          <w:p w:rsidR="0011744B" w:rsidRDefault="0011744B" w:rsidP="000B03E3">
            <w:pPr>
              <w:rPr>
                <w:rFonts w:ascii="Arial Narrow" w:hAnsi="Arial Narrow"/>
                <w:i/>
                <w:sz w:val="20"/>
              </w:rPr>
            </w:pPr>
          </w:p>
          <w:p w:rsidR="0011744B" w:rsidRPr="0011744B" w:rsidRDefault="0011744B" w:rsidP="000B03E3">
            <w:pPr>
              <w:rPr>
                <w:rFonts w:ascii="Arial Narrow" w:hAnsi="Arial Narrow"/>
                <w:i/>
                <w:sz w:val="20"/>
                <w:u w:val="single"/>
              </w:rPr>
            </w:pPr>
            <w:r w:rsidRPr="0011744B">
              <w:rPr>
                <w:rFonts w:ascii="Arial Narrow" w:hAnsi="Arial Narrow"/>
                <w:i/>
                <w:sz w:val="20"/>
                <w:u w:val="single"/>
              </w:rPr>
              <w:t>NOTE:</w:t>
            </w:r>
          </w:p>
          <w:p w:rsidR="0011744B" w:rsidRPr="00265834" w:rsidRDefault="0011744B" w:rsidP="000B03E3">
            <w:pPr>
              <w:rPr>
                <w:rFonts w:ascii="Arial Narrow" w:hAnsi="Arial Narrow"/>
                <w:i/>
                <w:sz w:val="20"/>
              </w:rPr>
            </w:pPr>
            <w:r>
              <w:rPr>
                <w:rFonts w:ascii="Arial Narrow" w:hAnsi="Arial Narrow"/>
                <w:i/>
                <w:sz w:val="20"/>
              </w:rPr>
              <w:t xml:space="preserve">Increased number of repeats may be requested up to a maximum of five repeats. </w:t>
            </w:r>
          </w:p>
        </w:tc>
      </w:tr>
    </w:tbl>
    <w:p w:rsidR="00D204E3" w:rsidRPr="00D52DDF" w:rsidRDefault="00D204E3" w:rsidP="00D52DDF">
      <w:pPr>
        <w:widowControl/>
        <w:rPr>
          <w:b/>
        </w:rPr>
      </w:pPr>
    </w:p>
    <w:p w:rsidR="0004477F" w:rsidRDefault="0004477F" w:rsidP="00896815">
      <w:pPr>
        <w:widowControl/>
      </w:pPr>
    </w:p>
    <w:p w:rsidR="00860143" w:rsidRDefault="00860143" w:rsidP="00577D82">
      <w:pPr>
        <w:pStyle w:val="ListParagraph"/>
        <w:widowControl/>
        <w:numPr>
          <w:ilvl w:val="0"/>
          <w:numId w:val="2"/>
        </w:numPr>
        <w:rPr>
          <w:b/>
        </w:rPr>
      </w:pPr>
      <w:bookmarkStart w:id="5" w:name="_Toc398646918"/>
      <w:r>
        <w:rPr>
          <w:b/>
        </w:rPr>
        <w:t>Background</w:t>
      </w:r>
      <w:bookmarkEnd w:id="5"/>
    </w:p>
    <w:p w:rsidR="00577D82" w:rsidRDefault="00577D82" w:rsidP="00577D82">
      <w:pPr>
        <w:pStyle w:val="ListParagraph"/>
        <w:widowControl/>
        <w:rPr>
          <w:b/>
        </w:rPr>
      </w:pPr>
    </w:p>
    <w:p w:rsidR="00D204E3" w:rsidRPr="00D204E3" w:rsidRDefault="004517EA" w:rsidP="00C32489">
      <w:pPr>
        <w:pStyle w:val="ListParagraph"/>
        <w:widowControl/>
        <w:numPr>
          <w:ilvl w:val="1"/>
          <w:numId w:val="2"/>
        </w:numPr>
        <w:ind w:left="709" w:hanging="709"/>
        <w:rPr>
          <w:b/>
        </w:rPr>
      </w:pPr>
      <w:proofErr w:type="spellStart"/>
      <w:r w:rsidRPr="00582A44">
        <w:t>Taliglucerase</w:t>
      </w:r>
      <w:proofErr w:type="spellEnd"/>
      <w:r w:rsidRPr="00582A44">
        <w:t xml:space="preserve"> alfa was TGA registered on 21</w:t>
      </w:r>
      <w:r w:rsidR="00556E7C" w:rsidRPr="00582A44">
        <w:t xml:space="preserve"> May </w:t>
      </w:r>
      <w:r w:rsidRPr="00582A44">
        <w:t xml:space="preserve">2014 </w:t>
      </w:r>
      <w:r w:rsidR="001A6774" w:rsidRPr="00582A44">
        <w:t>as a</w:t>
      </w:r>
      <w:r w:rsidRPr="00582A44">
        <w:t xml:space="preserve"> long-term enzyme replacement therapy for adult and paediatric patients with a confirmed diagnosis of Type 1 </w:t>
      </w:r>
      <w:proofErr w:type="spellStart"/>
      <w:r w:rsidRPr="00582A44">
        <w:t>Gaucher</w:t>
      </w:r>
      <w:proofErr w:type="spellEnd"/>
      <w:r w:rsidRPr="00582A44">
        <w:t xml:space="preserve"> disease associated with at least one of the following: splenomegaly, hepatomegaly, anaemia, thrombocytopaenia.</w:t>
      </w:r>
    </w:p>
    <w:p w:rsidR="00B60939" w:rsidRPr="004A6B73" w:rsidRDefault="00B60939" w:rsidP="00D204E3">
      <w:pPr>
        <w:pStyle w:val="ListParagraph"/>
        <w:widowControl/>
        <w:ind w:left="709"/>
        <w:rPr>
          <w:b/>
        </w:rPr>
      </w:pPr>
    </w:p>
    <w:p w:rsidR="00B60939" w:rsidRDefault="00885280" w:rsidP="00C32489">
      <w:pPr>
        <w:pStyle w:val="ListParagraph"/>
        <w:widowControl/>
        <w:numPr>
          <w:ilvl w:val="1"/>
          <w:numId w:val="2"/>
        </w:numPr>
        <w:ind w:left="709" w:hanging="709"/>
        <w:rPr>
          <w:szCs w:val="22"/>
        </w:rPr>
      </w:pPr>
      <w:r w:rsidRPr="00885280">
        <w:rPr>
          <w:szCs w:val="22"/>
        </w:rPr>
        <w:t>This drug has had one previous consideration by the PBAC in March 2012.</w:t>
      </w:r>
    </w:p>
    <w:p w:rsidR="00AA69CC" w:rsidRPr="00AA69CC" w:rsidRDefault="00AA69CC" w:rsidP="00AA69CC">
      <w:pPr>
        <w:pStyle w:val="ListParagraph"/>
        <w:rPr>
          <w:szCs w:val="22"/>
        </w:rPr>
      </w:pPr>
    </w:p>
    <w:p w:rsidR="00AA69CC" w:rsidRPr="00885280" w:rsidRDefault="00AA69CC" w:rsidP="00C32489">
      <w:pPr>
        <w:pStyle w:val="ListParagraph"/>
        <w:widowControl/>
        <w:numPr>
          <w:ilvl w:val="1"/>
          <w:numId w:val="2"/>
        </w:numPr>
        <w:ind w:left="709" w:hanging="709"/>
        <w:rPr>
          <w:szCs w:val="22"/>
        </w:rPr>
      </w:pPr>
      <w:r>
        <w:t>In</w:t>
      </w:r>
      <w:r w:rsidRPr="00AC1B85">
        <w:t xml:space="preserve"> March 2012</w:t>
      </w:r>
      <w:r>
        <w:t>,</w:t>
      </w:r>
      <w:r w:rsidRPr="00AC1B85">
        <w:t xml:space="preserve"> </w:t>
      </w:r>
      <w:r>
        <w:t>the PBAC</w:t>
      </w:r>
      <w:r w:rsidRPr="00AC1B85">
        <w:t xml:space="preserve"> rejected the submission on the basis of uncertain clinical effectiveness, unknown equi-effective doses and unknown interchangeability.</w:t>
      </w:r>
    </w:p>
    <w:p w:rsidR="00B60939" w:rsidRPr="00882085" w:rsidRDefault="00B60939" w:rsidP="00896815"/>
    <w:p w:rsidR="00CB4879" w:rsidRPr="00882085" w:rsidRDefault="00CB4879" w:rsidP="00497F10"/>
    <w:p w:rsidR="00F338FF" w:rsidRDefault="00F338FF" w:rsidP="00577D82">
      <w:pPr>
        <w:pStyle w:val="ListParagraph"/>
        <w:widowControl/>
        <w:numPr>
          <w:ilvl w:val="0"/>
          <w:numId w:val="2"/>
        </w:numPr>
        <w:rPr>
          <w:b/>
        </w:rPr>
      </w:pPr>
      <w:bookmarkStart w:id="6" w:name="_Toc398646919"/>
      <w:r w:rsidRPr="00407F2D">
        <w:rPr>
          <w:b/>
        </w:rPr>
        <w:t>Clinical place for the proposed therapy</w:t>
      </w:r>
      <w:bookmarkEnd w:id="6"/>
    </w:p>
    <w:p w:rsidR="00577D82" w:rsidRPr="00407F2D" w:rsidRDefault="00577D82" w:rsidP="00577D82">
      <w:pPr>
        <w:pStyle w:val="ListParagraph"/>
        <w:widowControl/>
        <w:rPr>
          <w:b/>
        </w:rPr>
      </w:pPr>
    </w:p>
    <w:p w:rsidR="00020B56" w:rsidRPr="00020B56" w:rsidRDefault="00020B56" w:rsidP="00C32489">
      <w:pPr>
        <w:pStyle w:val="ListParagraph"/>
        <w:widowControl/>
        <w:numPr>
          <w:ilvl w:val="1"/>
          <w:numId w:val="2"/>
        </w:numPr>
        <w:ind w:left="709" w:hanging="709"/>
        <w:rPr>
          <w:szCs w:val="22"/>
        </w:rPr>
      </w:pPr>
      <w:proofErr w:type="spellStart"/>
      <w:r w:rsidRPr="00020B56">
        <w:t>Gaucher</w:t>
      </w:r>
      <w:proofErr w:type="spellEnd"/>
      <w:r w:rsidRPr="00020B56">
        <w:t xml:space="preserve"> disease is a rare</w:t>
      </w:r>
      <w:r w:rsidR="00023EE3">
        <w:t>,</w:t>
      </w:r>
      <w:r w:rsidRPr="00020B56">
        <w:t xml:space="preserve"> inherited condition caused by mutations in the human </w:t>
      </w:r>
      <w:proofErr w:type="spellStart"/>
      <w:r w:rsidRPr="00020B56">
        <w:t>glucocerebrosidase</w:t>
      </w:r>
      <w:proofErr w:type="spellEnd"/>
      <w:r w:rsidRPr="00020B56">
        <w:t xml:space="preserve"> gene leading to reduced activity of the </w:t>
      </w:r>
      <w:proofErr w:type="spellStart"/>
      <w:r w:rsidR="000D37EA">
        <w:t>l</w:t>
      </w:r>
      <w:r w:rsidRPr="00020B56">
        <w:t>ysosomal</w:t>
      </w:r>
      <w:proofErr w:type="spellEnd"/>
      <w:r w:rsidRPr="00020B56">
        <w:t xml:space="preserve"> enzyme </w:t>
      </w:r>
      <w:proofErr w:type="spellStart"/>
      <w:r w:rsidRPr="00020B56">
        <w:t>glucocerebrosidase</w:t>
      </w:r>
      <w:proofErr w:type="spellEnd"/>
      <w:r w:rsidRPr="00020B56">
        <w:t xml:space="preserve"> and the accumulation of substrate </w:t>
      </w:r>
      <w:proofErr w:type="spellStart"/>
      <w:r w:rsidRPr="00020B56">
        <w:t>glucocerebrosidase</w:t>
      </w:r>
      <w:proofErr w:type="spellEnd"/>
      <w:r w:rsidRPr="00020B56">
        <w:t xml:space="preserve"> in the cells of the monocyte-macrophage system. This accumulation leads to the visceral manifestations of </w:t>
      </w:r>
      <w:proofErr w:type="spellStart"/>
      <w:r w:rsidRPr="00020B56">
        <w:t>hepatosplenomegaly</w:t>
      </w:r>
      <w:proofErr w:type="spellEnd"/>
      <w:r w:rsidRPr="00020B56">
        <w:t xml:space="preserve"> (enlarged spleen and liver), anaemia and thrombocytopenia, skeletal features and less frequently lung involvement.</w:t>
      </w:r>
      <w:r>
        <w:t xml:space="preserve"> </w:t>
      </w:r>
      <w:proofErr w:type="spellStart"/>
      <w:r>
        <w:t>Gaucher</w:t>
      </w:r>
      <w:proofErr w:type="spellEnd"/>
      <w:r>
        <w:t xml:space="preserve"> disease </w:t>
      </w:r>
      <w:r w:rsidR="000D37EA">
        <w:t>is typically classified</w:t>
      </w:r>
      <w:r>
        <w:t xml:space="preserve"> according to the </w:t>
      </w:r>
      <w:r w:rsidR="004A6B73">
        <w:t xml:space="preserve">existence and severity of </w:t>
      </w:r>
      <w:proofErr w:type="spellStart"/>
      <w:r w:rsidR="004A6B73">
        <w:t>neur</w:t>
      </w:r>
      <w:r>
        <w:t>o</w:t>
      </w:r>
      <w:r w:rsidR="004A6B73">
        <w:t>no</w:t>
      </w:r>
      <w:r>
        <w:t>pathic</w:t>
      </w:r>
      <w:proofErr w:type="spellEnd"/>
      <w:r>
        <w:t xml:space="preserve"> involvement. </w:t>
      </w:r>
    </w:p>
    <w:p w:rsidR="00020B56" w:rsidRPr="00020B56" w:rsidRDefault="00020B56" w:rsidP="00020B56">
      <w:pPr>
        <w:widowControl/>
        <w:rPr>
          <w:szCs w:val="22"/>
        </w:rPr>
      </w:pPr>
    </w:p>
    <w:p w:rsidR="00A151DE" w:rsidRPr="00A151DE" w:rsidRDefault="00B373FD" w:rsidP="00A151DE">
      <w:pPr>
        <w:pStyle w:val="ListParagraph"/>
        <w:widowControl/>
        <w:numPr>
          <w:ilvl w:val="1"/>
          <w:numId w:val="2"/>
        </w:numPr>
        <w:ind w:left="709" w:hanging="709"/>
        <w:rPr>
          <w:szCs w:val="22"/>
        </w:rPr>
      </w:pPr>
      <w:r>
        <w:t xml:space="preserve">The resubmission </w:t>
      </w:r>
      <w:r w:rsidR="00AA69CC">
        <w:t xml:space="preserve">positioned </w:t>
      </w:r>
      <w:proofErr w:type="spellStart"/>
      <w:r>
        <w:t>taliglucerase</w:t>
      </w:r>
      <w:proofErr w:type="spellEnd"/>
      <w:r>
        <w:t xml:space="preserve"> alfa as an </w:t>
      </w:r>
      <w:r w:rsidR="00AA69CC">
        <w:t xml:space="preserve">equivalent </w:t>
      </w:r>
      <w:r>
        <w:t xml:space="preserve">alternative enzyme replacement therapy to </w:t>
      </w:r>
      <w:proofErr w:type="spellStart"/>
      <w:r>
        <w:t>imiglucerase</w:t>
      </w:r>
      <w:proofErr w:type="spellEnd"/>
      <w:r>
        <w:t xml:space="preserve"> and </w:t>
      </w:r>
      <w:proofErr w:type="spellStart"/>
      <w:r>
        <w:t>velaglucerase</w:t>
      </w:r>
      <w:proofErr w:type="spellEnd"/>
      <w:r>
        <w:t xml:space="preserve"> alfa for the treat</w:t>
      </w:r>
      <w:r w:rsidR="000D37EA">
        <w:t>ment of Type</w:t>
      </w:r>
      <w:r w:rsidR="00896815">
        <w:t> </w:t>
      </w:r>
      <w:r w:rsidR="000D37EA">
        <w:t xml:space="preserve">1 </w:t>
      </w:r>
      <w:proofErr w:type="spellStart"/>
      <w:r w:rsidR="000D37EA">
        <w:t>Gaucher</w:t>
      </w:r>
      <w:proofErr w:type="spellEnd"/>
      <w:r w:rsidR="000D37EA">
        <w:t xml:space="preserve"> disease.</w:t>
      </w:r>
    </w:p>
    <w:p w:rsidR="00A151DE" w:rsidRDefault="00A151DE" w:rsidP="00A151DE">
      <w:pPr>
        <w:pStyle w:val="ListParagraph"/>
      </w:pPr>
    </w:p>
    <w:p w:rsidR="00A151DE" w:rsidRPr="00A151DE" w:rsidRDefault="00A151DE" w:rsidP="00A151DE">
      <w:pPr>
        <w:pStyle w:val="ListParagraph"/>
        <w:widowControl/>
        <w:ind w:left="709"/>
        <w:rPr>
          <w:i/>
          <w:szCs w:val="22"/>
        </w:rPr>
      </w:pPr>
      <w:r w:rsidRPr="00A151DE">
        <w:rPr>
          <w:i/>
        </w:rPr>
        <w:t>For more detail on PBAC’s view, see section 7 “PBAC outcome”</w:t>
      </w:r>
    </w:p>
    <w:p w:rsidR="001B6188" w:rsidRDefault="001B6188" w:rsidP="00E469F4">
      <w:pPr>
        <w:pStyle w:val="ListParagraph"/>
        <w:ind w:left="0"/>
        <w:rPr>
          <w:szCs w:val="22"/>
        </w:rPr>
      </w:pPr>
    </w:p>
    <w:p w:rsidR="00923B8F" w:rsidRPr="00882085" w:rsidRDefault="00923B8F" w:rsidP="00E469F4">
      <w:pPr>
        <w:pStyle w:val="ListParagraph"/>
        <w:ind w:left="0"/>
        <w:rPr>
          <w:szCs w:val="22"/>
        </w:rPr>
      </w:pPr>
    </w:p>
    <w:p w:rsidR="00F338FF" w:rsidRDefault="00F338FF" w:rsidP="007235AA">
      <w:pPr>
        <w:pStyle w:val="ListParagraph"/>
        <w:widowControl/>
        <w:numPr>
          <w:ilvl w:val="0"/>
          <w:numId w:val="2"/>
        </w:numPr>
        <w:rPr>
          <w:b/>
        </w:rPr>
      </w:pPr>
      <w:bookmarkStart w:id="7" w:name="_Toc398646920"/>
      <w:r w:rsidRPr="00407F2D">
        <w:rPr>
          <w:b/>
        </w:rPr>
        <w:t>Comparator</w:t>
      </w:r>
      <w:bookmarkEnd w:id="7"/>
    </w:p>
    <w:p w:rsidR="007235AA" w:rsidRPr="00407F2D" w:rsidRDefault="007235AA" w:rsidP="007235AA">
      <w:pPr>
        <w:pStyle w:val="ListParagraph"/>
        <w:widowControl/>
        <w:rPr>
          <w:b/>
        </w:rPr>
      </w:pPr>
    </w:p>
    <w:p w:rsidR="00497F10" w:rsidRPr="00C61DB8" w:rsidRDefault="00D52DDF" w:rsidP="00C32489">
      <w:pPr>
        <w:pStyle w:val="ListParagraph"/>
        <w:widowControl/>
        <w:numPr>
          <w:ilvl w:val="1"/>
          <w:numId w:val="2"/>
        </w:numPr>
        <w:ind w:left="709" w:hanging="709"/>
        <w:rPr>
          <w:szCs w:val="22"/>
        </w:rPr>
      </w:pPr>
      <w:r>
        <w:t xml:space="preserve">The resubmission nominated </w:t>
      </w:r>
      <w:proofErr w:type="spellStart"/>
      <w:r>
        <w:t>i</w:t>
      </w:r>
      <w:r w:rsidR="008846FB" w:rsidRPr="008846FB">
        <w:t>miglucerase</w:t>
      </w:r>
      <w:proofErr w:type="spellEnd"/>
      <w:r w:rsidR="008846FB" w:rsidRPr="008846FB">
        <w:t xml:space="preserve"> and </w:t>
      </w:r>
      <w:proofErr w:type="spellStart"/>
      <w:r w:rsidR="008846FB" w:rsidRPr="008846FB">
        <w:t>velaglucerase</w:t>
      </w:r>
      <w:proofErr w:type="spellEnd"/>
      <w:r w:rsidR="008846FB" w:rsidRPr="008846FB">
        <w:t xml:space="preserve"> alfa.</w:t>
      </w:r>
      <w:r w:rsidR="00497F10" w:rsidRPr="008846FB">
        <w:t xml:space="preserve"> </w:t>
      </w:r>
      <w:proofErr w:type="spellStart"/>
      <w:r w:rsidR="008846FB" w:rsidRPr="00AC1B85">
        <w:t>Imiglucerase</w:t>
      </w:r>
      <w:proofErr w:type="spellEnd"/>
      <w:r w:rsidR="008846FB" w:rsidRPr="00AC1B85">
        <w:t xml:space="preserve"> was </w:t>
      </w:r>
      <w:r w:rsidR="0036175A" w:rsidRPr="00AC1B85">
        <w:t xml:space="preserve">the </w:t>
      </w:r>
      <w:r w:rsidR="008846FB" w:rsidRPr="00AC1B85">
        <w:t>nominated comparator in the previous submission</w:t>
      </w:r>
      <w:r w:rsidR="00AA69CC">
        <w:t xml:space="preserve">. </w:t>
      </w:r>
      <w:proofErr w:type="spellStart"/>
      <w:r w:rsidR="00AA69CC">
        <w:t>V</w:t>
      </w:r>
      <w:r w:rsidR="008846FB" w:rsidRPr="00AC1B85">
        <w:t>elaglucerase</w:t>
      </w:r>
      <w:proofErr w:type="spellEnd"/>
      <w:r w:rsidR="008846FB" w:rsidRPr="00AC1B85">
        <w:t xml:space="preserve"> alfa ha</w:t>
      </w:r>
      <w:r w:rsidR="00AA69CC">
        <w:t>d</w:t>
      </w:r>
      <w:r w:rsidR="008846FB" w:rsidRPr="00AC1B85">
        <w:t xml:space="preserve"> been added as an </w:t>
      </w:r>
      <w:r w:rsidR="00582A44" w:rsidRPr="00AC1B85">
        <w:t>additional comparator in the re</w:t>
      </w:r>
      <w:r w:rsidR="008846FB" w:rsidRPr="00AC1B85">
        <w:t>submission</w:t>
      </w:r>
      <w:r w:rsidR="00AA69CC">
        <w:t xml:space="preserve"> since it had become available in Australia since the first submission</w:t>
      </w:r>
      <w:r w:rsidR="008846FB" w:rsidRPr="00AC1B85">
        <w:t>.</w:t>
      </w:r>
      <w:r>
        <w:t xml:space="preserve"> </w:t>
      </w:r>
      <w:r w:rsidRPr="00A151DE">
        <w:t>The ESC considered this appropriate.</w:t>
      </w:r>
    </w:p>
    <w:p w:rsidR="00C61DB8" w:rsidRPr="00A151DE" w:rsidRDefault="00C61DB8" w:rsidP="00C61DB8">
      <w:pPr>
        <w:pStyle w:val="ListParagraph"/>
        <w:widowControl/>
        <w:ind w:left="709"/>
        <w:rPr>
          <w:szCs w:val="22"/>
        </w:rPr>
      </w:pPr>
    </w:p>
    <w:p w:rsidR="00A151DE" w:rsidRPr="00A151DE" w:rsidRDefault="00A151DE" w:rsidP="00A151DE">
      <w:pPr>
        <w:pStyle w:val="PBACheading1"/>
        <w:numPr>
          <w:ilvl w:val="0"/>
          <w:numId w:val="0"/>
        </w:numPr>
        <w:ind w:left="720"/>
        <w:rPr>
          <w:i/>
        </w:rPr>
      </w:pPr>
      <w:r w:rsidRPr="00A151DE">
        <w:rPr>
          <w:i/>
        </w:rPr>
        <w:lastRenderedPageBreak/>
        <w:t>For more detail on PBAC’s view, see section 7 “PBAC outcome”</w:t>
      </w:r>
    </w:p>
    <w:p w:rsidR="001B6188" w:rsidRDefault="001B6188" w:rsidP="00497F10"/>
    <w:p w:rsidR="00923B8F" w:rsidRPr="00506E16" w:rsidRDefault="00923B8F" w:rsidP="00497F10"/>
    <w:p w:rsidR="00D06FD4" w:rsidRDefault="00577D82" w:rsidP="007235AA">
      <w:pPr>
        <w:pStyle w:val="ListParagraph"/>
        <w:widowControl/>
        <w:numPr>
          <w:ilvl w:val="0"/>
          <w:numId w:val="2"/>
        </w:numPr>
        <w:rPr>
          <w:b/>
        </w:rPr>
      </w:pPr>
      <w:bookmarkStart w:id="8" w:name="_Toc398646921"/>
      <w:r>
        <w:rPr>
          <w:b/>
        </w:rPr>
        <w:t>C</w:t>
      </w:r>
      <w:r w:rsidR="00D06FD4" w:rsidRPr="00407F2D">
        <w:rPr>
          <w:b/>
        </w:rPr>
        <w:t>onsideration of the evidence</w:t>
      </w:r>
      <w:bookmarkEnd w:id="8"/>
    </w:p>
    <w:p w:rsidR="007235AA" w:rsidRDefault="007235AA" w:rsidP="007235AA">
      <w:pPr>
        <w:pStyle w:val="ListParagraph"/>
        <w:widowControl/>
        <w:rPr>
          <w:b/>
        </w:rPr>
      </w:pPr>
    </w:p>
    <w:p w:rsidR="00A151DE" w:rsidRPr="00577D82" w:rsidRDefault="00A151DE" w:rsidP="00A151DE">
      <w:pPr>
        <w:rPr>
          <w:b/>
          <w:szCs w:val="22"/>
        </w:rPr>
      </w:pPr>
      <w:r w:rsidRPr="00577D82">
        <w:rPr>
          <w:b/>
          <w:szCs w:val="22"/>
        </w:rPr>
        <w:t>Sponsor hearing</w:t>
      </w:r>
    </w:p>
    <w:p w:rsidR="00E45F2A" w:rsidRPr="00E45F2A" w:rsidRDefault="00E45F2A" w:rsidP="00E45F2A">
      <w:pPr>
        <w:widowControl/>
        <w:rPr>
          <w:szCs w:val="22"/>
        </w:rPr>
      </w:pPr>
    </w:p>
    <w:p w:rsidR="00A151DE" w:rsidRDefault="00A151DE" w:rsidP="00A151DE">
      <w:pPr>
        <w:pStyle w:val="ListParagraph"/>
        <w:widowControl/>
        <w:numPr>
          <w:ilvl w:val="1"/>
          <w:numId w:val="2"/>
        </w:numPr>
        <w:ind w:left="709" w:hanging="709"/>
        <w:rPr>
          <w:szCs w:val="22"/>
        </w:rPr>
      </w:pPr>
      <w:r>
        <w:rPr>
          <w:szCs w:val="22"/>
        </w:rPr>
        <w:t>The</w:t>
      </w:r>
      <w:r w:rsidR="00E45F2A">
        <w:rPr>
          <w:szCs w:val="22"/>
        </w:rPr>
        <w:t>re was no hearing for this item</w:t>
      </w:r>
      <w:r>
        <w:rPr>
          <w:szCs w:val="22"/>
        </w:rPr>
        <w:t>.</w:t>
      </w:r>
    </w:p>
    <w:p w:rsidR="00C61DB8" w:rsidRDefault="00C61DB8" w:rsidP="00A151DE">
      <w:pPr>
        <w:rPr>
          <w:b/>
          <w:i/>
          <w:szCs w:val="22"/>
        </w:rPr>
      </w:pPr>
    </w:p>
    <w:p w:rsidR="00A151DE" w:rsidRPr="00577D82" w:rsidRDefault="00A151DE" w:rsidP="00A151DE">
      <w:pPr>
        <w:rPr>
          <w:b/>
          <w:szCs w:val="22"/>
        </w:rPr>
      </w:pPr>
      <w:r w:rsidRPr="00577D82">
        <w:rPr>
          <w:b/>
          <w:szCs w:val="22"/>
        </w:rPr>
        <w:t>Consumer comments</w:t>
      </w:r>
    </w:p>
    <w:p w:rsidR="00A151DE" w:rsidRDefault="00A151DE" w:rsidP="00A151DE">
      <w:pPr>
        <w:pStyle w:val="ListParagraph"/>
        <w:ind w:left="709"/>
        <w:rPr>
          <w:szCs w:val="22"/>
        </w:rPr>
      </w:pPr>
    </w:p>
    <w:p w:rsidR="00A151DE" w:rsidRPr="00BB7EC3" w:rsidRDefault="00A151DE" w:rsidP="00A151DE">
      <w:pPr>
        <w:pStyle w:val="ListParagraph"/>
        <w:widowControl/>
        <w:numPr>
          <w:ilvl w:val="1"/>
          <w:numId w:val="2"/>
        </w:numPr>
        <w:ind w:left="709" w:hanging="709"/>
        <w:rPr>
          <w:szCs w:val="22"/>
        </w:rPr>
      </w:pPr>
      <w:r>
        <w:rPr>
          <w:szCs w:val="22"/>
        </w:rPr>
        <w:t>The PBAC noted that no consumer commen</w:t>
      </w:r>
      <w:r w:rsidR="00E45F2A">
        <w:rPr>
          <w:szCs w:val="22"/>
        </w:rPr>
        <w:t>ts were received for this item.</w:t>
      </w:r>
    </w:p>
    <w:p w:rsidR="00E45F2A" w:rsidRDefault="00E45F2A" w:rsidP="00EF0F93">
      <w:pPr>
        <w:pStyle w:val="BodyText"/>
      </w:pPr>
      <w:bookmarkStart w:id="9" w:name="_Toc398646922"/>
    </w:p>
    <w:p w:rsidR="00B60939" w:rsidRPr="00EF0F93" w:rsidRDefault="00B60939" w:rsidP="00EF0F93">
      <w:pPr>
        <w:rPr>
          <w:b/>
          <w:szCs w:val="22"/>
        </w:rPr>
      </w:pPr>
      <w:r w:rsidRPr="00EF0F93">
        <w:rPr>
          <w:b/>
          <w:szCs w:val="22"/>
        </w:rPr>
        <w:t>Clinical trials</w:t>
      </w:r>
      <w:bookmarkEnd w:id="9"/>
    </w:p>
    <w:p w:rsidR="00B60939" w:rsidRPr="00882085" w:rsidRDefault="00B60939" w:rsidP="00B60939">
      <w:pPr>
        <w:rPr>
          <w:szCs w:val="22"/>
        </w:rPr>
      </w:pPr>
    </w:p>
    <w:p w:rsidR="004167B3" w:rsidRDefault="004167B3" w:rsidP="00C32489">
      <w:pPr>
        <w:pStyle w:val="ListParagraph"/>
        <w:widowControl/>
        <w:numPr>
          <w:ilvl w:val="1"/>
          <w:numId w:val="2"/>
        </w:numPr>
        <w:ind w:left="709" w:hanging="709"/>
      </w:pPr>
      <w:r w:rsidRPr="004167B3">
        <w:t xml:space="preserve">All previous studies </w:t>
      </w:r>
      <w:r>
        <w:t>in the first submission with</w:t>
      </w:r>
      <w:r w:rsidRPr="004167B3">
        <w:t xml:space="preserve"> updated data </w:t>
      </w:r>
      <w:r w:rsidR="009D4612">
        <w:t>(</w:t>
      </w:r>
      <w:r w:rsidRPr="004167B3">
        <w:t>w</w:t>
      </w:r>
      <w:r>
        <w:t>h</w:t>
      </w:r>
      <w:r w:rsidRPr="004167B3">
        <w:t>ere available</w:t>
      </w:r>
      <w:r w:rsidR="009D4612">
        <w:t>)</w:t>
      </w:r>
      <w:r>
        <w:t xml:space="preserve"> were presented along with</w:t>
      </w:r>
      <w:r w:rsidRPr="004167B3">
        <w:t xml:space="preserve"> one new non-randomised Australian study, and five randomised and non-randomised </w:t>
      </w:r>
      <w:proofErr w:type="spellStart"/>
      <w:r w:rsidRPr="004167B3">
        <w:t>velaglucerase</w:t>
      </w:r>
      <w:proofErr w:type="spellEnd"/>
      <w:r w:rsidRPr="004167B3">
        <w:t xml:space="preserve"> alfa studies.</w:t>
      </w:r>
    </w:p>
    <w:p w:rsidR="004167B3" w:rsidRDefault="004167B3" w:rsidP="004167B3">
      <w:pPr>
        <w:pStyle w:val="ListParagraph"/>
        <w:widowControl/>
        <w:ind w:left="709"/>
      </w:pPr>
    </w:p>
    <w:p w:rsidR="004167B3" w:rsidRDefault="004167B3" w:rsidP="00C32489">
      <w:pPr>
        <w:pStyle w:val="ListParagraph"/>
        <w:widowControl/>
        <w:numPr>
          <w:ilvl w:val="1"/>
          <w:numId w:val="2"/>
        </w:numPr>
        <w:ind w:left="709" w:hanging="709"/>
      </w:pPr>
      <w:r>
        <w:t>N</w:t>
      </w:r>
      <w:r w:rsidR="00BD0BDC" w:rsidRPr="00BD0BDC">
        <w:t xml:space="preserve">o direct randomised trials </w:t>
      </w:r>
      <w:r w:rsidR="000D37EA">
        <w:t xml:space="preserve">comparing </w:t>
      </w:r>
      <w:proofErr w:type="spellStart"/>
      <w:r w:rsidR="00BD0BDC" w:rsidRPr="00BD0BDC">
        <w:t>taliglucerase</w:t>
      </w:r>
      <w:proofErr w:type="spellEnd"/>
      <w:r w:rsidR="00BD0BDC" w:rsidRPr="00BD0BDC">
        <w:t xml:space="preserve"> alfa </w:t>
      </w:r>
      <w:r w:rsidR="000D37EA">
        <w:t>with</w:t>
      </w:r>
      <w:r w:rsidR="00BD0BDC" w:rsidRPr="00BD0BDC">
        <w:t xml:space="preserve"> </w:t>
      </w:r>
      <w:proofErr w:type="spellStart"/>
      <w:r w:rsidR="00BD0BDC" w:rsidRPr="00BD0BDC">
        <w:t>imiglucerase</w:t>
      </w:r>
      <w:proofErr w:type="spellEnd"/>
      <w:r w:rsidR="00BD0BDC" w:rsidRPr="00BD0BDC">
        <w:t xml:space="preserve"> or </w:t>
      </w:r>
      <w:proofErr w:type="spellStart"/>
      <w:r w:rsidR="00BD0BDC" w:rsidRPr="00BD0BDC">
        <w:t>velaglucerase</w:t>
      </w:r>
      <w:proofErr w:type="spellEnd"/>
      <w:r w:rsidR="00BD0BDC" w:rsidRPr="00BD0BDC">
        <w:t xml:space="preserve"> alfa were identified in the </w:t>
      </w:r>
      <w:r w:rsidR="000D37EA">
        <w:t>literature search</w:t>
      </w:r>
      <w:r w:rsidR="00BD0BDC" w:rsidRPr="00BD0BDC">
        <w:t xml:space="preserve">. There </w:t>
      </w:r>
      <w:r w:rsidR="00AA69CC">
        <w:t>we</w:t>
      </w:r>
      <w:r w:rsidR="00BD0BDC" w:rsidRPr="00BD0BDC">
        <w:t>re no trials comparing these treatments to placebo</w:t>
      </w:r>
      <w:r w:rsidR="00261AC2">
        <w:t xml:space="preserve"> </w:t>
      </w:r>
      <w:r w:rsidR="00AA69CC">
        <w:t>that would allow</w:t>
      </w:r>
      <w:r w:rsidR="00261AC2">
        <w:t xml:space="preserve"> a formal indirect comparison</w:t>
      </w:r>
      <w:r w:rsidR="00BD0BDC" w:rsidRPr="00BD0BDC">
        <w:t>.</w:t>
      </w:r>
      <w:r w:rsidR="00261AC2">
        <w:t xml:space="preserve"> The ESC noted that the resubmission relie</w:t>
      </w:r>
      <w:r w:rsidR="00AA69CC">
        <w:t>d</w:t>
      </w:r>
      <w:r w:rsidR="00261AC2">
        <w:t xml:space="preserve"> heavily on a small Australian case series (n=11) and </w:t>
      </w:r>
      <w:r w:rsidR="00AA69CC">
        <w:t xml:space="preserve">advised that </w:t>
      </w:r>
      <w:r w:rsidR="00C61DB8">
        <w:t>this</w:t>
      </w:r>
      <w:r w:rsidR="00261AC2">
        <w:t xml:space="preserve"> naïve indirect comparison </w:t>
      </w:r>
      <w:r w:rsidR="00AA69CC">
        <w:t>wa</w:t>
      </w:r>
      <w:r w:rsidR="00261AC2">
        <w:t xml:space="preserve">s likely to only be supportive. The </w:t>
      </w:r>
      <w:r w:rsidR="00C61DB8">
        <w:t>p</w:t>
      </w:r>
      <w:r w:rsidR="00261AC2">
        <w:t xml:space="preserve">re-PBAC response (p1) </w:t>
      </w:r>
      <w:r>
        <w:t>contended</w:t>
      </w:r>
      <w:r w:rsidR="00261AC2">
        <w:t xml:space="preserve"> that the case series presented </w:t>
      </w:r>
      <w:r>
        <w:t>informative</w:t>
      </w:r>
      <w:r w:rsidR="00261AC2">
        <w:t xml:space="preserve"> primary evidence of real-world data on the safety and efficacy of </w:t>
      </w:r>
      <w:proofErr w:type="spellStart"/>
      <w:r w:rsidR="00261AC2">
        <w:t>taliglucerase</w:t>
      </w:r>
      <w:proofErr w:type="spellEnd"/>
      <w:r w:rsidR="00261AC2">
        <w:t xml:space="preserve"> </w:t>
      </w:r>
      <w:r w:rsidR="00A96C3A">
        <w:t xml:space="preserve">alfa </w:t>
      </w:r>
      <w:r w:rsidR="00261AC2">
        <w:t>in the Australian population.</w:t>
      </w:r>
      <w:r w:rsidR="00BD0BDC">
        <w:t xml:space="preserve"> </w:t>
      </w:r>
    </w:p>
    <w:p w:rsidR="004167B3" w:rsidRDefault="004167B3" w:rsidP="004167B3">
      <w:pPr>
        <w:pStyle w:val="ListParagraph"/>
        <w:widowControl/>
        <w:ind w:left="709"/>
      </w:pPr>
    </w:p>
    <w:p w:rsidR="00BD0BDC" w:rsidRDefault="00BD0BDC" w:rsidP="00C32489">
      <w:pPr>
        <w:pStyle w:val="ListParagraph"/>
        <w:widowControl/>
        <w:numPr>
          <w:ilvl w:val="1"/>
          <w:numId w:val="2"/>
        </w:numPr>
        <w:ind w:left="709" w:hanging="709"/>
      </w:pPr>
      <w:r>
        <w:t xml:space="preserve">The submission </w:t>
      </w:r>
      <w:r w:rsidR="00DA1F17">
        <w:t>wa</w:t>
      </w:r>
      <w:r>
        <w:t>s based on 8 randomised trials and 9 non-randomised studies as follows:</w:t>
      </w:r>
    </w:p>
    <w:p w:rsidR="001B6188" w:rsidRPr="00365B48" w:rsidRDefault="001B6188" w:rsidP="00365B48">
      <w:pPr>
        <w:widowControl/>
        <w:rPr>
          <w:szCs w:val="22"/>
        </w:rPr>
      </w:pPr>
    </w:p>
    <w:p w:rsidR="00961AF9" w:rsidRDefault="00961AF9" w:rsidP="00D06FD4">
      <w:pPr>
        <w:ind w:firstLine="720"/>
        <w:rPr>
          <w:rStyle w:val="CommentReference"/>
        </w:rPr>
      </w:pPr>
      <w:r w:rsidRPr="000812CA">
        <w:rPr>
          <w:rStyle w:val="CommentReference"/>
        </w:rPr>
        <w:t xml:space="preserve">Trials and associated reports presented in the </w:t>
      </w:r>
      <w:r w:rsidR="00035FBE">
        <w:rPr>
          <w:rStyle w:val="CommentReference"/>
        </w:rPr>
        <w:t>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5102"/>
        <w:gridCol w:w="2251"/>
      </w:tblGrid>
      <w:tr w:rsidR="00365B48" w:rsidRPr="004E2ADC" w:rsidTr="00CF4681">
        <w:tc>
          <w:tcPr>
            <w:tcW w:w="594" w:type="pct"/>
          </w:tcPr>
          <w:p w:rsidR="00365B48" w:rsidRPr="004E2ADC" w:rsidRDefault="00365B48" w:rsidP="009710A3">
            <w:pPr>
              <w:jc w:val="left"/>
              <w:rPr>
                <w:rFonts w:ascii="Arial Narrow" w:hAnsi="Arial Narrow"/>
                <w:b/>
                <w:sz w:val="20"/>
              </w:rPr>
            </w:pPr>
            <w:r w:rsidRPr="004E2ADC">
              <w:rPr>
                <w:rFonts w:ascii="Arial Narrow" w:hAnsi="Arial Narrow"/>
                <w:b/>
                <w:sz w:val="20"/>
              </w:rPr>
              <w:t>Trial ID</w:t>
            </w:r>
          </w:p>
        </w:tc>
        <w:tc>
          <w:tcPr>
            <w:tcW w:w="3057" w:type="pct"/>
          </w:tcPr>
          <w:p w:rsidR="00365B48" w:rsidRPr="004E2ADC" w:rsidRDefault="00365B48" w:rsidP="009710A3">
            <w:pPr>
              <w:jc w:val="center"/>
              <w:rPr>
                <w:rFonts w:ascii="Arial Narrow" w:hAnsi="Arial Narrow"/>
                <w:b/>
                <w:sz w:val="20"/>
              </w:rPr>
            </w:pPr>
            <w:r w:rsidRPr="004E2ADC">
              <w:rPr>
                <w:rFonts w:ascii="Arial Narrow" w:hAnsi="Arial Narrow"/>
                <w:b/>
                <w:sz w:val="20"/>
              </w:rPr>
              <w:t>Protocol title/ Publication title</w:t>
            </w:r>
          </w:p>
        </w:tc>
        <w:tc>
          <w:tcPr>
            <w:tcW w:w="1349" w:type="pct"/>
          </w:tcPr>
          <w:p w:rsidR="00365B48" w:rsidRPr="004E2ADC" w:rsidRDefault="00365B48" w:rsidP="009710A3">
            <w:pPr>
              <w:jc w:val="center"/>
              <w:rPr>
                <w:rFonts w:ascii="Arial Narrow" w:hAnsi="Arial Narrow"/>
                <w:b/>
                <w:sz w:val="20"/>
              </w:rPr>
            </w:pPr>
            <w:r w:rsidRPr="004E2ADC">
              <w:rPr>
                <w:rFonts w:ascii="Arial Narrow" w:hAnsi="Arial Narrow"/>
                <w:b/>
                <w:sz w:val="20"/>
              </w:rPr>
              <w:t>Publication citation</w:t>
            </w:r>
          </w:p>
        </w:tc>
      </w:tr>
      <w:tr w:rsidR="00365B48" w:rsidRPr="004E2ADC" w:rsidTr="005D4557">
        <w:tc>
          <w:tcPr>
            <w:tcW w:w="5000" w:type="pct"/>
            <w:gridSpan w:val="3"/>
          </w:tcPr>
          <w:p w:rsidR="00365B48" w:rsidRPr="004E2ADC" w:rsidRDefault="00365B48" w:rsidP="009710A3">
            <w:pPr>
              <w:jc w:val="left"/>
              <w:rPr>
                <w:rFonts w:ascii="Arial Narrow" w:hAnsi="Arial Narrow"/>
                <w:b/>
                <w:sz w:val="20"/>
              </w:rPr>
            </w:pPr>
            <w:proofErr w:type="spellStart"/>
            <w:r>
              <w:rPr>
                <w:rFonts w:ascii="Arial Narrow" w:hAnsi="Arial Narrow"/>
                <w:b/>
                <w:sz w:val="20"/>
              </w:rPr>
              <w:t>Taliglucerase</w:t>
            </w:r>
            <w:proofErr w:type="spellEnd"/>
            <w:r>
              <w:rPr>
                <w:rFonts w:ascii="Arial Narrow" w:hAnsi="Arial Narrow"/>
                <w:b/>
                <w:sz w:val="20"/>
              </w:rPr>
              <w:t xml:space="preserve"> alfa randomised trial</w:t>
            </w:r>
            <w:r w:rsidRPr="004E2ADC">
              <w:rPr>
                <w:rFonts w:ascii="Arial Narrow" w:hAnsi="Arial Narrow"/>
                <w:b/>
                <w:sz w:val="20"/>
              </w:rPr>
              <w:t>s</w:t>
            </w:r>
          </w:p>
        </w:tc>
      </w:tr>
      <w:tr w:rsidR="00365B48" w:rsidRPr="004E2ADC" w:rsidTr="00CF4681">
        <w:tc>
          <w:tcPr>
            <w:tcW w:w="594" w:type="pct"/>
            <w:vMerge w:val="restart"/>
            <w:vAlign w:val="center"/>
          </w:tcPr>
          <w:p w:rsidR="00365B48" w:rsidRPr="004E2ADC" w:rsidRDefault="00365B48" w:rsidP="009710A3">
            <w:pPr>
              <w:jc w:val="left"/>
              <w:rPr>
                <w:rFonts w:ascii="Arial Narrow" w:hAnsi="Arial Narrow"/>
                <w:sz w:val="20"/>
              </w:rPr>
            </w:pPr>
            <w:r w:rsidRPr="0059688C">
              <w:rPr>
                <w:rFonts w:ascii="Arial Narrow" w:hAnsi="Arial Narrow"/>
                <w:sz w:val="20"/>
              </w:rPr>
              <w:t>PB-06-001</w:t>
            </w:r>
          </w:p>
        </w:tc>
        <w:tc>
          <w:tcPr>
            <w:tcW w:w="3057" w:type="pct"/>
          </w:tcPr>
          <w:p w:rsidR="00365B48" w:rsidRPr="0059688C" w:rsidRDefault="00365B48" w:rsidP="009710A3">
            <w:pPr>
              <w:jc w:val="left"/>
              <w:rPr>
                <w:rFonts w:ascii="Arial Narrow" w:hAnsi="Arial Narrow"/>
                <w:b/>
                <w:sz w:val="20"/>
              </w:rPr>
            </w:pPr>
            <w:proofErr w:type="spellStart"/>
            <w:r w:rsidRPr="0059688C">
              <w:rPr>
                <w:rFonts w:ascii="Arial Narrow" w:hAnsi="Arial Narrow"/>
                <w:sz w:val="20"/>
              </w:rPr>
              <w:t>Protalix</w:t>
            </w:r>
            <w:proofErr w:type="spellEnd"/>
            <w:r w:rsidRPr="0059688C">
              <w:rPr>
                <w:rFonts w:ascii="Arial Narrow" w:hAnsi="Arial Narrow"/>
                <w:sz w:val="20"/>
              </w:rPr>
              <w:t xml:space="preserve"> clinical study report (September 2009). A Phase III Multicenter, Randomized, Double-Blind Trial to Assess the Safety and Efficacy of Two Parallel Dose Groups of Plant Cell Expressed Recombinant Human </w:t>
            </w:r>
            <w:proofErr w:type="spellStart"/>
            <w:r w:rsidRPr="0059688C">
              <w:rPr>
                <w:rFonts w:ascii="Arial Narrow" w:hAnsi="Arial Narrow"/>
                <w:sz w:val="20"/>
              </w:rPr>
              <w:t>Glucocerebrosidase</w:t>
            </w:r>
            <w:proofErr w:type="spellEnd"/>
            <w:r w:rsidRPr="0059688C">
              <w:rPr>
                <w:rFonts w:ascii="Arial Narrow" w:hAnsi="Arial Narrow"/>
                <w:sz w:val="20"/>
              </w:rPr>
              <w:t xml:space="preserve"> (</w:t>
            </w:r>
            <w:proofErr w:type="spellStart"/>
            <w:r w:rsidRPr="0059688C">
              <w:rPr>
                <w:rFonts w:ascii="Arial Narrow" w:hAnsi="Arial Narrow"/>
                <w:sz w:val="20"/>
              </w:rPr>
              <w:t>prGCD</w:t>
            </w:r>
            <w:proofErr w:type="spellEnd"/>
            <w:r w:rsidRPr="0059688C">
              <w:rPr>
                <w:rFonts w:ascii="Arial Narrow" w:hAnsi="Arial Narrow"/>
                <w:sz w:val="20"/>
              </w:rPr>
              <w:t xml:space="preserve">) in Patients with </w:t>
            </w:r>
            <w:proofErr w:type="spellStart"/>
            <w:r w:rsidRPr="0059688C">
              <w:rPr>
                <w:rFonts w:ascii="Arial Narrow" w:hAnsi="Arial Narrow"/>
                <w:sz w:val="20"/>
              </w:rPr>
              <w:t>Gaucher</w:t>
            </w:r>
            <w:proofErr w:type="spellEnd"/>
            <w:r w:rsidRPr="0059688C">
              <w:rPr>
                <w:rFonts w:ascii="Arial Narrow" w:hAnsi="Arial Narrow"/>
                <w:sz w:val="20"/>
              </w:rPr>
              <w:t xml:space="preserve"> Disease.</w:t>
            </w:r>
          </w:p>
        </w:tc>
        <w:tc>
          <w:tcPr>
            <w:tcW w:w="1349" w:type="pct"/>
          </w:tcPr>
          <w:p w:rsidR="00365B48" w:rsidRPr="0059688C" w:rsidRDefault="00365B48" w:rsidP="009710A3">
            <w:pPr>
              <w:jc w:val="left"/>
              <w:rPr>
                <w:rFonts w:ascii="Arial Narrow" w:hAnsi="Arial Narrow"/>
                <w:b/>
                <w:sz w:val="20"/>
              </w:rPr>
            </w:pPr>
            <w:r w:rsidRPr="0059688C">
              <w:rPr>
                <w:rFonts w:ascii="Arial Narrow" w:hAnsi="Arial Narrow"/>
                <w:sz w:val="20"/>
              </w:rPr>
              <w:t>Internal study report</w:t>
            </w:r>
            <w:r>
              <w:rPr>
                <w:rFonts w:ascii="Arial Narrow" w:hAnsi="Arial Narrow"/>
                <w:sz w:val="20"/>
              </w:rPr>
              <w:t>, September 2009</w:t>
            </w:r>
          </w:p>
        </w:tc>
      </w:tr>
      <w:tr w:rsidR="00365B48" w:rsidRPr="004E2ADC" w:rsidTr="00CF4681">
        <w:tc>
          <w:tcPr>
            <w:tcW w:w="594" w:type="pct"/>
            <w:vMerge/>
          </w:tcPr>
          <w:p w:rsidR="00365B48" w:rsidRPr="004E2ADC" w:rsidRDefault="00365B48" w:rsidP="009710A3">
            <w:pPr>
              <w:jc w:val="left"/>
              <w:rPr>
                <w:rFonts w:ascii="Arial Narrow" w:hAnsi="Arial Narrow"/>
                <w:sz w:val="20"/>
              </w:rPr>
            </w:pPr>
          </w:p>
        </w:tc>
        <w:tc>
          <w:tcPr>
            <w:tcW w:w="3057" w:type="pct"/>
          </w:tcPr>
          <w:p w:rsidR="00365B48" w:rsidRPr="0059688C" w:rsidRDefault="00365B48" w:rsidP="009710A3">
            <w:pPr>
              <w:jc w:val="left"/>
              <w:rPr>
                <w:rFonts w:ascii="Arial Narrow" w:hAnsi="Arial Narrow"/>
                <w:b/>
                <w:sz w:val="20"/>
              </w:rPr>
            </w:pPr>
            <w:proofErr w:type="spellStart"/>
            <w:r w:rsidRPr="0059688C">
              <w:rPr>
                <w:rFonts w:ascii="Arial Narrow" w:hAnsi="Arial Narrow"/>
                <w:sz w:val="20"/>
              </w:rPr>
              <w:t>Zimran</w:t>
            </w:r>
            <w:proofErr w:type="spellEnd"/>
            <w:r w:rsidRPr="0059688C">
              <w:rPr>
                <w:rFonts w:ascii="Arial Narrow" w:hAnsi="Arial Narrow"/>
                <w:sz w:val="20"/>
              </w:rPr>
              <w:t xml:space="preserve"> et al. Pivotal trial with plant cell-expressed recombinant </w:t>
            </w:r>
            <w:proofErr w:type="spellStart"/>
            <w:r w:rsidRPr="0059688C">
              <w:rPr>
                <w:rFonts w:ascii="Arial Narrow" w:hAnsi="Arial Narrow"/>
                <w:sz w:val="20"/>
              </w:rPr>
              <w:t>glucocerebrosidase</w:t>
            </w:r>
            <w:proofErr w:type="spellEnd"/>
            <w:r w:rsidRPr="0059688C">
              <w:rPr>
                <w:rFonts w:ascii="Arial Narrow" w:hAnsi="Arial Narrow"/>
                <w:sz w:val="20"/>
              </w:rPr>
              <w:t xml:space="preserve">, </w:t>
            </w:r>
            <w:proofErr w:type="spellStart"/>
            <w:r w:rsidRPr="0059688C">
              <w:rPr>
                <w:rFonts w:ascii="Arial Narrow" w:hAnsi="Arial Narrow"/>
                <w:sz w:val="20"/>
              </w:rPr>
              <w:t>taliglucerase</w:t>
            </w:r>
            <w:proofErr w:type="spellEnd"/>
            <w:r w:rsidRPr="0059688C">
              <w:rPr>
                <w:rFonts w:ascii="Arial Narrow" w:hAnsi="Arial Narrow"/>
                <w:sz w:val="20"/>
              </w:rPr>
              <w:t xml:space="preserve"> alfa, a novel enzyme replacement therapy for </w:t>
            </w:r>
            <w:proofErr w:type="spellStart"/>
            <w:r w:rsidRPr="0059688C">
              <w:rPr>
                <w:rFonts w:ascii="Arial Narrow" w:hAnsi="Arial Narrow"/>
                <w:sz w:val="20"/>
              </w:rPr>
              <w:t>Gaucher</w:t>
            </w:r>
            <w:proofErr w:type="spellEnd"/>
            <w:r w:rsidRPr="0059688C">
              <w:rPr>
                <w:rFonts w:ascii="Arial Narrow" w:hAnsi="Arial Narrow"/>
                <w:sz w:val="20"/>
              </w:rPr>
              <w:t xml:space="preserve"> disease.</w:t>
            </w:r>
          </w:p>
        </w:tc>
        <w:tc>
          <w:tcPr>
            <w:tcW w:w="1349" w:type="pct"/>
          </w:tcPr>
          <w:p w:rsidR="00365B48" w:rsidRPr="0059688C" w:rsidRDefault="00365B48" w:rsidP="009710A3">
            <w:pPr>
              <w:jc w:val="left"/>
              <w:rPr>
                <w:rFonts w:ascii="Arial Narrow" w:hAnsi="Arial Narrow"/>
                <w:b/>
                <w:sz w:val="20"/>
              </w:rPr>
            </w:pPr>
            <w:r w:rsidRPr="0059688C">
              <w:rPr>
                <w:rFonts w:ascii="Arial Narrow" w:hAnsi="Arial Narrow"/>
                <w:i/>
                <w:sz w:val="20"/>
              </w:rPr>
              <w:t>Blood</w:t>
            </w:r>
            <w:r w:rsidRPr="0059688C">
              <w:rPr>
                <w:rFonts w:ascii="Arial Narrow" w:hAnsi="Arial Narrow"/>
                <w:sz w:val="20"/>
              </w:rPr>
              <w:t xml:space="preserve"> </w:t>
            </w:r>
            <w:r>
              <w:rPr>
                <w:rFonts w:ascii="Arial Narrow" w:hAnsi="Arial Narrow"/>
                <w:sz w:val="20"/>
              </w:rPr>
              <w:t xml:space="preserve">2011; </w:t>
            </w:r>
            <w:r w:rsidRPr="0059688C">
              <w:rPr>
                <w:rFonts w:ascii="Arial Narrow" w:hAnsi="Arial Narrow"/>
                <w:sz w:val="20"/>
              </w:rPr>
              <w:t>118</w:t>
            </w:r>
            <w:r>
              <w:rPr>
                <w:rFonts w:ascii="Arial Narrow" w:hAnsi="Arial Narrow"/>
                <w:sz w:val="20"/>
              </w:rPr>
              <w:t>(22)</w:t>
            </w:r>
            <w:r w:rsidRPr="0059688C">
              <w:rPr>
                <w:rFonts w:ascii="Arial Narrow" w:hAnsi="Arial Narrow"/>
                <w:sz w:val="20"/>
              </w:rPr>
              <w:t>: 5767-5773</w:t>
            </w:r>
          </w:p>
        </w:tc>
      </w:tr>
      <w:tr w:rsidR="00365B48" w:rsidRPr="004E2ADC" w:rsidTr="00CF4681">
        <w:tc>
          <w:tcPr>
            <w:tcW w:w="594" w:type="pct"/>
            <w:vMerge/>
          </w:tcPr>
          <w:p w:rsidR="00365B48" w:rsidRPr="004E2ADC" w:rsidRDefault="00365B48" w:rsidP="009710A3">
            <w:pPr>
              <w:jc w:val="left"/>
              <w:rPr>
                <w:rFonts w:ascii="Arial Narrow" w:hAnsi="Arial Narrow"/>
                <w:sz w:val="20"/>
              </w:rPr>
            </w:pPr>
          </w:p>
        </w:tc>
        <w:tc>
          <w:tcPr>
            <w:tcW w:w="3057" w:type="pct"/>
          </w:tcPr>
          <w:p w:rsidR="00365B48" w:rsidRPr="0059688C" w:rsidRDefault="00365B48" w:rsidP="009710A3">
            <w:pPr>
              <w:jc w:val="left"/>
              <w:rPr>
                <w:rFonts w:ascii="Arial Narrow" w:hAnsi="Arial Narrow"/>
                <w:sz w:val="20"/>
              </w:rPr>
            </w:pPr>
            <w:proofErr w:type="spellStart"/>
            <w:r>
              <w:rPr>
                <w:rFonts w:ascii="Arial Narrow" w:hAnsi="Arial Narrow"/>
                <w:sz w:val="20"/>
              </w:rPr>
              <w:t>Zimran</w:t>
            </w:r>
            <w:proofErr w:type="spellEnd"/>
            <w:r>
              <w:rPr>
                <w:rFonts w:ascii="Arial Narrow" w:hAnsi="Arial Narrow"/>
                <w:sz w:val="20"/>
              </w:rPr>
              <w:t xml:space="preserve"> et al. Pivotal trial with plant cell-expressed recombinant </w:t>
            </w:r>
            <w:proofErr w:type="spellStart"/>
            <w:r>
              <w:rPr>
                <w:rFonts w:ascii="Arial Narrow" w:hAnsi="Arial Narrow"/>
                <w:sz w:val="20"/>
              </w:rPr>
              <w:t>glucocerebrosidase</w:t>
            </w:r>
            <w:proofErr w:type="spellEnd"/>
            <w:r>
              <w:rPr>
                <w:rFonts w:ascii="Arial Narrow" w:hAnsi="Arial Narrow"/>
                <w:sz w:val="20"/>
              </w:rPr>
              <w:t xml:space="preserve">, </w:t>
            </w:r>
            <w:proofErr w:type="spellStart"/>
            <w:r w:rsidRPr="0059688C">
              <w:rPr>
                <w:rFonts w:ascii="Arial Narrow" w:hAnsi="Arial Narrow"/>
                <w:sz w:val="20"/>
              </w:rPr>
              <w:t>taliglucerase</w:t>
            </w:r>
            <w:proofErr w:type="spellEnd"/>
            <w:r w:rsidRPr="0059688C">
              <w:rPr>
                <w:rFonts w:ascii="Arial Narrow" w:hAnsi="Arial Narrow"/>
                <w:sz w:val="20"/>
              </w:rPr>
              <w:t xml:space="preserve"> alfa, a novel enzyme replacement therapy for </w:t>
            </w:r>
            <w:proofErr w:type="spellStart"/>
            <w:r w:rsidRPr="0059688C">
              <w:rPr>
                <w:rFonts w:ascii="Arial Narrow" w:hAnsi="Arial Narrow"/>
                <w:sz w:val="20"/>
              </w:rPr>
              <w:t>Gaucher</w:t>
            </w:r>
            <w:proofErr w:type="spellEnd"/>
            <w:r w:rsidRPr="0059688C">
              <w:rPr>
                <w:rFonts w:ascii="Arial Narrow" w:hAnsi="Arial Narrow"/>
                <w:sz w:val="20"/>
              </w:rPr>
              <w:t xml:space="preserve"> disease</w:t>
            </w:r>
            <w:r>
              <w:rPr>
                <w:rFonts w:ascii="Arial Narrow" w:hAnsi="Arial Narrow"/>
                <w:sz w:val="20"/>
              </w:rPr>
              <w:t xml:space="preserve"> (erratum).</w:t>
            </w:r>
          </w:p>
        </w:tc>
        <w:tc>
          <w:tcPr>
            <w:tcW w:w="1349" w:type="pct"/>
          </w:tcPr>
          <w:p w:rsidR="00365B48" w:rsidRPr="0059688C" w:rsidRDefault="00365B48" w:rsidP="009710A3">
            <w:pPr>
              <w:jc w:val="left"/>
              <w:rPr>
                <w:rFonts w:ascii="Arial Narrow" w:hAnsi="Arial Narrow"/>
                <w:i/>
                <w:sz w:val="20"/>
              </w:rPr>
            </w:pPr>
            <w:r w:rsidRPr="0059688C">
              <w:rPr>
                <w:rFonts w:ascii="Arial Narrow" w:hAnsi="Arial Narrow"/>
                <w:i/>
                <w:sz w:val="20"/>
              </w:rPr>
              <w:t>Blood</w:t>
            </w:r>
            <w:r w:rsidRPr="0059688C">
              <w:rPr>
                <w:rFonts w:ascii="Arial Narrow" w:hAnsi="Arial Narrow"/>
                <w:sz w:val="20"/>
              </w:rPr>
              <w:t xml:space="preserve"> </w:t>
            </w:r>
            <w:r>
              <w:rPr>
                <w:rFonts w:ascii="Arial Narrow" w:hAnsi="Arial Narrow"/>
                <w:sz w:val="20"/>
              </w:rPr>
              <w:t xml:space="preserve">2012; </w:t>
            </w:r>
            <w:r w:rsidRPr="0059688C">
              <w:rPr>
                <w:rFonts w:ascii="Arial Narrow" w:hAnsi="Arial Narrow"/>
                <w:sz w:val="20"/>
              </w:rPr>
              <w:t>11</w:t>
            </w:r>
            <w:r>
              <w:rPr>
                <w:rFonts w:ascii="Arial Narrow" w:hAnsi="Arial Narrow"/>
                <w:sz w:val="20"/>
              </w:rPr>
              <w:t>9(19)</w:t>
            </w:r>
            <w:r w:rsidRPr="0059688C">
              <w:rPr>
                <w:rFonts w:ascii="Arial Narrow" w:hAnsi="Arial Narrow"/>
                <w:sz w:val="20"/>
              </w:rPr>
              <w:t xml:space="preserve">: </w:t>
            </w:r>
            <w:r>
              <w:rPr>
                <w:rFonts w:ascii="Arial Narrow" w:hAnsi="Arial Narrow"/>
                <w:sz w:val="20"/>
              </w:rPr>
              <w:t>4577</w:t>
            </w:r>
          </w:p>
        </w:tc>
      </w:tr>
      <w:tr w:rsidR="00365B48" w:rsidRPr="004E2ADC" w:rsidTr="00CF4681">
        <w:tc>
          <w:tcPr>
            <w:tcW w:w="594" w:type="pct"/>
            <w:vMerge/>
          </w:tcPr>
          <w:p w:rsidR="00365B48" w:rsidRPr="004E2ADC" w:rsidRDefault="00365B48" w:rsidP="009710A3">
            <w:pPr>
              <w:jc w:val="left"/>
              <w:rPr>
                <w:rFonts w:ascii="Arial Narrow" w:hAnsi="Arial Narrow"/>
                <w:sz w:val="20"/>
              </w:rPr>
            </w:pPr>
          </w:p>
        </w:tc>
        <w:tc>
          <w:tcPr>
            <w:tcW w:w="3057" w:type="pct"/>
          </w:tcPr>
          <w:p w:rsidR="00365B48" w:rsidRPr="0059688C" w:rsidRDefault="00365B48" w:rsidP="009710A3">
            <w:pPr>
              <w:jc w:val="left"/>
              <w:rPr>
                <w:rFonts w:ascii="Arial Narrow" w:hAnsi="Arial Narrow"/>
                <w:sz w:val="20"/>
              </w:rPr>
            </w:pPr>
            <w:proofErr w:type="spellStart"/>
            <w:r>
              <w:rPr>
                <w:rFonts w:ascii="Arial Narrow" w:hAnsi="Arial Narrow"/>
                <w:sz w:val="20"/>
              </w:rPr>
              <w:t>Aviezer</w:t>
            </w:r>
            <w:proofErr w:type="spellEnd"/>
            <w:r>
              <w:rPr>
                <w:rFonts w:ascii="Arial Narrow" w:hAnsi="Arial Narrow"/>
                <w:sz w:val="20"/>
              </w:rPr>
              <w:t xml:space="preserve"> et al.</w:t>
            </w:r>
            <w:r>
              <w:t xml:space="preserve"> </w:t>
            </w:r>
            <w:r w:rsidRPr="000E2EA2">
              <w:rPr>
                <w:rFonts w:ascii="Arial Narrow" w:hAnsi="Arial Narrow"/>
                <w:sz w:val="20"/>
              </w:rPr>
              <w:t xml:space="preserve">Novel enzyme replacement therapy for </w:t>
            </w:r>
            <w:proofErr w:type="spellStart"/>
            <w:r w:rsidRPr="000E2EA2">
              <w:rPr>
                <w:rFonts w:ascii="Arial Narrow" w:hAnsi="Arial Narrow"/>
                <w:sz w:val="20"/>
              </w:rPr>
              <w:t>Gaucher</w:t>
            </w:r>
            <w:proofErr w:type="spellEnd"/>
            <w:r w:rsidRPr="000E2EA2">
              <w:rPr>
                <w:rFonts w:ascii="Arial Narrow" w:hAnsi="Arial Narrow"/>
                <w:sz w:val="20"/>
              </w:rPr>
              <w:t xml:space="preserve"> disease: phase </w:t>
            </w:r>
            <w:r>
              <w:rPr>
                <w:rFonts w:ascii="Arial Narrow" w:hAnsi="Arial Narrow"/>
                <w:sz w:val="20"/>
              </w:rPr>
              <w:t>III</w:t>
            </w:r>
            <w:r w:rsidRPr="000E2EA2">
              <w:rPr>
                <w:rFonts w:ascii="Arial Narrow" w:hAnsi="Arial Narrow"/>
                <w:sz w:val="20"/>
              </w:rPr>
              <w:t xml:space="preserve"> pivotal clinical trial with plant cell expressed recombinant </w:t>
            </w:r>
            <w:proofErr w:type="spellStart"/>
            <w:r w:rsidRPr="000E2EA2">
              <w:rPr>
                <w:rFonts w:ascii="Arial Narrow" w:hAnsi="Arial Narrow"/>
                <w:sz w:val="20"/>
              </w:rPr>
              <w:t>glucocerebrosidase</w:t>
            </w:r>
            <w:proofErr w:type="spellEnd"/>
            <w:r w:rsidRPr="000E2EA2">
              <w:rPr>
                <w:rFonts w:ascii="Arial Narrow" w:hAnsi="Arial Narrow"/>
                <w:sz w:val="20"/>
              </w:rPr>
              <w:t xml:space="preserve"> (</w:t>
            </w:r>
            <w:proofErr w:type="spellStart"/>
            <w:r w:rsidRPr="000E2EA2">
              <w:rPr>
                <w:rFonts w:ascii="Arial Narrow" w:hAnsi="Arial Narrow"/>
                <w:sz w:val="20"/>
              </w:rPr>
              <w:t>prGCD</w:t>
            </w:r>
            <w:proofErr w:type="spellEnd"/>
            <w:r w:rsidRPr="000E2EA2">
              <w:rPr>
                <w:rFonts w:ascii="Arial Narrow" w:hAnsi="Arial Narrow"/>
                <w:sz w:val="20"/>
              </w:rPr>
              <w:t xml:space="preserve">) - </w:t>
            </w:r>
            <w:proofErr w:type="spellStart"/>
            <w:r w:rsidRPr="000E2EA2">
              <w:rPr>
                <w:rFonts w:ascii="Arial Narrow" w:hAnsi="Arial Narrow"/>
                <w:sz w:val="20"/>
              </w:rPr>
              <w:t>taliglucerase</w:t>
            </w:r>
            <w:proofErr w:type="spellEnd"/>
            <w:r w:rsidRPr="000E2EA2">
              <w:rPr>
                <w:rFonts w:ascii="Arial Narrow" w:hAnsi="Arial Narrow"/>
                <w:sz w:val="20"/>
              </w:rPr>
              <w:t xml:space="preserve"> alpha.</w:t>
            </w:r>
          </w:p>
        </w:tc>
        <w:tc>
          <w:tcPr>
            <w:tcW w:w="1349" w:type="pct"/>
          </w:tcPr>
          <w:p w:rsidR="00365B48" w:rsidRPr="0059688C" w:rsidRDefault="00365B48" w:rsidP="009710A3">
            <w:pPr>
              <w:jc w:val="left"/>
              <w:rPr>
                <w:rFonts w:ascii="Arial Narrow" w:hAnsi="Arial Narrow"/>
                <w:i/>
                <w:sz w:val="20"/>
              </w:rPr>
            </w:pPr>
            <w:r w:rsidRPr="000E2EA2">
              <w:rPr>
                <w:rFonts w:ascii="Arial Narrow" w:hAnsi="Arial Narrow"/>
                <w:i/>
                <w:sz w:val="20"/>
              </w:rPr>
              <w:t>Molecular Genetics and Metabolism.</w:t>
            </w:r>
            <w:r>
              <w:rPr>
                <w:rFonts w:ascii="Arial Narrow" w:hAnsi="Arial Narrow"/>
                <w:i/>
                <w:sz w:val="20"/>
              </w:rPr>
              <w:t xml:space="preserve"> </w:t>
            </w:r>
            <w:r>
              <w:rPr>
                <w:rFonts w:ascii="Arial Narrow" w:hAnsi="Arial Narrow"/>
                <w:sz w:val="20"/>
              </w:rPr>
              <w:t>2010</w:t>
            </w:r>
            <w:r w:rsidRPr="000E2EA2">
              <w:rPr>
                <w:rFonts w:ascii="Arial Narrow" w:hAnsi="Arial Narrow"/>
                <w:i/>
                <w:sz w:val="20"/>
              </w:rPr>
              <w:t xml:space="preserve"> </w:t>
            </w:r>
            <w:r w:rsidRPr="00D73A55">
              <w:rPr>
                <w:rFonts w:ascii="Arial Narrow" w:hAnsi="Arial Narrow"/>
                <w:sz w:val="20"/>
              </w:rPr>
              <w:t xml:space="preserve">Conference: 6th Annual Research Meeting of the </w:t>
            </w:r>
            <w:proofErr w:type="spellStart"/>
            <w:r w:rsidRPr="00D73A55">
              <w:rPr>
                <w:rFonts w:ascii="Arial Narrow" w:hAnsi="Arial Narrow"/>
                <w:sz w:val="20"/>
              </w:rPr>
              <w:t>Lysosomal</w:t>
            </w:r>
            <w:proofErr w:type="spellEnd"/>
            <w:r w:rsidRPr="00D73A55">
              <w:rPr>
                <w:rFonts w:ascii="Arial Narrow" w:hAnsi="Arial Narrow"/>
                <w:sz w:val="20"/>
              </w:rPr>
              <w:t xml:space="preserve"> Disease Network's, WORLD Symposium 2010 Miami, FL </w:t>
            </w:r>
            <w:r w:rsidRPr="00D73A55">
              <w:rPr>
                <w:rFonts w:ascii="Arial Narrow" w:hAnsi="Arial Narrow"/>
                <w:sz w:val="20"/>
              </w:rPr>
              <w:lastRenderedPageBreak/>
              <w:t>United States. Conference Publication</w:t>
            </w:r>
            <w:r>
              <w:rPr>
                <w:rFonts w:ascii="Arial Narrow" w:hAnsi="Arial Narrow"/>
                <w:sz w:val="20"/>
              </w:rPr>
              <w:t>;</w:t>
            </w:r>
            <w:r w:rsidRPr="00D73A55">
              <w:rPr>
                <w:rFonts w:ascii="Arial Narrow" w:hAnsi="Arial Narrow"/>
                <w:sz w:val="20"/>
              </w:rPr>
              <w:t xml:space="preserve"> </w:t>
            </w:r>
            <w:r>
              <w:rPr>
                <w:rFonts w:ascii="Arial Narrow" w:hAnsi="Arial Narrow"/>
                <w:sz w:val="20"/>
              </w:rPr>
              <w:t>99</w:t>
            </w:r>
            <w:r w:rsidRPr="00D73A55">
              <w:rPr>
                <w:rFonts w:ascii="Arial Narrow" w:hAnsi="Arial Narrow"/>
                <w:sz w:val="20"/>
              </w:rPr>
              <w:t>(2)</w:t>
            </w:r>
            <w:r>
              <w:rPr>
                <w:rFonts w:ascii="Arial Narrow" w:hAnsi="Arial Narrow"/>
                <w:sz w:val="20"/>
              </w:rPr>
              <w:t>:</w:t>
            </w:r>
            <w:r w:rsidRPr="00D73A55">
              <w:rPr>
                <w:rFonts w:ascii="Arial Narrow" w:hAnsi="Arial Narrow"/>
                <w:sz w:val="20"/>
              </w:rPr>
              <w:t>S9-S10.</w:t>
            </w:r>
          </w:p>
        </w:tc>
      </w:tr>
      <w:tr w:rsidR="00365B48" w:rsidRPr="004E2ADC" w:rsidTr="00CF4681">
        <w:tc>
          <w:tcPr>
            <w:tcW w:w="594" w:type="pct"/>
            <w:vMerge/>
          </w:tcPr>
          <w:p w:rsidR="00365B48" w:rsidRPr="004E2ADC" w:rsidRDefault="00365B48" w:rsidP="009710A3">
            <w:pPr>
              <w:jc w:val="left"/>
              <w:rPr>
                <w:rFonts w:ascii="Arial Narrow" w:hAnsi="Arial Narrow"/>
                <w:sz w:val="20"/>
              </w:rPr>
            </w:pPr>
          </w:p>
        </w:tc>
        <w:tc>
          <w:tcPr>
            <w:tcW w:w="3057" w:type="pct"/>
          </w:tcPr>
          <w:p w:rsidR="00365B48" w:rsidRPr="0059688C" w:rsidRDefault="00365B48" w:rsidP="009710A3">
            <w:pPr>
              <w:jc w:val="left"/>
              <w:rPr>
                <w:rFonts w:ascii="Arial Narrow" w:hAnsi="Arial Narrow"/>
                <w:sz w:val="20"/>
              </w:rPr>
            </w:pPr>
            <w:proofErr w:type="spellStart"/>
            <w:r w:rsidRPr="000E2EA2">
              <w:rPr>
                <w:rFonts w:ascii="Arial Narrow" w:hAnsi="Arial Narrow"/>
                <w:sz w:val="20"/>
              </w:rPr>
              <w:t>Aviezer</w:t>
            </w:r>
            <w:proofErr w:type="spellEnd"/>
            <w:r w:rsidRPr="000E2EA2">
              <w:rPr>
                <w:rFonts w:ascii="Arial Narrow" w:hAnsi="Arial Narrow"/>
                <w:sz w:val="20"/>
              </w:rPr>
              <w:t xml:space="preserve"> et al. Novel enzyme replacement therapy for </w:t>
            </w:r>
            <w:proofErr w:type="spellStart"/>
            <w:r w:rsidRPr="000E2EA2">
              <w:rPr>
                <w:rFonts w:ascii="Arial Narrow" w:hAnsi="Arial Narrow"/>
                <w:sz w:val="20"/>
              </w:rPr>
              <w:t>Gaucher</w:t>
            </w:r>
            <w:proofErr w:type="spellEnd"/>
            <w:r w:rsidRPr="000E2EA2">
              <w:rPr>
                <w:rFonts w:ascii="Arial Narrow" w:hAnsi="Arial Narrow"/>
                <w:sz w:val="20"/>
              </w:rPr>
              <w:t xml:space="preserve"> disease: ongoing phase III clinical trial with recombinant human </w:t>
            </w:r>
            <w:proofErr w:type="spellStart"/>
            <w:r w:rsidRPr="000E2EA2">
              <w:rPr>
                <w:rFonts w:ascii="Arial Narrow" w:hAnsi="Arial Narrow"/>
                <w:sz w:val="20"/>
              </w:rPr>
              <w:t>glucocerebrosidase</w:t>
            </w:r>
            <w:proofErr w:type="spellEnd"/>
            <w:r w:rsidRPr="000E2EA2">
              <w:rPr>
                <w:rFonts w:ascii="Arial Narrow" w:hAnsi="Arial Narrow"/>
                <w:sz w:val="20"/>
              </w:rPr>
              <w:t xml:space="preserve"> expressed in plant cells. </w:t>
            </w:r>
          </w:p>
        </w:tc>
        <w:tc>
          <w:tcPr>
            <w:tcW w:w="1349" w:type="pct"/>
          </w:tcPr>
          <w:p w:rsidR="00365B48" w:rsidRPr="0059688C" w:rsidRDefault="00365B48" w:rsidP="009710A3">
            <w:pPr>
              <w:jc w:val="left"/>
              <w:rPr>
                <w:rFonts w:ascii="Arial Narrow" w:hAnsi="Arial Narrow"/>
                <w:i/>
                <w:sz w:val="20"/>
              </w:rPr>
            </w:pPr>
            <w:r w:rsidRPr="000E2EA2">
              <w:rPr>
                <w:rFonts w:ascii="Arial Narrow" w:hAnsi="Arial Narrow"/>
                <w:i/>
                <w:sz w:val="20"/>
              </w:rPr>
              <w:t xml:space="preserve">Molecular Genetics and Metabolism. </w:t>
            </w:r>
            <w:r w:rsidRPr="00D73A55">
              <w:rPr>
                <w:rFonts w:ascii="Arial Narrow" w:hAnsi="Arial Narrow"/>
                <w:sz w:val="20"/>
              </w:rPr>
              <w:t xml:space="preserve">2009 </w:t>
            </w:r>
            <w:r w:rsidRPr="000E2EA2">
              <w:rPr>
                <w:rFonts w:ascii="Arial Narrow" w:hAnsi="Arial Narrow"/>
                <w:sz w:val="20"/>
              </w:rPr>
              <w:t xml:space="preserve">Conference: 4th </w:t>
            </w:r>
            <w:proofErr w:type="spellStart"/>
            <w:r w:rsidRPr="000E2EA2">
              <w:rPr>
                <w:rFonts w:ascii="Arial Narrow" w:hAnsi="Arial Narrow"/>
                <w:sz w:val="20"/>
              </w:rPr>
              <w:t>Lysosomal</w:t>
            </w:r>
            <w:proofErr w:type="spellEnd"/>
            <w:r w:rsidRPr="000E2EA2">
              <w:rPr>
                <w:rFonts w:ascii="Arial Narrow" w:hAnsi="Arial Narrow"/>
                <w:sz w:val="20"/>
              </w:rPr>
              <w:t xml:space="preserve"> Disease Network's We're Organizing Research on </w:t>
            </w:r>
            <w:proofErr w:type="spellStart"/>
            <w:r w:rsidRPr="000E2EA2">
              <w:rPr>
                <w:rFonts w:ascii="Arial Narrow" w:hAnsi="Arial Narrow"/>
                <w:sz w:val="20"/>
              </w:rPr>
              <w:t>Lysosomal</w:t>
            </w:r>
            <w:proofErr w:type="spellEnd"/>
            <w:r w:rsidRPr="000E2EA2">
              <w:rPr>
                <w:rFonts w:ascii="Arial Narrow" w:hAnsi="Arial Narrow"/>
                <w:sz w:val="20"/>
              </w:rPr>
              <w:t xml:space="preserve"> Diseases (WORLD) Symposium 2009 Las Vegas, NV United States. Conference Publication: 96 (2)</w:t>
            </w:r>
            <w:r>
              <w:rPr>
                <w:rFonts w:ascii="Arial Narrow" w:hAnsi="Arial Narrow"/>
                <w:sz w:val="20"/>
              </w:rPr>
              <w:t>:S</w:t>
            </w:r>
            <w:r w:rsidRPr="000E2EA2">
              <w:rPr>
                <w:rFonts w:ascii="Arial Narrow" w:hAnsi="Arial Narrow"/>
                <w:sz w:val="20"/>
              </w:rPr>
              <w:t>13-S14</w:t>
            </w:r>
            <w:r>
              <w:rPr>
                <w:rFonts w:ascii="Arial Narrow" w:hAnsi="Arial Narrow"/>
                <w:sz w:val="20"/>
              </w:rPr>
              <w:t>.</w:t>
            </w:r>
          </w:p>
        </w:tc>
      </w:tr>
      <w:tr w:rsidR="00365B48" w:rsidRPr="0059688C" w:rsidTr="00CF4681">
        <w:tc>
          <w:tcPr>
            <w:tcW w:w="594" w:type="pct"/>
            <w:vMerge w:val="restart"/>
            <w:vAlign w:val="center"/>
          </w:tcPr>
          <w:p w:rsidR="00365B48" w:rsidRPr="00C42C2D" w:rsidRDefault="00365B48" w:rsidP="009710A3">
            <w:pPr>
              <w:jc w:val="left"/>
              <w:rPr>
                <w:rFonts w:ascii="Arial Narrow" w:hAnsi="Arial Narrow"/>
                <w:sz w:val="20"/>
                <w:vertAlign w:val="superscript"/>
              </w:rPr>
            </w:pPr>
            <w:r w:rsidRPr="0059688C">
              <w:rPr>
                <w:rFonts w:ascii="Arial Narrow" w:hAnsi="Arial Narrow"/>
                <w:sz w:val="20"/>
              </w:rPr>
              <w:t>PB-06-00</w:t>
            </w:r>
            <w:r>
              <w:rPr>
                <w:rFonts w:ascii="Arial Narrow" w:hAnsi="Arial Narrow"/>
                <w:sz w:val="20"/>
              </w:rPr>
              <w:t xml:space="preserve">5 </w:t>
            </w:r>
            <w:r>
              <w:rPr>
                <w:rFonts w:ascii="Arial Narrow" w:hAnsi="Arial Narrow"/>
                <w:sz w:val="20"/>
                <w:vertAlign w:val="superscript"/>
              </w:rPr>
              <w:t>a</w:t>
            </w:r>
          </w:p>
        </w:tc>
        <w:tc>
          <w:tcPr>
            <w:tcW w:w="3057" w:type="pct"/>
          </w:tcPr>
          <w:p w:rsidR="00365B48" w:rsidRPr="002D7145" w:rsidRDefault="00365B48" w:rsidP="009710A3">
            <w:pPr>
              <w:jc w:val="left"/>
              <w:rPr>
                <w:rFonts w:ascii="Arial Narrow" w:hAnsi="Arial Narrow"/>
                <w:sz w:val="20"/>
              </w:rPr>
            </w:pPr>
            <w:proofErr w:type="spellStart"/>
            <w:r w:rsidRPr="002D7145">
              <w:rPr>
                <w:rFonts w:ascii="Arial Narrow" w:hAnsi="Arial Narrow"/>
                <w:sz w:val="20"/>
              </w:rPr>
              <w:t>Protalix</w:t>
            </w:r>
            <w:proofErr w:type="spellEnd"/>
            <w:r w:rsidRPr="002D7145">
              <w:rPr>
                <w:rFonts w:ascii="Arial Narrow" w:hAnsi="Arial Narrow"/>
                <w:sz w:val="20"/>
              </w:rPr>
              <w:t xml:space="preserve"> clinical study report. A multicenter, double-blind, randomized safety and efficacy study of two dose levels of </w:t>
            </w:r>
            <w:proofErr w:type="spellStart"/>
            <w:r w:rsidRPr="002D7145">
              <w:rPr>
                <w:rFonts w:ascii="Arial Narrow" w:hAnsi="Arial Narrow"/>
                <w:sz w:val="20"/>
              </w:rPr>
              <w:t>taliglucerase</w:t>
            </w:r>
            <w:proofErr w:type="spellEnd"/>
            <w:r w:rsidRPr="002D7145">
              <w:rPr>
                <w:rFonts w:ascii="Arial Narrow" w:hAnsi="Arial Narrow"/>
                <w:sz w:val="20"/>
              </w:rPr>
              <w:t xml:space="preserve"> alfa in </w:t>
            </w:r>
            <w:proofErr w:type="spellStart"/>
            <w:r w:rsidRPr="002D7145">
              <w:rPr>
                <w:rFonts w:ascii="Arial Narrow" w:hAnsi="Arial Narrow"/>
                <w:sz w:val="20"/>
              </w:rPr>
              <w:t>pediatric</w:t>
            </w:r>
            <w:proofErr w:type="spellEnd"/>
            <w:r w:rsidRPr="002D7145">
              <w:rPr>
                <w:rFonts w:ascii="Arial Narrow" w:hAnsi="Arial Narrow"/>
                <w:sz w:val="20"/>
              </w:rPr>
              <w:t xml:space="preserve"> subjects with </w:t>
            </w:r>
            <w:proofErr w:type="spellStart"/>
            <w:r w:rsidRPr="002D7145">
              <w:rPr>
                <w:rFonts w:ascii="Arial Narrow" w:hAnsi="Arial Narrow"/>
                <w:sz w:val="20"/>
              </w:rPr>
              <w:t>Gaucher</w:t>
            </w:r>
            <w:proofErr w:type="spellEnd"/>
            <w:r w:rsidRPr="002D7145">
              <w:rPr>
                <w:rFonts w:ascii="Arial Narrow" w:hAnsi="Arial Narrow"/>
                <w:sz w:val="20"/>
              </w:rPr>
              <w:t xml:space="preserve"> disease.</w:t>
            </w:r>
          </w:p>
        </w:tc>
        <w:tc>
          <w:tcPr>
            <w:tcW w:w="1349" w:type="pct"/>
          </w:tcPr>
          <w:p w:rsidR="00365B48" w:rsidRPr="0059688C" w:rsidRDefault="00365B48" w:rsidP="009710A3">
            <w:pPr>
              <w:jc w:val="left"/>
              <w:rPr>
                <w:rFonts w:ascii="Arial Narrow" w:hAnsi="Arial Narrow"/>
                <w:b/>
                <w:sz w:val="20"/>
              </w:rPr>
            </w:pPr>
            <w:r w:rsidRPr="0059688C">
              <w:rPr>
                <w:rFonts w:ascii="Arial Narrow" w:hAnsi="Arial Narrow"/>
                <w:sz w:val="20"/>
              </w:rPr>
              <w:t>Internal study report</w:t>
            </w:r>
            <w:r>
              <w:rPr>
                <w:rFonts w:ascii="Arial Narrow" w:hAnsi="Arial Narrow"/>
                <w:sz w:val="20"/>
              </w:rPr>
              <w:t>, January 2014</w:t>
            </w:r>
          </w:p>
        </w:tc>
      </w:tr>
      <w:tr w:rsidR="00365B48" w:rsidRPr="0059688C" w:rsidTr="00CF4681">
        <w:tc>
          <w:tcPr>
            <w:tcW w:w="594" w:type="pct"/>
            <w:vMerge/>
          </w:tcPr>
          <w:p w:rsidR="00365B48" w:rsidRPr="004E2ADC" w:rsidRDefault="00365B48" w:rsidP="009710A3">
            <w:pPr>
              <w:jc w:val="left"/>
              <w:rPr>
                <w:rFonts w:ascii="Arial Narrow" w:hAnsi="Arial Narrow"/>
                <w:sz w:val="20"/>
              </w:rPr>
            </w:pPr>
          </w:p>
        </w:tc>
        <w:tc>
          <w:tcPr>
            <w:tcW w:w="3057" w:type="pct"/>
          </w:tcPr>
          <w:p w:rsidR="00365B48" w:rsidRPr="002D7145" w:rsidRDefault="00365B48" w:rsidP="009710A3">
            <w:pPr>
              <w:jc w:val="left"/>
              <w:rPr>
                <w:rFonts w:ascii="Arial Narrow" w:hAnsi="Arial Narrow"/>
                <w:sz w:val="20"/>
              </w:rPr>
            </w:pPr>
            <w:proofErr w:type="spellStart"/>
            <w:r w:rsidRPr="002D7145">
              <w:rPr>
                <w:rFonts w:ascii="Arial Narrow" w:hAnsi="Arial Narrow"/>
                <w:sz w:val="20"/>
              </w:rPr>
              <w:t>Zimran</w:t>
            </w:r>
            <w:proofErr w:type="spellEnd"/>
            <w:r w:rsidRPr="002D7145">
              <w:rPr>
                <w:rFonts w:ascii="Arial Narrow" w:hAnsi="Arial Narrow"/>
                <w:sz w:val="20"/>
              </w:rPr>
              <w:t xml:space="preserve"> et al. A multicenter, double-blind, randomized safety and efficacy study of two dose levels of </w:t>
            </w:r>
            <w:proofErr w:type="spellStart"/>
            <w:r w:rsidRPr="002D7145">
              <w:rPr>
                <w:rFonts w:ascii="Arial Narrow" w:hAnsi="Arial Narrow"/>
                <w:sz w:val="20"/>
              </w:rPr>
              <w:t>taliglucerase</w:t>
            </w:r>
            <w:proofErr w:type="spellEnd"/>
            <w:r w:rsidRPr="002D7145">
              <w:rPr>
                <w:rFonts w:ascii="Arial Narrow" w:hAnsi="Arial Narrow"/>
                <w:sz w:val="20"/>
              </w:rPr>
              <w:t xml:space="preserve"> alfa in </w:t>
            </w:r>
            <w:proofErr w:type="spellStart"/>
            <w:r w:rsidRPr="002D7145">
              <w:rPr>
                <w:rFonts w:ascii="Arial Narrow" w:hAnsi="Arial Narrow"/>
                <w:sz w:val="20"/>
              </w:rPr>
              <w:t>pediatric</w:t>
            </w:r>
            <w:proofErr w:type="spellEnd"/>
            <w:r w:rsidRPr="002D7145">
              <w:rPr>
                <w:rFonts w:ascii="Arial Narrow" w:hAnsi="Arial Narrow"/>
                <w:sz w:val="20"/>
              </w:rPr>
              <w:t xml:space="preserve"> patients with </w:t>
            </w:r>
            <w:proofErr w:type="spellStart"/>
            <w:r w:rsidRPr="002D7145">
              <w:rPr>
                <w:rFonts w:ascii="Arial Narrow" w:hAnsi="Arial Narrow"/>
                <w:sz w:val="20"/>
              </w:rPr>
              <w:t>Gaucher</w:t>
            </w:r>
            <w:proofErr w:type="spellEnd"/>
            <w:r w:rsidRPr="002D7145">
              <w:rPr>
                <w:rFonts w:ascii="Arial Narrow" w:hAnsi="Arial Narrow"/>
                <w:sz w:val="20"/>
              </w:rPr>
              <w:t xml:space="preserve"> disease. </w:t>
            </w:r>
            <w:r w:rsidRPr="002D7145">
              <w:rPr>
                <w:rFonts w:ascii="Arial Narrow" w:hAnsi="Arial Narrow"/>
                <w:b/>
                <w:sz w:val="20"/>
              </w:rPr>
              <w:t xml:space="preserve"> </w:t>
            </w:r>
          </w:p>
        </w:tc>
        <w:tc>
          <w:tcPr>
            <w:tcW w:w="1349" w:type="pct"/>
          </w:tcPr>
          <w:p w:rsidR="00365B48" w:rsidRPr="0059688C" w:rsidRDefault="00365B48" w:rsidP="009710A3">
            <w:pPr>
              <w:jc w:val="left"/>
              <w:rPr>
                <w:rFonts w:ascii="Arial Narrow" w:hAnsi="Arial Narrow"/>
                <w:b/>
                <w:sz w:val="20"/>
              </w:rPr>
            </w:pPr>
            <w:r w:rsidRPr="002D7145">
              <w:rPr>
                <w:rFonts w:ascii="Arial Narrow" w:hAnsi="Arial Narrow"/>
                <w:i/>
                <w:sz w:val="20"/>
              </w:rPr>
              <w:t>Molecular Genetics &amp; Metabolism</w:t>
            </w:r>
            <w:r w:rsidRPr="002D7145">
              <w:rPr>
                <w:rFonts w:ascii="Arial Narrow" w:hAnsi="Arial Narrow"/>
                <w:sz w:val="20"/>
              </w:rPr>
              <w:t xml:space="preserve"> 2013</w:t>
            </w:r>
            <w:r>
              <w:rPr>
                <w:rFonts w:ascii="Arial Narrow" w:hAnsi="Arial Narrow"/>
                <w:sz w:val="20"/>
              </w:rPr>
              <w:t>;</w:t>
            </w:r>
            <w:r w:rsidRPr="002D7145">
              <w:rPr>
                <w:rFonts w:ascii="Arial Narrow" w:hAnsi="Arial Narrow"/>
                <w:sz w:val="20"/>
              </w:rPr>
              <w:t xml:space="preserve"> 108</w:t>
            </w:r>
            <w:proofErr w:type="gramStart"/>
            <w:r w:rsidRPr="002D7145">
              <w:rPr>
                <w:rFonts w:ascii="Arial Narrow" w:hAnsi="Arial Narrow"/>
                <w:sz w:val="20"/>
              </w:rPr>
              <w:t>( 2</w:t>
            </w:r>
            <w:proofErr w:type="gramEnd"/>
            <w:r w:rsidRPr="002D7145">
              <w:rPr>
                <w:rFonts w:ascii="Arial Narrow" w:hAnsi="Arial Narrow"/>
                <w:sz w:val="20"/>
              </w:rPr>
              <w:t>)</w:t>
            </w:r>
            <w:r>
              <w:rPr>
                <w:rFonts w:ascii="Arial Narrow" w:hAnsi="Arial Narrow"/>
                <w:sz w:val="20"/>
              </w:rPr>
              <w:t>:</w:t>
            </w:r>
            <w:r w:rsidRPr="002D7145">
              <w:rPr>
                <w:rFonts w:ascii="Arial Narrow" w:hAnsi="Arial Narrow"/>
                <w:sz w:val="20"/>
              </w:rPr>
              <w:t xml:space="preserve"> Abs264.</w:t>
            </w:r>
          </w:p>
        </w:tc>
      </w:tr>
      <w:tr w:rsidR="00365B48" w:rsidRPr="0059688C" w:rsidTr="00CF4681">
        <w:tc>
          <w:tcPr>
            <w:tcW w:w="594" w:type="pct"/>
            <w:vMerge/>
          </w:tcPr>
          <w:p w:rsidR="00365B48" w:rsidRPr="004E2ADC" w:rsidRDefault="00365B48" w:rsidP="009710A3">
            <w:pPr>
              <w:jc w:val="left"/>
              <w:rPr>
                <w:rFonts w:ascii="Arial Narrow" w:hAnsi="Arial Narrow"/>
                <w:sz w:val="20"/>
              </w:rPr>
            </w:pPr>
          </w:p>
        </w:tc>
        <w:tc>
          <w:tcPr>
            <w:tcW w:w="3057" w:type="pct"/>
          </w:tcPr>
          <w:p w:rsidR="00365B48" w:rsidRPr="002D7145" w:rsidRDefault="00365B48" w:rsidP="009710A3">
            <w:pPr>
              <w:jc w:val="left"/>
              <w:rPr>
                <w:rFonts w:ascii="Arial Narrow" w:hAnsi="Arial Narrow"/>
                <w:sz w:val="20"/>
              </w:rPr>
            </w:pPr>
            <w:proofErr w:type="spellStart"/>
            <w:r w:rsidRPr="002D7145">
              <w:rPr>
                <w:rFonts w:ascii="Arial Narrow" w:hAnsi="Arial Narrow"/>
                <w:sz w:val="20"/>
              </w:rPr>
              <w:t>Zimran</w:t>
            </w:r>
            <w:proofErr w:type="spellEnd"/>
            <w:r w:rsidRPr="002D7145">
              <w:rPr>
                <w:rFonts w:ascii="Arial Narrow" w:hAnsi="Arial Narrow"/>
                <w:sz w:val="20"/>
              </w:rPr>
              <w:t xml:space="preserve"> et al. A multicenter, double-blind, randomized safety and efficacy study of two dose levels of </w:t>
            </w:r>
            <w:proofErr w:type="spellStart"/>
            <w:r w:rsidRPr="002D7145">
              <w:rPr>
                <w:rFonts w:ascii="Arial Narrow" w:hAnsi="Arial Narrow"/>
                <w:sz w:val="20"/>
              </w:rPr>
              <w:t>taliglucerase</w:t>
            </w:r>
            <w:proofErr w:type="spellEnd"/>
            <w:r w:rsidRPr="002D7145">
              <w:rPr>
                <w:rFonts w:ascii="Arial Narrow" w:hAnsi="Arial Narrow"/>
                <w:sz w:val="20"/>
              </w:rPr>
              <w:t xml:space="preserve"> alfa in </w:t>
            </w:r>
            <w:proofErr w:type="spellStart"/>
            <w:r w:rsidRPr="002D7145">
              <w:rPr>
                <w:rFonts w:ascii="Arial Narrow" w:hAnsi="Arial Narrow"/>
                <w:sz w:val="20"/>
              </w:rPr>
              <w:t>pediatric</w:t>
            </w:r>
            <w:proofErr w:type="spellEnd"/>
            <w:r w:rsidRPr="002D7145">
              <w:rPr>
                <w:rFonts w:ascii="Arial Narrow" w:hAnsi="Arial Narrow"/>
                <w:sz w:val="20"/>
              </w:rPr>
              <w:t xml:space="preserve"> patients with </w:t>
            </w:r>
            <w:proofErr w:type="spellStart"/>
            <w:r w:rsidRPr="002D7145">
              <w:rPr>
                <w:rFonts w:ascii="Arial Narrow" w:hAnsi="Arial Narrow"/>
                <w:sz w:val="20"/>
              </w:rPr>
              <w:t>Gaucher</w:t>
            </w:r>
            <w:proofErr w:type="spellEnd"/>
            <w:r w:rsidRPr="002D7145">
              <w:rPr>
                <w:rFonts w:ascii="Arial Narrow" w:hAnsi="Arial Narrow"/>
                <w:sz w:val="20"/>
              </w:rPr>
              <w:t xml:space="preserve"> disease. </w:t>
            </w:r>
          </w:p>
        </w:tc>
        <w:tc>
          <w:tcPr>
            <w:tcW w:w="1349" w:type="pct"/>
          </w:tcPr>
          <w:p w:rsidR="00365B48" w:rsidRPr="000D37EA" w:rsidRDefault="00365B48" w:rsidP="009710A3">
            <w:pPr>
              <w:jc w:val="left"/>
              <w:rPr>
                <w:rFonts w:ascii="Arial Narrow" w:hAnsi="Arial Narrow"/>
                <w:sz w:val="20"/>
              </w:rPr>
            </w:pPr>
            <w:r w:rsidRPr="002D7145">
              <w:rPr>
                <w:rFonts w:ascii="Arial Narrow" w:hAnsi="Arial Narrow"/>
                <w:i/>
                <w:sz w:val="20"/>
              </w:rPr>
              <w:t>Blood</w:t>
            </w:r>
            <w:r w:rsidRPr="002D7145">
              <w:rPr>
                <w:rFonts w:ascii="Arial Narrow" w:hAnsi="Arial Narrow"/>
                <w:sz w:val="20"/>
              </w:rPr>
              <w:t xml:space="preserve"> 2012</w:t>
            </w:r>
            <w:r>
              <w:rPr>
                <w:rFonts w:ascii="Arial Narrow" w:hAnsi="Arial Narrow"/>
                <w:sz w:val="20"/>
              </w:rPr>
              <w:t xml:space="preserve"> </w:t>
            </w:r>
            <w:r w:rsidRPr="002D7145">
              <w:rPr>
                <w:rFonts w:ascii="Arial Narrow" w:hAnsi="Arial Narrow"/>
                <w:sz w:val="20"/>
              </w:rPr>
              <w:t xml:space="preserve">Conference: 54th Annual Meeting of the American Society of </w:t>
            </w:r>
            <w:proofErr w:type="spellStart"/>
            <w:r w:rsidRPr="002D7145">
              <w:rPr>
                <w:rFonts w:ascii="Arial Narrow" w:hAnsi="Arial Narrow"/>
                <w:sz w:val="20"/>
              </w:rPr>
              <w:t>Hematology</w:t>
            </w:r>
            <w:proofErr w:type="spellEnd"/>
            <w:r w:rsidRPr="002D7145">
              <w:rPr>
                <w:rFonts w:ascii="Arial Narrow" w:hAnsi="Arial Narrow"/>
                <w:sz w:val="20"/>
              </w:rPr>
              <w:t>, ASH 2012 Atlanta, GA United States. Conference Publication: 120(21); 2140.</w:t>
            </w:r>
          </w:p>
        </w:tc>
      </w:tr>
      <w:tr w:rsidR="00365B48" w:rsidRPr="004E2ADC" w:rsidTr="005D4557">
        <w:tc>
          <w:tcPr>
            <w:tcW w:w="5000" w:type="pct"/>
            <w:gridSpan w:val="3"/>
          </w:tcPr>
          <w:p w:rsidR="00365B48" w:rsidRPr="004E2ADC" w:rsidRDefault="00365B48" w:rsidP="009710A3">
            <w:pPr>
              <w:jc w:val="left"/>
              <w:rPr>
                <w:rFonts w:ascii="Arial Narrow" w:hAnsi="Arial Narrow"/>
                <w:b/>
                <w:sz w:val="20"/>
              </w:rPr>
            </w:pPr>
            <w:proofErr w:type="spellStart"/>
            <w:r>
              <w:rPr>
                <w:rFonts w:ascii="Arial Narrow" w:hAnsi="Arial Narrow"/>
                <w:b/>
                <w:sz w:val="20"/>
              </w:rPr>
              <w:t>Taliglucerase</w:t>
            </w:r>
            <w:proofErr w:type="spellEnd"/>
            <w:r>
              <w:rPr>
                <w:rFonts w:ascii="Arial Narrow" w:hAnsi="Arial Narrow"/>
                <w:b/>
                <w:sz w:val="20"/>
              </w:rPr>
              <w:t xml:space="preserve"> alfa non-randomised studies</w:t>
            </w:r>
          </w:p>
        </w:tc>
      </w:tr>
      <w:tr w:rsidR="00365B48" w:rsidRPr="004E2ADC" w:rsidTr="00CF4681">
        <w:tc>
          <w:tcPr>
            <w:tcW w:w="594" w:type="pct"/>
            <w:vMerge w:val="restart"/>
            <w:vAlign w:val="center"/>
          </w:tcPr>
          <w:p w:rsidR="00365B48" w:rsidRPr="004E2ADC" w:rsidRDefault="00365B48" w:rsidP="009710A3">
            <w:pPr>
              <w:jc w:val="left"/>
              <w:rPr>
                <w:rFonts w:ascii="Arial Narrow" w:hAnsi="Arial Narrow"/>
                <w:sz w:val="20"/>
              </w:rPr>
            </w:pPr>
            <w:r w:rsidRPr="00DA2B05">
              <w:rPr>
                <w:rFonts w:ascii="Arial Narrow" w:hAnsi="Arial Narrow"/>
                <w:sz w:val="20"/>
              </w:rPr>
              <w:t>PB-06-002</w:t>
            </w:r>
          </w:p>
        </w:tc>
        <w:tc>
          <w:tcPr>
            <w:tcW w:w="3057" w:type="pct"/>
          </w:tcPr>
          <w:p w:rsidR="00365B48" w:rsidRPr="000D37EA" w:rsidRDefault="00365B48" w:rsidP="009710A3">
            <w:pPr>
              <w:jc w:val="left"/>
              <w:rPr>
                <w:rFonts w:ascii="Arial Narrow" w:hAnsi="Arial Narrow"/>
                <w:sz w:val="20"/>
              </w:rPr>
            </w:pPr>
            <w:proofErr w:type="spellStart"/>
            <w:r w:rsidRPr="00DA2B05">
              <w:rPr>
                <w:rFonts w:ascii="Arial Narrow" w:hAnsi="Arial Narrow"/>
                <w:sz w:val="20"/>
              </w:rPr>
              <w:t>Protalix</w:t>
            </w:r>
            <w:proofErr w:type="spellEnd"/>
            <w:r w:rsidRPr="00DA2B05">
              <w:rPr>
                <w:rFonts w:ascii="Arial Narrow" w:hAnsi="Arial Narrow"/>
                <w:sz w:val="20"/>
              </w:rPr>
              <w:t xml:space="preserve"> clinical study report. A Phase 3 Multicenter, Open-label, Switchover Trial to Assess the Safety and Efficacy of Plant Cell Expressed Recombinant Human </w:t>
            </w:r>
            <w:proofErr w:type="spellStart"/>
            <w:r w:rsidRPr="00DA2B05">
              <w:rPr>
                <w:rFonts w:ascii="Arial Narrow" w:hAnsi="Arial Narrow"/>
                <w:sz w:val="20"/>
              </w:rPr>
              <w:t>Glucocerebrosidase</w:t>
            </w:r>
            <w:proofErr w:type="spellEnd"/>
            <w:r w:rsidRPr="00DA2B05">
              <w:rPr>
                <w:rFonts w:ascii="Arial Narrow" w:hAnsi="Arial Narrow"/>
                <w:sz w:val="20"/>
              </w:rPr>
              <w:t xml:space="preserve"> (</w:t>
            </w:r>
            <w:proofErr w:type="spellStart"/>
            <w:r w:rsidRPr="00DA2B05">
              <w:rPr>
                <w:rFonts w:ascii="Arial Narrow" w:hAnsi="Arial Narrow"/>
                <w:sz w:val="20"/>
              </w:rPr>
              <w:t>Taliglucerase</w:t>
            </w:r>
            <w:proofErr w:type="spellEnd"/>
            <w:r w:rsidRPr="00DA2B05">
              <w:rPr>
                <w:rFonts w:ascii="Arial Narrow" w:hAnsi="Arial Narrow"/>
                <w:sz w:val="20"/>
              </w:rPr>
              <w:t xml:space="preserve"> alfa) in Patients with </w:t>
            </w:r>
            <w:proofErr w:type="spellStart"/>
            <w:r w:rsidRPr="00DA2B05">
              <w:rPr>
                <w:rFonts w:ascii="Arial Narrow" w:hAnsi="Arial Narrow"/>
                <w:sz w:val="20"/>
              </w:rPr>
              <w:t>Gaucher</w:t>
            </w:r>
            <w:proofErr w:type="spellEnd"/>
            <w:r w:rsidRPr="00DA2B05">
              <w:rPr>
                <w:rFonts w:ascii="Arial Narrow" w:hAnsi="Arial Narrow"/>
                <w:sz w:val="20"/>
              </w:rPr>
              <w:t xml:space="preserve"> Disease Treated with </w:t>
            </w:r>
            <w:proofErr w:type="spellStart"/>
            <w:r w:rsidRPr="00DA2B05">
              <w:rPr>
                <w:rFonts w:ascii="Arial Narrow" w:hAnsi="Arial Narrow"/>
                <w:sz w:val="20"/>
              </w:rPr>
              <w:t>Imiglucerase</w:t>
            </w:r>
            <w:proofErr w:type="spellEnd"/>
            <w:r w:rsidRPr="00DA2B05">
              <w:rPr>
                <w:rFonts w:ascii="Arial Narrow" w:hAnsi="Arial Narrow"/>
                <w:sz w:val="20"/>
              </w:rPr>
              <w:t xml:space="preserve"> (</w:t>
            </w:r>
            <w:proofErr w:type="spellStart"/>
            <w:r w:rsidRPr="00DA2B05">
              <w:rPr>
                <w:rFonts w:ascii="Arial Narrow" w:hAnsi="Arial Narrow"/>
                <w:sz w:val="20"/>
              </w:rPr>
              <w:t>Cerezyme</w:t>
            </w:r>
            <w:proofErr w:type="spellEnd"/>
            <w:r w:rsidRPr="00DA2B05">
              <w:rPr>
                <w:rFonts w:ascii="Arial Narrow" w:hAnsi="Arial Narrow"/>
                <w:sz w:val="20"/>
              </w:rPr>
              <w:t>®) Enzyme Replacement Therapy</w:t>
            </w:r>
          </w:p>
        </w:tc>
        <w:tc>
          <w:tcPr>
            <w:tcW w:w="1349" w:type="pct"/>
          </w:tcPr>
          <w:p w:rsidR="00365B48" w:rsidRPr="00DA2B05" w:rsidRDefault="00365B48" w:rsidP="009710A3">
            <w:pPr>
              <w:jc w:val="left"/>
              <w:rPr>
                <w:rFonts w:ascii="Arial Narrow" w:hAnsi="Arial Narrow"/>
                <w:sz w:val="20"/>
              </w:rPr>
            </w:pPr>
            <w:r>
              <w:rPr>
                <w:rFonts w:ascii="Arial Narrow" w:hAnsi="Arial Narrow"/>
                <w:sz w:val="20"/>
              </w:rPr>
              <w:t>Internal study report, May 2013</w:t>
            </w:r>
          </w:p>
        </w:tc>
      </w:tr>
      <w:tr w:rsidR="00365B48" w:rsidRPr="004E2ADC" w:rsidTr="00CF4681">
        <w:tc>
          <w:tcPr>
            <w:tcW w:w="594" w:type="pct"/>
            <w:vMerge/>
            <w:vAlign w:val="center"/>
          </w:tcPr>
          <w:p w:rsidR="00365B48" w:rsidRPr="00DA2B05" w:rsidRDefault="00365B48" w:rsidP="009710A3">
            <w:pPr>
              <w:jc w:val="left"/>
              <w:rPr>
                <w:rFonts w:ascii="Arial Narrow" w:hAnsi="Arial Narrow"/>
                <w:sz w:val="20"/>
              </w:rPr>
            </w:pPr>
          </w:p>
        </w:tc>
        <w:tc>
          <w:tcPr>
            <w:tcW w:w="3057" w:type="pct"/>
          </w:tcPr>
          <w:p w:rsidR="00365B48" w:rsidRPr="00DA2B05" w:rsidRDefault="00365B48" w:rsidP="009710A3">
            <w:pPr>
              <w:jc w:val="left"/>
              <w:rPr>
                <w:rFonts w:ascii="Arial Narrow" w:hAnsi="Arial Narrow"/>
                <w:sz w:val="20"/>
              </w:rPr>
            </w:pPr>
            <w:proofErr w:type="spellStart"/>
            <w:r w:rsidRPr="00DA2B05">
              <w:rPr>
                <w:rFonts w:ascii="Arial Narrow" w:hAnsi="Arial Narrow"/>
                <w:sz w:val="20"/>
              </w:rPr>
              <w:t>Pastores</w:t>
            </w:r>
            <w:proofErr w:type="spellEnd"/>
            <w:r w:rsidRPr="00DA2B05">
              <w:rPr>
                <w:rFonts w:ascii="Arial Narrow" w:hAnsi="Arial Narrow"/>
                <w:sz w:val="20"/>
              </w:rPr>
              <w:t xml:space="preserve"> et al. Plant cell expressed recombinant </w:t>
            </w:r>
            <w:proofErr w:type="spellStart"/>
            <w:r w:rsidRPr="00DA2B05">
              <w:rPr>
                <w:rFonts w:ascii="Arial Narrow" w:hAnsi="Arial Narrow"/>
                <w:sz w:val="20"/>
              </w:rPr>
              <w:t>glucocerebrosidase</w:t>
            </w:r>
            <w:proofErr w:type="spellEnd"/>
            <w:r w:rsidRPr="00DA2B05">
              <w:rPr>
                <w:rFonts w:ascii="Arial Narrow" w:hAnsi="Arial Narrow"/>
                <w:sz w:val="20"/>
              </w:rPr>
              <w:t xml:space="preserve"> - </w:t>
            </w:r>
            <w:proofErr w:type="spellStart"/>
            <w:r w:rsidRPr="00DA2B05">
              <w:rPr>
                <w:rFonts w:ascii="Arial Narrow" w:hAnsi="Arial Narrow"/>
                <w:sz w:val="20"/>
              </w:rPr>
              <w:t>taliglucerase</w:t>
            </w:r>
            <w:proofErr w:type="spellEnd"/>
            <w:r w:rsidRPr="00DA2B05">
              <w:rPr>
                <w:rFonts w:ascii="Arial Narrow" w:hAnsi="Arial Narrow"/>
                <w:sz w:val="20"/>
              </w:rPr>
              <w:t xml:space="preserve"> alfa as therapy for </w:t>
            </w:r>
            <w:proofErr w:type="spellStart"/>
            <w:r w:rsidRPr="00DA2B05">
              <w:rPr>
                <w:rFonts w:ascii="Arial Narrow" w:hAnsi="Arial Narrow"/>
                <w:sz w:val="20"/>
              </w:rPr>
              <w:t>Gaucher</w:t>
            </w:r>
            <w:proofErr w:type="spellEnd"/>
            <w:r w:rsidRPr="00DA2B05">
              <w:rPr>
                <w:rFonts w:ascii="Arial Narrow" w:hAnsi="Arial Narrow"/>
                <w:sz w:val="20"/>
              </w:rPr>
              <w:t xml:space="preserve"> disease in patients previously treated with </w:t>
            </w:r>
            <w:proofErr w:type="spellStart"/>
            <w:r w:rsidRPr="00DA2B05">
              <w:rPr>
                <w:rFonts w:ascii="Arial Narrow" w:hAnsi="Arial Narrow"/>
                <w:sz w:val="20"/>
              </w:rPr>
              <w:t>imiglucerase</w:t>
            </w:r>
            <w:proofErr w:type="spellEnd"/>
            <w:r w:rsidRPr="00DA2B05">
              <w:rPr>
                <w:rFonts w:ascii="Arial Narrow" w:hAnsi="Arial Narrow"/>
                <w:sz w:val="20"/>
              </w:rPr>
              <w:t xml:space="preserve">. </w:t>
            </w:r>
          </w:p>
        </w:tc>
        <w:tc>
          <w:tcPr>
            <w:tcW w:w="1349" w:type="pct"/>
          </w:tcPr>
          <w:p w:rsidR="00365B48" w:rsidRDefault="00365B48" w:rsidP="009710A3">
            <w:pPr>
              <w:jc w:val="left"/>
              <w:rPr>
                <w:rFonts w:ascii="Arial Narrow" w:hAnsi="Arial Narrow"/>
                <w:sz w:val="20"/>
              </w:rPr>
            </w:pPr>
            <w:r w:rsidRPr="002D7145">
              <w:rPr>
                <w:rFonts w:ascii="Arial Narrow" w:hAnsi="Arial Narrow"/>
                <w:i/>
                <w:sz w:val="20"/>
              </w:rPr>
              <w:t>Molecular Genetics &amp; Metabolism</w:t>
            </w:r>
            <w:r w:rsidRPr="00DA2B05">
              <w:rPr>
                <w:rFonts w:ascii="Arial Narrow" w:hAnsi="Arial Narrow"/>
                <w:sz w:val="20"/>
              </w:rPr>
              <w:t xml:space="preserve"> 2012</w:t>
            </w:r>
            <w:r>
              <w:rPr>
                <w:rFonts w:ascii="Arial Narrow" w:hAnsi="Arial Narrow"/>
                <w:sz w:val="20"/>
              </w:rPr>
              <w:t>;</w:t>
            </w:r>
            <w:r w:rsidRPr="00DA2B05">
              <w:rPr>
                <w:rFonts w:ascii="Arial Narrow" w:hAnsi="Arial Narrow"/>
                <w:sz w:val="20"/>
              </w:rPr>
              <w:t xml:space="preserve"> 105</w:t>
            </w:r>
            <w:r>
              <w:rPr>
                <w:rFonts w:ascii="Arial Narrow" w:hAnsi="Arial Narrow"/>
                <w:sz w:val="20"/>
              </w:rPr>
              <w:t>(</w:t>
            </w:r>
            <w:r w:rsidRPr="00DA2B05">
              <w:rPr>
                <w:rFonts w:ascii="Arial Narrow" w:hAnsi="Arial Narrow"/>
                <w:sz w:val="20"/>
              </w:rPr>
              <w:t>2</w:t>
            </w:r>
            <w:r>
              <w:rPr>
                <w:rFonts w:ascii="Arial Narrow" w:hAnsi="Arial Narrow"/>
                <w:sz w:val="20"/>
              </w:rPr>
              <w:t>):</w:t>
            </w:r>
            <w:r w:rsidRPr="00DA2B05">
              <w:rPr>
                <w:rFonts w:ascii="Arial Narrow" w:hAnsi="Arial Narrow"/>
                <w:sz w:val="20"/>
              </w:rPr>
              <w:t xml:space="preserve"> S50.</w:t>
            </w:r>
          </w:p>
        </w:tc>
      </w:tr>
      <w:tr w:rsidR="00365B48" w:rsidRPr="004E2ADC" w:rsidTr="00CF4681">
        <w:tc>
          <w:tcPr>
            <w:tcW w:w="594" w:type="pct"/>
            <w:vMerge w:val="restart"/>
            <w:vAlign w:val="center"/>
          </w:tcPr>
          <w:p w:rsidR="00365B48" w:rsidRPr="004E2ADC" w:rsidRDefault="00365B48" w:rsidP="009710A3">
            <w:pPr>
              <w:jc w:val="left"/>
              <w:rPr>
                <w:rFonts w:ascii="Arial Narrow" w:hAnsi="Arial Narrow"/>
                <w:sz w:val="20"/>
              </w:rPr>
            </w:pPr>
            <w:r w:rsidRPr="00DA2B05">
              <w:rPr>
                <w:rFonts w:ascii="Arial Narrow" w:hAnsi="Arial Narrow"/>
                <w:sz w:val="20"/>
              </w:rPr>
              <w:t>PB-06-003</w:t>
            </w:r>
          </w:p>
        </w:tc>
        <w:tc>
          <w:tcPr>
            <w:tcW w:w="3057" w:type="pct"/>
          </w:tcPr>
          <w:p w:rsidR="00365B48" w:rsidRPr="000D37EA" w:rsidRDefault="00365B48" w:rsidP="009710A3">
            <w:pPr>
              <w:jc w:val="left"/>
              <w:rPr>
                <w:rFonts w:ascii="Arial Narrow" w:hAnsi="Arial Narrow"/>
                <w:sz w:val="20"/>
              </w:rPr>
            </w:pPr>
            <w:proofErr w:type="spellStart"/>
            <w:r w:rsidRPr="00DA2B05">
              <w:rPr>
                <w:rFonts w:ascii="Arial Narrow" w:hAnsi="Arial Narrow"/>
                <w:sz w:val="20"/>
              </w:rPr>
              <w:t>Protalix</w:t>
            </w:r>
            <w:proofErr w:type="spellEnd"/>
            <w:r w:rsidRPr="00DA2B05">
              <w:rPr>
                <w:rFonts w:ascii="Arial Narrow" w:hAnsi="Arial Narrow"/>
                <w:sz w:val="20"/>
              </w:rPr>
              <w:t xml:space="preserve"> clinical study report interim analysis. A multicenter extension trial of plant cell expressed recombinant human </w:t>
            </w:r>
            <w:proofErr w:type="spellStart"/>
            <w:r w:rsidRPr="00DA2B05">
              <w:rPr>
                <w:rFonts w:ascii="Arial Narrow" w:hAnsi="Arial Narrow"/>
                <w:sz w:val="20"/>
              </w:rPr>
              <w:t>glucocerebrosidase</w:t>
            </w:r>
            <w:proofErr w:type="spellEnd"/>
            <w:r w:rsidRPr="00DA2B05">
              <w:rPr>
                <w:rFonts w:ascii="Arial Narrow" w:hAnsi="Arial Narrow"/>
                <w:sz w:val="20"/>
              </w:rPr>
              <w:t xml:space="preserve"> (</w:t>
            </w:r>
            <w:proofErr w:type="spellStart"/>
            <w:r w:rsidRPr="00DA2B05">
              <w:rPr>
                <w:rFonts w:ascii="Arial Narrow" w:hAnsi="Arial Narrow"/>
                <w:sz w:val="20"/>
              </w:rPr>
              <w:t>taliglucerase</w:t>
            </w:r>
            <w:proofErr w:type="spellEnd"/>
            <w:r w:rsidRPr="00DA2B05">
              <w:rPr>
                <w:rFonts w:ascii="Arial Narrow" w:hAnsi="Arial Narrow"/>
                <w:sz w:val="20"/>
              </w:rPr>
              <w:t xml:space="preserve"> alfa) in patients with </w:t>
            </w:r>
            <w:proofErr w:type="spellStart"/>
            <w:r w:rsidRPr="00DA2B05">
              <w:rPr>
                <w:rFonts w:ascii="Arial Narrow" w:hAnsi="Arial Narrow"/>
                <w:sz w:val="20"/>
              </w:rPr>
              <w:t>Gaucher</w:t>
            </w:r>
            <w:proofErr w:type="spellEnd"/>
            <w:r w:rsidRPr="00DA2B05">
              <w:rPr>
                <w:rFonts w:ascii="Arial Narrow" w:hAnsi="Arial Narrow"/>
                <w:sz w:val="20"/>
              </w:rPr>
              <w:t xml:space="preserve"> Disease.</w:t>
            </w:r>
          </w:p>
        </w:tc>
        <w:tc>
          <w:tcPr>
            <w:tcW w:w="1349" w:type="pct"/>
          </w:tcPr>
          <w:p w:rsidR="00365B48" w:rsidRPr="00DA2B05" w:rsidRDefault="00365B48" w:rsidP="009710A3">
            <w:pPr>
              <w:jc w:val="left"/>
              <w:rPr>
                <w:rFonts w:ascii="Arial Narrow" w:hAnsi="Arial Narrow"/>
                <w:sz w:val="20"/>
              </w:rPr>
            </w:pPr>
            <w:r>
              <w:rPr>
                <w:rFonts w:ascii="Arial Narrow" w:hAnsi="Arial Narrow"/>
                <w:sz w:val="20"/>
              </w:rPr>
              <w:t>Internal study report, May 2012</w:t>
            </w:r>
          </w:p>
        </w:tc>
      </w:tr>
      <w:tr w:rsidR="00365B48" w:rsidRPr="004E2ADC" w:rsidTr="00CF4681">
        <w:tc>
          <w:tcPr>
            <w:tcW w:w="594" w:type="pct"/>
            <w:vMerge/>
            <w:vAlign w:val="center"/>
          </w:tcPr>
          <w:p w:rsidR="00365B48" w:rsidRPr="00DA2B05" w:rsidRDefault="00365B48" w:rsidP="009710A3">
            <w:pPr>
              <w:jc w:val="left"/>
              <w:rPr>
                <w:rFonts w:ascii="Arial Narrow" w:hAnsi="Arial Narrow"/>
                <w:sz w:val="20"/>
              </w:rPr>
            </w:pPr>
          </w:p>
        </w:tc>
        <w:tc>
          <w:tcPr>
            <w:tcW w:w="3057" w:type="pct"/>
          </w:tcPr>
          <w:p w:rsidR="00365B48" w:rsidRPr="00DA2B05" w:rsidRDefault="00365B48" w:rsidP="009710A3">
            <w:pPr>
              <w:jc w:val="left"/>
              <w:rPr>
                <w:rFonts w:ascii="Arial Narrow" w:hAnsi="Arial Narrow"/>
                <w:sz w:val="20"/>
              </w:rPr>
            </w:pPr>
            <w:proofErr w:type="spellStart"/>
            <w:r w:rsidRPr="00DA2B05">
              <w:rPr>
                <w:rFonts w:ascii="Arial Narrow" w:hAnsi="Arial Narrow"/>
                <w:sz w:val="20"/>
              </w:rPr>
              <w:t>Zimran</w:t>
            </w:r>
            <w:proofErr w:type="spellEnd"/>
            <w:r w:rsidRPr="00DA2B05">
              <w:rPr>
                <w:rFonts w:ascii="Arial Narrow" w:hAnsi="Arial Narrow"/>
                <w:sz w:val="20"/>
              </w:rPr>
              <w:t xml:space="preserve"> et al. Long term safety and efficacy data of </w:t>
            </w:r>
            <w:proofErr w:type="spellStart"/>
            <w:r w:rsidRPr="00DA2B05">
              <w:rPr>
                <w:rFonts w:ascii="Arial Narrow" w:hAnsi="Arial Narrow"/>
                <w:sz w:val="20"/>
              </w:rPr>
              <w:t>taliglucerase</w:t>
            </w:r>
            <w:proofErr w:type="spellEnd"/>
            <w:r w:rsidRPr="00DA2B05">
              <w:rPr>
                <w:rFonts w:ascii="Arial Narrow" w:hAnsi="Arial Narrow"/>
                <w:sz w:val="20"/>
              </w:rPr>
              <w:t xml:space="preserve"> alfa, a plant cell expressed recombinant </w:t>
            </w:r>
            <w:proofErr w:type="spellStart"/>
            <w:r w:rsidRPr="00DA2B05">
              <w:rPr>
                <w:rFonts w:ascii="Arial Narrow" w:hAnsi="Arial Narrow"/>
                <w:sz w:val="20"/>
              </w:rPr>
              <w:t>glucocerebrosidase</w:t>
            </w:r>
            <w:proofErr w:type="spellEnd"/>
            <w:r w:rsidRPr="00DA2B05">
              <w:rPr>
                <w:rFonts w:ascii="Arial Narrow" w:hAnsi="Arial Narrow"/>
                <w:sz w:val="20"/>
              </w:rPr>
              <w:t xml:space="preserve">, in treatment of naïve </w:t>
            </w:r>
            <w:proofErr w:type="spellStart"/>
            <w:r>
              <w:rPr>
                <w:rFonts w:ascii="Arial Narrow" w:hAnsi="Arial Narrow"/>
                <w:sz w:val="20"/>
              </w:rPr>
              <w:t>G</w:t>
            </w:r>
            <w:r w:rsidRPr="00DA2B05">
              <w:rPr>
                <w:rFonts w:ascii="Arial Narrow" w:hAnsi="Arial Narrow"/>
                <w:sz w:val="20"/>
              </w:rPr>
              <w:t>aucher</w:t>
            </w:r>
            <w:proofErr w:type="spellEnd"/>
            <w:r w:rsidRPr="00DA2B05">
              <w:rPr>
                <w:rFonts w:ascii="Arial Narrow" w:hAnsi="Arial Narrow"/>
                <w:sz w:val="20"/>
              </w:rPr>
              <w:t xml:space="preserve"> disease patients. </w:t>
            </w:r>
          </w:p>
        </w:tc>
        <w:tc>
          <w:tcPr>
            <w:tcW w:w="1349" w:type="pct"/>
          </w:tcPr>
          <w:p w:rsidR="00365B48" w:rsidRDefault="00365B48" w:rsidP="009710A3">
            <w:pPr>
              <w:jc w:val="left"/>
              <w:rPr>
                <w:rFonts w:ascii="Arial Narrow" w:hAnsi="Arial Narrow"/>
                <w:sz w:val="20"/>
              </w:rPr>
            </w:pPr>
            <w:r w:rsidRPr="00DA2B05">
              <w:rPr>
                <w:rFonts w:ascii="Arial Narrow" w:hAnsi="Arial Narrow"/>
                <w:i/>
                <w:sz w:val="20"/>
              </w:rPr>
              <w:t>Molecular Genetics &amp; Metabolism</w:t>
            </w:r>
            <w:r>
              <w:rPr>
                <w:rFonts w:ascii="Arial Narrow" w:hAnsi="Arial Narrow"/>
                <w:sz w:val="20"/>
              </w:rPr>
              <w:t xml:space="preserve"> 2012.</w:t>
            </w:r>
            <w:r w:rsidRPr="00DA2B05">
              <w:rPr>
                <w:rFonts w:ascii="Arial Narrow" w:hAnsi="Arial Narrow"/>
                <w:sz w:val="20"/>
              </w:rPr>
              <w:t xml:space="preserve"> Conference: 8th Annual Research Meeting of the </w:t>
            </w:r>
            <w:proofErr w:type="spellStart"/>
            <w:r w:rsidRPr="00DA2B05">
              <w:rPr>
                <w:rFonts w:ascii="Arial Narrow" w:hAnsi="Arial Narrow"/>
                <w:sz w:val="20"/>
              </w:rPr>
              <w:t>Lysosomal</w:t>
            </w:r>
            <w:proofErr w:type="spellEnd"/>
            <w:r w:rsidRPr="00DA2B05">
              <w:rPr>
                <w:rFonts w:ascii="Arial Narrow" w:hAnsi="Arial Narrow"/>
                <w:sz w:val="20"/>
              </w:rPr>
              <w:t xml:space="preserve"> Disease Network, WORLD Symposium 2012 San Diego, CA United States. Conference Publication</w:t>
            </w:r>
            <w:r>
              <w:rPr>
                <w:rFonts w:ascii="Arial Narrow" w:hAnsi="Arial Narrow"/>
                <w:sz w:val="20"/>
              </w:rPr>
              <w:t>;</w:t>
            </w:r>
            <w:r w:rsidRPr="00DA2B05">
              <w:rPr>
                <w:rFonts w:ascii="Arial Narrow" w:hAnsi="Arial Narrow"/>
                <w:sz w:val="20"/>
              </w:rPr>
              <w:t xml:space="preserve"> </w:t>
            </w:r>
            <w:r>
              <w:rPr>
                <w:rFonts w:ascii="Arial Narrow" w:hAnsi="Arial Narrow"/>
                <w:sz w:val="20"/>
              </w:rPr>
              <w:t>1</w:t>
            </w:r>
            <w:r w:rsidRPr="00DA2B05">
              <w:rPr>
                <w:rFonts w:ascii="Arial Narrow" w:hAnsi="Arial Narrow"/>
                <w:sz w:val="20"/>
              </w:rPr>
              <w:t>05(2)</w:t>
            </w:r>
            <w:r>
              <w:rPr>
                <w:rFonts w:ascii="Arial Narrow" w:hAnsi="Arial Narrow"/>
                <w:sz w:val="20"/>
              </w:rPr>
              <w:t>:</w:t>
            </w:r>
            <w:r w:rsidRPr="00DA2B05">
              <w:rPr>
                <w:rFonts w:ascii="Arial Narrow" w:hAnsi="Arial Narrow"/>
                <w:sz w:val="20"/>
              </w:rPr>
              <w:t xml:space="preserve"> S68</w:t>
            </w:r>
          </w:p>
        </w:tc>
      </w:tr>
      <w:tr w:rsidR="00365B48" w:rsidRPr="004E2ADC" w:rsidTr="00CF4681">
        <w:tc>
          <w:tcPr>
            <w:tcW w:w="594" w:type="pct"/>
            <w:vAlign w:val="center"/>
          </w:tcPr>
          <w:p w:rsidR="00365B48" w:rsidRPr="000D7AF9" w:rsidRDefault="00365B48" w:rsidP="009710A3">
            <w:pPr>
              <w:jc w:val="left"/>
              <w:rPr>
                <w:rFonts w:ascii="Arial Narrow" w:hAnsi="Arial Narrow"/>
                <w:sz w:val="20"/>
                <w:vertAlign w:val="superscript"/>
              </w:rPr>
            </w:pPr>
            <w:r w:rsidRPr="00DA2B05">
              <w:rPr>
                <w:rFonts w:ascii="Arial Narrow" w:hAnsi="Arial Narrow"/>
                <w:sz w:val="20"/>
              </w:rPr>
              <w:t>PB-06-004</w:t>
            </w:r>
            <w:r>
              <w:rPr>
                <w:rFonts w:ascii="Arial Narrow" w:hAnsi="Arial Narrow"/>
                <w:sz w:val="20"/>
              </w:rPr>
              <w:t xml:space="preserve"> </w:t>
            </w:r>
            <w:r>
              <w:rPr>
                <w:rFonts w:ascii="Arial Narrow" w:hAnsi="Arial Narrow"/>
                <w:sz w:val="20"/>
                <w:vertAlign w:val="superscript"/>
              </w:rPr>
              <w:t>d</w:t>
            </w:r>
          </w:p>
        </w:tc>
        <w:tc>
          <w:tcPr>
            <w:tcW w:w="3057" w:type="pct"/>
          </w:tcPr>
          <w:p w:rsidR="00365B48" w:rsidRPr="004E2ADC" w:rsidRDefault="00365B48" w:rsidP="009710A3">
            <w:pPr>
              <w:jc w:val="left"/>
              <w:rPr>
                <w:rFonts w:ascii="Arial Narrow" w:hAnsi="Arial Narrow"/>
                <w:sz w:val="20"/>
              </w:rPr>
            </w:pPr>
            <w:proofErr w:type="spellStart"/>
            <w:r>
              <w:rPr>
                <w:rFonts w:ascii="Arial Narrow" w:hAnsi="Arial Narrow"/>
                <w:sz w:val="20"/>
              </w:rPr>
              <w:t>Protalix</w:t>
            </w:r>
            <w:proofErr w:type="spellEnd"/>
            <w:r>
              <w:rPr>
                <w:rFonts w:ascii="Arial Narrow" w:hAnsi="Arial Narrow"/>
                <w:sz w:val="20"/>
              </w:rPr>
              <w:t xml:space="preserve"> clinical study report</w:t>
            </w:r>
            <w:r w:rsidRPr="00C66C70">
              <w:rPr>
                <w:rFonts w:ascii="Arial Narrow" w:hAnsi="Arial Narrow"/>
                <w:sz w:val="20"/>
              </w:rPr>
              <w:t xml:space="preserve">. An open-label expanded access trial of plant cell expressed recombinant human </w:t>
            </w:r>
            <w:proofErr w:type="spellStart"/>
            <w:r w:rsidRPr="00C66C70">
              <w:rPr>
                <w:rFonts w:ascii="Arial Narrow" w:hAnsi="Arial Narrow"/>
                <w:sz w:val="20"/>
              </w:rPr>
              <w:t>glucocerebrosidase</w:t>
            </w:r>
            <w:proofErr w:type="spellEnd"/>
            <w:r w:rsidRPr="00C66C70">
              <w:rPr>
                <w:rFonts w:ascii="Arial Narrow" w:hAnsi="Arial Narrow"/>
                <w:sz w:val="20"/>
              </w:rPr>
              <w:t xml:space="preserve"> (</w:t>
            </w:r>
            <w:proofErr w:type="spellStart"/>
            <w:r w:rsidRPr="00C66C70">
              <w:rPr>
                <w:rFonts w:ascii="Arial Narrow" w:hAnsi="Arial Narrow"/>
                <w:sz w:val="20"/>
              </w:rPr>
              <w:t>prGCD</w:t>
            </w:r>
            <w:proofErr w:type="spellEnd"/>
            <w:r w:rsidRPr="00C66C70">
              <w:rPr>
                <w:rFonts w:ascii="Arial Narrow" w:hAnsi="Arial Narrow"/>
                <w:sz w:val="20"/>
              </w:rPr>
              <w:t xml:space="preserve">) in patients with </w:t>
            </w:r>
            <w:proofErr w:type="spellStart"/>
            <w:r w:rsidRPr="00C66C70">
              <w:rPr>
                <w:rFonts w:ascii="Arial Narrow" w:hAnsi="Arial Narrow"/>
                <w:sz w:val="20"/>
              </w:rPr>
              <w:t>Gaucher</w:t>
            </w:r>
            <w:proofErr w:type="spellEnd"/>
            <w:r w:rsidRPr="00C66C70">
              <w:rPr>
                <w:rFonts w:ascii="Arial Narrow" w:hAnsi="Arial Narrow"/>
                <w:sz w:val="20"/>
              </w:rPr>
              <w:t xml:space="preserve"> disease who require enzyme replacement therapy. </w:t>
            </w:r>
          </w:p>
        </w:tc>
        <w:tc>
          <w:tcPr>
            <w:tcW w:w="1349" w:type="pct"/>
          </w:tcPr>
          <w:p w:rsidR="00365B48" w:rsidRPr="004E2ADC" w:rsidRDefault="00365B48" w:rsidP="009710A3">
            <w:pPr>
              <w:jc w:val="left"/>
              <w:rPr>
                <w:rFonts w:ascii="Arial Narrow" w:hAnsi="Arial Narrow"/>
                <w:sz w:val="20"/>
              </w:rPr>
            </w:pPr>
            <w:r>
              <w:rPr>
                <w:rFonts w:ascii="Arial Narrow" w:hAnsi="Arial Narrow"/>
                <w:sz w:val="20"/>
              </w:rPr>
              <w:t>Internal study report, December 2013</w:t>
            </w:r>
          </w:p>
        </w:tc>
      </w:tr>
      <w:tr w:rsidR="00365B48" w:rsidRPr="004E2ADC" w:rsidTr="00CF4681">
        <w:tc>
          <w:tcPr>
            <w:tcW w:w="594" w:type="pct"/>
            <w:vMerge w:val="restart"/>
            <w:vAlign w:val="center"/>
          </w:tcPr>
          <w:p w:rsidR="00365B48" w:rsidRPr="00C42C2D" w:rsidRDefault="00365B48" w:rsidP="009710A3">
            <w:pPr>
              <w:jc w:val="left"/>
              <w:rPr>
                <w:rFonts w:ascii="Arial Narrow" w:hAnsi="Arial Narrow"/>
                <w:sz w:val="20"/>
                <w:vertAlign w:val="superscript"/>
              </w:rPr>
            </w:pPr>
            <w:r w:rsidRPr="00DA2B05">
              <w:rPr>
                <w:rFonts w:ascii="Arial Narrow" w:hAnsi="Arial Narrow"/>
                <w:sz w:val="20"/>
              </w:rPr>
              <w:t>PB-06-00</w:t>
            </w:r>
            <w:r>
              <w:rPr>
                <w:rFonts w:ascii="Arial Narrow" w:hAnsi="Arial Narrow"/>
                <w:sz w:val="20"/>
              </w:rPr>
              <w:t xml:space="preserve">6 </w:t>
            </w:r>
            <w:proofErr w:type="spellStart"/>
            <w:r>
              <w:rPr>
                <w:rFonts w:ascii="Arial Narrow" w:hAnsi="Arial Narrow"/>
                <w:sz w:val="20"/>
                <w:vertAlign w:val="superscript"/>
              </w:rPr>
              <w:t>b</w:t>
            </w:r>
            <w:r w:rsidR="000D37EA">
              <w:rPr>
                <w:rFonts w:ascii="Arial Narrow" w:hAnsi="Arial Narrow"/>
                <w:sz w:val="20"/>
                <w:vertAlign w:val="superscript"/>
              </w:rPr>
              <w:t>,c</w:t>
            </w:r>
            <w:proofErr w:type="spellEnd"/>
          </w:p>
          <w:p w:rsidR="00365B48" w:rsidRPr="00DA2B05" w:rsidRDefault="00365B48" w:rsidP="009710A3">
            <w:pPr>
              <w:jc w:val="left"/>
              <w:rPr>
                <w:rFonts w:ascii="Arial Narrow" w:hAnsi="Arial Narrow"/>
                <w:sz w:val="20"/>
              </w:rPr>
            </w:pPr>
          </w:p>
        </w:tc>
        <w:tc>
          <w:tcPr>
            <w:tcW w:w="3057" w:type="pct"/>
          </w:tcPr>
          <w:p w:rsidR="00365B48" w:rsidRPr="004E2ADC" w:rsidRDefault="00365B48" w:rsidP="009710A3">
            <w:pPr>
              <w:jc w:val="left"/>
              <w:rPr>
                <w:rFonts w:ascii="Arial Narrow" w:hAnsi="Arial Narrow"/>
                <w:sz w:val="20"/>
              </w:rPr>
            </w:pPr>
            <w:proofErr w:type="spellStart"/>
            <w:r w:rsidRPr="00C66C70">
              <w:rPr>
                <w:rFonts w:ascii="Arial Narrow" w:hAnsi="Arial Narrow"/>
                <w:sz w:val="20"/>
              </w:rPr>
              <w:t>Protalix</w:t>
            </w:r>
            <w:proofErr w:type="spellEnd"/>
            <w:r w:rsidRPr="00C66C70">
              <w:rPr>
                <w:rFonts w:ascii="Arial Narrow" w:hAnsi="Arial Narrow"/>
                <w:sz w:val="20"/>
              </w:rPr>
              <w:t xml:space="preserve"> </w:t>
            </w:r>
            <w:r>
              <w:rPr>
                <w:rFonts w:ascii="Arial Narrow" w:hAnsi="Arial Narrow"/>
                <w:sz w:val="20"/>
              </w:rPr>
              <w:t>clinical study protocol</w:t>
            </w:r>
            <w:r w:rsidRPr="00C66C70">
              <w:rPr>
                <w:rFonts w:ascii="Arial Narrow" w:hAnsi="Arial Narrow"/>
                <w:sz w:val="20"/>
              </w:rPr>
              <w:t xml:space="preserve">. A multicenter extension study of </w:t>
            </w:r>
            <w:proofErr w:type="spellStart"/>
            <w:r w:rsidRPr="00C66C70">
              <w:rPr>
                <w:rFonts w:ascii="Arial Narrow" w:hAnsi="Arial Narrow"/>
                <w:sz w:val="20"/>
              </w:rPr>
              <w:t>taliglucerase</w:t>
            </w:r>
            <w:proofErr w:type="spellEnd"/>
            <w:r w:rsidRPr="00C66C70">
              <w:rPr>
                <w:rFonts w:ascii="Arial Narrow" w:hAnsi="Arial Narrow"/>
                <w:sz w:val="20"/>
              </w:rPr>
              <w:t xml:space="preserve"> alfa in </w:t>
            </w:r>
            <w:proofErr w:type="spellStart"/>
            <w:r w:rsidRPr="00C66C70">
              <w:rPr>
                <w:rFonts w:ascii="Arial Narrow" w:hAnsi="Arial Narrow"/>
                <w:sz w:val="20"/>
              </w:rPr>
              <w:t>pediatric</w:t>
            </w:r>
            <w:proofErr w:type="spellEnd"/>
            <w:r w:rsidRPr="00C66C70">
              <w:rPr>
                <w:rFonts w:ascii="Arial Narrow" w:hAnsi="Arial Narrow"/>
                <w:sz w:val="20"/>
              </w:rPr>
              <w:t xml:space="preserve"> subjects with </w:t>
            </w:r>
            <w:proofErr w:type="spellStart"/>
            <w:r w:rsidRPr="00C66C70">
              <w:rPr>
                <w:rFonts w:ascii="Arial Narrow" w:hAnsi="Arial Narrow"/>
                <w:sz w:val="20"/>
              </w:rPr>
              <w:t>Gaucher</w:t>
            </w:r>
            <w:proofErr w:type="spellEnd"/>
            <w:r w:rsidRPr="00C66C70">
              <w:rPr>
                <w:rFonts w:ascii="Arial Narrow" w:hAnsi="Arial Narrow"/>
                <w:sz w:val="20"/>
              </w:rPr>
              <w:t xml:space="preserve"> disease.</w:t>
            </w:r>
          </w:p>
        </w:tc>
        <w:tc>
          <w:tcPr>
            <w:tcW w:w="1349" w:type="pct"/>
          </w:tcPr>
          <w:p w:rsidR="00365B48" w:rsidRPr="004E2ADC" w:rsidRDefault="00365B48" w:rsidP="009710A3">
            <w:pPr>
              <w:jc w:val="left"/>
              <w:rPr>
                <w:rFonts w:ascii="Arial Narrow" w:hAnsi="Arial Narrow"/>
                <w:sz w:val="20"/>
              </w:rPr>
            </w:pPr>
            <w:r>
              <w:rPr>
                <w:rFonts w:ascii="Arial Narrow" w:hAnsi="Arial Narrow"/>
                <w:sz w:val="20"/>
              </w:rPr>
              <w:t>Internal study protocol, October 2012</w:t>
            </w:r>
          </w:p>
        </w:tc>
      </w:tr>
      <w:tr w:rsidR="00365B48" w:rsidRPr="004E2ADC" w:rsidTr="00CF4681">
        <w:tc>
          <w:tcPr>
            <w:tcW w:w="594" w:type="pct"/>
            <w:vMerge/>
          </w:tcPr>
          <w:p w:rsidR="00365B48" w:rsidRPr="004E2ADC" w:rsidRDefault="00365B48" w:rsidP="009710A3">
            <w:pPr>
              <w:jc w:val="left"/>
              <w:rPr>
                <w:rFonts w:ascii="Arial Narrow" w:hAnsi="Arial Narrow"/>
                <w:sz w:val="20"/>
              </w:rPr>
            </w:pPr>
          </w:p>
        </w:tc>
        <w:tc>
          <w:tcPr>
            <w:tcW w:w="3057" w:type="pct"/>
          </w:tcPr>
          <w:p w:rsidR="00365B48" w:rsidRPr="004E2ADC" w:rsidRDefault="00365B48" w:rsidP="009710A3">
            <w:pPr>
              <w:jc w:val="left"/>
              <w:rPr>
                <w:rFonts w:ascii="Arial Narrow" w:hAnsi="Arial Narrow"/>
                <w:sz w:val="20"/>
              </w:rPr>
            </w:pPr>
            <w:proofErr w:type="spellStart"/>
            <w:r w:rsidRPr="00C66C70">
              <w:rPr>
                <w:rFonts w:ascii="Arial Narrow" w:hAnsi="Arial Narrow"/>
                <w:sz w:val="20"/>
              </w:rPr>
              <w:t>Protalix</w:t>
            </w:r>
            <w:proofErr w:type="spellEnd"/>
            <w:r w:rsidRPr="00C66C70">
              <w:rPr>
                <w:rFonts w:ascii="Arial Narrow" w:hAnsi="Arial Narrow"/>
                <w:sz w:val="20"/>
              </w:rPr>
              <w:t xml:space="preserve"> pharmacokinetic report. A multicenter extension study of </w:t>
            </w:r>
            <w:proofErr w:type="spellStart"/>
            <w:r w:rsidRPr="00C66C70">
              <w:rPr>
                <w:rFonts w:ascii="Arial Narrow" w:hAnsi="Arial Narrow"/>
                <w:sz w:val="20"/>
              </w:rPr>
              <w:t>taliglucerase</w:t>
            </w:r>
            <w:proofErr w:type="spellEnd"/>
            <w:r w:rsidRPr="00C66C70">
              <w:rPr>
                <w:rFonts w:ascii="Arial Narrow" w:hAnsi="Arial Narrow"/>
                <w:sz w:val="20"/>
              </w:rPr>
              <w:t xml:space="preserve"> alfa in </w:t>
            </w:r>
            <w:proofErr w:type="spellStart"/>
            <w:r w:rsidRPr="00C66C70">
              <w:rPr>
                <w:rFonts w:ascii="Arial Narrow" w:hAnsi="Arial Narrow"/>
                <w:sz w:val="20"/>
              </w:rPr>
              <w:t>pediatric</w:t>
            </w:r>
            <w:proofErr w:type="spellEnd"/>
            <w:r w:rsidRPr="00C66C70">
              <w:rPr>
                <w:rFonts w:ascii="Arial Narrow" w:hAnsi="Arial Narrow"/>
                <w:sz w:val="20"/>
              </w:rPr>
              <w:t xml:space="preserve"> subjects with </w:t>
            </w:r>
            <w:proofErr w:type="spellStart"/>
            <w:r w:rsidRPr="00C66C70">
              <w:rPr>
                <w:rFonts w:ascii="Arial Narrow" w:hAnsi="Arial Narrow"/>
                <w:sz w:val="20"/>
              </w:rPr>
              <w:t>Gaucher</w:t>
            </w:r>
            <w:proofErr w:type="spellEnd"/>
            <w:r w:rsidRPr="00C66C70">
              <w:rPr>
                <w:rFonts w:ascii="Arial Narrow" w:hAnsi="Arial Narrow"/>
                <w:sz w:val="20"/>
              </w:rPr>
              <w:t xml:space="preserve"> disease – a protocol amendment to evaluate pharmacokinetics of </w:t>
            </w:r>
            <w:proofErr w:type="spellStart"/>
            <w:r w:rsidRPr="00C66C70">
              <w:rPr>
                <w:rFonts w:ascii="Arial Narrow" w:hAnsi="Arial Narrow"/>
                <w:sz w:val="20"/>
              </w:rPr>
              <w:t>taliglucerase</w:t>
            </w:r>
            <w:proofErr w:type="spellEnd"/>
            <w:r w:rsidRPr="00C66C70">
              <w:rPr>
                <w:rFonts w:ascii="Arial Narrow" w:hAnsi="Arial Narrow"/>
                <w:sz w:val="20"/>
              </w:rPr>
              <w:t xml:space="preserve"> </w:t>
            </w:r>
            <w:r w:rsidRPr="00C66C70">
              <w:rPr>
                <w:rFonts w:ascii="Arial Narrow" w:hAnsi="Arial Narrow"/>
                <w:sz w:val="20"/>
              </w:rPr>
              <w:lastRenderedPageBreak/>
              <w:t xml:space="preserve">alfa in </w:t>
            </w:r>
            <w:proofErr w:type="spellStart"/>
            <w:r w:rsidRPr="00C66C70">
              <w:rPr>
                <w:rFonts w:ascii="Arial Narrow" w:hAnsi="Arial Narrow"/>
                <w:sz w:val="20"/>
              </w:rPr>
              <w:t>pediatric</w:t>
            </w:r>
            <w:proofErr w:type="spellEnd"/>
            <w:r w:rsidRPr="00C66C70">
              <w:rPr>
                <w:rFonts w:ascii="Arial Narrow" w:hAnsi="Arial Narrow"/>
                <w:sz w:val="20"/>
              </w:rPr>
              <w:t xml:space="preserve"> subjects.</w:t>
            </w:r>
          </w:p>
        </w:tc>
        <w:tc>
          <w:tcPr>
            <w:tcW w:w="1349" w:type="pct"/>
          </w:tcPr>
          <w:p w:rsidR="00365B48" w:rsidRPr="004E2ADC" w:rsidRDefault="00365B48" w:rsidP="009710A3">
            <w:pPr>
              <w:jc w:val="left"/>
              <w:rPr>
                <w:rFonts w:ascii="Arial Narrow" w:hAnsi="Arial Narrow"/>
                <w:sz w:val="20"/>
              </w:rPr>
            </w:pPr>
            <w:r>
              <w:rPr>
                <w:rFonts w:ascii="Arial Narrow" w:hAnsi="Arial Narrow"/>
                <w:sz w:val="20"/>
              </w:rPr>
              <w:lastRenderedPageBreak/>
              <w:t>Internal pharmacokinetic report, July 2013</w:t>
            </w:r>
          </w:p>
        </w:tc>
      </w:tr>
      <w:tr w:rsidR="00365B48" w:rsidRPr="004E2ADC" w:rsidTr="00CF4681">
        <w:tc>
          <w:tcPr>
            <w:tcW w:w="594" w:type="pct"/>
            <w:vAlign w:val="center"/>
          </w:tcPr>
          <w:p w:rsidR="00365B48" w:rsidRPr="00C42C2D" w:rsidRDefault="00365B48" w:rsidP="009710A3">
            <w:pPr>
              <w:jc w:val="left"/>
              <w:rPr>
                <w:rFonts w:ascii="Arial Narrow" w:hAnsi="Arial Narrow"/>
                <w:sz w:val="20"/>
                <w:vertAlign w:val="superscript"/>
              </w:rPr>
            </w:pPr>
            <w:proofErr w:type="spellStart"/>
            <w:r>
              <w:rPr>
                <w:rFonts w:ascii="Arial Narrow" w:hAnsi="Arial Narrow"/>
                <w:sz w:val="20"/>
              </w:rPr>
              <w:lastRenderedPageBreak/>
              <w:t>Szer</w:t>
            </w:r>
            <w:proofErr w:type="spellEnd"/>
            <w:r>
              <w:rPr>
                <w:rFonts w:ascii="Arial Narrow" w:hAnsi="Arial Narrow"/>
                <w:sz w:val="20"/>
              </w:rPr>
              <w:t xml:space="preserve"> 2014 </w:t>
            </w:r>
            <w:r>
              <w:rPr>
                <w:rFonts w:ascii="Arial Narrow" w:hAnsi="Arial Narrow"/>
                <w:sz w:val="20"/>
                <w:vertAlign w:val="superscript"/>
              </w:rPr>
              <w:t>b</w:t>
            </w:r>
          </w:p>
        </w:tc>
        <w:tc>
          <w:tcPr>
            <w:tcW w:w="3057" w:type="pct"/>
          </w:tcPr>
          <w:p w:rsidR="00365B48" w:rsidRPr="00385482" w:rsidRDefault="00365B48" w:rsidP="009710A3">
            <w:pPr>
              <w:jc w:val="left"/>
              <w:rPr>
                <w:rFonts w:ascii="Arial Narrow" w:hAnsi="Arial Narrow"/>
                <w:sz w:val="20"/>
              </w:rPr>
            </w:pPr>
            <w:proofErr w:type="spellStart"/>
            <w:r w:rsidRPr="00385482">
              <w:rPr>
                <w:rFonts w:ascii="Arial Narrow" w:hAnsi="Arial Narrow"/>
                <w:sz w:val="20"/>
              </w:rPr>
              <w:t>Taliglucerase</w:t>
            </w:r>
            <w:proofErr w:type="spellEnd"/>
            <w:r w:rsidRPr="00385482">
              <w:rPr>
                <w:rFonts w:ascii="Arial Narrow" w:hAnsi="Arial Narrow"/>
                <w:sz w:val="20"/>
              </w:rPr>
              <w:t>: The Australian Experience</w:t>
            </w:r>
          </w:p>
        </w:tc>
        <w:tc>
          <w:tcPr>
            <w:tcW w:w="1349" w:type="pct"/>
          </w:tcPr>
          <w:p w:rsidR="00365B48" w:rsidRPr="00385482" w:rsidRDefault="00365B48" w:rsidP="009710A3">
            <w:pPr>
              <w:jc w:val="left"/>
              <w:rPr>
                <w:rFonts w:ascii="Arial Narrow" w:hAnsi="Arial Narrow"/>
                <w:sz w:val="20"/>
              </w:rPr>
            </w:pPr>
            <w:r w:rsidRPr="00385482">
              <w:rPr>
                <w:rFonts w:ascii="Arial Narrow" w:hAnsi="Arial Narrow"/>
                <w:sz w:val="20"/>
              </w:rPr>
              <w:t>Unpublished abstract</w:t>
            </w:r>
          </w:p>
        </w:tc>
      </w:tr>
      <w:tr w:rsidR="00365B48" w:rsidRPr="004E2ADC" w:rsidTr="005D4557">
        <w:tc>
          <w:tcPr>
            <w:tcW w:w="5000" w:type="pct"/>
            <w:gridSpan w:val="3"/>
          </w:tcPr>
          <w:p w:rsidR="00365B48" w:rsidRPr="004E2ADC" w:rsidRDefault="00365B48" w:rsidP="009710A3">
            <w:pPr>
              <w:jc w:val="left"/>
              <w:rPr>
                <w:rFonts w:ascii="Arial Narrow" w:hAnsi="Arial Narrow"/>
                <w:b/>
                <w:sz w:val="20"/>
              </w:rPr>
            </w:pPr>
            <w:proofErr w:type="spellStart"/>
            <w:r>
              <w:rPr>
                <w:rFonts w:ascii="Arial Narrow" w:hAnsi="Arial Narrow"/>
                <w:b/>
                <w:sz w:val="20"/>
              </w:rPr>
              <w:t>Imiglucerase</w:t>
            </w:r>
            <w:proofErr w:type="spellEnd"/>
            <w:r>
              <w:rPr>
                <w:rFonts w:ascii="Arial Narrow" w:hAnsi="Arial Narrow"/>
                <w:b/>
                <w:sz w:val="20"/>
              </w:rPr>
              <w:t xml:space="preserve"> randomised trials</w:t>
            </w:r>
          </w:p>
        </w:tc>
      </w:tr>
      <w:tr w:rsidR="00365B48" w:rsidRPr="00DA2B05" w:rsidTr="00CF4681">
        <w:tc>
          <w:tcPr>
            <w:tcW w:w="594" w:type="pct"/>
            <w:vAlign w:val="center"/>
          </w:tcPr>
          <w:p w:rsidR="00365B48" w:rsidRPr="004E2ADC" w:rsidRDefault="00365B48" w:rsidP="009710A3">
            <w:pPr>
              <w:jc w:val="left"/>
              <w:rPr>
                <w:rFonts w:ascii="Arial Narrow" w:hAnsi="Arial Narrow"/>
                <w:sz w:val="20"/>
              </w:rPr>
            </w:pPr>
            <w:r w:rsidRPr="00316559">
              <w:rPr>
                <w:rFonts w:ascii="Arial Narrow" w:hAnsi="Arial Narrow"/>
                <w:sz w:val="20"/>
              </w:rPr>
              <w:t>HGT-039</w:t>
            </w:r>
          </w:p>
        </w:tc>
        <w:tc>
          <w:tcPr>
            <w:tcW w:w="3057" w:type="pct"/>
          </w:tcPr>
          <w:p w:rsidR="00365B48" w:rsidRPr="00316559" w:rsidRDefault="00365B48" w:rsidP="009710A3">
            <w:pPr>
              <w:jc w:val="left"/>
              <w:rPr>
                <w:rFonts w:ascii="Arial Narrow" w:hAnsi="Arial Narrow"/>
                <w:sz w:val="20"/>
              </w:rPr>
            </w:pPr>
            <w:r w:rsidRPr="00316559">
              <w:rPr>
                <w:rFonts w:ascii="Arial Narrow" w:hAnsi="Arial Narrow"/>
                <w:sz w:val="20"/>
              </w:rPr>
              <w:t xml:space="preserve">Ben </w:t>
            </w:r>
            <w:proofErr w:type="spellStart"/>
            <w:r w:rsidRPr="00316559">
              <w:rPr>
                <w:rFonts w:ascii="Arial Narrow" w:hAnsi="Arial Narrow"/>
                <w:sz w:val="20"/>
              </w:rPr>
              <w:t>Turkia</w:t>
            </w:r>
            <w:proofErr w:type="spellEnd"/>
            <w:r w:rsidRPr="00316559">
              <w:rPr>
                <w:rFonts w:ascii="Arial Narrow" w:hAnsi="Arial Narrow"/>
                <w:sz w:val="20"/>
              </w:rPr>
              <w:t xml:space="preserve"> et al. </w:t>
            </w:r>
            <w:proofErr w:type="spellStart"/>
            <w:r w:rsidRPr="00316559">
              <w:rPr>
                <w:rFonts w:ascii="Arial Narrow" w:hAnsi="Arial Narrow"/>
                <w:sz w:val="20"/>
              </w:rPr>
              <w:t>Velaglucerase</w:t>
            </w:r>
            <w:proofErr w:type="spellEnd"/>
            <w:r w:rsidRPr="00316559">
              <w:rPr>
                <w:rFonts w:ascii="Arial Narrow" w:hAnsi="Arial Narrow"/>
                <w:sz w:val="20"/>
              </w:rPr>
              <w:t xml:space="preserve"> alfa enzyme replacement therapy compared with </w:t>
            </w:r>
            <w:proofErr w:type="spellStart"/>
            <w:r w:rsidRPr="00316559">
              <w:rPr>
                <w:rFonts w:ascii="Arial Narrow" w:hAnsi="Arial Narrow"/>
                <w:sz w:val="20"/>
              </w:rPr>
              <w:t>imiglucerase</w:t>
            </w:r>
            <w:proofErr w:type="spellEnd"/>
            <w:r w:rsidRPr="00316559">
              <w:rPr>
                <w:rFonts w:ascii="Arial Narrow" w:hAnsi="Arial Narrow"/>
                <w:sz w:val="20"/>
              </w:rPr>
              <w:t xml:space="preserve"> in patients with </w:t>
            </w:r>
            <w:proofErr w:type="spellStart"/>
            <w:r w:rsidRPr="00316559">
              <w:rPr>
                <w:rFonts w:ascii="Arial Narrow" w:hAnsi="Arial Narrow"/>
                <w:sz w:val="20"/>
              </w:rPr>
              <w:t>Gaucher</w:t>
            </w:r>
            <w:proofErr w:type="spellEnd"/>
            <w:r w:rsidRPr="00316559">
              <w:rPr>
                <w:rFonts w:ascii="Arial Narrow" w:hAnsi="Arial Narrow"/>
                <w:sz w:val="20"/>
              </w:rPr>
              <w:t xml:space="preserve"> disease.  </w:t>
            </w:r>
          </w:p>
        </w:tc>
        <w:tc>
          <w:tcPr>
            <w:tcW w:w="1349" w:type="pct"/>
          </w:tcPr>
          <w:p w:rsidR="00365B48" w:rsidRPr="00DA2B05" w:rsidRDefault="00365B48" w:rsidP="009710A3">
            <w:pPr>
              <w:jc w:val="left"/>
              <w:rPr>
                <w:rFonts w:ascii="Arial Narrow" w:hAnsi="Arial Narrow"/>
                <w:sz w:val="20"/>
              </w:rPr>
            </w:pPr>
            <w:r w:rsidRPr="00316559">
              <w:rPr>
                <w:rFonts w:ascii="Arial Narrow" w:hAnsi="Arial Narrow"/>
                <w:i/>
                <w:sz w:val="20"/>
              </w:rPr>
              <w:t xml:space="preserve">American Journal of </w:t>
            </w:r>
            <w:proofErr w:type="spellStart"/>
            <w:r w:rsidRPr="00316559">
              <w:rPr>
                <w:rFonts w:ascii="Arial Narrow" w:hAnsi="Arial Narrow"/>
                <w:i/>
                <w:sz w:val="20"/>
              </w:rPr>
              <w:t>Hematology</w:t>
            </w:r>
            <w:proofErr w:type="spellEnd"/>
            <w:r>
              <w:rPr>
                <w:rFonts w:ascii="Arial Narrow" w:hAnsi="Arial Narrow"/>
                <w:sz w:val="20"/>
              </w:rPr>
              <w:t xml:space="preserve"> 2013; 88(3):</w:t>
            </w:r>
            <w:r w:rsidRPr="00316559">
              <w:rPr>
                <w:rFonts w:ascii="Arial Narrow" w:hAnsi="Arial Narrow"/>
                <w:sz w:val="20"/>
              </w:rPr>
              <w:t>179-84.</w:t>
            </w:r>
          </w:p>
        </w:tc>
      </w:tr>
      <w:tr w:rsidR="00365B48" w:rsidTr="00CF4681">
        <w:tc>
          <w:tcPr>
            <w:tcW w:w="594" w:type="pct"/>
            <w:vAlign w:val="center"/>
          </w:tcPr>
          <w:p w:rsidR="00365B48" w:rsidRPr="00DA2B05" w:rsidRDefault="00365B48" w:rsidP="009710A3">
            <w:pPr>
              <w:jc w:val="left"/>
              <w:rPr>
                <w:rFonts w:ascii="Arial Narrow" w:hAnsi="Arial Narrow"/>
                <w:sz w:val="20"/>
              </w:rPr>
            </w:pPr>
            <w:proofErr w:type="spellStart"/>
            <w:r w:rsidRPr="00316559">
              <w:rPr>
                <w:rFonts w:ascii="Arial Narrow" w:hAnsi="Arial Narrow"/>
                <w:sz w:val="20"/>
              </w:rPr>
              <w:t>Elstein</w:t>
            </w:r>
            <w:proofErr w:type="spellEnd"/>
            <w:r w:rsidRPr="00316559">
              <w:rPr>
                <w:rFonts w:ascii="Arial Narrow" w:hAnsi="Arial Narrow"/>
                <w:sz w:val="20"/>
              </w:rPr>
              <w:t xml:space="preserve"> 2007</w:t>
            </w:r>
          </w:p>
        </w:tc>
        <w:tc>
          <w:tcPr>
            <w:tcW w:w="3057" w:type="pct"/>
          </w:tcPr>
          <w:p w:rsidR="00365B48" w:rsidRPr="00DA2B05" w:rsidRDefault="00365B48" w:rsidP="009710A3">
            <w:pPr>
              <w:jc w:val="left"/>
              <w:rPr>
                <w:rFonts w:ascii="Arial Narrow" w:hAnsi="Arial Narrow"/>
                <w:sz w:val="20"/>
              </w:rPr>
            </w:pPr>
            <w:proofErr w:type="spellStart"/>
            <w:r w:rsidRPr="00316559">
              <w:rPr>
                <w:rFonts w:ascii="Arial Narrow" w:hAnsi="Arial Narrow"/>
                <w:sz w:val="20"/>
              </w:rPr>
              <w:t>Elstein</w:t>
            </w:r>
            <w:proofErr w:type="spellEnd"/>
            <w:r w:rsidRPr="00316559">
              <w:rPr>
                <w:rFonts w:ascii="Arial Narrow" w:hAnsi="Arial Narrow"/>
                <w:sz w:val="20"/>
              </w:rPr>
              <w:t xml:space="preserve"> et al. Oral maintenance clinical trial with </w:t>
            </w:r>
            <w:proofErr w:type="spellStart"/>
            <w:r w:rsidRPr="00316559">
              <w:rPr>
                <w:rFonts w:ascii="Arial Narrow" w:hAnsi="Arial Narrow"/>
                <w:sz w:val="20"/>
              </w:rPr>
              <w:t>miglustat</w:t>
            </w:r>
            <w:proofErr w:type="spellEnd"/>
            <w:r w:rsidRPr="00316559">
              <w:rPr>
                <w:rFonts w:ascii="Arial Narrow" w:hAnsi="Arial Narrow"/>
                <w:sz w:val="20"/>
              </w:rPr>
              <w:t xml:space="preserve"> for type I </w:t>
            </w:r>
            <w:proofErr w:type="spellStart"/>
            <w:r w:rsidRPr="00316559">
              <w:rPr>
                <w:rFonts w:ascii="Arial Narrow" w:hAnsi="Arial Narrow"/>
                <w:sz w:val="20"/>
              </w:rPr>
              <w:t>Gaucher</w:t>
            </w:r>
            <w:proofErr w:type="spellEnd"/>
            <w:r w:rsidRPr="00316559">
              <w:rPr>
                <w:rFonts w:ascii="Arial Narrow" w:hAnsi="Arial Narrow"/>
                <w:sz w:val="20"/>
              </w:rPr>
              <w:t xml:space="preserve"> disease: switch from or combination with intravenous enzyme replacement. </w:t>
            </w:r>
          </w:p>
        </w:tc>
        <w:tc>
          <w:tcPr>
            <w:tcW w:w="1349" w:type="pct"/>
          </w:tcPr>
          <w:p w:rsidR="00365B48" w:rsidRDefault="00365B48" w:rsidP="009710A3">
            <w:pPr>
              <w:jc w:val="left"/>
              <w:rPr>
                <w:rFonts w:ascii="Arial Narrow" w:hAnsi="Arial Narrow"/>
                <w:sz w:val="20"/>
              </w:rPr>
            </w:pPr>
            <w:r w:rsidRPr="00316559">
              <w:rPr>
                <w:rFonts w:ascii="Arial Narrow" w:hAnsi="Arial Narrow"/>
                <w:i/>
                <w:sz w:val="20"/>
              </w:rPr>
              <w:t>Blood</w:t>
            </w:r>
            <w:r w:rsidRPr="00316559">
              <w:rPr>
                <w:rFonts w:ascii="Arial Narrow" w:hAnsi="Arial Narrow"/>
                <w:sz w:val="20"/>
              </w:rPr>
              <w:t xml:space="preserve"> 2007; 110(7):2296-2301.</w:t>
            </w:r>
          </w:p>
        </w:tc>
      </w:tr>
      <w:tr w:rsidR="00365B48" w:rsidRPr="00DA2B05" w:rsidTr="00CF4681">
        <w:tc>
          <w:tcPr>
            <w:tcW w:w="594" w:type="pct"/>
            <w:vAlign w:val="center"/>
          </w:tcPr>
          <w:p w:rsidR="00365B48" w:rsidRPr="004E2ADC" w:rsidRDefault="00365B48" w:rsidP="009710A3">
            <w:pPr>
              <w:jc w:val="left"/>
              <w:rPr>
                <w:rFonts w:ascii="Arial Narrow" w:hAnsi="Arial Narrow"/>
                <w:sz w:val="20"/>
              </w:rPr>
            </w:pPr>
            <w:r w:rsidRPr="00316559">
              <w:rPr>
                <w:rFonts w:ascii="Arial Narrow" w:hAnsi="Arial Narrow"/>
                <w:sz w:val="20"/>
              </w:rPr>
              <w:t xml:space="preserve">de </w:t>
            </w:r>
            <w:proofErr w:type="spellStart"/>
            <w:r w:rsidRPr="00316559">
              <w:rPr>
                <w:rFonts w:ascii="Arial Narrow" w:hAnsi="Arial Narrow"/>
                <w:sz w:val="20"/>
              </w:rPr>
              <w:t>Fost</w:t>
            </w:r>
            <w:proofErr w:type="spellEnd"/>
            <w:r w:rsidRPr="00316559">
              <w:rPr>
                <w:rFonts w:ascii="Arial Narrow" w:hAnsi="Arial Narrow"/>
                <w:sz w:val="20"/>
              </w:rPr>
              <w:t xml:space="preserve"> 2007</w:t>
            </w:r>
          </w:p>
        </w:tc>
        <w:tc>
          <w:tcPr>
            <w:tcW w:w="3057" w:type="pct"/>
          </w:tcPr>
          <w:p w:rsidR="00365B48" w:rsidRPr="00316559" w:rsidRDefault="00365B48" w:rsidP="009710A3">
            <w:pPr>
              <w:jc w:val="left"/>
              <w:rPr>
                <w:rFonts w:ascii="Arial Narrow" w:hAnsi="Arial Narrow"/>
                <w:sz w:val="20"/>
              </w:rPr>
            </w:pPr>
            <w:proofErr w:type="gramStart"/>
            <w:r w:rsidRPr="00316559">
              <w:rPr>
                <w:rFonts w:ascii="Arial Narrow" w:hAnsi="Arial Narrow"/>
                <w:sz w:val="20"/>
              </w:rPr>
              <w:t>de</w:t>
            </w:r>
            <w:proofErr w:type="gramEnd"/>
            <w:r w:rsidRPr="00316559">
              <w:rPr>
                <w:rFonts w:ascii="Arial Narrow" w:hAnsi="Arial Narrow"/>
                <w:sz w:val="20"/>
              </w:rPr>
              <w:t xml:space="preserve"> </w:t>
            </w:r>
            <w:proofErr w:type="spellStart"/>
            <w:r w:rsidRPr="00316559">
              <w:rPr>
                <w:rFonts w:ascii="Arial Narrow" w:hAnsi="Arial Narrow"/>
                <w:sz w:val="20"/>
              </w:rPr>
              <w:t>Fost</w:t>
            </w:r>
            <w:proofErr w:type="spellEnd"/>
            <w:r w:rsidRPr="00316559">
              <w:rPr>
                <w:rFonts w:ascii="Arial Narrow" w:hAnsi="Arial Narrow"/>
                <w:sz w:val="20"/>
              </w:rPr>
              <w:t xml:space="preserve"> et al. Low frequency maintenance therapy with </w:t>
            </w:r>
            <w:proofErr w:type="spellStart"/>
            <w:r w:rsidRPr="00316559">
              <w:rPr>
                <w:rFonts w:ascii="Arial Narrow" w:hAnsi="Arial Narrow"/>
                <w:sz w:val="20"/>
              </w:rPr>
              <w:t>imiglucerase</w:t>
            </w:r>
            <w:proofErr w:type="spellEnd"/>
            <w:r w:rsidRPr="00316559">
              <w:rPr>
                <w:rFonts w:ascii="Arial Narrow" w:hAnsi="Arial Narrow"/>
                <w:sz w:val="20"/>
              </w:rPr>
              <w:t xml:space="preserve"> in adult type I </w:t>
            </w:r>
            <w:proofErr w:type="spellStart"/>
            <w:r w:rsidRPr="00316559">
              <w:rPr>
                <w:rFonts w:ascii="Arial Narrow" w:hAnsi="Arial Narrow"/>
                <w:sz w:val="20"/>
              </w:rPr>
              <w:t>Gaucher</w:t>
            </w:r>
            <w:proofErr w:type="spellEnd"/>
            <w:r w:rsidRPr="00316559">
              <w:rPr>
                <w:rFonts w:ascii="Arial Narrow" w:hAnsi="Arial Narrow"/>
                <w:sz w:val="20"/>
              </w:rPr>
              <w:t xml:space="preserve"> disease: a prospective randomized controlled trial. </w:t>
            </w:r>
          </w:p>
        </w:tc>
        <w:tc>
          <w:tcPr>
            <w:tcW w:w="1349" w:type="pct"/>
          </w:tcPr>
          <w:p w:rsidR="00365B48" w:rsidRPr="00DA2B05" w:rsidRDefault="00365B48" w:rsidP="009710A3">
            <w:pPr>
              <w:jc w:val="left"/>
              <w:rPr>
                <w:rFonts w:ascii="Arial Narrow" w:hAnsi="Arial Narrow"/>
                <w:sz w:val="20"/>
              </w:rPr>
            </w:pPr>
            <w:proofErr w:type="spellStart"/>
            <w:r w:rsidRPr="00316559">
              <w:rPr>
                <w:rFonts w:ascii="Arial Narrow" w:hAnsi="Arial Narrow"/>
                <w:i/>
                <w:sz w:val="20"/>
              </w:rPr>
              <w:t>Haematologica</w:t>
            </w:r>
            <w:proofErr w:type="spellEnd"/>
            <w:r>
              <w:rPr>
                <w:rFonts w:ascii="Arial Narrow" w:hAnsi="Arial Narrow"/>
                <w:sz w:val="20"/>
              </w:rPr>
              <w:t xml:space="preserve"> 2007; 92(2):</w:t>
            </w:r>
            <w:r w:rsidRPr="00316559">
              <w:rPr>
                <w:rFonts w:ascii="Arial Narrow" w:hAnsi="Arial Narrow"/>
                <w:sz w:val="20"/>
              </w:rPr>
              <w:t xml:space="preserve"> 215-221.</w:t>
            </w:r>
          </w:p>
        </w:tc>
      </w:tr>
      <w:tr w:rsidR="00365B48" w:rsidTr="00CF4681">
        <w:tc>
          <w:tcPr>
            <w:tcW w:w="594" w:type="pct"/>
            <w:vAlign w:val="center"/>
          </w:tcPr>
          <w:p w:rsidR="00365B48" w:rsidRPr="00DA2B05" w:rsidRDefault="00365B48" w:rsidP="009710A3">
            <w:pPr>
              <w:jc w:val="left"/>
              <w:rPr>
                <w:rFonts w:ascii="Arial Narrow" w:hAnsi="Arial Narrow"/>
                <w:sz w:val="20"/>
              </w:rPr>
            </w:pPr>
            <w:proofErr w:type="spellStart"/>
            <w:r w:rsidRPr="00316559">
              <w:rPr>
                <w:rFonts w:ascii="Arial Narrow" w:hAnsi="Arial Narrow"/>
                <w:sz w:val="20"/>
              </w:rPr>
              <w:t>Schiffmann</w:t>
            </w:r>
            <w:proofErr w:type="spellEnd"/>
            <w:r w:rsidRPr="00316559">
              <w:rPr>
                <w:rFonts w:ascii="Arial Narrow" w:hAnsi="Arial Narrow"/>
                <w:sz w:val="20"/>
              </w:rPr>
              <w:t xml:space="preserve"> 2002</w:t>
            </w:r>
          </w:p>
        </w:tc>
        <w:tc>
          <w:tcPr>
            <w:tcW w:w="3057" w:type="pct"/>
          </w:tcPr>
          <w:p w:rsidR="00365B48" w:rsidRPr="00DA2B05" w:rsidRDefault="00365B48" w:rsidP="009710A3">
            <w:pPr>
              <w:jc w:val="left"/>
              <w:rPr>
                <w:rFonts w:ascii="Arial Narrow" w:hAnsi="Arial Narrow"/>
                <w:sz w:val="20"/>
              </w:rPr>
            </w:pPr>
            <w:proofErr w:type="spellStart"/>
            <w:r w:rsidRPr="00316559">
              <w:rPr>
                <w:rFonts w:ascii="Arial Narrow" w:hAnsi="Arial Narrow"/>
                <w:sz w:val="20"/>
              </w:rPr>
              <w:t>Schiffmann</w:t>
            </w:r>
            <w:proofErr w:type="spellEnd"/>
            <w:r w:rsidRPr="00316559">
              <w:rPr>
                <w:rFonts w:ascii="Arial Narrow" w:hAnsi="Arial Narrow"/>
                <w:sz w:val="20"/>
              </w:rPr>
              <w:t xml:space="preserve"> et al. Decreased bone density in </w:t>
            </w:r>
            <w:proofErr w:type="spellStart"/>
            <w:r w:rsidRPr="00316559">
              <w:rPr>
                <w:rFonts w:ascii="Arial Narrow" w:hAnsi="Arial Narrow"/>
                <w:sz w:val="20"/>
              </w:rPr>
              <w:t>splenectomized</w:t>
            </w:r>
            <w:proofErr w:type="spellEnd"/>
            <w:r w:rsidRPr="00316559">
              <w:rPr>
                <w:rFonts w:ascii="Arial Narrow" w:hAnsi="Arial Narrow"/>
                <w:sz w:val="20"/>
              </w:rPr>
              <w:t xml:space="preserve"> </w:t>
            </w:r>
            <w:proofErr w:type="spellStart"/>
            <w:r w:rsidRPr="00316559">
              <w:rPr>
                <w:rFonts w:ascii="Arial Narrow" w:hAnsi="Arial Narrow"/>
                <w:sz w:val="20"/>
              </w:rPr>
              <w:t>Gaucher</w:t>
            </w:r>
            <w:proofErr w:type="spellEnd"/>
            <w:r w:rsidRPr="00316559">
              <w:rPr>
                <w:rFonts w:ascii="Arial Narrow" w:hAnsi="Arial Narrow"/>
                <w:sz w:val="20"/>
              </w:rPr>
              <w:t xml:space="preserve"> patients receiving enzyme replacement therapy. </w:t>
            </w:r>
          </w:p>
        </w:tc>
        <w:tc>
          <w:tcPr>
            <w:tcW w:w="1349" w:type="pct"/>
          </w:tcPr>
          <w:p w:rsidR="00365B48" w:rsidRDefault="00365B48" w:rsidP="009710A3">
            <w:pPr>
              <w:jc w:val="left"/>
              <w:rPr>
                <w:rFonts w:ascii="Arial Narrow" w:hAnsi="Arial Narrow"/>
                <w:sz w:val="20"/>
              </w:rPr>
            </w:pPr>
            <w:r w:rsidRPr="00316559">
              <w:rPr>
                <w:rFonts w:ascii="Arial Narrow" w:hAnsi="Arial Narrow"/>
                <w:i/>
                <w:sz w:val="20"/>
              </w:rPr>
              <w:t>Blood Cells, Molecules, and Diseases</w:t>
            </w:r>
            <w:r>
              <w:rPr>
                <w:rFonts w:ascii="Arial Narrow" w:hAnsi="Arial Narrow"/>
                <w:sz w:val="20"/>
              </w:rPr>
              <w:t xml:space="preserve"> 2002: 28(2)</w:t>
            </w:r>
            <w:proofErr w:type="gramStart"/>
            <w:r>
              <w:rPr>
                <w:rFonts w:ascii="Arial Narrow" w:hAnsi="Arial Narrow"/>
                <w:sz w:val="20"/>
              </w:rPr>
              <w:t>;</w:t>
            </w:r>
            <w:r w:rsidRPr="00316559">
              <w:rPr>
                <w:rFonts w:ascii="Arial Narrow" w:hAnsi="Arial Narrow"/>
                <w:sz w:val="20"/>
              </w:rPr>
              <w:t>288</w:t>
            </w:r>
            <w:proofErr w:type="gramEnd"/>
            <w:r w:rsidRPr="00316559">
              <w:rPr>
                <w:rFonts w:ascii="Arial Narrow" w:hAnsi="Arial Narrow"/>
                <w:sz w:val="20"/>
              </w:rPr>
              <w:t>-296.</w:t>
            </w:r>
          </w:p>
        </w:tc>
      </w:tr>
      <w:tr w:rsidR="00365B48" w:rsidRPr="004E2ADC" w:rsidTr="00CF4681">
        <w:tc>
          <w:tcPr>
            <w:tcW w:w="594" w:type="pct"/>
            <w:vMerge w:val="restart"/>
            <w:vAlign w:val="center"/>
          </w:tcPr>
          <w:p w:rsidR="00365B48" w:rsidRPr="004E2ADC" w:rsidRDefault="00365B48" w:rsidP="009710A3">
            <w:pPr>
              <w:jc w:val="left"/>
              <w:rPr>
                <w:rFonts w:ascii="Arial Narrow" w:hAnsi="Arial Narrow"/>
                <w:sz w:val="20"/>
              </w:rPr>
            </w:pPr>
            <w:r>
              <w:rPr>
                <w:rFonts w:ascii="Arial Narrow" w:hAnsi="Arial Narrow"/>
                <w:sz w:val="20"/>
              </w:rPr>
              <w:t>Grabowski 1995</w:t>
            </w:r>
          </w:p>
        </w:tc>
        <w:tc>
          <w:tcPr>
            <w:tcW w:w="3057" w:type="pct"/>
          </w:tcPr>
          <w:p w:rsidR="00365B48" w:rsidRPr="004E2ADC" w:rsidRDefault="00365B48" w:rsidP="009710A3">
            <w:pPr>
              <w:jc w:val="left"/>
              <w:rPr>
                <w:rFonts w:ascii="Arial Narrow" w:hAnsi="Arial Narrow"/>
                <w:sz w:val="20"/>
              </w:rPr>
            </w:pPr>
            <w:r>
              <w:rPr>
                <w:rFonts w:ascii="Arial Narrow" w:hAnsi="Arial Narrow"/>
                <w:sz w:val="20"/>
              </w:rPr>
              <w:t>Genzyme Corporation. Protocol RC 91-0110: An Evaluation of the Safety and Effectiveness of Recombinant, Human, Macrophage-Targeted β-</w:t>
            </w:r>
            <w:proofErr w:type="spellStart"/>
            <w:r>
              <w:rPr>
                <w:rFonts w:ascii="Arial Narrow" w:hAnsi="Arial Narrow"/>
                <w:sz w:val="20"/>
              </w:rPr>
              <w:t>Glucocerebrosidase</w:t>
            </w:r>
            <w:proofErr w:type="spellEnd"/>
          </w:p>
        </w:tc>
        <w:tc>
          <w:tcPr>
            <w:tcW w:w="1349" w:type="pct"/>
          </w:tcPr>
          <w:p w:rsidR="00365B48" w:rsidRPr="004E2ADC" w:rsidRDefault="00365B48" w:rsidP="009710A3">
            <w:pPr>
              <w:jc w:val="left"/>
              <w:rPr>
                <w:rFonts w:ascii="Arial Narrow" w:hAnsi="Arial Narrow"/>
                <w:sz w:val="20"/>
              </w:rPr>
            </w:pPr>
            <w:r>
              <w:rPr>
                <w:rFonts w:ascii="Arial Narrow" w:hAnsi="Arial Narrow"/>
                <w:sz w:val="20"/>
              </w:rPr>
              <w:t>Genzyme clinical research website, 2005</w:t>
            </w:r>
          </w:p>
        </w:tc>
      </w:tr>
      <w:tr w:rsidR="00365B48" w:rsidRPr="004E2ADC" w:rsidTr="00CF4681">
        <w:tc>
          <w:tcPr>
            <w:tcW w:w="594" w:type="pct"/>
            <w:vMerge/>
            <w:vAlign w:val="center"/>
          </w:tcPr>
          <w:p w:rsidR="00365B48" w:rsidRPr="00DA2B05" w:rsidRDefault="00365B48" w:rsidP="009710A3">
            <w:pPr>
              <w:jc w:val="left"/>
              <w:rPr>
                <w:rFonts w:ascii="Arial Narrow" w:hAnsi="Arial Narrow"/>
                <w:sz w:val="20"/>
              </w:rPr>
            </w:pPr>
          </w:p>
        </w:tc>
        <w:tc>
          <w:tcPr>
            <w:tcW w:w="3057" w:type="pct"/>
          </w:tcPr>
          <w:p w:rsidR="00365B48" w:rsidRPr="004E2ADC" w:rsidRDefault="00365B48" w:rsidP="009710A3">
            <w:pPr>
              <w:jc w:val="left"/>
              <w:rPr>
                <w:rFonts w:ascii="Arial Narrow" w:hAnsi="Arial Narrow"/>
                <w:sz w:val="20"/>
              </w:rPr>
            </w:pPr>
            <w:r>
              <w:rPr>
                <w:rFonts w:ascii="Arial Narrow" w:hAnsi="Arial Narrow"/>
                <w:sz w:val="20"/>
              </w:rPr>
              <w:t xml:space="preserve">Genzyme Corporation. Protocol RC 92-0501: An extended evaluation of the safety and effectiveness of recombinant, human-derived, macrophage-targeted β </w:t>
            </w:r>
            <w:proofErr w:type="spellStart"/>
            <w:r>
              <w:rPr>
                <w:rFonts w:ascii="Arial Narrow" w:hAnsi="Arial Narrow"/>
                <w:sz w:val="20"/>
              </w:rPr>
              <w:t>glucocerebrosidase</w:t>
            </w:r>
            <w:proofErr w:type="spellEnd"/>
            <w:r>
              <w:rPr>
                <w:rFonts w:ascii="Arial Narrow" w:hAnsi="Arial Narrow"/>
                <w:sz w:val="20"/>
              </w:rPr>
              <w:t xml:space="preserve"> in patients with </w:t>
            </w:r>
            <w:proofErr w:type="spellStart"/>
            <w:r>
              <w:rPr>
                <w:rFonts w:ascii="Arial Narrow" w:hAnsi="Arial Narrow"/>
                <w:sz w:val="20"/>
              </w:rPr>
              <w:t>Gaucher</w:t>
            </w:r>
            <w:proofErr w:type="spellEnd"/>
            <w:r>
              <w:rPr>
                <w:rFonts w:ascii="Arial Narrow" w:hAnsi="Arial Narrow"/>
                <w:sz w:val="20"/>
              </w:rPr>
              <w:t xml:space="preserve"> disease.</w:t>
            </w:r>
          </w:p>
        </w:tc>
        <w:tc>
          <w:tcPr>
            <w:tcW w:w="1349" w:type="pct"/>
          </w:tcPr>
          <w:p w:rsidR="00365B48" w:rsidRPr="004E2ADC" w:rsidRDefault="00365B48" w:rsidP="009710A3">
            <w:pPr>
              <w:jc w:val="left"/>
              <w:rPr>
                <w:rFonts w:ascii="Arial Narrow" w:hAnsi="Arial Narrow"/>
                <w:sz w:val="20"/>
              </w:rPr>
            </w:pPr>
            <w:r>
              <w:rPr>
                <w:rFonts w:ascii="Arial Narrow" w:hAnsi="Arial Narrow"/>
                <w:sz w:val="20"/>
              </w:rPr>
              <w:t>Genzyme clinical research website, 2005</w:t>
            </w:r>
          </w:p>
        </w:tc>
      </w:tr>
      <w:tr w:rsidR="00365B48" w:rsidRPr="004E2ADC" w:rsidTr="00CF4681">
        <w:tc>
          <w:tcPr>
            <w:tcW w:w="594" w:type="pct"/>
            <w:vMerge/>
            <w:vAlign w:val="center"/>
          </w:tcPr>
          <w:p w:rsidR="00365B48" w:rsidRPr="004E2ADC" w:rsidRDefault="00365B48" w:rsidP="009710A3">
            <w:pPr>
              <w:jc w:val="left"/>
              <w:rPr>
                <w:rFonts w:ascii="Arial Narrow" w:hAnsi="Arial Narrow"/>
                <w:sz w:val="20"/>
              </w:rPr>
            </w:pPr>
          </w:p>
        </w:tc>
        <w:tc>
          <w:tcPr>
            <w:tcW w:w="3057" w:type="pct"/>
          </w:tcPr>
          <w:p w:rsidR="00365B48" w:rsidRPr="004E2ADC" w:rsidRDefault="00365B48" w:rsidP="009710A3">
            <w:pPr>
              <w:jc w:val="left"/>
              <w:rPr>
                <w:rFonts w:ascii="Arial Narrow" w:hAnsi="Arial Narrow"/>
                <w:sz w:val="20"/>
              </w:rPr>
            </w:pPr>
            <w:r>
              <w:rPr>
                <w:rFonts w:ascii="Arial Narrow" w:hAnsi="Arial Narrow"/>
                <w:sz w:val="20"/>
              </w:rPr>
              <w:t xml:space="preserve">Grabowski et al. Enzyme therapy in type 1 </w:t>
            </w:r>
            <w:proofErr w:type="spellStart"/>
            <w:r>
              <w:rPr>
                <w:rFonts w:ascii="Arial Narrow" w:hAnsi="Arial Narrow"/>
                <w:sz w:val="20"/>
              </w:rPr>
              <w:t>Gaucher</w:t>
            </w:r>
            <w:proofErr w:type="spellEnd"/>
            <w:r>
              <w:rPr>
                <w:rFonts w:ascii="Arial Narrow" w:hAnsi="Arial Narrow"/>
                <w:sz w:val="20"/>
              </w:rPr>
              <w:t xml:space="preserve"> disease: comparative efficacy of mannose-terminated </w:t>
            </w:r>
            <w:proofErr w:type="spellStart"/>
            <w:r>
              <w:rPr>
                <w:rFonts w:ascii="Arial Narrow" w:hAnsi="Arial Narrow"/>
                <w:sz w:val="20"/>
              </w:rPr>
              <w:t>glucocerebrosidase</w:t>
            </w:r>
            <w:proofErr w:type="spellEnd"/>
            <w:r>
              <w:rPr>
                <w:rFonts w:ascii="Arial Narrow" w:hAnsi="Arial Narrow"/>
                <w:sz w:val="20"/>
              </w:rPr>
              <w:t xml:space="preserve"> from natural and recombinant sources.</w:t>
            </w:r>
          </w:p>
        </w:tc>
        <w:tc>
          <w:tcPr>
            <w:tcW w:w="1349" w:type="pct"/>
          </w:tcPr>
          <w:p w:rsidR="00365B48" w:rsidRPr="004E2ADC" w:rsidRDefault="00365B48" w:rsidP="009710A3">
            <w:pPr>
              <w:jc w:val="left"/>
              <w:rPr>
                <w:rFonts w:ascii="Arial Narrow" w:hAnsi="Arial Narrow"/>
                <w:sz w:val="20"/>
              </w:rPr>
            </w:pPr>
            <w:r w:rsidRPr="00C426C5">
              <w:rPr>
                <w:rFonts w:ascii="Arial Narrow" w:hAnsi="Arial Narrow"/>
                <w:i/>
                <w:sz w:val="20"/>
              </w:rPr>
              <w:t>Annals of Internal Medicine</w:t>
            </w:r>
            <w:r>
              <w:rPr>
                <w:rFonts w:ascii="Arial Narrow" w:hAnsi="Arial Narrow"/>
                <w:sz w:val="20"/>
              </w:rPr>
              <w:t xml:space="preserve"> 1995; 122(1):33-39.</w:t>
            </w:r>
          </w:p>
        </w:tc>
      </w:tr>
      <w:tr w:rsidR="00365B48" w:rsidRPr="004E2ADC" w:rsidTr="005D4557">
        <w:tc>
          <w:tcPr>
            <w:tcW w:w="5000" w:type="pct"/>
            <w:gridSpan w:val="3"/>
          </w:tcPr>
          <w:p w:rsidR="00365B48" w:rsidRPr="004E2ADC" w:rsidRDefault="00365B48" w:rsidP="009710A3">
            <w:pPr>
              <w:jc w:val="left"/>
              <w:rPr>
                <w:rFonts w:ascii="Arial Narrow" w:hAnsi="Arial Narrow"/>
                <w:b/>
                <w:sz w:val="20"/>
              </w:rPr>
            </w:pPr>
            <w:proofErr w:type="spellStart"/>
            <w:r>
              <w:rPr>
                <w:rFonts w:ascii="Arial Narrow" w:hAnsi="Arial Narrow"/>
                <w:b/>
                <w:sz w:val="20"/>
              </w:rPr>
              <w:t>Imiglucerase</w:t>
            </w:r>
            <w:proofErr w:type="spellEnd"/>
            <w:r>
              <w:rPr>
                <w:rFonts w:ascii="Arial Narrow" w:hAnsi="Arial Narrow"/>
                <w:b/>
                <w:sz w:val="20"/>
              </w:rPr>
              <w:t xml:space="preserve"> non-randomised studies</w:t>
            </w:r>
          </w:p>
        </w:tc>
      </w:tr>
      <w:tr w:rsidR="00365B48" w:rsidTr="00CF4681">
        <w:tc>
          <w:tcPr>
            <w:tcW w:w="594" w:type="pct"/>
            <w:vAlign w:val="center"/>
          </w:tcPr>
          <w:p w:rsidR="00365B48" w:rsidRPr="00DA2B05" w:rsidRDefault="00365B48" w:rsidP="009710A3">
            <w:pPr>
              <w:jc w:val="left"/>
              <w:rPr>
                <w:rFonts w:ascii="Arial Narrow" w:hAnsi="Arial Narrow"/>
                <w:sz w:val="20"/>
              </w:rPr>
            </w:pPr>
            <w:r>
              <w:rPr>
                <w:rFonts w:ascii="Arial Narrow" w:hAnsi="Arial Narrow"/>
                <w:sz w:val="20"/>
              </w:rPr>
              <w:t>Sims 2008</w:t>
            </w:r>
          </w:p>
        </w:tc>
        <w:tc>
          <w:tcPr>
            <w:tcW w:w="3057" w:type="pct"/>
          </w:tcPr>
          <w:p w:rsidR="00365B48" w:rsidRDefault="00365B48" w:rsidP="009710A3">
            <w:pPr>
              <w:jc w:val="left"/>
              <w:rPr>
                <w:rFonts w:ascii="Arial Narrow" w:hAnsi="Arial Narrow"/>
                <w:sz w:val="20"/>
              </w:rPr>
            </w:pPr>
            <w:r>
              <w:rPr>
                <w:rFonts w:ascii="Arial Narrow" w:hAnsi="Arial Narrow"/>
                <w:sz w:val="20"/>
              </w:rPr>
              <w:t>(Clinical trial Number: NCT</w:t>
            </w:r>
            <w:r w:rsidRPr="0033296D">
              <w:rPr>
                <w:rFonts w:ascii="Arial Narrow" w:hAnsi="Arial Narrow"/>
                <w:sz w:val="20"/>
              </w:rPr>
              <w:t>00365131</w:t>
            </w:r>
            <w:r>
              <w:rPr>
                <w:rFonts w:ascii="Arial Narrow" w:hAnsi="Arial Narrow"/>
                <w:sz w:val="20"/>
              </w:rPr>
              <w:t>)</w:t>
            </w:r>
          </w:p>
          <w:p w:rsidR="00365B48" w:rsidRPr="00C66C70" w:rsidRDefault="00365B48" w:rsidP="009710A3">
            <w:pPr>
              <w:jc w:val="left"/>
              <w:rPr>
                <w:rFonts w:ascii="Arial Narrow" w:hAnsi="Arial Narrow"/>
                <w:sz w:val="20"/>
              </w:rPr>
            </w:pPr>
            <w:r w:rsidRPr="00C426C5">
              <w:rPr>
                <w:rFonts w:ascii="Arial Narrow" w:hAnsi="Arial Narrow"/>
                <w:sz w:val="20"/>
              </w:rPr>
              <w:t xml:space="preserve">Sims et al. Improvement of bone disease by </w:t>
            </w:r>
            <w:proofErr w:type="spellStart"/>
            <w:r w:rsidRPr="00C426C5">
              <w:rPr>
                <w:rFonts w:ascii="Arial Narrow" w:hAnsi="Arial Narrow"/>
                <w:sz w:val="20"/>
              </w:rPr>
              <w:t>imiglucerase</w:t>
            </w:r>
            <w:proofErr w:type="spellEnd"/>
            <w:r w:rsidRPr="00C426C5">
              <w:rPr>
                <w:rFonts w:ascii="Arial Narrow" w:hAnsi="Arial Narrow"/>
                <w:sz w:val="20"/>
              </w:rPr>
              <w:t xml:space="preserve"> (</w:t>
            </w:r>
            <w:proofErr w:type="spellStart"/>
            <w:r w:rsidRPr="00C426C5">
              <w:rPr>
                <w:rFonts w:ascii="Arial Narrow" w:hAnsi="Arial Narrow"/>
                <w:sz w:val="20"/>
              </w:rPr>
              <w:t>Cerezyme</w:t>
            </w:r>
            <w:proofErr w:type="spellEnd"/>
            <w:r w:rsidRPr="00C426C5">
              <w:rPr>
                <w:rFonts w:ascii="Arial Narrow" w:hAnsi="Arial Narrow"/>
                <w:sz w:val="20"/>
              </w:rPr>
              <w:t xml:space="preserve">) therapy in patients with skeletal manifestations of type 1 </w:t>
            </w:r>
            <w:proofErr w:type="spellStart"/>
            <w:r w:rsidRPr="00C426C5">
              <w:rPr>
                <w:rFonts w:ascii="Arial Narrow" w:hAnsi="Arial Narrow"/>
                <w:sz w:val="20"/>
              </w:rPr>
              <w:t>Gaucher</w:t>
            </w:r>
            <w:proofErr w:type="spellEnd"/>
            <w:r w:rsidRPr="00C426C5">
              <w:rPr>
                <w:rFonts w:ascii="Arial Narrow" w:hAnsi="Arial Narrow"/>
                <w:sz w:val="20"/>
              </w:rPr>
              <w:t xml:space="preserve"> disease: results of a 48-month longitudinal cohort trial. </w:t>
            </w:r>
          </w:p>
        </w:tc>
        <w:tc>
          <w:tcPr>
            <w:tcW w:w="1349" w:type="pct"/>
          </w:tcPr>
          <w:p w:rsidR="00365B48" w:rsidRDefault="00365B48" w:rsidP="009710A3">
            <w:pPr>
              <w:jc w:val="left"/>
              <w:rPr>
                <w:rFonts w:ascii="Arial Narrow" w:hAnsi="Arial Narrow"/>
                <w:sz w:val="20"/>
              </w:rPr>
            </w:pPr>
            <w:r w:rsidRPr="00C426C5">
              <w:rPr>
                <w:rFonts w:ascii="Arial Narrow" w:hAnsi="Arial Narrow"/>
                <w:sz w:val="20"/>
              </w:rPr>
              <w:t xml:space="preserve">Clinical Genetics </w:t>
            </w:r>
            <w:r>
              <w:rPr>
                <w:rFonts w:ascii="Arial Narrow" w:hAnsi="Arial Narrow"/>
                <w:sz w:val="20"/>
              </w:rPr>
              <w:t>2008; 73:</w:t>
            </w:r>
            <w:r w:rsidRPr="00C426C5">
              <w:rPr>
                <w:rFonts w:ascii="Arial Narrow" w:hAnsi="Arial Narrow"/>
                <w:sz w:val="20"/>
              </w:rPr>
              <w:t>430-440</w:t>
            </w:r>
            <w:r>
              <w:rPr>
                <w:rFonts w:ascii="Arial Narrow" w:hAnsi="Arial Narrow"/>
                <w:sz w:val="20"/>
              </w:rPr>
              <w:t>.</w:t>
            </w:r>
          </w:p>
          <w:p w:rsidR="00365B48" w:rsidRDefault="00365B48" w:rsidP="009710A3">
            <w:pPr>
              <w:jc w:val="left"/>
              <w:rPr>
                <w:rFonts w:ascii="Arial Narrow" w:hAnsi="Arial Narrow"/>
                <w:sz w:val="20"/>
              </w:rPr>
            </w:pPr>
          </w:p>
          <w:p w:rsidR="00365B48" w:rsidRDefault="00365B48" w:rsidP="009710A3">
            <w:pPr>
              <w:jc w:val="left"/>
              <w:rPr>
                <w:rFonts w:ascii="Arial Narrow" w:hAnsi="Arial Narrow"/>
                <w:sz w:val="20"/>
              </w:rPr>
            </w:pPr>
          </w:p>
        </w:tc>
      </w:tr>
      <w:tr w:rsidR="00365B48" w:rsidRPr="004E2ADC" w:rsidTr="005D4557">
        <w:tc>
          <w:tcPr>
            <w:tcW w:w="5000" w:type="pct"/>
            <w:gridSpan w:val="3"/>
          </w:tcPr>
          <w:p w:rsidR="00365B48" w:rsidRPr="004E2ADC" w:rsidRDefault="00365B48" w:rsidP="009710A3">
            <w:pPr>
              <w:jc w:val="left"/>
              <w:rPr>
                <w:rFonts w:ascii="Arial Narrow" w:hAnsi="Arial Narrow"/>
                <w:b/>
                <w:sz w:val="20"/>
              </w:rPr>
            </w:pPr>
            <w:proofErr w:type="spellStart"/>
            <w:r>
              <w:rPr>
                <w:rFonts w:ascii="Arial Narrow" w:hAnsi="Arial Narrow"/>
                <w:b/>
                <w:sz w:val="20"/>
              </w:rPr>
              <w:t>Velaglucerase</w:t>
            </w:r>
            <w:proofErr w:type="spellEnd"/>
            <w:r>
              <w:rPr>
                <w:rFonts w:ascii="Arial Narrow" w:hAnsi="Arial Narrow"/>
                <w:b/>
                <w:sz w:val="20"/>
              </w:rPr>
              <w:t xml:space="preserve"> alfa randomised trials</w:t>
            </w:r>
          </w:p>
        </w:tc>
      </w:tr>
      <w:tr w:rsidR="00365B48" w:rsidTr="00CF4681">
        <w:tc>
          <w:tcPr>
            <w:tcW w:w="594" w:type="pct"/>
            <w:vMerge w:val="restart"/>
            <w:vAlign w:val="center"/>
          </w:tcPr>
          <w:p w:rsidR="00365B48" w:rsidRPr="00C42C2D" w:rsidRDefault="00365B48" w:rsidP="009710A3">
            <w:pPr>
              <w:jc w:val="left"/>
              <w:rPr>
                <w:rFonts w:ascii="Arial Narrow" w:hAnsi="Arial Narrow"/>
                <w:b/>
                <w:sz w:val="20"/>
                <w:vertAlign w:val="superscript"/>
              </w:rPr>
            </w:pPr>
            <w:r w:rsidRPr="002558A8">
              <w:rPr>
                <w:rFonts w:ascii="Arial Narrow" w:hAnsi="Arial Narrow"/>
                <w:sz w:val="20"/>
              </w:rPr>
              <w:t>TKT-032</w:t>
            </w:r>
            <w:r>
              <w:rPr>
                <w:rFonts w:ascii="Arial Narrow" w:hAnsi="Arial Narrow"/>
                <w:sz w:val="20"/>
              </w:rPr>
              <w:t xml:space="preserve"> </w:t>
            </w:r>
            <w:r>
              <w:rPr>
                <w:rFonts w:ascii="Arial Narrow" w:hAnsi="Arial Narrow"/>
                <w:b/>
                <w:sz w:val="20"/>
                <w:vertAlign w:val="superscript"/>
              </w:rPr>
              <w:t>b</w:t>
            </w:r>
          </w:p>
        </w:tc>
        <w:tc>
          <w:tcPr>
            <w:tcW w:w="3057" w:type="pct"/>
          </w:tcPr>
          <w:p w:rsidR="00365B48" w:rsidRPr="00C426C5" w:rsidRDefault="00365B48" w:rsidP="009710A3">
            <w:pPr>
              <w:jc w:val="left"/>
              <w:rPr>
                <w:rFonts w:ascii="Arial Narrow" w:hAnsi="Arial Narrow"/>
                <w:sz w:val="20"/>
              </w:rPr>
            </w:pPr>
            <w:r w:rsidRPr="00EA24F2">
              <w:rPr>
                <w:rFonts w:ascii="Arial Narrow" w:hAnsi="Arial Narrow"/>
                <w:sz w:val="20"/>
              </w:rPr>
              <w:t xml:space="preserve">NCT00430625. A multicenter, randomized, double-blind, parallel group, two-dose study of Gene-Activated® Human </w:t>
            </w:r>
            <w:proofErr w:type="spellStart"/>
            <w:r w:rsidRPr="00EA24F2">
              <w:rPr>
                <w:rFonts w:ascii="Arial Narrow" w:hAnsi="Arial Narrow"/>
                <w:sz w:val="20"/>
              </w:rPr>
              <w:t>Glucocerebrosidase</w:t>
            </w:r>
            <w:proofErr w:type="spellEnd"/>
            <w:r w:rsidRPr="00EA24F2">
              <w:rPr>
                <w:rFonts w:ascii="Arial Narrow" w:hAnsi="Arial Narrow"/>
                <w:sz w:val="20"/>
              </w:rPr>
              <w:t xml:space="preserve"> (GA-GCB) enzyme replacement therapy in patients with type 1 </w:t>
            </w:r>
            <w:proofErr w:type="spellStart"/>
            <w:r w:rsidRPr="00EA24F2">
              <w:rPr>
                <w:rFonts w:ascii="Arial Narrow" w:hAnsi="Arial Narrow"/>
                <w:sz w:val="20"/>
              </w:rPr>
              <w:t>Gaucher</w:t>
            </w:r>
            <w:proofErr w:type="spellEnd"/>
            <w:r w:rsidRPr="00EA24F2">
              <w:rPr>
                <w:rFonts w:ascii="Arial Narrow" w:hAnsi="Arial Narrow"/>
                <w:sz w:val="20"/>
              </w:rPr>
              <w:t xml:space="preserve"> disease. </w:t>
            </w:r>
          </w:p>
        </w:tc>
        <w:tc>
          <w:tcPr>
            <w:tcW w:w="1349" w:type="pct"/>
          </w:tcPr>
          <w:p w:rsidR="00365B48" w:rsidRPr="00C426C5" w:rsidRDefault="00365B48" w:rsidP="009710A3">
            <w:pPr>
              <w:jc w:val="left"/>
              <w:rPr>
                <w:rFonts w:ascii="Arial Narrow" w:hAnsi="Arial Narrow"/>
                <w:sz w:val="20"/>
              </w:rPr>
            </w:pPr>
            <w:r>
              <w:rPr>
                <w:rFonts w:ascii="Arial Narrow" w:hAnsi="Arial Narrow"/>
                <w:sz w:val="20"/>
              </w:rPr>
              <w:t>Clinical trial registry</w:t>
            </w:r>
          </w:p>
        </w:tc>
      </w:tr>
      <w:tr w:rsidR="00365B48" w:rsidTr="00CF4681">
        <w:tc>
          <w:tcPr>
            <w:tcW w:w="594" w:type="pct"/>
            <w:vMerge/>
            <w:vAlign w:val="center"/>
          </w:tcPr>
          <w:p w:rsidR="00365B48" w:rsidRPr="002558A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EA24F2">
              <w:rPr>
                <w:rFonts w:ascii="Arial Narrow" w:hAnsi="Arial Narrow"/>
                <w:sz w:val="20"/>
              </w:rPr>
              <w:t>Zimran</w:t>
            </w:r>
            <w:proofErr w:type="spellEnd"/>
            <w:r w:rsidRPr="00EA24F2">
              <w:rPr>
                <w:rFonts w:ascii="Arial Narrow" w:hAnsi="Arial Narrow"/>
                <w:sz w:val="20"/>
              </w:rPr>
              <w:t xml:space="preserve"> et al. Enzyme replacement therapy with </w:t>
            </w:r>
            <w:proofErr w:type="spellStart"/>
            <w:r w:rsidRPr="00EA24F2">
              <w:rPr>
                <w:rFonts w:ascii="Arial Narrow" w:hAnsi="Arial Narrow"/>
                <w:sz w:val="20"/>
              </w:rPr>
              <w:t>velaglucerase</w:t>
            </w:r>
            <w:proofErr w:type="spellEnd"/>
            <w:r w:rsidRPr="00EA24F2">
              <w:rPr>
                <w:rFonts w:ascii="Arial Narrow" w:hAnsi="Arial Narrow"/>
                <w:sz w:val="20"/>
              </w:rPr>
              <w:t xml:space="preserve"> alfa significantly improves key clinical parameters in type 1 </w:t>
            </w:r>
            <w:proofErr w:type="spellStart"/>
            <w:r w:rsidRPr="00EA24F2">
              <w:rPr>
                <w:rFonts w:ascii="Arial Narrow" w:hAnsi="Arial Narrow"/>
                <w:sz w:val="20"/>
              </w:rPr>
              <w:t>Gaucher</w:t>
            </w:r>
            <w:proofErr w:type="spellEnd"/>
            <w:r w:rsidRPr="00EA24F2">
              <w:rPr>
                <w:rFonts w:ascii="Arial Narrow" w:hAnsi="Arial Narrow"/>
                <w:sz w:val="20"/>
              </w:rPr>
              <w:t xml:space="preserve"> disease: Positive results from a randomized, double-blind, global, phase III study. </w:t>
            </w:r>
          </w:p>
        </w:tc>
        <w:tc>
          <w:tcPr>
            <w:tcW w:w="1349" w:type="pct"/>
          </w:tcPr>
          <w:p w:rsidR="00365B48" w:rsidRPr="00C426C5" w:rsidRDefault="00365B48" w:rsidP="009710A3">
            <w:pPr>
              <w:jc w:val="left"/>
              <w:rPr>
                <w:rFonts w:ascii="Arial Narrow" w:hAnsi="Arial Narrow"/>
                <w:sz w:val="20"/>
              </w:rPr>
            </w:pPr>
            <w:r w:rsidRPr="00A81C5B">
              <w:rPr>
                <w:rFonts w:ascii="Arial Narrow" w:hAnsi="Arial Narrow"/>
                <w:i/>
                <w:sz w:val="20"/>
              </w:rPr>
              <w:t>Molecular Genetics &amp; Metabolism</w:t>
            </w:r>
            <w:r>
              <w:rPr>
                <w:rFonts w:ascii="Arial Narrow" w:hAnsi="Arial Narrow"/>
                <w:sz w:val="20"/>
              </w:rPr>
              <w:t xml:space="preserve"> 2010</w:t>
            </w:r>
            <w:r w:rsidRPr="00EA24F2">
              <w:rPr>
                <w:rFonts w:ascii="Arial Narrow" w:hAnsi="Arial Narrow"/>
                <w:sz w:val="20"/>
              </w:rPr>
              <w:t xml:space="preserve">. Conference: 6th Annual Research Meeting of the </w:t>
            </w:r>
            <w:proofErr w:type="spellStart"/>
            <w:r w:rsidRPr="00EA24F2">
              <w:rPr>
                <w:rFonts w:ascii="Arial Narrow" w:hAnsi="Arial Narrow"/>
                <w:sz w:val="20"/>
              </w:rPr>
              <w:t>Lysosomal</w:t>
            </w:r>
            <w:proofErr w:type="spellEnd"/>
            <w:r w:rsidRPr="00EA24F2">
              <w:rPr>
                <w:rFonts w:ascii="Arial Narrow" w:hAnsi="Arial Narrow"/>
                <w:sz w:val="20"/>
              </w:rPr>
              <w:t xml:space="preserve"> Disease Network's, WORLD Symposium 2010 Miami, FL United</w:t>
            </w:r>
            <w:r>
              <w:rPr>
                <w:rFonts w:ascii="Arial Narrow" w:hAnsi="Arial Narrow"/>
                <w:sz w:val="20"/>
              </w:rPr>
              <w:t xml:space="preserve"> States. Conference Publication</w:t>
            </w:r>
            <w:r w:rsidRPr="00EA24F2">
              <w:rPr>
                <w:rFonts w:ascii="Arial Narrow" w:hAnsi="Arial Narrow"/>
                <w:sz w:val="20"/>
              </w:rPr>
              <w:t>; 99 (2)</w:t>
            </w:r>
            <w:r>
              <w:rPr>
                <w:rFonts w:ascii="Arial Narrow" w:hAnsi="Arial Narrow"/>
                <w:sz w:val="20"/>
              </w:rPr>
              <w:t>:S41</w:t>
            </w:r>
            <w:r w:rsidRPr="00EA24F2">
              <w:rPr>
                <w:rFonts w:ascii="Arial Narrow" w:hAnsi="Arial Narrow"/>
                <w:sz w:val="20"/>
              </w:rPr>
              <w:t>.</w:t>
            </w:r>
          </w:p>
        </w:tc>
      </w:tr>
      <w:tr w:rsidR="00365B48" w:rsidTr="00CF4681">
        <w:tc>
          <w:tcPr>
            <w:tcW w:w="594" w:type="pct"/>
            <w:vMerge/>
            <w:vAlign w:val="center"/>
          </w:tcPr>
          <w:p w:rsidR="00365B48" w:rsidRPr="002558A8" w:rsidRDefault="00365B48" w:rsidP="009710A3">
            <w:pPr>
              <w:jc w:val="left"/>
              <w:rPr>
                <w:rFonts w:ascii="Arial Narrow" w:hAnsi="Arial Narrow"/>
                <w:sz w:val="20"/>
              </w:rPr>
            </w:pPr>
          </w:p>
        </w:tc>
        <w:tc>
          <w:tcPr>
            <w:tcW w:w="3057" w:type="pct"/>
          </w:tcPr>
          <w:p w:rsidR="00365B48" w:rsidRPr="00EA24F2" w:rsidRDefault="00365B48" w:rsidP="009710A3">
            <w:pPr>
              <w:jc w:val="left"/>
              <w:rPr>
                <w:rFonts w:ascii="Arial Narrow" w:hAnsi="Arial Narrow"/>
                <w:sz w:val="20"/>
              </w:rPr>
            </w:pPr>
            <w:proofErr w:type="spellStart"/>
            <w:r w:rsidRPr="00EA24F2">
              <w:rPr>
                <w:rFonts w:ascii="Arial Narrow" w:hAnsi="Arial Narrow"/>
                <w:sz w:val="20"/>
              </w:rPr>
              <w:t>Zimran</w:t>
            </w:r>
            <w:proofErr w:type="spellEnd"/>
            <w:r w:rsidRPr="00EA24F2">
              <w:rPr>
                <w:rFonts w:ascii="Arial Narrow" w:hAnsi="Arial Narrow"/>
                <w:sz w:val="20"/>
              </w:rPr>
              <w:t xml:space="preserve"> et al. Enzyme replacement therapy with </w:t>
            </w:r>
            <w:proofErr w:type="spellStart"/>
            <w:r w:rsidRPr="00EA24F2">
              <w:rPr>
                <w:rFonts w:ascii="Arial Narrow" w:hAnsi="Arial Narrow"/>
                <w:sz w:val="20"/>
              </w:rPr>
              <w:t>velaglucerase</w:t>
            </w:r>
            <w:proofErr w:type="spellEnd"/>
            <w:r w:rsidRPr="00EA24F2">
              <w:rPr>
                <w:rFonts w:ascii="Arial Narrow" w:hAnsi="Arial Narrow"/>
                <w:sz w:val="20"/>
              </w:rPr>
              <w:t xml:space="preserve"> alfa improves key clinical parameters in a </w:t>
            </w:r>
            <w:proofErr w:type="spellStart"/>
            <w:r w:rsidRPr="00EA24F2">
              <w:rPr>
                <w:rFonts w:ascii="Arial Narrow" w:hAnsi="Arial Narrow"/>
                <w:sz w:val="20"/>
              </w:rPr>
              <w:t>pediatric</w:t>
            </w:r>
            <w:proofErr w:type="spellEnd"/>
            <w:r w:rsidRPr="00EA24F2">
              <w:rPr>
                <w:rFonts w:ascii="Arial Narrow" w:hAnsi="Arial Narrow"/>
                <w:sz w:val="20"/>
              </w:rPr>
              <w:t xml:space="preserve"> subgroup with type 1 </w:t>
            </w:r>
            <w:proofErr w:type="spellStart"/>
            <w:r w:rsidRPr="00EA24F2">
              <w:rPr>
                <w:rFonts w:ascii="Arial Narrow" w:hAnsi="Arial Narrow"/>
                <w:sz w:val="20"/>
              </w:rPr>
              <w:t>Gaucher</w:t>
            </w:r>
            <w:proofErr w:type="spellEnd"/>
            <w:r w:rsidRPr="00EA24F2">
              <w:rPr>
                <w:rFonts w:ascii="Arial Narrow" w:hAnsi="Arial Narrow"/>
                <w:sz w:val="20"/>
              </w:rPr>
              <w:t xml:space="preserve"> disease. </w:t>
            </w:r>
          </w:p>
          <w:p w:rsidR="00365B48" w:rsidRPr="00C426C5" w:rsidRDefault="00365B48" w:rsidP="009710A3">
            <w:pPr>
              <w:jc w:val="left"/>
              <w:rPr>
                <w:rFonts w:ascii="Arial Narrow" w:hAnsi="Arial Narrow"/>
                <w:sz w:val="20"/>
              </w:rPr>
            </w:pPr>
          </w:p>
        </w:tc>
        <w:tc>
          <w:tcPr>
            <w:tcW w:w="1349" w:type="pct"/>
          </w:tcPr>
          <w:p w:rsidR="00365B48" w:rsidRPr="00C426C5" w:rsidRDefault="00365B48" w:rsidP="009710A3">
            <w:pPr>
              <w:jc w:val="left"/>
              <w:rPr>
                <w:rFonts w:ascii="Arial Narrow" w:hAnsi="Arial Narrow"/>
                <w:sz w:val="20"/>
              </w:rPr>
            </w:pPr>
            <w:r w:rsidRPr="00A81C5B">
              <w:rPr>
                <w:rFonts w:ascii="Arial Narrow" w:hAnsi="Arial Narrow"/>
                <w:i/>
                <w:sz w:val="20"/>
              </w:rPr>
              <w:t>Molecular Genetics &amp; Metabolism</w:t>
            </w:r>
            <w:r>
              <w:rPr>
                <w:rFonts w:ascii="Arial Narrow" w:hAnsi="Arial Narrow"/>
                <w:sz w:val="20"/>
              </w:rPr>
              <w:t xml:space="preserve"> 2010</w:t>
            </w:r>
            <w:r w:rsidRPr="00EA24F2">
              <w:rPr>
                <w:rFonts w:ascii="Arial Narrow" w:hAnsi="Arial Narrow"/>
                <w:sz w:val="20"/>
              </w:rPr>
              <w:t xml:space="preserve"> Conference: 6th Annual Research Meeting of the </w:t>
            </w:r>
            <w:proofErr w:type="spellStart"/>
            <w:r w:rsidRPr="00EA24F2">
              <w:rPr>
                <w:rFonts w:ascii="Arial Narrow" w:hAnsi="Arial Narrow"/>
                <w:sz w:val="20"/>
              </w:rPr>
              <w:t>Lysosomal</w:t>
            </w:r>
            <w:proofErr w:type="spellEnd"/>
            <w:r w:rsidRPr="00EA24F2">
              <w:rPr>
                <w:rFonts w:ascii="Arial Narrow" w:hAnsi="Arial Narrow"/>
                <w:sz w:val="20"/>
              </w:rPr>
              <w:t xml:space="preserve"> Disease Network's, WORLD Symposium 2010 Miami, FL United States. Conference Publication</w:t>
            </w:r>
            <w:r>
              <w:rPr>
                <w:rFonts w:ascii="Arial Narrow" w:hAnsi="Arial Narrow"/>
                <w:sz w:val="20"/>
              </w:rPr>
              <w:t>; 99</w:t>
            </w:r>
            <w:r w:rsidRPr="00EA24F2">
              <w:rPr>
                <w:rFonts w:ascii="Arial Narrow" w:hAnsi="Arial Narrow"/>
                <w:sz w:val="20"/>
              </w:rPr>
              <w:t>(2)</w:t>
            </w:r>
            <w:r>
              <w:rPr>
                <w:rFonts w:ascii="Arial Narrow" w:hAnsi="Arial Narrow"/>
                <w:sz w:val="20"/>
              </w:rPr>
              <w:t>:</w:t>
            </w:r>
            <w:r w:rsidRPr="00EA24F2">
              <w:rPr>
                <w:rFonts w:ascii="Arial Narrow" w:hAnsi="Arial Narrow"/>
                <w:sz w:val="20"/>
              </w:rPr>
              <w:t>S40-S41.</w:t>
            </w:r>
          </w:p>
        </w:tc>
      </w:tr>
      <w:tr w:rsidR="00365B48" w:rsidTr="00CF4681">
        <w:tc>
          <w:tcPr>
            <w:tcW w:w="594" w:type="pct"/>
            <w:vMerge/>
            <w:vAlign w:val="center"/>
          </w:tcPr>
          <w:p w:rsidR="00365B48" w:rsidRPr="002558A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r w:rsidRPr="00EA24F2">
              <w:rPr>
                <w:rFonts w:ascii="Arial Narrow" w:hAnsi="Arial Narrow"/>
                <w:sz w:val="20"/>
              </w:rPr>
              <w:t xml:space="preserve">Gonzales et al. Clinically significant haemoglobin response observed within 3 months following treatment with </w:t>
            </w:r>
            <w:proofErr w:type="spellStart"/>
            <w:r w:rsidRPr="00EA24F2">
              <w:rPr>
                <w:rFonts w:ascii="Arial Narrow" w:hAnsi="Arial Narrow"/>
                <w:sz w:val="20"/>
              </w:rPr>
              <w:t>velaglucerase</w:t>
            </w:r>
            <w:proofErr w:type="spellEnd"/>
            <w:r w:rsidRPr="00EA24F2">
              <w:rPr>
                <w:rFonts w:ascii="Arial Narrow" w:hAnsi="Arial Narrow"/>
                <w:sz w:val="20"/>
              </w:rPr>
              <w:t xml:space="preserve"> alfa in patients with type 1 </w:t>
            </w:r>
            <w:proofErr w:type="spellStart"/>
            <w:r>
              <w:rPr>
                <w:rFonts w:ascii="Arial Narrow" w:hAnsi="Arial Narrow"/>
                <w:sz w:val="20"/>
              </w:rPr>
              <w:t>G</w:t>
            </w:r>
            <w:r w:rsidRPr="00EA24F2">
              <w:rPr>
                <w:rFonts w:ascii="Arial Narrow" w:hAnsi="Arial Narrow"/>
                <w:sz w:val="20"/>
              </w:rPr>
              <w:t>aucher</w:t>
            </w:r>
            <w:proofErr w:type="spellEnd"/>
            <w:r w:rsidRPr="00EA24F2">
              <w:rPr>
                <w:rFonts w:ascii="Arial Narrow" w:hAnsi="Arial Narrow"/>
                <w:sz w:val="20"/>
              </w:rPr>
              <w:t xml:space="preserve"> disease. </w:t>
            </w:r>
          </w:p>
        </w:tc>
        <w:tc>
          <w:tcPr>
            <w:tcW w:w="1349" w:type="pct"/>
          </w:tcPr>
          <w:p w:rsidR="00365B48" w:rsidRPr="00C426C5" w:rsidRDefault="00365B48" w:rsidP="009710A3">
            <w:pPr>
              <w:jc w:val="left"/>
              <w:rPr>
                <w:rFonts w:ascii="Arial Narrow" w:hAnsi="Arial Narrow"/>
                <w:sz w:val="20"/>
              </w:rPr>
            </w:pPr>
            <w:r w:rsidRPr="00A81C5B">
              <w:rPr>
                <w:rFonts w:ascii="Arial Narrow" w:hAnsi="Arial Narrow"/>
                <w:i/>
                <w:sz w:val="20"/>
              </w:rPr>
              <w:t>Journal of Inherited Metabolic Disease</w:t>
            </w:r>
            <w:r w:rsidRPr="00EA24F2">
              <w:rPr>
                <w:rFonts w:ascii="Arial Narrow" w:hAnsi="Arial Narrow"/>
                <w:sz w:val="20"/>
              </w:rPr>
              <w:t xml:space="preserve"> </w:t>
            </w:r>
            <w:r>
              <w:rPr>
                <w:rFonts w:ascii="Arial Narrow" w:hAnsi="Arial Narrow"/>
                <w:sz w:val="20"/>
              </w:rPr>
              <w:t xml:space="preserve">2010 </w:t>
            </w:r>
            <w:r w:rsidRPr="00EA24F2">
              <w:rPr>
                <w:rFonts w:ascii="Arial Narrow" w:hAnsi="Arial Narrow"/>
                <w:sz w:val="20"/>
              </w:rPr>
              <w:t xml:space="preserve">Conference: Annual Symposium of the </w:t>
            </w:r>
            <w:r w:rsidRPr="00EA24F2">
              <w:rPr>
                <w:rFonts w:ascii="Arial Narrow" w:hAnsi="Arial Narrow"/>
                <w:sz w:val="20"/>
              </w:rPr>
              <w:lastRenderedPageBreak/>
              <w:t>Society for the Study of Inborn Errors of Metabolism Istanbul Turkey. Conference Publication</w:t>
            </w:r>
            <w:r>
              <w:rPr>
                <w:rFonts w:ascii="Arial Narrow" w:hAnsi="Arial Narrow"/>
                <w:sz w:val="20"/>
              </w:rPr>
              <w:t>;</w:t>
            </w:r>
            <w:r w:rsidRPr="00EA24F2">
              <w:rPr>
                <w:rFonts w:ascii="Arial Narrow" w:hAnsi="Arial Narrow"/>
                <w:sz w:val="20"/>
              </w:rPr>
              <w:t xml:space="preserve"> 33</w:t>
            </w:r>
            <w:r>
              <w:rPr>
                <w:rFonts w:ascii="Arial Narrow" w:hAnsi="Arial Narrow"/>
                <w:sz w:val="20"/>
              </w:rPr>
              <w:t>:</w:t>
            </w:r>
            <w:r w:rsidRPr="00EA24F2">
              <w:rPr>
                <w:rFonts w:ascii="Arial Narrow" w:hAnsi="Arial Narrow"/>
                <w:sz w:val="20"/>
              </w:rPr>
              <w:t>S139.</w:t>
            </w:r>
          </w:p>
        </w:tc>
      </w:tr>
      <w:tr w:rsidR="00365B48" w:rsidTr="00CF4681">
        <w:tc>
          <w:tcPr>
            <w:tcW w:w="594" w:type="pct"/>
            <w:vMerge/>
            <w:vAlign w:val="center"/>
          </w:tcPr>
          <w:p w:rsidR="00365B48" w:rsidRPr="002558A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EA24F2">
              <w:rPr>
                <w:rFonts w:ascii="Arial Narrow" w:hAnsi="Arial Narrow"/>
                <w:sz w:val="20"/>
              </w:rPr>
              <w:t>Zimran</w:t>
            </w:r>
            <w:proofErr w:type="spellEnd"/>
            <w:r w:rsidRPr="00EA24F2">
              <w:rPr>
                <w:rFonts w:ascii="Arial Narrow" w:hAnsi="Arial Narrow"/>
                <w:sz w:val="20"/>
              </w:rPr>
              <w:t xml:space="preserve"> et al. Enzyme replacement therapy with </w:t>
            </w:r>
            <w:proofErr w:type="spellStart"/>
            <w:r w:rsidRPr="00EA24F2">
              <w:rPr>
                <w:rFonts w:ascii="Arial Narrow" w:hAnsi="Arial Narrow"/>
                <w:sz w:val="20"/>
              </w:rPr>
              <w:t>velaglucerase</w:t>
            </w:r>
            <w:proofErr w:type="spellEnd"/>
            <w:r w:rsidRPr="00EA24F2">
              <w:rPr>
                <w:rFonts w:ascii="Arial Narrow" w:hAnsi="Arial Narrow"/>
                <w:sz w:val="20"/>
              </w:rPr>
              <w:t xml:space="preserve"> alfa significantly improves key clinical parameters in type 1 </w:t>
            </w:r>
            <w:proofErr w:type="spellStart"/>
            <w:r w:rsidRPr="00EA24F2">
              <w:rPr>
                <w:rFonts w:ascii="Arial Narrow" w:hAnsi="Arial Narrow"/>
                <w:sz w:val="20"/>
              </w:rPr>
              <w:t>Gaucher</w:t>
            </w:r>
            <w:proofErr w:type="spellEnd"/>
            <w:r w:rsidRPr="00EA24F2">
              <w:rPr>
                <w:rFonts w:ascii="Arial Narrow" w:hAnsi="Arial Narrow"/>
                <w:sz w:val="20"/>
              </w:rPr>
              <w:t xml:space="preserve"> disease: positive results from a randomized, double-blind, global, phase III study. </w:t>
            </w:r>
          </w:p>
        </w:tc>
        <w:tc>
          <w:tcPr>
            <w:tcW w:w="1349" w:type="pct"/>
          </w:tcPr>
          <w:p w:rsidR="00365B48" w:rsidRPr="00C426C5" w:rsidRDefault="00365B48" w:rsidP="009710A3">
            <w:pPr>
              <w:jc w:val="left"/>
              <w:rPr>
                <w:rFonts w:ascii="Arial Narrow" w:hAnsi="Arial Narrow"/>
                <w:sz w:val="20"/>
              </w:rPr>
            </w:pPr>
            <w:proofErr w:type="spellStart"/>
            <w:r w:rsidRPr="00EA24F2">
              <w:rPr>
                <w:rFonts w:ascii="Arial Narrow" w:hAnsi="Arial Narrow"/>
                <w:i/>
                <w:sz w:val="20"/>
              </w:rPr>
              <w:t>Haematologica</w:t>
            </w:r>
            <w:proofErr w:type="spellEnd"/>
            <w:r w:rsidRPr="00EA24F2">
              <w:rPr>
                <w:rFonts w:ascii="Arial Narrow" w:hAnsi="Arial Narrow"/>
                <w:sz w:val="20"/>
              </w:rPr>
              <w:t xml:space="preserve"> </w:t>
            </w:r>
            <w:r>
              <w:rPr>
                <w:rFonts w:ascii="Arial Narrow" w:hAnsi="Arial Narrow"/>
                <w:sz w:val="20"/>
              </w:rPr>
              <w:t xml:space="preserve">2010 </w:t>
            </w:r>
            <w:r w:rsidRPr="00EA24F2">
              <w:rPr>
                <w:rFonts w:ascii="Arial Narrow" w:hAnsi="Arial Narrow"/>
                <w:sz w:val="20"/>
              </w:rPr>
              <w:t xml:space="preserve">Conference: 15th Congress of the European </w:t>
            </w:r>
            <w:proofErr w:type="spellStart"/>
            <w:r w:rsidRPr="00EA24F2">
              <w:rPr>
                <w:rFonts w:ascii="Arial Narrow" w:hAnsi="Arial Narrow"/>
                <w:sz w:val="20"/>
              </w:rPr>
              <w:t>Hematology</w:t>
            </w:r>
            <w:proofErr w:type="spellEnd"/>
            <w:r w:rsidRPr="00EA24F2">
              <w:rPr>
                <w:rFonts w:ascii="Arial Narrow" w:hAnsi="Arial Narrow"/>
                <w:sz w:val="20"/>
              </w:rPr>
              <w:t xml:space="preserve"> Association, EHA 2010 Barcelona </w:t>
            </w:r>
            <w:r>
              <w:rPr>
                <w:rFonts w:ascii="Arial Narrow" w:hAnsi="Arial Narrow"/>
                <w:sz w:val="20"/>
              </w:rPr>
              <w:t xml:space="preserve">Spain. Conference Publication; </w:t>
            </w:r>
            <w:r w:rsidRPr="00EA24F2">
              <w:rPr>
                <w:rFonts w:ascii="Arial Narrow" w:hAnsi="Arial Narrow"/>
                <w:sz w:val="20"/>
              </w:rPr>
              <w:t>95</w:t>
            </w:r>
            <w:r>
              <w:rPr>
                <w:rFonts w:ascii="Arial Narrow" w:hAnsi="Arial Narrow"/>
                <w:sz w:val="20"/>
              </w:rPr>
              <w:t>:</w:t>
            </w:r>
            <w:r w:rsidRPr="00EA24F2">
              <w:rPr>
                <w:rFonts w:ascii="Arial Narrow" w:hAnsi="Arial Narrow"/>
                <w:sz w:val="20"/>
              </w:rPr>
              <w:t>75-76.</w:t>
            </w:r>
          </w:p>
        </w:tc>
      </w:tr>
      <w:tr w:rsidR="00365B48" w:rsidRPr="004E2ADC" w:rsidTr="005D4557">
        <w:tc>
          <w:tcPr>
            <w:tcW w:w="5000" w:type="pct"/>
            <w:gridSpan w:val="3"/>
          </w:tcPr>
          <w:p w:rsidR="00365B48" w:rsidRPr="002558A8" w:rsidRDefault="00365B48" w:rsidP="009710A3">
            <w:pPr>
              <w:jc w:val="left"/>
              <w:rPr>
                <w:rFonts w:ascii="Arial Narrow" w:hAnsi="Arial Narrow"/>
                <w:b/>
                <w:sz w:val="20"/>
              </w:rPr>
            </w:pPr>
            <w:proofErr w:type="spellStart"/>
            <w:r w:rsidRPr="002558A8">
              <w:rPr>
                <w:rFonts w:ascii="Arial Narrow" w:hAnsi="Arial Narrow"/>
                <w:b/>
                <w:sz w:val="20"/>
              </w:rPr>
              <w:t>Velaglucerase</w:t>
            </w:r>
            <w:proofErr w:type="spellEnd"/>
            <w:r w:rsidRPr="002558A8">
              <w:rPr>
                <w:rFonts w:ascii="Arial Narrow" w:hAnsi="Arial Narrow"/>
                <w:b/>
                <w:sz w:val="20"/>
              </w:rPr>
              <w:t xml:space="preserve"> alfa </w:t>
            </w:r>
            <w:r>
              <w:rPr>
                <w:rFonts w:ascii="Arial Narrow" w:hAnsi="Arial Narrow"/>
                <w:b/>
                <w:sz w:val="20"/>
              </w:rPr>
              <w:t>non-randomised studies</w:t>
            </w:r>
          </w:p>
        </w:tc>
      </w:tr>
      <w:tr w:rsidR="00365B48" w:rsidTr="00CF4681">
        <w:tc>
          <w:tcPr>
            <w:tcW w:w="594" w:type="pct"/>
            <w:vAlign w:val="center"/>
          </w:tcPr>
          <w:p w:rsidR="00365B48" w:rsidRPr="00C42C2D" w:rsidRDefault="00365B48" w:rsidP="009710A3">
            <w:pPr>
              <w:jc w:val="left"/>
              <w:rPr>
                <w:rFonts w:ascii="Arial Narrow" w:hAnsi="Arial Narrow"/>
                <w:sz w:val="20"/>
                <w:vertAlign w:val="superscript"/>
              </w:rPr>
            </w:pPr>
            <w:r>
              <w:rPr>
                <w:rFonts w:ascii="Arial Narrow" w:hAnsi="Arial Narrow"/>
                <w:sz w:val="20"/>
              </w:rPr>
              <w:t xml:space="preserve">TKT-034 </w:t>
            </w:r>
            <w:r>
              <w:rPr>
                <w:rFonts w:ascii="Arial Narrow" w:hAnsi="Arial Narrow"/>
                <w:sz w:val="20"/>
                <w:vertAlign w:val="superscript"/>
              </w:rPr>
              <w:t>b</w:t>
            </w:r>
          </w:p>
        </w:tc>
        <w:tc>
          <w:tcPr>
            <w:tcW w:w="3057" w:type="pct"/>
          </w:tcPr>
          <w:p w:rsidR="00365B48" w:rsidRPr="002558A8" w:rsidRDefault="00365B48" w:rsidP="009710A3">
            <w:pPr>
              <w:pStyle w:val="TableText1"/>
              <w:spacing w:before="0" w:after="0"/>
              <w:rPr>
                <w:rFonts w:ascii="Arial Narrow" w:hAnsi="Arial Narrow" w:cs="Arial"/>
                <w:snapToGrid w:val="0"/>
                <w:sz w:val="20"/>
                <w:lang w:eastAsia="en-US"/>
              </w:rPr>
            </w:pPr>
            <w:r w:rsidRPr="002558A8">
              <w:rPr>
                <w:rFonts w:ascii="Arial Narrow" w:hAnsi="Arial Narrow" w:cs="Arial"/>
                <w:snapToGrid w:val="0"/>
                <w:sz w:val="20"/>
                <w:lang w:eastAsia="en-US"/>
              </w:rPr>
              <w:t xml:space="preserve">NCT00478647.  Study of GA-GCB enzyme replacement therapy in type 1 </w:t>
            </w:r>
            <w:proofErr w:type="spellStart"/>
            <w:r w:rsidRPr="002558A8">
              <w:rPr>
                <w:rFonts w:ascii="Arial Narrow" w:hAnsi="Arial Narrow" w:cs="Arial"/>
                <w:snapToGrid w:val="0"/>
                <w:sz w:val="20"/>
                <w:lang w:eastAsia="en-US"/>
              </w:rPr>
              <w:t>Gaucher</w:t>
            </w:r>
            <w:proofErr w:type="spellEnd"/>
            <w:r w:rsidRPr="002558A8">
              <w:rPr>
                <w:rFonts w:ascii="Arial Narrow" w:hAnsi="Arial Narrow" w:cs="Arial"/>
                <w:snapToGrid w:val="0"/>
                <w:sz w:val="20"/>
                <w:lang w:eastAsia="en-US"/>
              </w:rPr>
              <w:t xml:space="preserve"> disease patients previously treated with </w:t>
            </w:r>
            <w:proofErr w:type="spellStart"/>
            <w:r w:rsidRPr="002558A8">
              <w:rPr>
                <w:rFonts w:ascii="Arial Narrow" w:hAnsi="Arial Narrow" w:cs="Arial"/>
                <w:snapToGrid w:val="0"/>
                <w:sz w:val="20"/>
                <w:lang w:eastAsia="en-US"/>
              </w:rPr>
              <w:t>imiglucerase</w:t>
            </w:r>
            <w:proofErr w:type="spellEnd"/>
            <w:r w:rsidRPr="002558A8">
              <w:rPr>
                <w:rFonts w:ascii="Arial Narrow" w:hAnsi="Arial Narrow" w:cs="Arial"/>
                <w:snapToGrid w:val="0"/>
                <w:sz w:val="20"/>
                <w:lang w:eastAsia="en-US"/>
              </w:rPr>
              <w:t>.</w:t>
            </w:r>
          </w:p>
        </w:tc>
        <w:tc>
          <w:tcPr>
            <w:tcW w:w="1349" w:type="pct"/>
          </w:tcPr>
          <w:p w:rsidR="00365B48" w:rsidRPr="00C426C5" w:rsidRDefault="00365B48" w:rsidP="009710A3">
            <w:pPr>
              <w:jc w:val="left"/>
              <w:rPr>
                <w:rFonts w:ascii="Arial Narrow" w:hAnsi="Arial Narrow"/>
                <w:sz w:val="20"/>
              </w:rPr>
            </w:pPr>
            <w:r>
              <w:rPr>
                <w:rFonts w:ascii="Arial Narrow" w:hAnsi="Arial Narrow"/>
                <w:sz w:val="20"/>
              </w:rPr>
              <w:t>Clinical trial registry</w:t>
            </w:r>
          </w:p>
        </w:tc>
      </w:tr>
      <w:tr w:rsidR="00365B48" w:rsidTr="00CF4681">
        <w:tc>
          <w:tcPr>
            <w:tcW w:w="594" w:type="pct"/>
            <w:vMerge w:val="restart"/>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2558A8">
              <w:rPr>
                <w:rFonts w:ascii="Arial Narrow" w:hAnsi="Arial Narrow"/>
                <w:snapToGrid/>
                <w:sz w:val="20"/>
              </w:rPr>
              <w:t>Zimran</w:t>
            </w:r>
            <w:proofErr w:type="spellEnd"/>
            <w:r w:rsidRPr="002558A8">
              <w:rPr>
                <w:rFonts w:ascii="Arial Narrow" w:hAnsi="Arial Narrow"/>
                <w:snapToGrid/>
                <w:sz w:val="20"/>
              </w:rPr>
              <w:t xml:space="preserve"> et al. Safety and efficacy of </w:t>
            </w:r>
            <w:proofErr w:type="spellStart"/>
            <w:r w:rsidRPr="002558A8">
              <w:rPr>
                <w:rFonts w:ascii="Arial Narrow" w:hAnsi="Arial Narrow"/>
                <w:snapToGrid/>
                <w:sz w:val="20"/>
              </w:rPr>
              <w:t>velaglucerase</w:t>
            </w:r>
            <w:proofErr w:type="spellEnd"/>
            <w:r w:rsidRPr="002558A8">
              <w:rPr>
                <w:rFonts w:ascii="Arial Narrow" w:hAnsi="Arial Narrow"/>
                <w:snapToGrid/>
                <w:sz w:val="20"/>
              </w:rPr>
              <w:t xml:space="preserve"> alfa in </w:t>
            </w:r>
            <w:proofErr w:type="spellStart"/>
            <w:r w:rsidRPr="002558A8">
              <w:rPr>
                <w:rFonts w:ascii="Arial Narrow" w:hAnsi="Arial Narrow"/>
                <w:snapToGrid/>
                <w:sz w:val="20"/>
              </w:rPr>
              <w:t>Gaucher</w:t>
            </w:r>
            <w:proofErr w:type="spellEnd"/>
            <w:r w:rsidRPr="002558A8">
              <w:rPr>
                <w:rFonts w:ascii="Arial Narrow" w:hAnsi="Arial Narrow"/>
                <w:snapToGrid/>
                <w:sz w:val="20"/>
              </w:rPr>
              <w:t xml:space="preserve"> disease type 1 patients previously treated with </w:t>
            </w:r>
            <w:proofErr w:type="spellStart"/>
            <w:r w:rsidRPr="002558A8">
              <w:rPr>
                <w:rFonts w:ascii="Arial Narrow" w:hAnsi="Arial Narrow"/>
                <w:snapToGrid/>
                <w:sz w:val="20"/>
              </w:rPr>
              <w:t>imiglucerase</w:t>
            </w:r>
            <w:proofErr w:type="spellEnd"/>
            <w:r w:rsidRPr="002558A8">
              <w:rPr>
                <w:rFonts w:ascii="Arial Narrow" w:hAnsi="Arial Narrow"/>
                <w:snapToGrid/>
                <w:sz w:val="20"/>
              </w:rPr>
              <w:t xml:space="preserve">. </w:t>
            </w:r>
          </w:p>
        </w:tc>
        <w:tc>
          <w:tcPr>
            <w:tcW w:w="1349" w:type="pct"/>
          </w:tcPr>
          <w:p w:rsidR="00365B48" w:rsidRPr="00C426C5" w:rsidRDefault="00365B48" w:rsidP="009710A3">
            <w:pPr>
              <w:jc w:val="left"/>
              <w:rPr>
                <w:rFonts w:ascii="Arial Narrow" w:hAnsi="Arial Narrow"/>
                <w:sz w:val="20"/>
              </w:rPr>
            </w:pPr>
            <w:r w:rsidRPr="002558A8">
              <w:rPr>
                <w:rFonts w:ascii="Arial Narrow" w:hAnsi="Arial Narrow"/>
                <w:i/>
                <w:snapToGrid/>
                <w:sz w:val="20"/>
              </w:rPr>
              <w:t xml:space="preserve">American Journal of </w:t>
            </w:r>
            <w:proofErr w:type="spellStart"/>
            <w:r w:rsidRPr="002558A8">
              <w:rPr>
                <w:rFonts w:ascii="Arial Narrow" w:hAnsi="Arial Narrow"/>
                <w:i/>
                <w:snapToGrid/>
                <w:sz w:val="20"/>
              </w:rPr>
              <w:t>Hematology</w:t>
            </w:r>
            <w:proofErr w:type="spellEnd"/>
            <w:r w:rsidRPr="002558A8">
              <w:rPr>
                <w:rFonts w:ascii="Arial Narrow" w:hAnsi="Arial Narrow"/>
                <w:snapToGrid/>
                <w:sz w:val="20"/>
              </w:rPr>
              <w:t xml:space="preserve"> 2013; 88(3):172-8.</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2558A8" w:rsidRDefault="00365B48" w:rsidP="009710A3">
            <w:pPr>
              <w:pStyle w:val="TableText1"/>
              <w:spacing w:before="0" w:after="0"/>
              <w:rPr>
                <w:rFonts w:ascii="Arial Narrow" w:hAnsi="Arial Narrow" w:cs="Arial"/>
                <w:snapToGrid w:val="0"/>
                <w:sz w:val="20"/>
                <w:lang w:eastAsia="en-US"/>
              </w:rPr>
            </w:pPr>
            <w:proofErr w:type="spellStart"/>
            <w:r w:rsidRPr="002558A8">
              <w:rPr>
                <w:rFonts w:ascii="Arial Narrow" w:hAnsi="Arial Narrow" w:cs="Arial"/>
                <w:snapToGrid w:val="0"/>
                <w:sz w:val="20"/>
                <w:lang w:eastAsia="en-US"/>
              </w:rPr>
              <w:t>Pastores</w:t>
            </w:r>
            <w:proofErr w:type="spellEnd"/>
            <w:r w:rsidRPr="002558A8">
              <w:rPr>
                <w:rFonts w:ascii="Arial Narrow" w:hAnsi="Arial Narrow" w:cs="Arial"/>
                <w:snapToGrid w:val="0"/>
                <w:sz w:val="20"/>
                <w:lang w:eastAsia="en-US"/>
              </w:rPr>
              <w:t xml:space="preserve"> et al. Safety and efficacy of </w:t>
            </w:r>
            <w:proofErr w:type="spellStart"/>
            <w:r w:rsidRPr="002558A8">
              <w:rPr>
                <w:rFonts w:ascii="Arial Narrow" w:hAnsi="Arial Narrow" w:cs="Arial"/>
                <w:snapToGrid w:val="0"/>
                <w:sz w:val="20"/>
                <w:lang w:eastAsia="en-US"/>
              </w:rPr>
              <w:t>velaglucerase</w:t>
            </w:r>
            <w:proofErr w:type="spellEnd"/>
            <w:r w:rsidRPr="002558A8">
              <w:rPr>
                <w:rFonts w:ascii="Arial Narrow" w:hAnsi="Arial Narrow" w:cs="Arial"/>
                <w:snapToGrid w:val="0"/>
                <w:sz w:val="20"/>
                <w:lang w:eastAsia="en-US"/>
              </w:rPr>
              <w:t xml:space="preserve"> alfa in patients with type 1 </w:t>
            </w:r>
            <w:proofErr w:type="spellStart"/>
            <w:r>
              <w:rPr>
                <w:rFonts w:ascii="Arial Narrow" w:hAnsi="Arial Narrow" w:cs="Arial"/>
                <w:snapToGrid w:val="0"/>
                <w:sz w:val="20"/>
                <w:lang w:eastAsia="en-US"/>
              </w:rPr>
              <w:t>G</w:t>
            </w:r>
            <w:r w:rsidRPr="002558A8">
              <w:rPr>
                <w:rFonts w:ascii="Arial Narrow" w:hAnsi="Arial Narrow" w:cs="Arial"/>
                <w:snapToGrid w:val="0"/>
                <w:sz w:val="20"/>
                <w:lang w:eastAsia="en-US"/>
              </w:rPr>
              <w:t>aucher</w:t>
            </w:r>
            <w:proofErr w:type="spellEnd"/>
            <w:r w:rsidRPr="002558A8">
              <w:rPr>
                <w:rFonts w:ascii="Arial Narrow" w:hAnsi="Arial Narrow" w:cs="Arial"/>
                <w:snapToGrid w:val="0"/>
                <w:sz w:val="20"/>
                <w:lang w:eastAsia="en-US"/>
              </w:rPr>
              <w:t xml:space="preserve"> disease previously treated with </w:t>
            </w:r>
            <w:proofErr w:type="spellStart"/>
            <w:r w:rsidRPr="002558A8">
              <w:rPr>
                <w:rFonts w:ascii="Arial Narrow" w:hAnsi="Arial Narrow" w:cs="Arial"/>
                <w:snapToGrid w:val="0"/>
                <w:sz w:val="20"/>
                <w:lang w:eastAsia="en-US"/>
              </w:rPr>
              <w:t>imiglucerase</w:t>
            </w:r>
            <w:proofErr w:type="spellEnd"/>
            <w:r w:rsidRPr="002558A8">
              <w:rPr>
                <w:rFonts w:ascii="Arial Narrow" w:hAnsi="Arial Narrow" w:cs="Arial"/>
                <w:snapToGrid w:val="0"/>
                <w:sz w:val="20"/>
                <w:lang w:eastAsia="en-US"/>
              </w:rPr>
              <w:t xml:space="preserve">: ongoing extension of study TKT034. </w:t>
            </w:r>
          </w:p>
        </w:tc>
        <w:tc>
          <w:tcPr>
            <w:tcW w:w="1349" w:type="pct"/>
          </w:tcPr>
          <w:p w:rsidR="00365B48" w:rsidRPr="00C426C5" w:rsidRDefault="00365B48" w:rsidP="009710A3">
            <w:pPr>
              <w:jc w:val="left"/>
              <w:rPr>
                <w:rFonts w:ascii="Arial Narrow" w:hAnsi="Arial Narrow"/>
                <w:sz w:val="20"/>
              </w:rPr>
            </w:pPr>
            <w:r w:rsidRPr="002558A8">
              <w:rPr>
                <w:rFonts w:ascii="Arial Narrow" w:hAnsi="Arial Narrow"/>
                <w:i/>
                <w:snapToGrid/>
                <w:sz w:val="20"/>
              </w:rPr>
              <w:t>Journal of Inherited Metabolic Disease</w:t>
            </w:r>
            <w:r w:rsidRPr="002558A8">
              <w:rPr>
                <w:rFonts w:ascii="Arial Narrow" w:hAnsi="Arial Narrow"/>
                <w:snapToGrid/>
                <w:sz w:val="20"/>
              </w:rPr>
              <w:t xml:space="preserve"> 2010; 33(Suppl. 1)</w:t>
            </w:r>
            <w:r>
              <w:rPr>
                <w:rFonts w:ascii="Arial Narrow" w:hAnsi="Arial Narrow"/>
                <w:snapToGrid/>
                <w:sz w:val="20"/>
              </w:rPr>
              <w:t>:</w:t>
            </w:r>
            <w:r w:rsidRPr="002558A8">
              <w:rPr>
                <w:rFonts w:ascii="Arial Narrow" w:hAnsi="Arial Narrow"/>
                <w:snapToGrid/>
                <w:sz w:val="20"/>
              </w:rPr>
              <w:t xml:space="preserve"> S130.</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2558A8" w:rsidRDefault="00365B48" w:rsidP="009710A3">
            <w:pPr>
              <w:pStyle w:val="TableText1"/>
              <w:spacing w:before="0" w:after="0"/>
              <w:rPr>
                <w:rFonts w:ascii="Arial Narrow" w:hAnsi="Arial Narrow" w:cs="Arial"/>
                <w:snapToGrid w:val="0"/>
                <w:sz w:val="20"/>
                <w:lang w:eastAsia="en-US"/>
              </w:rPr>
            </w:pPr>
            <w:r w:rsidRPr="002558A8">
              <w:rPr>
                <w:rFonts w:ascii="Arial Narrow" w:hAnsi="Arial Narrow" w:cs="Arial"/>
                <w:snapToGrid w:val="0"/>
                <w:sz w:val="20"/>
                <w:lang w:eastAsia="en-US"/>
              </w:rPr>
              <w:t xml:space="preserve">Grabowski et al. Safety and efficacy of </w:t>
            </w:r>
            <w:proofErr w:type="spellStart"/>
            <w:r w:rsidRPr="002558A8">
              <w:rPr>
                <w:rFonts w:ascii="Arial Narrow" w:hAnsi="Arial Narrow" w:cs="Arial"/>
                <w:snapToGrid w:val="0"/>
                <w:sz w:val="20"/>
                <w:lang w:eastAsia="en-US"/>
              </w:rPr>
              <w:t>velaglucerase</w:t>
            </w:r>
            <w:proofErr w:type="spellEnd"/>
            <w:r w:rsidRPr="002558A8">
              <w:rPr>
                <w:rFonts w:ascii="Arial Narrow" w:hAnsi="Arial Narrow" w:cs="Arial"/>
                <w:snapToGrid w:val="0"/>
                <w:sz w:val="20"/>
                <w:lang w:eastAsia="en-US"/>
              </w:rPr>
              <w:t xml:space="preserve"> alfa in patients with </w:t>
            </w:r>
            <w:proofErr w:type="spellStart"/>
            <w:r>
              <w:rPr>
                <w:rFonts w:ascii="Arial Narrow" w:hAnsi="Arial Narrow" w:cs="Arial"/>
                <w:snapToGrid w:val="0"/>
                <w:sz w:val="20"/>
                <w:lang w:eastAsia="en-US"/>
              </w:rPr>
              <w:t>G</w:t>
            </w:r>
            <w:r w:rsidRPr="002558A8">
              <w:rPr>
                <w:rFonts w:ascii="Arial Narrow" w:hAnsi="Arial Narrow" w:cs="Arial"/>
                <w:snapToGrid w:val="0"/>
                <w:sz w:val="20"/>
                <w:lang w:eastAsia="en-US"/>
              </w:rPr>
              <w:t>aucher</w:t>
            </w:r>
            <w:proofErr w:type="spellEnd"/>
            <w:r w:rsidRPr="002558A8">
              <w:rPr>
                <w:rFonts w:ascii="Arial Narrow" w:hAnsi="Arial Narrow" w:cs="Arial"/>
                <w:snapToGrid w:val="0"/>
                <w:sz w:val="20"/>
                <w:lang w:eastAsia="en-US"/>
              </w:rPr>
              <w:t xml:space="preserve"> disease type 1 previously treated with </w:t>
            </w:r>
            <w:proofErr w:type="spellStart"/>
            <w:r w:rsidRPr="002558A8">
              <w:rPr>
                <w:rFonts w:ascii="Arial Narrow" w:hAnsi="Arial Narrow" w:cs="Arial"/>
                <w:snapToGrid w:val="0"/>
                <w:sz w:val="20"/>
                <w:lang w:eastAsia="en-US"/>
              </w:rPr>
              <w:t>imiglucerase</w:t>
            </w:r>
            <w:proofErr w:type="spellEnd"/>
            <w:r w:rsidRPr="002558A8">
              <w:rPr>
                <w:rFonts w:ascii="Arial Narrow" w:hAnsi="Arial Narrow" w:cs="Arial"/>
                <w:snapToGrid w:val="0"/>
                <w:sz w:val="20"/>
                <w:lang w:eastAsia="en-US"/>
              </w:rPr>
              <w:t xml:space="preserve">: 1-year, multicenter, phase III clinical trial. </w:t>
            </w:r>
          </w:p>
        </w:tc>
        <w:tc>
          <w:tcPr>
            <w:tcW w:w="1349" w:type="pct"/>
          </w:tcPr>
          <w:p w:rsidR="00365B48" w:rsidRPr="00C426C5" w:rsidRDefault="00365B48" w:rsidP="009710A3">
            <w:pPr>
              <w:jc w:val="left"/>
              <w:rPr>
                <w:rFonts w:ascii="Arial Narrow" w:hAnsi="Arial Narrow"/>
                <w:sz w:val="20"/>
              </w:rPr>
            </w:pPr>
            <w:proofErr w:type="spellStart"/>
            <w:r w:rsidRPr="002558A8">
              <w:rPr>
                <w:rFonts w:ascii="Arial Narrow" w:hAnsi="Arial Narrow"/>
                <w:i/>
                <w:snapToGrid/>
                <w:sz w:val="20"/>
              </w:rPr>
              <w:t>Haematol-Hematol</w:t>
            </w:r>
            <w:proofErr w:type="spellEnd"/>
            <w:r w:rsidRPr="002558A8">
              <w:rPr>
                <w:rFonts w:ascii="Arial Narrow" w:hAnsi="Arial Narrow"/>
                <w:i/>
                <w:snapToGrid/>
                <w:sz w:val="20"/>
              </w:rPr>
              <w:t>. J</w:t>
            </w:r>
            <w:r w:rsidRPr="002558A8">
              <w:rPr>
                <w:rFonts w:ascii="Arial Narrow" w:hAnsi="Arial Narrow"/>
                <w:snapToGrid/>
                <w:sz w:val="20"/>
              </w:rPr>
              <w:t>. 2010; 95</w:t>
            </w:r>
            <w:r>
              <w:rPr>
                <w:rFonts w:ascii="Arial Narrow" w:hAnsi="Arial Narrow"/>
                <w:snapToGrid/>
                <w:sz w:val="20"/>
              </w:rPr>
              <w:t>:</w:t>
            </w:r>
            <w:r w:rsidRPr="002558A8">
              <w:rPr>
                <w:rFonts w:ascii="Arial Narrow" w:hAnsi="Arial Narrow"/>
                <w:snapToGrid/>
                <w:sz w:val="20"/>
              </w:rPr>
              <w:t xml:space="preserve"> Abs 0191, Suppl. 2.</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r w:rsidRPr="002558A8">
              <w:rPr>
                <w:rFonts w:ascii="Arial Narrow" w:hAnsi="Arial Narrow"/>
                <w:sz w:val="20"/>
              </w:rPr>
              <w:t xml:space="preserve">Grabowski et al. Safety and efficacy of </w:t>
            </w:r>
            <w:proofErr w:type="spellStart"/>
            <w:r w:rsidRPr="002558A8">
              <w:rPr>
                <w:rFonts w:ascii="Arial Narrow" w:hAnsi="Arial Narrow"/>
                <w:sz w:val="20"/>
              </w:rPr>
              <w:t>velaglucerase</w:t>
            </w:r>
            <w:proofErr w:type="spellEnd"/>
            <w:r w:rsidRPr="002558A8">
              <w:rPr>
                <w:rFonts w:ascii="Arial Narrow" w:hAnsi="Arial Narrow"/>
                <w:sz w:val="20"/>
              </w:rPr>
              <w:t xml:space="preserve"> alfa in patients with </w:t>
            </w:r>
            <w:proofErr w:type="spellStart"/>
            <w:r>
              <w:rPr>
                <w:rFonts w:ascii="Arial Narrow" w:hAnsi="Arial Narrow"/>
                <w:sz w:val="20"/>
              </w:rPr>
              <w:t>G</w:t>
            </w:r>
            <w:r w:rsidRPr="002558A8">
              <w:rPr>
                <w:rFonts w:ascii="Arial Narrow" w:hAnsi="Arial Narrow"/>
                <w:sz w:val="20"/>
              </w:rPr>
              <w:t>aucher</w:t>
            </w:r>
            <w:proofErr w:type="spellEnd"/>
            <w:r w:rsidRPr="002558A8">
              <w:rPr>
                <w:rFonts w:ascii="Arial Narrow" w:hAnsi="Arial Narrow"/>
                <w:sz w:val="20"/>
              </w:rPr>
              <w:t xml:space="preserve"> disease type 1 previously treated with </w:t>
            </w:r>
            <w:proofErr w:type="spellStart"/>
            <w:r w:rsidRPr="002558A8">
              <w:rPr>
                <w:rFonts w:ascii="Arial Narrow" w:hAnsi="Arial Narrow"/>
                <w:sz w:val="20"/>
              </w:rPr>
              <w:t>imiglucerase</w:t>
            </w:r>
            <w:proofErr w:type="spellEnd"/>
            <w:r w:rsidRPr="002558A8">
              <w:rPr>
                <w:rFonts w:ascii="Arial Narrow" w:hAnsi="Arial Narrow"/>
                <w:sz w:val="20"/>
              </w:rPr>
              <w:t xml:space="preserve">: 1-year, multicenter, phase III clinical trial. </w:t>
            </w:r>
          </w:p>
        </w:tc>
        <w:tc>
          <w:tcPr>
            <w:tcW w:w="1349" w:type="pct"/>
          </w:tcPr>
          <w:p w:rsidR="00365B48" w:rsidRPr="00C426C5" w:rsidRDefault="00365B48" w:rsidP="009710A3">
            <w:pPr>
              <w:jc w:val="left"/>
              <w:rPr>
                <w:rFonts w:ascii="Arial Narrow" w:hAnsi="Arial Narrow"/>
                <w:sz w:val="20"/>
              </w:rPr>
            </w:pPr>
            <w:proofErr w:type="spellStart"/>
            <w:r w:rsidRPr="002558A8">
              <w:rPr>
                <w:rFonts w:ascii="Arial Narrow" w:hAnsi="Arial Narrow"/>
                <w:i/>
                <w:sz w:val="20"/>
              </w:rPr>
              <w:t>Haematologica</w:t>
            </w:r>
            <w:proofErr w:type="spellEnd"/>
            <w:r>
              <w:rPr>
                <w:rFonts w:ascii="Arial Narrow" w:hAnsi="Arial Narrow"/>
                <w:sz w:val="20"/>
              </w:rPr>
              <w:t xml:space="preserve"> 2010.</w:t>
            </w:r>
            <w:r w:rsidRPr="002558A8">
              <w:rPr>
                <w:rFonts w:ascii="Arial Narrow" w:hAnsi="Arial Narrow"/>
                <w:sz w:val="20"/>
              </w:rPr>
              <w:t xml:space="preserve"> Conference: 15th Congress of the European </w:t>
            </w:r>
            <w:proofErr w:type="spellStart"/>
            <w:r w:rsidRPr="002558A8">
              <w:rPr>
                <w:rFonts w:ascii="Arial Narrow" w:hAnsi="Arial Narrow"/>
                <w:sz w:val="20"/>
              </w:rPr>
              <w:t>Hematology</w:t>
            </w:r>
            <w:proofErr w:type="spellEnd"/>
            <w:r w:rsidRPr="002558A8">
              <w:rPr>
                <w:rFonts w:ascii="Arial Narrow" w:hAnsi="Arial Narrow"/>
                <w:sz w:val="20"/>
              </w:rPr>
              <w:t xml:space="preserve"> Association, EHA 2010 Barcelon</w:t>
            </w:r>
            <w:r>
              <w:rPr>
                <w:rFonts w:ascii="Arial Narrow" w:hAnsi="Arial Narrow"/>
                <w:sz w:val="20"/>
              </w:rPr>
              <w:t>a Spain. Conference Publication</w:t>
            </w:r>
            <w:r w:rsidRPr="002558A8">
              <w:rPr>
                <w:rFonts w:ascii="Arial Narrow" w:hAnsi="Arial Narrow"/>
                <w:sz w:val="20"/>
              </w:rPr>
              <w:t>; 95</w:t>
            </w:r>
            <w:r>
              <w:rPr>
                <w:rFonts w:ascii="Arial Narrow" w:hAnsi="Arial Narrow"/>
                <w:sz w:val="20"/>
              </w:rPr>
              <w:t>:</w:t>
            </w:r>
            <w:r w:rsidRPr="002558A8">
              <w:rPr>
                <w:rFonts w:ascii="Arial Narrow" w:hAnsi="Arial Narrow"/>
                <w:sz w:val="20"/>
              </w:rPr>
              <w:t>77.</w:t>
            </w:r>
          </w:p>
        </w:tc>
      </w:tr>
      <w:tr w:rsidR="00365B48" w:rsidTr="00CF4681">
        <w:tc>
          <w:tcPr>
            <w:tcW w:w="594" w:type="pct"/>
            <w:vMerge w:val="restart"/>
            <w:vAlign w:val="center"/>
          </w:tcPr>
          <w:p w:rsidR="00365B48" w:rsidRPr="00C42C2D" w:rsidRDefault="00365B48" w:rsidP="009710A3">
            <w:pPr>
              <w:jc w:val="left"/>
              <w:rPr>
                <w:rFonts w:ascii="Arial Narrow" w:hAnsi="Arial Narrow"/>
                <w:sz w:val="20"/>
                <w:vertAlign w:val="superscript"/>
              </w:rPr>
            </w:pPr>
            <w:r>
              <w:rPr>
                <w:rFonts w:ascii="Arial Narrow" w:hAnsi="Arial Narrow"/>
                <w:sz w:val="20"/>
              </w:rPr>
              <w:t>TKT-025/TKT-025 Ext</w:t>
            </w:r>
            <w:r w:rsidR="000D37EA">
              <w:rPr>
                <w:rFonts w:ascii="Arial Narrow" w:hAnsi="Arial Narrow"/>
                <w:sz w:val="20"/>
              </w:rPr>
              <w:t xml:space="preserve"> </w:t>
            </w:r>
            <w:r>
              <w:rPr>
                <w:rFonts w:ascii="Arial Narrow" w:hAnsi="Arial Narrow"/>
                <w:sz w:val="20"/>
                <w:vertAlign w:val="superscript"/>
              </w:rPr>
              <w:t>b</w:t>
            </w:r>
          </w:p>
        </w:tc>
        <w:tc>
          <w:tcPr>
            <w:tcW w:w="3057" w:type="pct"/>
          </w:tcPr>
          <w:p w:rsidR="00365B48" w:rsidRPr="00C426C5" w:rsidRDefault="00365B48" w:rsidP="009710A3">
            <w:pPr>
              <w:jc w:val="left"/>
              <w:rPr>
                <w:rFonts w:ascii="Arial Narrow" w:hAnsi="Arial Narrow"/>
                <w:sz w:val="20"/>
              </w:rPr>
            </w:pPr>
            <w:r w:rsidRPr="002037B7">
              <w:rPr>
                <w:rFonts w:ascii="Arial Narrow" w:hAnsi="Arial Narrow"/>
                <w:sz w:val="20"/>
              </w:rPr>
              <w:t xml:space="preserve">NCT00391625. Open-label extension study evaluating long term safety in patients with type 1 </w:t>
            </w:r>
            <w:proofErr w:type="spellStart"/>
            <w:r w:rsidRPr="002037B7">
              <w:rPr>
                <w:rFonts w:ascii="Arial Narrow" w:hAnsi="Arial Narrow"/>
                <w:sz w:val="20"/>
              </w:rPr>
              <w:t>Gaucher</w:t>
            </w:r>
            <w:proofErr w:type="spellEnd"/>
            <w:r w:rsidRPr="002037B7">
              <w:rPr>
                <w:rFonts w:ascii="Arial Narrow" w:hAnsi="Arial Narrow"/>
                <w:sz w:val="20"/>
              </w:rPr>
              <w:t xml:space="preserve"> disease receiving DRX008A (ERT). </w:t>
            </w:r>
          </w:p>
        </w:tc>
        <w:tc>
          <w:tcPr>
            <w:tcW w:w="1349" w:type="pct"/>
          </w:tcPr>
          <w:p w:rsidR="00365B48" w:rsidRPr="00C426C5" w:rsidRDefault="00365B48" w:rsidP="009710A3">
            <w:pPr>
              <w:jc w:val="left"/>
              <w:rPr>
                <w:rFonts w:ascii="Arial Narrow" w:hAnsi="Arial Narrow"/>
                <w:sz w:val="20"/>
              </w:rPr>
            </w:pPr>
            <w:r>
              <w:rPr>
                <w:rFonts w:ascii="Arial Narrow" w:hAnsi="Arial Narrow"/>
                <w:sz w:val="20"/>
              </w:rPr>
              <w:t>Clinical trial registry</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2037B7">
              <w:rPr>
                <w:rFonts w:ascii="Arial Narrow" w:hAnsi="Arial Narrow"/>
                <w:sz w:val="20"/>
              </w:rPr>
              <w:t>Zimran</w:t>
            </w:r>
            <w:proofErr w:type="spellEnd"/>
            <w:r w:rsidRPr="002037B7">
              <w:rPr>
                <w:rFonts w:ascii="Arial Narrow" w:hAnsi="Arial Narrow"/>
                <w:sz w:val="20"/>
              </w:rPr>
              <w:t xml:space="preserve"> et al. Phase 1/2 and extension study of </w:t>
            </w:r>
            <w:proofErr w:type="spellStart"/>
            <w:r w:rsidRPr="002037B7">
              <w:rPr>
                <w:rFonts w:ascii="Arial Narrow" w:hAnsi="Arial Narrow"/>
                <w:sz w:val="20"/>
              </w:rPr>
              <w:t>velaglucerase</w:t>
            </w:r>
            <w:proofErr w:type="spellEnd"/>
            <w:r w:rsidRPr="002037B7">
              <w:rPr>
                <w:rFonts w:ascii="Arial Narrow" w:hAnsi="Arial Narrow"/>
                <w:sz w:val="20"/>
              </w:rPr>
              <w:t xml:space="preserve"> alfa replacement therapy in adults with type 1 </w:t>
            </w:r>
            <w:proofErr w:type="spellStart"/>
            <w:r w:rsidRPr="002037B7">
              <w:rPr>
                <w:rFonts w:ascii="Arial Narrow" w:hAnsi="Arial Narrow"/>
                <w:sz w:val="20"/>
              </w:rPr>
              <w:t>Gaucher</w:t>
            </w:r>
            <w:proofErr w:type="spellEnd"/>
            <w:r w:rsidRPr="002037B7">
              <w:rPr>
                <w:rFonts w:ascii="Arial Narrow" w:hAnsi="Arial Narrow"/>
                <w:sz w:val="20"/>
              </w:rPr>
              <w:t xml:space="preserve"> disease: 48-month experience.</w:t>
            </w:r>
          </w:p>
        </w:tc>
        <w:tc>
          <w:tcPr>
            <w:tcW w:w="1349" w:type="pct"/>
          </w:tcPr>
          <w:p w:rsidR="00365B48" w:rsidRPr="00C426C5" w:rsidRDefault="00365B48" w:rsidP="009710A3">
            <w:pPr>
              <w:jc w:val="left"/>
              <w:rPr>
                <w:rFonts w:ascii="Arial Narrow" w:hAnsi="Arial Narrow"/>
                <w:sz w:val="20"/>
              </w:rPr>
            </w:pPr>
            <w:r w:rsidRPr="002037B7">
              <w:rPr>
                <w:rFonts w:ascii="Arial Narrow" w:hAnsi="Arial Narrow"/>
                <w:i/>
                <w:sz w:val="20"/>
              </w:rPr>
              <w:t>Blood</w:t>
            </w:r>
            <w:r w:rsidRPr="002037B7">
              <w:rPr>
                <w:rFonts w:ascii="Arial Narrow" w:hAnsi="Arial Narrow"/>
                <w:sz w:val="20"/>
              </w:rPr>
              <w:t xml:space="preserve"> 2010; 115(23):4651-6.</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2037B7">
              <w:rPr>
                <w:rFonts w:ascii="Arial Narrow" w:hAnsi="Arial Narrow"/>
                <w:sz w:val="20"/>
              </w:rPr>
              <w:t>Elstein</w:t>
            </w:r>
            <w:proofErr w:type="spellEnd"/>
            <w:r w:rsidRPr="002037B7">
              <w:rPr>
                <w:rFonts w:ascii="Arial Narrow" w:hAnsi="Arial Narrow"/>
                <w:sz w:val="20"/>
              </w:rPr>
              <w:t xml:space="preserve"> et al. Early achievement and maintenance of the therapeutic goals using </w:t>
            </w:r>
            <w:proofErr w:type="spellStart"/>
            <w:r w:rsidRPr="002037B7">
              <w:rPr>
                <w:rFonts w:ascii="Arial Narrow" w:hAnsi="Arial Narrow"/>
                <w:sz w:val="20"/>
              </w:rPr>
              <w:t>velaglucerase</w:t>
            </w:r>
            <w:proofErr w:type="spellEnd"/>
            <w:r w:rsidRPr="002037B7">
              <w:rPr>
                <w:rFonts w:ascii="Arial Narrow" w:hAnsi="Arial Narrow"/>
                <w:sz w:val="20"/>
              </w:rPr>
              <w:t xml:space="preserve"> alfa in type 1 </w:t>
            </w:r>
            <w:proofErr w:type="spellStart"/>
            <w:r w:rsidRPr="002037B7">
              <w:rPr>
                <w:rFonts w:ascii="Arial Narrow" w:hAnsi="Arial Narrow"/>
                <w:sz w:val="20"/>
              </w:rPr>
              <w:t>Gaucher</w:t>
            </w:r>
            <w:proofErr w:type="spellEnd"/>
            <w:r w:rsidRPr="002037B7">
              <w:rPr>
                <w:rFonts w:ascii="Arial Narrow" w:hAnsi="Arial Narrow"/>
                <w:sz w:val="20"/>
              </w:rPr>
              <w:t xml:space="preserve"> disease. </w:t>
            </w:r>
          </w:p>
        </w:tc>
        <w:tc>
          <w:tcPr>
            <w:tcW w:w="1349" w:type="pct"/>
          </w:tcPr>
          <w:p w:rsidR="00365B48" w:rsidRPr="00C426C5" w:rsidRDefault="00365B48" w:rsidP="009710A3">
            <w:pPr>
              <w:jc w:val="left"/>
              <w:rPr>
                <w:rFonts w:ascii="Arial Narrow" w:hAnsi="Arial Narrow"/>
                <w:sz w:val="20"/>
              </w:rPr>
            </w:pPr>
            <w:r w:rsidRPr="002037B7">
              <w:rPr>
                <w:rFonts w:ascii="Arial Narrow" w:hAnsi="Arial Narrow"/>
                <w:i/>
                <w:sz w:val="20"/>
              </w:rPr>
              <w:t>Blood Cells Molecules &amp; Diseases</w:t>
            </w:r>
            <w:r w:rsidRPr="002037B7">
              <w:rPr>
                <w:rFonts w:ascii="Arial Narrow" w:hAnsi="Arial Narrow"/>
                <w:sz w:val="20"/>
              </w:rPr>
              <w:t xml:space="preserve"> 2011</w:t>
            </w:r>
            <w:r>
              <w:rPr>
                <w:rFonts w:ascii="Arial Narrow" w:hAnsi="Arial Narrow"/>
                <w:sz w:val="20"/>
              </w:rPr>
              <w:t>;</w:t>
            </w:r>
            <w:r w:rsidRPr="002037B7">
              <w:rPr>
                <w:rFonts w:ascii="Arial Narrow" w:hAnsi="Arial Narrow"/>
                <w:sz w:val="20"/>
              </w:rPr>
              <w:t xml:space="preserve"> 46(1):119-23.</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2037B7">
              <w:rPr>
                <w:rFonts w:ascii="Arial Narrow" w:hAnsi="Arial Narrow"/>
                <w:sz w:val="20"/>
              </w:rPr>
              <w:t>Elstein</w:t>
            </w:r>
            <w:proofErr w:type="spellEnd"/>
            <w:r w:rsidRPr="002037B7">
              <w:rPr>
                <w:rFonts w:ascii="Arial Narrow" w:hAnsi="Arial Narrow"/>
                <w:sz w:val="20"/>
              </w:rPr>
              <w:t xml:space="preserve"> et al. Significant and continuous improvement in bone mineral density among type 1 </w:t>
            </w:r>
            <w:proofErr w:type="spellStart"/>
            <w:r w:rsidRPr="002037B7">
              <w:rPr>
                <w:rFonts w:ascii="Arial Narrow" w:hAnsi="Arial Narrow"/>
                <w:sz w:val="20"/>
              </w:rPr>
              <w:t>Gaucher</w:t>
            </w:r>
            <w:proofErr w:type="spellEnd"/>
            <w:r w:rsidRPr="002037B7">
              <w:rPr>
                <w:rFonts w:ascii="Arial Narrow" w:hAnsi="Arial Narrow"/>
                <w:sz w:val="20"/>
              </w:rPr>
              <w:t xml:space="preserve"> disease patients treated with </w:t>
            </w:r>
            <w:proofErr w:type="spellStart"/>
            <w:r w:rsidRPr="002037B7">
              <w:rPr>
                <w:rFonts w:ascii="Arial Narrow" w:hAnsi="Arial Narrow"/>
                <w:sz w:val="20"/>
              </w:rPr>
              <w:t>velaglucerase</w:t>
            </w:r>
            <w:proofErr w:type="spellEnd"/>
            <w:r w:rsidRPr="002037B7">
              <w:rPr>
                <w:rFonts w:ascii="Arial Narrow" w:hAnsi="Arial Narrow"/>
                <w:sz w:val="20"/>
              </w:rPr>
              <w:t xml:space="preserve"> alfa: 69-month experience, including dose reduction. </w:t>
            </w:r>
          </w:p>
        </w:tc>
        <w:tc>
          <w:tcPr>
            <w:tcW w:w="1349" w:type="pct"/>
          </w:tcPr>
          <w:p w:rsidR="00365B48" w:rsidRPr="00C426C5" w:rsidRDefault="00365B48" w:rsidP="009710A3">
            <w:pPr>
              <w:jc w:val="left"/>
              <w:rPr>
                <w:rFonts w:ascii="Arial Narrow" w:hAnsi="Arial Narrow"/>
                <w:sz w:val="20"/>
              </w:rPr>
            </w:pPr>
            <w:r w:rsidRPr="002037B7">
              <w:rPr>
                <w:rFonts w:ascii="Arial Narrow" w:hAnsi="Arial Narrow"/>
                <w:i/>
                <w:sz w:val="20"/>
              </w:rPr>
              <w:t xml:space="preserve">Blood Cells Molecules &amp; </w:t>
            </w:r>
            <w:proofErr w:type="gramStart"/>
            <w:r w:rsidRPr="002037B7">
              <w:rPr>
                <w:rFonts w:ascii="Arial Narrow" w:hAnsi="Arial Narrow"/>
                <w:i/>
                <w:sz w:val="20"/>
              </w:rPr>
              <w:t>Diseases</w:t>
            </w:r>
            <w:r w:rsidRPr="002037B7">
              <w:rPr>
                <w:rFonts w:ascii="Arial Narrow" w:hAnsi="Arial Narrow"/>
                <w:sz w:val="20"/>
              </w:rPr>
              <w:t xml:space="preserve">  2011</w:t>
            </w:r>
            <w:proofErr w:type="gramEnd"/>
            <w:r>
              <w:rPr>
                <w:rFonts w:ascii="Arial Narrow" w:hAnsi="Arial Narrow"/>
                <w:sz w:val="20"/>
              </w:rPr>
              <w:t>;</w:t>
            </w:r>
            <w:r w:rsidRPr="002037B7">
              <w:rPr>
                <w:rFonts w:ascii="Arial Narrow" w:hAnsi="Arial Narrow"/>
                <w:sz w:val="20"/>
              </w:rPr>
              <w:t xml:space="preserve"> 47(1)</w:t>
            </w:r>
            <w:r>
              <w:rPr>
                <w:rFonts w:ascii="Arial Narrow" w:hAnsi="Arial Narrow"/>
                <w:sz w:val="20"/>
              </w:rPr>
              <w:t>:</w:t>
            </w:r>
            <w:r w:rsidRPr="002037B7">
              <w:rPr>
                <w:rFonts w:ascii="Arial Narrow" w:hAnsi="Arial Narrow"/>
                <w:sz w:val="20"/>
              </w:rPr>
              <w:t xml:space="preserve"> 56-61.</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2037B7">
              <w:rPr>
                <w:rFonts w:ascii="Arial Narrow" w:hAnsi="Arial Narrow"/>
                <w:sz w:val="20"/>
              </w:rPr>
              <w:t>Elstein</w:t>
            </w:r>
            <w:proofErr w:type="spellEnd"/>
            <w:r w:rsidRPr="002037B7">
              <w:rPr>
                <w:rFonts w:ascii="Arial Narrow" w:hAnsi="Arial Narrow"/>
                <w:sz w:val="20"/>
              </w:rPr>
              <w:t xml:space="preserve"> et al. A 7-year open-label study of clinical parameters and therapeutic goals in patients with type 1 </w:t>
            </w:r>
            <w:proofErr w:type="spellStart"/>
            <w:r w:rsidRPr="002037B7">
              <w:rPr>
                <w:rFonts w:ascii="Arial Narrow" w:hAnsi="Arial Narrow"/>
                <w:sz w:val="20"/>
              </w:rPr>
              <w:t>Gaucher</w:t>
            </w:r>
            <w:proofErr w:type="spellEnd"/>
            <w:r w:rsidRPr="002037B7">
              <w:rPr>
                <w:rFonts w:ascii="Arial Narrow" w:hAnsi="Arial Narrow"/>
                <w:sz w:val="20"/>
              </w:rPr>
              <w:t xml:space="preserve"> disease receiving treatment with </w:t>
            </w:r>
            <w:proofErr w:type="spellStart"/>
            <w:r w:rsidRPr="002037B7">
              <w:rPr>
                <w:rFonts w:ascii="Arial Narrow" w:hAnsi="Arial Narrow"/>
                <w:sz w:val="20"/>
              </w:rPr>
              <w:t>velaglucerase</w:t>
            </w:r>
            <w:proofErr w:type="spellEnd"/>
            <w:r w:rsidRPr="002037B7">
              <w:rPr>
                <w:rFonts w:ascii="Arial Narrow" w:hAnsi="Arial Narrow"/>
                <w:sz w:val="20"/>
              </w:rPr>
              <w:t xml:space="preserve"> alfa: Updating the long-term experience with </w:t>
            </w:r>
            <w:proofErr w:type="spellStart"/>
            <w:r w:rsidRPr="002037B7">
              <w:rPr>
                <w:rFonts w:ascii="Arial Narrow" w:hAnsi="Arial Narrow"/>
                <w:sz w:val="20"/>
              </w:rPr>
              <w:t>velaglucerase</w:t>
            </w:r>
            <w:proofErr w:type="spellEnd"/>
            <w:r w:rsidRPr="002037B7">
              <w:rPr>
                <w:rFonts w:ascii="Arial Narrow" w:hAnsi="Arial Narrow"/>
                <w:sz w:val="20"/>
              </w:rPr>
              <w:t xml:space="preserve"> alfa. </w:t>
            </w:r>
          </w:p>
        </w:tc>
        <w:tc>
          <w:tcPr>
            <w:tcW w:w="1349" w:type="pct"/>
          </w:tcPr>
          <w:p w:rsidR="00365B48" w:rsidRPr="00C426C5" w:rsidRDefault="00365B48" w:rsidP="009710A3">
            <w:pPr>
              <w:jc w:val="left"/>
              <w:rPr>
                <w:rFonts w:ascii="Arial Narrow" w:hAnsi="Arial Narrow"/>
                <w:sz w:val="20"/>
              </w:rPr>
            </w:pPr>
            <w:r w:rsidRPr="002037B7">
              <w:rPr>
                <w:rFonts w:ascii="Arial Narrow" w:hAnsi="Arial Narrow"/>
                <w:i/>
                <w:sz w:val="20"/>
              </w:rPr>
              <w:t xml:space="preserve">Molecular Genetics &amp; Metabolism </w:t>
            </w:r>
            <w:r>
              <w:rPr>
                <w:rFonts w:ascii="Arial Narrow" w:hAnsi="Arial Narrow"/>
                <w:sz w:val="20"/>
              </w:rPr>
              <w:t>2013 108(2):</w:t>
            </w:r>
            <w:r w:rsidRPr="002037B7">
              <w:rPr>
                <w:rFonts w:ascii="Arial Narrow" w:hAnsi="Arial Narrow"/>
                <w:sz w:val="20"/>
              </w:rPr>
              <w:t xml:space="preserve"> S37.</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2037B7">
              <w:rPr>
                <w:rFonts w:ascii="Arial Narrow" w:hAnsi="Arial Narrow"/>
                <w:sz w:val="20"/>
              </w:rPr>
              <w:t>Zimran</w:t>
            </w:r>
            <w:proofErr w:type="spellEnd"/>
            <w:r w:rsidRPr="002037B7">
              <w:rPr>
                <w:rFonts w:ascii="Arial Narrow" w:hAnsi="Arial Narrow"/>
                <w:sz w:val="20"/>
              </w:rPr>
              <w:t xml:space="preserve"> et al. Safety and efficacy of </w:t>
            </w:r>
            <w:proofErr w:type="spellStart"/>
            <w:r w:rsidRPr="002037B7">
              <w:rPr>
                <w:rFonts w:ascii="Arial Narrow" w:hAnsi="Arial Narrow"/>
                <w:sz w:val="20"/>
              </w:rPr>
              <w:t>velaglucerase</w:t>
            </w:r>
            <w:proofErr w:type="spellEnd"/>
            <w:r w:rsidRPr="002037B7">
              <w:rPr>
                <w:rFonts w:ascii="Arial Narrow" w:hAnsi="Arial Narrow"/>
                <w:sz w:val="20"/>
              </w:rPr>
              <w:t xml:space="preserve"> alfa in patients with type 1 </w:t>
            </w:r>
            <w:proofErr w:type="spellStart"/>
            <w:r>
              <w:rPr>
                <w:rFonts w:ascii="Arial Narrow" w:hAnsi="Arial Narrow"/>
                <w:sz w:val="20"/>
              </w:rPr>
              <w:t>G</w:t>
            </w:r>
            <w:r w:rsidRPr="002037B7">
              <w:rPr>
                <w:rFonts w:ascii="Arial Narrow" w:hAnsi="Arial Narrow"/>
                <w:sz w:val="20"/>
              </w:rPr>
              <w:t>aucher</w:t>
            </w:r>
            <w:proofErr w:type="spellEnd"/>
            <w:r w:rsidRPr="002037B7">
              <w:rPr>
                <w:rFonts w:ascii="Arial Narrow" w:hAnsi="Arial Narrow"/>
                <w:sz w:val="20"/>
              </w:rPr>
              <w:t xml:space="preserve"> disease: 2 years of treatment in phase III trials and an extension study. </w:t>
            </w:r>
          </w:p>
        </w:tc>
        <w:tc>
          <w:tcPr>
            <w:tcW w:w="1349" w:type="pct"/>
          </w:tcPr>
          <w:p w:rsidR="00365B48" w:rsidRPr="00C426C5" w:rsidRDefault="00365B48" w:rsidP="009710A3">
            <w:pPr>
              <w:jc w:val="left"/>
              <w:rPr>
                <w:rFonts w:ascii="Arial Narrow" w:hAnsi="Arial Narrow"/>
                <w:sz w:val="20"/>
              </w:rPr>
            </w:pPr>
            <w:r w:rsidRPr="00CE5C73">
              <w:rPr>
                <w:rFonts w:ascii="Arial Narrow" w:hAnsi="Arial Narrow"/>
                <w:i/>
                <w:sz w:val="20"/>
              </w:rPr>
              <w:t>Molecular Genetics &amp; Metabolism</w:t>
            </w:r>
            <w:r>
              <w:rPr>
                <w:rFonts w:ascii="Arial Narrow" w:hAnsi="Arial Narrow"/>
                <w:sz w:val="20"/>
              </w:rPr>
              <w:t xml:space="preserve"> 2012.</w:t>
            </w:r>
            <w:r w:rsidRPr="002037B7">
              <w:rPr>
                <w:rFonts w:ascii="Arial Narrow" w:hAnsi="Arial Narrow"/>
                <w:sz w:val="20"/>
              </w:rPr>
              <w:t xml:space="preserve"> Conference: 8th Annual Research Meeting of the </w:t>
            </w:r>
            <w:proofErr w:type="spellStart"/>
            <w:r w:rsidRPr="002037B7">
              <w:rPr>
                <w:rFonts w:ascii="Arial Narrow" w:hAnsi="Arial Narrow"/>
                <w:sz w:val="20"/>
              </w:rPr>
              <w:t>Lysosomal</w:t>
            </w:r>
            <w:proofErr w:type="spellEnd"/>
            <w:r w:rsidRPr="002037B7">
              <w:rPr>
                <w:rFonts w:ascii="Arial Narrow" w:hAnsi="Arial Narrow"/>
                <w:sz w:val="20"/>
              </w:rPr>
              <w:t xml:space="preserve"> Disease Network, WORLD Symposium 2012 San Diego, CA United States. Conference Publication; 105(2)</w:t>
            </w:r>
            <w:r>
              <w:rPr>
                <w:rFonts w:ascii="Arial Narrow" w:hAnsi="Arial Narrow"/>
                <w:sz w:val="20"/>
              </w:rPr>
              <w:t>:</w:t>
            </w:r>
            <w:r w:rsidRPr="002037B7">
              <w:rPr>
                <w:rFonts w:ascii="Arial Narrow" w:hAnsi="Arial Narrow"/>
                <w:sz w:val="20"/>
              </w:rPr>
              <w:t>S69.</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2037B7">
              <w:rPr>
                <w:rFonts w:ascii="Arial Narrow" w:hAnsi="Arial Narrow"/>
                <w:sz w:val="20"/>
              </w:rPr>
              <w:t>Elstein</w:t>
            </w:r>
            <w:proofErr w:type="spellEnd"/>
            <w:r w:rsidRPr="002037B7">
              <w:rPr>
                <w:rFonts w:ascii="Arial Narrow" w:hAnsi="Arial Narrow"/>
                <w:sz w:val="20"/>
              </w:rPr>
              <w:t xml:space="preserve"> et al. Achievement of therapeutic goals over 2 years of </w:t>
            </w:r>
            <w:proofErr w:type="spellStart"/>
            <w:r w:rsidRPr="002037B7">
              <w:rPr>
                <w:rFonts w:ascii="Arial Narrow" w:hAnsi="Arial Narrow"/>
                <w:sz w:val="20"/>
              </w:rPr>
              <w:t>velaglucerase</w:t>
            </w:r>
            <w:proofErr w:type="spellEnd"/>
            <w:r w:rsidRPr="002037B7">
              <w:rPr>
                <w:rFonts w:ascii="Arial Narrow" w:hAnsi="Arial Narrow"/>
                <w:sz w:val="20"/>
              </w:rPr>
              <w:t xml:space="preserve"> alfa enzyme replacement therapy in patients with type 1 </w:t>
            </w:r>
            <w:proofErr w:type="spellStart"/>
            <w:r w:rsidRPr="002037B7">
              <w:rPr>
                <w:rFonts w:ascii="Arial Narrow" w:hAnsi="Arial Narrow"/>
                <w:sz w:val="20"/>
              </w:rPr>
              <w:t>Gaucher</w:t>
            </w:r>
            <w:proofErr w:type="spellEnd"/>
            <w:r w:rsidRPr="002037B7">
              <w:rPr>
                <w:rFonts w:ascii="Arial Narrow" w:hAnsi="Arial Narrow"/>
                <w:sz w:val="20"/>
              </w:rPr>
              <w:t xml:space="preserve"> disease. </w:t>
            </w:r>
          </w:p>
        </w:tc>
        <w:tc>
          <w:tcPr>
            <w:tcW w:w="1349" w:type="pct"/>
          </w:tcPr>
          <w:p w:rsidR="00365B48" w:rsidRPr="00C426C5" w:rsidRDefault="00365B48" w:rsidP="009710A3">
            <w:pPr>
              <w:jc w:val="left"/>
              <w:rPr>
                <w:rFonts w:ascii="Arial Narrow" w:hAnsi="Arial Narrow"/>
                <w:sz w:val="20"/>
              </w:rPr>
            </w:pPr>
            <w:r w:rsidRPr="00CE5C73">
              <w:rPr>
                <w:rFonts w:ascii="Arial Narrow" w:hAnsi="Arial Narrow"/>
                <w:i/>
                <w:sz w:val="20"/>
              </w:rPr>
              <w:t>Molecular Genetics &amp; Metabolism</w:t>
            </w:r>
            <w:r>
              <w:rPr>
                <w:rFonts w:ascii="Arial Narrow" w:hAnsi="Arial Narrow"/>
                <w:sz w:val="20"/>
              </w:rPr>
              <w:t xml:space="preserve"> 2012.</w:t>
            </w:r>
            <w:r w:rsidRPr="002037B7">
              <w:rPr>
                <w:rFonts w:ascii="Arial Narrow" w:hAnsi="Arial Narrow"/>
                <w:sz w:val="20"/>
              </w:rPr>
              <w:t xml:space="preserve"> Conference: 8th Annual </w:t>
            </w:r>
            <w:r w:rsidRPr="002037B7">
              <w:rPr>
                <w:rFonts w:ascii="Arial Narrow" w:hAnsi="Arial Narrow"/>
                <w:sz w:val="20"/>
              </w:rPr>
              <w:lastRenderedPageBreak/>
              <w:t xml:space="preserve">Research Meeting of the </w:t>
            </w:r>
            <w:proofErr w:type="spellStart"/>
            <w:r w:rsidRPr="002037B7">
              <w:rPr>
                <w:rFonts w:ascii="Arial Narrow" w:hAnsi="Arial Narrow"/>
                <w:sz w:val="20"/>
              </w:rPr>
              <w:t>Lysosomal</w:t>
            </w:r>
            <w:proofErr w:type="spellEnd"/>
            <w:r w:rsidRPr="002037B7">
              <w:rPr>
                <w:rFonts w:ascii="Arial Narrow" w:hAnsi="Arial Narrow"/>
                <w:sz w:val="20"/>
              </w:rPr>
              <w:t xml:space="preserve"> Disease Network, WORLD Symposium 2012 San Diego, CA United States. Conference Publication; 105(2)</w:t>
            </w:r>
            <w:r>
              <w:rPr>
                <w:rFonts w:ascii="Arial Narrow" w:hAnsi="Arial Narrow"/>
                <w:sz w:val="20"/>
              </w:rPr>
              <w:t>:</w:t>
            </w:r>
            <w:r w:rsidRPr="002037B7">
              <w:rPr>
                <w:rFonts w:ascii="Arial Narrow" w:hAnsi="Arial Narrow"/>
                <w:sz w:val="20"/>
              </w:rPr>
              <w:t>S</w:t>
            </w:r>
            <w:r>
              <w:rPr>
                <w:rFonts w:ascii="Arial Narrow" w:hAnsi="Arial Narrow"/>
                <w:sz w:val="20"/>
              </w:rPr>
              <w:t>28</w:t>
            </w:r>
            <w:r w:rsidRPr="002037B7">
              <w:rPr>
                <w:rFonts w:ascii="Arial Narrow" w:hAnsi="Arial Narrow"/>
                <w:sz w:val="20"/>
              </w:rPr>
              <w:t>.</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2037B7" w:rsidRDefault="00365B48" w:rsidP="009710A3">
            <w:pPr>
              <w:jc w:val="left"/>
              <w:rPr>
                <w:rFonts w:ascii="Arial Narrow" w:hAnsi="Arial Narrow"/>
                <w:sz w:val="20"/>
              </w:rPr>
            </w:pPr>
            <w:proofErr w:type="spellStart"/>
            <w:r w:rsidRPr="002037B7">
              <w:rPr>
                <w:rFonts w:ascii="Arial Narrow" w:hAnsi="Arial Narrow"/>
                <w:sz w:val="20"/>
              </w:rPr>
              <w:t>Crombez</w:t>
            </w:r>
            <w:proofErr w:type="spellEnd"/>
            <w:r w:rsidRPr="002037B7">
              <w:rPr>
                <w:rFonts w:ascii="Arial Narrow" w:hAnsi="Arial Narrow"/>
                <w:sz w:val="20"/>
              </w:rPr>
              <w:t xml:space="preserve"> et al. Two-year efficacy and safety of </w:t>
            </w:r>
            <w:proofErr w:type="spellStart"/>
            <w:r w:rsidRPr="002037B7">
              <w:rPr>
                <w:rFonts w:ascii="Arial Narrow" w:hAnsi="Arial Narrow"/>
                <w:sz w:val="20"/>
              </w:rPr>
              <w:t>velaglucerase</w:t>
            </w:r>
            <w:proofErr w:type="spellEnd"/>
            <w:r w:rsidRPr="002037B7">
              <w:rPr>
                <w:rFonts w:ascii="Arial Narrow" w:hAnsi="Arial Narrow"/>
                <w:sz w:val="20"/>
              </w:rPr>
              <w:t xml:space="preserve"> alfa in patients with type 1 </w:t>
            </w:r>
            <w:proofErr w:type="spellStart"/>
            <w:r w:rsidRPr="002037B7">
              <w:rPr>
                <w:rFonts w:ascii="Arial Narrow" w:hAnsi="Arial Narrow"/>
                <w:sz w:val="20"/>
              </w:rPr>
              <w:t>Gaucher</w:t>
            </w:r>
            <w:proofErr w:type="spellEnd"/>
            <w:r w:rsidRPr="002037B7">
              <w:rPr>
                <w:rFonts w:ascii="Arial Narrow" w:hAnsi="Arial Narrow"/>
                <w:sz w:val="20"/>
              </w:rPr>
              <w:t xml:space="preserve"> disease switching from </w:t>
            </w:r>
            <w:proofErr w:type="spellStart"/>
            <w:r w:rsidRPr="002037B7">
              <w:rPr>
                <w:rFonts w:ascii="Arial Narrow" w:hAnsi="Arial Narrow"/>
                <w:sz w:val="20"/>
              </w:rPr>
              <w:t>imiglucerase</w:t>
            </w:r>
            <w:proofErr w:type="spellEnd"/>
            <w:r w:rsidRPr="002037B7">
              <w:rPr>
                <w:rFonts w:ascii="Arial Narrow" w:hAnsi="Arial Narrow"/>
                <w:sz w:val="20"/>
              </w:rPr>
              <w:t xml:space="preserve">: Phase III trial HGT-GCB-039 and extension. </w:t>
            </w:r>
          </w:p>
          <w:p w:rsidR="00365B48" w:rsidRPr="00C426C5" w:rsidRDefault="00365B48" w:rsidP="009710A3">
            <w:pPr>
              <w:jc w:val="left"/>
              <w:rPr>
                <w:rFonts w:ascii="Arial Narrow" w:hAnsi="Arial Narrow"/>
                <w:sz w:val="20"/>
              </w:rPr>
            </w:pPr>
          </w:p>
        </w:tc>
        <w:tc>
          <w:tcPr>
            <w:tcW w:w="1349" w:type="pct"/>
          </w:tcPr>
          <w:p w:rsidR="00365B48" w:rsidRPr="00C426C5" w:rsidRDefault="00365B48" w:rsidP="009710A3">
            <w:pPr>
              <w:jc w:val="left"/>
              <w:rPr>
                <w:rFonts w:ascii="Arial Narrow" w:hAnsi="Arial Narrow"/>
                <w:sz w:val="20"/>
              </w:rPr>
            </w:pPr>
            <w:r w:rsidRPr="00CE5C73">
              <w:rPr>
                <w:rFonts w:ascii="Arial Narrow" w:hAnsi="Arial Narrow"/>
                <w:i/>
                <w:sz w:val="20"/>
              </w:rPr>
              <w:t>Molecular Genetics &amp; Metabolism</w:t>
            </w:r>
            <w:r>
              <w:rPr>
                <w:rFonts w:ascii="Arial Narrow" w:hAnsi="Arial Narrow"/>
                <w:sz w:val="20"/>
              </w:rPr>
              <w:t xml:space="preserve"> 2012.</w:t>
            </w:r>
            <w:r w:rsidRPr="002037B7">
              <w:rPr>
                <w:rFonts w:ascii="Arial Narrow" w:hAnsi="Arial Narrow"/>
                <w:sz w:val="20"/>
              </w:rPr>
              <w:t xml:space="preserve"> Conference: 8th Annual Research Meeting of the </w:t>
            </w:r>
            <w:proofErr w:type="spellStart"/>
            <w:r w:rsidRPr="002037B7">
              <w:rPr>
                <w:rFonts w:ascii="Arial Narrow" w:hAnsi="Arial Narrow"/>
                <w:sz w:val="20"/>
              </w:rPr>
              <w:t>Lysosomal</w:t>
            </w:r>
            <w:proofErr w:type="spellEnd"/>
            <w:r w:rsidRPr="002037B7">
              <w:rPr>
                <w:rFonts w:ascii="Arial Narrow" w:hAnsi="Arial Narrow"/>
                <w:sz w:val="20"/>
              </w:rPr>
              <w:t xml:space="preserve"> Disease Network, WORLD Symposium 2012 San Diego, CA United States. Conference Publication; 105(2)</w:t>
            </w:r>
            <w:r>
              <w:rPr>
                <w:rFonts w:ascii="Arial Narrow" w:hAnsi="Arial Narrow"/>
                <w:sz w:val="20"/>
              </w:rPr>
              <w:t>:</w:t>
            </w:r>
            <w:r w:rsidRPr="002037B7">
              <w:rPr>
                <w:rFonts w:ascii="Arial Narrow" w:hAnsi="Arial Narrow"/>
                <w:sz w:val="20"/>
              </w:rPr>
              <w:t>S</w:t>
            </w:r>
            <w:r>
              <w:rPr>
                <w:rFonts w:ascii="Arial Narrow" w:hAnsi="Arial Narrow"/>
                <w:sz w:val="20"/>
              </w:rPr>
              <w:t>25-S26</w:t>
            </w:r>
            <w:r w:rsidRPr="002037B7">
              <w:rPr>
                <w:rFonts w:ascii="Arial Narrow" w:hAnsi="Arial Narrow"/>
                <w:sz w:val="20"/>
              </w:rPr>
              <w:t>.</w:t>
            </w:r>
          </w:p>
        </w:tc>
      </w:tr>
      <w:tr w:rsidR="00365B48" w:rsidTr="00CF4681">
        <w:tc>
          <w:tcPr>
            <w:tcW w:w="594" w:type="pct"/>
            <w:vMerge w:val="restart"/>
            <w:vAlign w:val="center"/>
          </w:tcPr>
          <w:p w:rsidR="00365B48" w:rsidRDefault="00365B48" w:rsidP="009710A3">
            <w:pPr>
              <w:jc w:val="left"/>
              <w:rPr>
                <w:rFonts w:ascii="Arial Narrow" w:hAnsi="Arial Narrow"/>
                <w:sz w:val="20"/>
              </w:rPr>
            </w:pPr>
          </w:p>
        </w:tc>
        <w:tc>
          <w:tcPr>
            <w:tcW w:w="3057" w:type="pct"/>
          </w:tcPr>
          <w:p w:rsidR="00365B48" w:rsidRPr="002037B7" w:rsidRDefault="00365B48" w:rsidP="009710A3">
            <w:pPr>
              <w:jc w:val="left"/>
              <w:rPr>
                <w:rFonts w:ascii="Arial Narrow" w:hAnsi="Arial Narrow"/>
                <w:sz w:val="20"/>
              </w:rPr>
            </w:pPr>
            <w:r w:rsidRPr="002037B7">
              <w:rPr>
                <w:rFonts w:ascii="Arial Narrow" w:hAnsi="Arial Narrow"/>
                <w:sz w:val="20"/>
              </w:rPr>
              <w:t xml:space="preserve">Ben </w:t>
            </w:r>
            <w:proofErr w:type="spellStart"/>
            <w:r w:rsidRPr="002037B7">
              <w:rPr>
                <w:rFonts w:ascii="Arial Narrow" w:hAnsi="Arial Narrow"/>
                <w:sz w:val="20"/>
              </w:rPr>
              <w:t>Turkia</w:t>
            </w:r>
            <w:proofErr w:type="spellEnd"/>
            <w:r w:rsidRPr="002037B7">
              <w:rPr>
                <w:rFonts w:ascii="Arial Narrow" w:hAnsi="Arial Narrow"/>
                <w:sz w:val="20"/>
              </w:rPr>
              <w:t xml:space="preserve"> et al. Achievement of therapeutic goals in patients with type 1 </w:t>
            </w:r>
            <w:proofErr w:type="spellStart"/>
            <w:r w:rsidRPr="002037B7">
              <w:rPr>
                <w:rFonts w:ascii="Arial Narrow" w:hAnsi="Arial Narrow"/>
                <w:sz w:val="20"/>
              </w:rPr>
              <w:t>Gaucher</w:t>
            </w:r>
            <w:proofErr w:type="spellEnd"/>
            <w:r w:rsidRPr="002037B7">
              <w:rPr>
                <w:rFonts w:ascii="Arial Narrow" w:hAnsi="Arial Narrow"/>
                <w:sz w:val="20"/>
              </w:rPr>
              <w:t xml:space="preserve"> disease (GD1) on </w:t>
            </w:r>
            <w:proofErr w:type="spellStart"/>
            <w:r w:rsidRPr="002037B7">
              <w:rPr>
                <w:rFonts w:ascii="Arial Narrow" w:hAnsi="Arial Narrow"/>
                <w:sz w:val="20"/>
              </w:rPr>
              <w:t>velaglucerase</w:t>
            </w:r>
            <w:proofErr w:type="spellEnd"/>
            <w:r w:rsidRPr="002037B7">
              <w:rPr>
                <w:rFonts w:ascii="Arial Narrow" w:hAnsi="Arial Narrow"/>
                <w:sz w:val="20"/>
              </w:rPr>
              <w:t xml:space="preserve"> alfa or </w:t>
            </w:r>
            <w:proofErr w:type="spellStart"/>
            <w:r w:rsidRPr="002037B7">
              <w:rPr>
                <w:rFonts w:ascii="Arial Narrow" w:hAnsi="Arial Narrow"/>
                <w:sz w:val="20"/>
              </w:rPr>
              <w:t>imiglucerase</w:t>
            </w:r>
            <w:proofErr w:type="spellEnd"/>
            <w:r w:rsidRPr="002037B7">
              <w:rPr>
                <w:rFonts w:ascii="Arial Narrow" w:hAnsi="Arial Narrow"/>
                <w:sz w:val="20"/>
              </w:rPr>
              <w:t xml:space="preserve">: Phase III trial HGT-GCB-039 and extension. </w:t>
            </w:r>
          </w:p>
          <w:p w:rsidR="00365B48" w:rsidRPr="00C426C5" w:rsidRDefault="00365B48" w:rsidP="009710A3">
            <w:pPr>
              <w:jc w:val="left"/>
              <w:rPr>
                <w:rFonts w:ascii="Arial Narrow" w:hAnsi="Arial Narrow"/>
                <w:sz w:val="20"/>
              </w:rPr>
            </w:pPr>
          </w:p>
        </w:tc>
        <w:tc>
          <w:tcPr>
            <w:tcW w:w="1349" w:type="pct"/>
          </w:tcPr>
          <w:p w:rsidR="00365B48" w:rsidRPr="00C426C5" w:rsidRDefault="00365B48" w:rsidP="009710A3">
            <w:pPr>
              <w:jc w:val="left"/>
              <w:rPr>
                <w:rFonts w:ascii="Arial Narrow" w:hAnsi="Arial Narrow"/>
                <w:sz w:val="20"/>
              </w:rPr>
            </w:pPr>
            <w:r w:rsidRPr="00CE5C73">
              <w:rPr>
                <w:rFonts w:ascii="Arial Narrow" w:hAnsi="Arial Narrow"/>
                <w:i/>
                <w:sz w:val="20"/>
              </w:rPr>
              <w:t>Journal of Inherited Metabolic Disease</w:t>
            </w:r>
            <w:r>
              <w:rPr>
                <w:rFonts w:ascii="Arial Narrow" w:hAnsi="Arial Narrow"/>
                <w:sz w:val="20"/>
              </w:rPr>
              <w:t xml:space="preserve"> 2011. </w:t>
            </w:r>
            <w:r w:rsidRPr="002037B7">
              <w:rPr>
                <w:rFonts w:ascii="Arial Narrow" w:hAnsi="Arial Narrow"/>
                <w:sz w:val="20"/>
              </w:rPr>
              <w:t>Conference: Annual Symposium of the Society for the Study of Inborn Errors of Metabolism 2011 Geneva Swit</w:t>
            </w:r>
            <w:r>
              <w:rPr>
                <w:rFonts w:ascii="Arial Narrow" w:hAnsi="Arial Narrow"/>
                <w:sz w:val="20"/>
              </w:rPr>
              <w:t>zerland. Conference Publication</w:t>
            </w:r>
            <w:r w:rsidRPr="002037B7">
              <w:rPr>
                <w:rFonts w:ascii="Arial Narrow" w:hAnsi="Arial Narrow"/>
                <w:sz w:val="20"/>
              </w:rPr>
              <w:t>; 34</w:t>
            </w:r>
            <w:r>
              <w:rPr>
                <w:rFonts w:ascii="Arial Narrow" w:hAnsi="Arial Narrow"/>
                <w:sz w:val="20"/>
              </w:rPr>
              <w:t>:</w:t>
            </w:r>
            <w:r w:rsidRPr="002037B7">
              <w:rPr>
                <w:rFonts w:ascii="Arial Narrow" w:hAnsi="Arial Narrow"/>
                <w:sz w:val="20"/>
              </w:rPr>
              <w:t>S224.</w:t>
            </w:r>
          </w:p>
        </w:tc>
      </w:tr>
      <w:tr w:rsidR="00365B48" w:rsidTr="00CF4681">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proofErr w:type="spellStart"/>
            <w:r w:rsidRPr="002037B7">
              <w:rPr>
                <w:rFonts w:ascii="Arial Narrow" w:hAnsi="Arial Narrow"/>
                <w:sz w:val="20"/>
              </w:rPr>
              <w:t>Elstein</w:t>
            </w:r>
            <w:proofErr w:type="spellEnd"/>
            <w:r w:rsidRPr="002037B7">
              <w:rPr>
                <w:rFonts w:ascii="Arial Narrow" w:hAnsi="Arial Narrow"/>
                <w:sz w:val="20"/>
              </w:rPr>
              <w:t xml:space="preserve"> et al. Bone mineral density in adults with type 1 </w:t>
            </w:r>
            <w:proofErr w:type="spellStart"/>
            <w:r w:rsidRPr="002037B7">
              <w:rPr>
                <w:rFonts w:ascii="Arial Narrow" w:hAnsi="Arial Narrow"/>
                <w:sz w:val="20"/>
              </w:rPr>
              <w:t>Gaucher</w:t>
            </w:r>
            <w:proofErr w:type="spellEnd"/>
            <w:r w:rsidRPr="002037B7">
              <w:rPr>
                <w:rFonts w:ascii="Arial Narrow" w:hAnsi="Arial Narrow"/>
                <w:sz w:val="20"/>
              </w:rPr>
              <w:t xml:space="preserve"> disease receiving </w:t>
            </w:r>
            <w:proofErr w:type="spellStart"/>
            <w:r w:rsidRPr="002037B7">
              <w:rPr>
                <w:rFonts w:ascii="Arial Narrow" w:hAnsi="Arial Narrow"/>
                <w:sz w:val="20"/>
              </w:rPr>
              <w:t>velaglucerase</w:t>
            </w:r>
            <w:proofErr w:type="spellEnd"/>
            <w:r w:rsidRPr="002037B7">
              <w:rPr>
                <w:rFonts w:ascii="Arial Narrow" w:hAnsi="Arial Narrow"/>
                <w:sz w:val="20"/>
              </w:rPr>
              <w:t xml:space="preserve"> alfa 60U/kg every other week: 2-year results. </w:t>
            </w:r>
          </w:p>
        </w:tc>
        <w:tc>
          <w:tcPr>
            <w:tcW w:w="1349" w:type="pct"/>
          </w:tcPr>
          <w:p w:rsidR="00365B48" w:rsidRPr="00C426C5" w:rsidRDefault="00365B48" w:rsidP="009710A3">
            <w:pPr>
              <w:jc w:val="left"/>
              <w:rPr>
                <w:rFonts w:ascii="Arial Narrow" w:hAnsi="Arial Narrow"/>
                <w:sz w:val="20"/>
              </w:rPr>
            </w:pPr>
            <w:r w:rsidRPr="00CE5C73">
              <w:rPr>
                <w:rFonts w:ascii="Arial Narrow" w:hAnsi="Arial Narrow"/>
                <w:i/>
                <w:sz w:val="20"/>
              </w:rPr>
              <w:t>Journal of Inherited Metabolic Disease</w:t>
            </w:r>
            <w:r w:rsidRPr="002037B7">
              <w:rPr>
                <w:rFonts w:ascii="Arial Narrow" w:hAnsi="Arial Narrow"/>
                <w:sz w:val="20"/>
              </w:rPr>
              <w:t xml:space="preserve"> 2012; 35(Suppl. 1)</w:t>
            </w:r>
            <w:r>
              <w:rPr>
                <w:rFonts w:ascii="Arial Narrow" w:hAnsi="Arial Narrow"/>
                <w:sz w:val="20"/>
              </w:rPr>
              <w:t>:</w:t>
            </w:r>
            <w:r w:rsidRPr="002037B7">
              <w:rPr>
                <w:rFonts w:ascii="Arial Narrow" w:hAnsi="Arial Narrow"/>
                <w:sz w:val="20"/>
              </w:rPr>
              <w:t xml:space="preserve"> S150.</w:t>
            </w:r>
          </w:p>
        </w:tc>
      </w:tr>
      <w:tr w:rsidR="00365B48" w:rsidTr="00CF4681">
        <w:tc>
          <w:tcPr>
            <w:tcW w:w="594" w:type="pct"/>
            <w:vMerge w:val="restart"/>
            <w:vAlign w:val="center"/>
          </w:tcPr>
          <w:p w:rsidR="00365B48" w:rsidRPr="00C42C2D" w:rsidRDefault="00365B48" w:rsidP="009710A3">
            <w:pPr>
              <w:jc w:val="left"/>
              <w:rPr>
                <w:rFonts w:ascii="Arial Narrow" w:hAnsi="Arial Narrow"/>
                <w:sz w:val="20"/>
                <w:vertAlign w:val="superscript"/>
              </w:rPr>
            </w:pPr>
            <w:r>
              <w:rPr>
                <w:rFonts w:ascii="Arial Narrow" w:hAnsi="Arial Narrow"/>
                <w:sz w:val="20"/>
              </w:rPr>
              <w:t xml:space="preserve">HGT-044 </w:t>
            </w:r>
            <w:proofErr w:type="spellStart"/>
            <w:r>
              <w:rPr>
                <w:rFonts w:ascii="Arial Narrow" w:hAnsi="Arial Narrow"/>
                <w:sz w:val="20"/>
                <w:vertAlign w:val="superscript"/>
              </w:rPr>
              <w:t>b,d</w:t>
            </w:r>
            <w:proofErr w:type="spellEnd"/>
          </w:p>
        </w:tc>
        <w:tc>
          <w:tcPr>
            <w:tcW w:w="3057" w:type="pct"/>
          </w:tcPr>
          <w:p w:rsidR="00365B48" w:rsidRPr="00C426C5" w:rsidRDefault="00365B48" w:rsidP="009710A3">
            <w:pPr>
              <w:jc w:val="left"/>
              <w:rPr>
                <w:rFonts w:ascii="Arial Narrow" w:hAnsi="Arial Narrow"/>
                <w:sz w:val="20"/>
              </w:rPr>
            </w:pPr>
            <w:r w:rsidRPr="00963E5C">
              <w:rPr>
                <w:rFonts w:ascii="Arial Narrow" w:hAnsi="Arial Narrow"/>
                <w:sz w:val="20"/>
              </w:rPr>
              <w:t xml:space="preserve">NCT00635427. An Open-label extension study of GA-GCB ERT in patients with type 1 </w:t>
            </w:r>
            <w:proofErr w:type="spellStart"/>
            <w:r w:rsidRPr="00963E5C">
              <w:rPr>
                <w:rFonts w:ascii="Arial Narrow" w:hAnsi="Arial Narrow"/>
                <w:sz w:val="20"/>
              </w:rPr>
              <w:t>Gaucher</w:t>
            </w:r>
            <w:proofErr w:type="spellEnd"/>
            <w:r w:rsidRPr="00963E5C">
              <w:rPr>
                <w:rFonts w:ascii="Arial Narrow" w:hAnsi="Arial Narrow"/>
                <w:sz w:val="20"/>
              </w:rPr>
              <w:t xml:space="preserve"> disease.</w:t>
            </w:r>
          </w:p>
        </w:tc>
        <w:tc>
          <w:tcPr>
            <w:tcW w:w="1349" w:type="pct"/>
          </w:tcPr>
          <w:p w:rsidR="00365B48" w:rsidRPr="00C426C5" w:rsidRDefault="00365B48" w:rsidP="009710A3">
            <w:pPr>
              <w:jc w:val="left"/>
              <w:rPr>
                <w:rFonts w:ascii="Arial Narrow" w:hAnsi="Arial Narrow"/>
                <w:sz w:val="20"/>
              </w:rPr>
            </w:pPr>
            <w:r>
              <w:rPr>
                <w:rFonts w:ascii="Arial Narrow" w:hAnsi="Arial Narrow"/>
                <w:sz w:val="20"/>
              </w:rPr>
              <w:t>Clinical trial registry</w:t>
            </w:r>
          </w:p>
        </w:tc>
      </w:tr>
      <w:tr w:rsidR="00365B48" w:rsidTr="00CF4681">
        <w:trPr>
          <w:trHeight w:val="1147"/>
        </w:trPr>
        <w:tc>
          <w:tcPr>
            <w:tcW w:w="594" w:type="pct"/>
            <w:vMerge/>
            <w:vAlign w:val="center"/>
          </w:tcPr>
          <w:p w:rsidR="00365B48" w:rsidRDefault="00365B48" w:rsidP="009710A3">
            <w:pPr>
              <w:jc w:val="left"/>
              <w:rPr>
                <w:rFonts w:ascii="Arial Narrow" w:hAnsi="Arial Narrow"/>
                <w:sz w:val="20"/>
              </w:rPr>
            </w:pPr>
          </w:p>
        </w:tc>
        <w:tc>
          <w:tcPr>
            <w:tcW w:w="3057" w:type="pct"/>
          </w:tcPr>
          <w:p w:rsidR="00365B48" w:rsidRPr="00C426C5" w:rsidRDefault="00365B48" w:rsidP="009710A3">
            <w:pPr>
              <w:jc w:val="left"/>
              <w:rPr>
                <w:rFonts w:ascii="Arial Narrow" w:hAnsi="Arial Narrow"/>
                <w:sz w:val="20"/>
              </w:rPr>
            </w:pPr>
            <w:r w:rsidRPr="00963E5C">
              <w:rPr>
                <w:rFonts w:ascii="Arial Narrow" w:hAnsi="Arial Narrow"/>
                <w:sz w:val="20"/>
              </w:rPr>
              <w:t xml:space="preserve">Mehta et al. Two-year safety and tolerability of </w:t>
            </w:r>
            <w:proofErr w:type="spellStart"/>
            <w:r w:rsidRPr="00963E5C">
              <w:rPr>
                <w:rFonts w:ascii="Arial Narrow" w:hAnsi="Arial Narrow"/>
                <w:sz w:val="20"/>
              </w:rPr>
              <w:t>velaglucerase</w:t>
            </w:r>
            <w:proofErr w:type="spellEnd"/>
            <w:r w:rsidRPr="00963E5C">
              <w:rPr>
                <w:rFonts w:ascii="Arial Narrow" w:hAnsi="Arial Narrow"/>
                <w:sz w:val="20"/>
              </w:rPr>
              <w:t xml:space="preserve"> alfa in patients with type 1 </w:t>
            </w:r>
            <w:proofErr w:type="spellStart"/>
            <w:r w:rsidRPr="00963E5C">
              <w:rPr>
                <w:rFonts w:ascii="Arial Narrow" w:hAnsi="Arial Narrow"/>
                <w:sz w:val="20"/>
              </w:rPr>
              <w:t>Gaucher</w:t>
            </w:r>
            <w:proofErr w:type="spellEnd"/>
            <w:r w:rsidRPr="00963E5C">
              <w:rPr>
                <w:rFonts w:ascii="Arial Narrow" w:hAnsi="Arial Narrow"/>
                <w:sz w:val="20"/>
              </w:rPr>
              <w:t xml:space="preserve"> Disease, including patients switched from </w:t>
            </w:r>
            <w:proofErr w:type="spellStart"/>
            <w:r w:rsidRPr="00963E5C">
              <w:rPr>
                <w:rFonts w:ascii="Arial Narrow" w:hAnsi="Arial Narrow"/>
                <w:sz w:val="20"/>
              </w:rPr>
              <w:t>imiglucerase</w:t>
            </w:r>
            <w:proofErr w:type="spellEnd"/>
            <w:r w:rsidRPr="00963E5C">
              <w:rPr>
                <w:rFonts w:ascii="Arial Narrow" w:hAnsi="Arial Narrow"/>
                <w:sz w:val="20"/>
              </w:rPr>
              <w:t>: phase III Trial HGT-GCB-039 and extension.</w:t>
            </w:r>
          </w:p>
        </w:tc>
        <w:tc>
          <w:tcPr>
            <w:tcW w:w="1349" w:type="pct"/>
          </w:tcPr>
          <w:p w:rsidR="00365B48" w:rsidRPr="00C426C5" w:rsidRDefault="00365B48" w:rsidP="009710A3">
            <w:pPr>
              <w:jc w:val="left"/>
              <w:rPr>
                <w:rFonts w:ascii="Arial Narrow" w:hAnsi="Arial Narrow"/>
                <w:sz w:val="20"/>
              </w:rPr>
            </w:pPr>
            <w:r w:rsidRPr="00BB3FB8">
              <w:rPr>
                <w:rFonts w:ascii="Arial Narrow" w:hAnsi="Arial Narrow"/>
                <w:i/>
                <w:sz w:val="20"/>
              </w:rPr>
              <w:t>Blood</w:t>
            </w:r>
            <w:r>
              <w:rPr>
                <w:rFonts w:ascii="Arial Narrow" w:hAnsi="Arial Narrow"/>
                <w:sz w:val="20"/>
              </w:rPr>
              <w:t xml:space="preserve"> 2011.</w:t>
            </w:r>
            <w:r w:rsidRPr="00963E5C">
              <w:rPr>
                <w:rFonts w:ascii="Arial Narrow" w:hAnsi="Arial Narrow"/>
                <w:sz w:val="20"/>
              </w:rPr>
              <w:t xml:space="preserve"> Conference: 53rd Annual Meeting of the American Society of </w:t>
            </w:r>
            <w:proofErr w:type="spellStart"/>
            <w:r w:rsidRPr="00963E5C">
              <w:rPr>
                <w:rFonts w:ascii="Arial Narrow" w:hAnsi="Arial Narrow"/>
                <w:sz w:val="20"/>
              </w:rPr>
              <w:t>Hematology</w:t>
            </w:r>
            <w:proofErr w:type="spellEnd"/>
            <w:r w:rsidRPr="00963E5C">
              <w:rPr>
                <w:rFonts w:ascii="Arial Narrow" w:hAnsi="Arial Narrow"/>
                <w:sz w:val="20"/>
              </w:rPr>
              <w:t>, ASH 2011 San Diego, CA United States. Conference Publication</w:t>
            </w:r>
            <w:r>
              <w:rPr>
                <w:rFonts w:ascii="Arial Narrow" w:hAnsi="Arial Narrow"/>
                <w:sz w:val="20"/>
              </w:rPr>
              <w:t>;</w:t>
            </w:r>
            <w:r w:rsidRPr="00963E5C">
              <w:rPr>
                <w:rFonts w:ascii="Arial Narrow" w:hAnsi="Arial Narrow"/>
                <w:sz w:val="20"/>
              </w:rPr>
              <w:t xml:space="preserve"> 118</w:t>
            </w:r>
            <w:r>
              <w:rPr>
                <w:rFonts w:ascii="Arial Narrow" w:hAnsi="Arial Narrow"/>
                <w:sz w:val="20"/>
              </w:rPr>
              <w:t>(</w:t>
            </w:r>
            <w:r w:rsidRPr="00963E5C">
              <w:rPr>
                <w:rFonts w:ascii="Arial Narrow" w:hAnsi="Arial Narrow"/>
                <w:sz w:val="20"/>
              </w:rPr>
              <w:t>21</w:t>
            </w:r>
            <w:r>
              <w:rPr>
                <w:rFonts w:ascii="Arial Narrow" w:hAnsi="Arial Narrow"/>
                <w:sz w:val="20"/>
              </w:rPr>
              <w:t>):Abs3214</w:t>
            </w:r>
            <w:r w:rsidRPr="00963E5C">
              <w:rPr>
                <w:rFonts w:ascii="Arial Narrow" w:hAnsi="Arial Narrow"/>
                <w:sz w:val="20"/>
              </w:rPr>
              <w:t>.</w:t>
            </w:r>
          </w:p>
        </w:tc>
      </w:tr>
    </w:tbl>
    <w:p w:rsidR="00365B48" w:rsidRDefault="00365B48" w:rsidP="005D4557">
      <w:pPr>
        <w:pStyle w:val="TableFooter"/>
        <w:ind w:left="709"/>
      </w:pPr>
      <w:proofErr w:type="gramStart"/>
      <w:r>
        <w:rPr>
          <w:vertAlign w:val="superscript"/>
        </w:rPr>
        <w:t>a</w:t>
      </w:r>
      <w:proofErr w:type="gramEnd"/>
      <w:r>
        <w:t xml:space="preserve"> Data updated from previous submission</w:t>
      </w:r>
    </w:p>
    <w:p w:rsidR="00365B48" w:rsidRDefault="00365B48" w:rsidP="005D4557">
      <w:pPr>
        <w:pStyle w:val="TableFooter"/>
        <w:ind w:left="709"/>
      </w:pPr>
      <w:proofErr w:type="gramStart"/>
      <w:r>
        <w:rPr>
          <w:vertAlign w:val="superscript"/>
        </w:rPr>
        <w:t>b</w:t>
      </w:r>
      <w:proofErr w:type="gramEnd"/>
      <w:r>
        <w:rPr>
          <w:vertAlign w:val="superscript"/>
        </w:rPr>
        <w:t xml:space="preserve"> </w:t>
      </w:r>
      <w:r>
        <w:t xml:space="preserve">New data to </w:t>
      </w:r>
      <w:r w:rsidR="00035FBE">
        <w:t>resubmission</w:t>
      </w:r>
    </w:p>
    <w:p w:rsidR="00365B48" w:rsidRDefault="00365B48" w:rsidP="005D4557">
      <w:pPr>
        <w:pStyle w:val="TableFooter"/>
        <w:ind w:left="709"/>
      </w:pPr>
      <w:proofErr w:type="gramStart"/>
      <w:r>
        <w:rPr>
          <w:vertAlign w:val="superscript"/>
        </w:rPr>
        <w:t>c</w:t>
      </w:r>
      <w:proofErr w:type="gramEnd"/>
      <w:r>
        <w:rPr>
          <w:vertAlign w:val="superscript"/>
        </w:rPr>
        <w:t xml:space="preserve"> </w:t>
      </w:r>
      <w:r>
        <w:t>Study ongoing, no</w:t>
      </w:r>
      <w:r w:rsidR="000D37EA">
        <w:t xml:space="preserve"> efficacy</w:t>
      </w:r>
      <w:r>
        <w:t xml:space="preserve"> data available</w:t>
      </w:r>
    </w:p>
    <w:p w:rsidR="00365B48" w:rsidRPr="00C42C2D" w:rsidRDefault="00365B48" w:rsidP="005D4557">
      <w:pPr>
        <w:pStyle w:val="TableFooter"/>
        <w:ind w:left="709"/>
      </w:pPr>
      <w:proofErr w:type="gramStart"/>
      <w:r>
        <w:rPr>
          <w:vertAlign w:val="superscript"/>
        </w:rPr>
        <w:t>d</w:t>
      </w:r>
      <w:proofErr w:type="gramEnd"/>
      <w:r>
        <w:rPr>
          <w:vertAlign w:val="superscript"/>
        </w:rPr>
        <w:t xml:space="preserve"> </w:t>
      </w:r>
      <w:r>
        <w:t>Safety only</w:t>
      </w:r>
    </w:p>
    <w:p w:rsidR="00365B48" w:rsidRPr="00D13A3E" w:rsidRDefault="00365B48" w:rsidP="005D4557">
      <w:pPr>
        <w:pStyle w:val="TableFooter"/>
        <w:ind w:left="709"/>
      </w:pPr>
      <w:r w:rsidRPr="00D13A3E">
        <w:t xml:space="preserve">Source: </w:t>
      </w:r>
      <w:r>
        <w:t>Table 4, Table 5, Table 6, ppB.18-B.22 of the submission</w:t>
      </w:r>
    </w:p>
    <w:p w:rsidR="001B6188" w:rsidRPr="001B6188" w:rsidRDefault="001B6188" w:rsidP="001B6188">
      <w:pPr>
        <w:widowControl/>
        <w:rPr>
          <w:szCs w:val="22"/>
        </w:rPr>
      </w:pPr>
    </w:p>
    <w:p w:rsidR="001B6188" w:rsidRPr="002F4A50" w:rsidRDefault="00961AF9" w:rsidP="00C32489">
      <w:pPr>
        <w:pStyle w:val="ListParagraph"/>
        <w:widowControl/>
        <w:numPr>
          <w:ilvl w:val="1"/>
          <w:numId w:val="2"/>
        </w:numPr>
        <w:ind w:left="709" w:hanging="709"/>
        <w:rPr>
          <w:szCs w:val="22"/>
        </w:rPr>
      </w:pPr>
      <w:r w:rsidRPr="002F4A50">
        <w:rPr>
          <w:szCs w:val="22"/>
        </w:rPr>
        <w:t xml:space="preserve">The key features of the randomised </w:t>
      </w:r>
      <w:r w:rsidR="009710A3" w:rsidRPr="002F4A50">
        <w:rPr>
          <w:szCs w:val="22"/>
        </w:rPr>
        <w:t xml:space="preserve">and non-randomised </w:t>
      </w:r>
      <w:r w:rsidRPr="002F4A50">
        <w:rPr>
          <w:szCs w:val="22"/>
        </w:rPr>
        <w:t xml:space="preserve">trials are </w:t>
      </w:r>
      <w:r w:rsidR="009710A3" w:rsidRPr="002F4A50">
        <w:rPr>
          <w:szCs w:val="22"/>
        </w:rPr>
        <w:t>summarised in the table below.</w:t>
      </w:r>
      <w:r w:rsidR="00035FBE">
        <w:rPr>
          <w:szCs w:val="22"/>
        </w:rPr>
        <w:t xml:space="preserve"> </w:t>
      </w:r>
      <w:r w:rsidR="00035FBE" w:rsidRPr="00A151DE">
        <w:rPr>
          <w:szCs w:val="22"/>
        </w:rPr>
        <w:t xml:space="preserve">The ESC noted the small number of </w:t>
      </w:r>
      <w:r w:rsidR="00CB4879" w:rsidRPr="00A151DE">
        <w:rPr>
          <w:szCs w:val="22"/>
        </w:rPr>
        <w:t xml:space="preserve">patients in each trial </w:t>
      </w:r>
      <w:r w:rsidR="004C4587" w:rsidRPr="00A151DE">
        <w:rPr>
          <w:szCs w:val="22"/>
        </w:rPr>
        <w:t>as well as the high risk of bias in the non-randomised studies.</w:t>
      </w:r>
      <w:r w:rsidR="004C4587">
        <w:rPr>
          <w:i/>
          <w:szCs w:val="22"/>
        </w:rPr>
        <w:t xml:space="preserve"> </w:t>
      </w:r>
    </w:p>
    <w:p w:rsidR="009710A3" w:rsidRPr="009710A3" w:rsidRDefault="009710A3" w:rsidP="004C4587">
      <w:pPr>
        <w:widowControl/>
        <w:jc w:val="left"/>
        <w:rPr>
          <w:szCs w:val="22"/>
        </w:rPr>
      </w:pPr>
    </w:p>
    <w:p w:rsidR="009710A3" w:rsidRDefault="009710A3" w:rsidP="005474F1">
      <w:pPr>
        <w:ind w:left="720"/>
        <w:rPr>
          <w:rStyle w:val="CommentReference"/>
        </w:rPr>
      </w:pPr>
      <w:r w:rsidRPr="00A13948">
        <w:rPr>
          <w:rStyle w:val="CommentReference"/>
        </w:rPr>
        <w:t>Key feat</w:t>
      </w:r>
      <w:r>
        <w:rPr>
          <w:rStyle w:val="CommentReference"/>
        </w:rPr>
        <w: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1442"/>
        <w:gridCol w:w="1442"/>
        <w:gridCol w:w="1085"/>
        <w:gridCol w:w="1561"/>
        <w:gridCol w:w="1682"/>
      </w:tblGrid>
      <w:tr w:rsidR="009710A3" w:rsidRPr="00E2771E" w:rsidTr="00595D7F">
        <w:trPr>
          <w:tblHeader/>
        </w:trPr>
        <w:tc>
          <w:tcPr>
            <w:tcW w:w="679" w:type="pct"/>
            <w:shd w:val="clear" w:color="auto" w:fill="auto"/>
            <w:vAlign w:val="center"/>
          </w:tcPr>
          <w:p w:rsidR="009710A3" w:rsidRPr="00E2771E" w:rsidRDefault="009710A3" w:rsidP="009710A3">
            <w:pPr>
              <w:jc w:val="left"/>
              <w:rPr>
                <w:rFonts w:ascii="Arial Narrow" w:hAnsi="Arial Narrow"/>
                <w:b/>
                <w:sz w:val="20"/>
                <w:szCs w:val="16"/>
                <w:lang w:val="en-US"/>
              </w:rPr>
            </w:pPr>
            <w:r w:rsidRPr="00E2771E">
              <w:rPr>
                <w:rFonts w:ascii="Arial Narrow" w:hAnsi="Arial Narrow"/>
                <w:b/>
                <w:sz w:val="20"/>
                <w:szCs w:val="16"/>
                <w:lang w:val="en-US"/>
              </w:rPr>
              <w:t>Trial</w:t>
            </w:r>
          </w:p>
        </w:tc>
        <w:tc>
          <w:tcPr>
            <w:tcW w:w="864" w:type="pct"/>
            <w:shd w:val="clear" w:color="auto" w:fill="auto"/>
            <w:vAlign w:val="center"/>
          </w:tcPr>
          <w:p w:rsidR="009710A3" w:rsidRPr="00E2771E" w:rsidRDefault="009710A3" w:rsidP="009710A3">
            <w:pPr>
              <w:jc w:val="center"/>
              <w:rPr>
                <w:rFonts w:ascii="Arial Narrow" w:hAnsi="Arial Narrow"/>
                <w:b/>
                <w:sz w:val="20"/>
                <w:szCs w:val="16"/>
                <w:lang w:val="en-US"/>
              </w:rPr>
            </w:pPr>
            <w:r w:rsidRPr="00E2771E">
              <w:rPr>
                <w:rFonts w:ascii="Arial Narrow" w:hAnsi="Arial Narrow"/>
                <w:b/>
                <w:sz w:val="20"/>
                <w:szCs w:val="16"/>
                <w:lang w:val="en-US"/>
              </w:rPr>
              <w:t>N</w:t>
            </w:r>
          </w:p>
        </w:tc>
        <w:tc>
          <w:tcPr>
            <w:tcW w:w="864" w:type="pct"/>
            <w:shd w:val="clear" w:color="auto" w:fill="auto"/>
            <w:vAlign w:val="center"/>
          </w:tcPr>
          <w:p w:rsidR="009710A3" w:rsidRPr="00E2771E" w:rsidRDefault="0036175A" w:rsidP="009710A3">
            <w:pPr>
              <w:jc w:val="center"/>
              <w:rPr>
                <w:rFonts w:ascii="Arial Narrow" w:hAnsi="Arial Narrow"/>
                <w:b/>
                <w:sz w:val="20"/>
                <w:szCs w:val="16"/>
                <w:lang w:val="en-US"/>
              </w:rPr>
            </w:pPr>
            <w:r>
              <w:rPr>
                <w:rFonts w:ascii="Arial Narrow" w:hAnsi="Arial Narrow"/>
                <w:b/>
                <w:sz w:val="20"/>
                <w:szCs w:val="16"/>
                <w:lang w:val="en-US"/>
              </w:rPr>
              <w:t>Design/</w:t>
            </w:r>
            <w:r w:rsidR="009710A3" w:rsidRPr="00E2771E">
              <w:rPr>
                <w:rFonts w:ascii="Arial Narrow" w:hAnsi="Arial Narrow"/>
                <w:b/>
                <w:sz w:val="20"/>
                <w:szCs w:val="16"/>
                <w:lang w:val="en-US"/>
              </w:rPr>
              <w:t>duration</w:t>
            </w:r>
          </w:p>
        </w:tc>
        <w:tc>
          <w:tcPr>
            <w:tcW w:w="650" w:type="pct"/>
            <w:shd w:val="clear" w:color="auto" w:fill="auto"/>
            <w:vAlign w:val="center"/>
          </w:tcPr>
          <w:p w:rsidR="009710A3" w:rsidRPr="00E2771E" w:rsidRDefault="009710A3" w:rsidP="009710A3">
            <w:pPr>
              <w:jc w:val="center"/>
              <w:rPr>
                <w:rFonts w:ascii="Arial Narrow" w:hAnsi="Arial Narrow"/>
                <w:b/>
                <w:sz w:val="20"/>
                <w:szCs w:val="16"/>
                <w:lang w:val="en-US"/>
              </w:rPr>
            </w:pPr>
            <w:r w:rsidRPr="00E2771E">
              <w:rPr>
                <w:rFonts w:ascii="Arial Narrow" w:hAnsi="Arial Narrow"/>
                <w:b/>
                <w:sz w:val="20"/>
                <w:szCs w:val="16"/>
                <w:lang w:val="en-US"/>
              </w:rPr>
              <w:t>Risk of bias</w:t>
            </w:r>
          </w:p>
        </w:tc>
        <w:tc>
          <w:tcPr>
            <w:tcW w:w="935" w:type="pct"/>
            <w:shd w:val="clear" w:color="auto" w:fill="auto"/>
            <w:vAlign w:val="center"/>
          </w:tcPr>
          <w:p w:rsidR="009710A3" w:rsidRPr="00E2771E" w:rsidRDefault="009710A3" w:rsidP="009710A3">
            <w:pPr>
              <w:jc w:val="center"/>
              <w:rPr>
                <w:rFonts w:ascii="Arial Narrow" w:hAnsi="Arial Narrow"/>
                <w:b/>
                <w:sz w:val="20"/>
                <w:szCs w:val="16"/>
                <w:lang w:val="en-US"/>
              </w:rPr>
            </w:pPr>
            <w:r w:rsidRPr="00E2771E">
              <w:rPr>
                <w:rFonts w:ascii="Arial Narrow" w:hAnsi="Arial Narrow"/>
                <w:b/>
                <w:sz w:val="20"/>
                <w:szCs w:val="16"/>
                <w:lang w:val="en-US"/>
              </w:rPr>
              <w:t>Patient population</w:t>
            </w:r>
          </w:p>
        </w:tc>
        <w:tc>
          <w:tcPr>
            <w:tcW w:w="1008" w:type="pct"/>
            <w:shd w:val="clear" w:color="auto" w:fill="auto"/>
            <w:vAlign w:val="center"/>
          </w:tcPr>
          <w:p w:rsidR="009710A3" w:rsidRDefault="009710A3" w:rsidP="009710A3">
            <w:pPr>
              <w:jc w:val="center"/>
              <w:rPr>
                <w:rFonts w:ascii="Arial Narrow" w:hAnsi="Arial Narrow"/>
                <w:b/>
                <w:sz w:val="20"/>
                <w:szCs w:val="16"/>
                <w:lang w:val="en-US"/>
              </w:rPr>
            </w:pPr>
            <w:r>
              <w:rPr>
                <w:rFonts w:ascii="Arial Narrow" w:hAnsi="Arial Narrow"/>
                <w:b/>
                <w:sz w:val="20"/>
                <w:szCs w:val="16"/>
                <w:lang w:val="en-US"/>
              </w:rPr>
              <w:t>Primary</w:t>
            </w:r>
          </w:p>
          <w:p w:rsidR="009710A3" w:rsidRDefault="0036175A" w:rsidP="009710A3">
            <w:pPr>
              <w:jc w:val="center"/>
              <w:rPr>
                <w:rFonts w:ascii="Arial Narrow" w:hAnsi="Arial Narrow"/>
                <w:b/>
                <w:sz w:val="20"/>
                <w:szCs w:val="16"/>
                <w:lang w:val="en-US"/>
              </w:rPr>
            </w:pPr>
            <w:r>
              <w:rPr>
                <w:rFonts w:ascii="Arial Narrow" w:hAnsi="Arial Narrow"/>
                <w:b/>
                <w:sz w:val="20"/>
                <w:szCs w:val="16"/>
                <w:lang w:val="en-US"/>
              </w:rPr>
              <w:t>o</w:t>
            </w:r>
            <w:r w:rsidR="00AC08ED">
              <w:rPr>
                <w:rFonts w:ascii="Arial Narrow" w:hAnsi="Arial Narrow"/>
                <w:b/>
                <w:sz w:val="20"/>
                <w:szCs w:val="16"/>
                <w:lang w:val="en-US"/>
              </w:rPr>
              <w:t>utcome</w:t>
            </w:r>
            <w:r>
              <w:rPr>
                <w:rFonts w:ascii="Arial Narrow" w:hAnsi="Arial Narrow"/>
                <w:b/>
                <w:sz w:val="20"/>
                <w:szCs w:val="16"/>
                <w:lang w:val="en-US"/>
              </w:rPr>
              <w:t>s</w:t>
            </w:r>
          </w:p>
          <w:p w:rsidR="00AC08ED" w:rsidRPr="00E2771E" w:rsidRDefault="00AC08ED" w:rsidP="009710A3">
            <w:pPr>
              <w:jc w:val="center"/>
              <w:rPr>
                <w:rFonts w:ascii="Arial Narrow" w:hAnsi="Arial Narrow"/>
                <w:b/>
                <w:sz w:val="20"/>
                <w:szCs w:val="16"/>
                <w:lang w:val="en-US"/>
              </w:rPr>
            </w:pPr>
            <w:r>
              <w:rPr>
                <w:rFonts w:ascii="Arial Narrow" w:hAnsi="Arial Narrow"/>
                <w:b/>
                <w:sz w:val="20"/>
                <w:szCs w:val="16"/>
                <w:lang w:val="en-US"/>
              </w:rPr>
              <w:t>(Change from baseline)</w:t>
            </w:r>
          </w:p>
        </w:tc>
      </w:tr>
      <w:tr w:rsidR="009710A3" w:rsidRPr="00E2771E" w:rsidTr="009710A3">
        <w:tc>
          <w:tcPr>
            <w:tcW w:w="5000" w:type="pct"/>
            <w:gridSpan w:val="6"/>
            <w:shd w:val="clear" w:color="auto" w:fill="auto"/>
            <w:vAlign w:val="center"/>
          </w:tcPr>
          <w:p w:rsidR="009710A3" w:rsidRPr="00E2771E" w:rsidRDefault="009710A3" w:rsidP="009710A3">
            <w:pPr>
              <w:jc w:val="left"/>
              <w:rPr>
                <w:rFonts w:ascii="Arial Narrow" w:hAnsi="Arial Narrow"/>
                <w:b/>
                <w:sz w:val="20"/>
                <w:szCs w:val="16"/>
                <w:lang w:val="en-US"/>
              </w:rPr>
            </w:pPr>
            <w:proofErr w:type="spellStart"/>
            <w:r>
              <w:rPr>
                <w:rFonts w:ascii="Arial Narrow" w:hAnsi="Arial Narrow"/>
                <w:b/>
                <w:sz w:val="20"/>
                <w:szCs w:val="16"/>
                <w:lang w:val="en-US"/>
              </w:rPr>
              <w:t>Taliglucerase</w:t>
            </w:r>
            <w:proofErr w:type="spellEnd"/>
            <w:r>
              <w:rPr>
                <w:rFonts w:ascii="Arial Narrow" w:hAnsi="Arial Narrow"/>
                <w:b/>
                <w:sz w:val="20"/>
                <w:szCs w:val="16"/>
                <w:lang w:val="en-US"/>
              </w:rPr>
              <w:t xml:space="preserve"> alfa randomised trials</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t>PB-06-001</w:t>
            </w:r>
          </w:p>
        </w:tc>
        <w:tc>
          <w:tcPr>
            <w:tcW w:w="864" w:type="pct"/>
            <w:shd w:val="clear" w:color="auto" w:fill="auto"/>
            <w:vAlign w:val="center"/>
          </w:tcPr>
          <w:p w:rsidR="009710A3" w:rsidRPr="00E2771E" w:rsidRDefault="009710A3" w:rsidP="009710A3">
            <w:pPr>
              <w:jc w:val="center"/>
              <w:rPr>
                <w:rFonts w:ascii="Arial Narrow" w:hAnsi="Arial Narrow"/>
                <w:sz w:val="20"/>
                <w:szCs w:val="16"/>
                <w:lang w:val="en-US"/>
              </w:rPr>
            </w:pPr>
            <w:r>
              <w:rPr>
                <w:rFonts w:ascii="Arial Narrow" w:hAnsi="Arial Narrow"/>
                <w:sz w:val="20"/>
                <w:szCs w:val="16"/>
                <w:lang w:val="en-US"/>
              </w:rPr>
              <w:t>31</w:t>
            </w:r>
          </w:p>
        </w:tc>
        <w:tc>
          <w:tcPr>
            <w:tcW w:w="864" w:type="pct"/>
            <w:shd w:val="clear" w:color="auto" w:fill="auto"/>
            <w:vAlign w:val="center"/>
          </w:tcPr>
          <w:p w:rsidR="009710A3" w:rsidRPr="00E2771E" w:rsidRDefault="009710A3" w:rsidP="009710A3">
            <w:pPr>
              <w:jc w:val="center"/>
              <w:rPr>
                <w:rFonts w:ascii="Arial Narrow" w:hAnsi="Arial Narrow"/>
                <w:sz w:val="20"/>
                <w:szCs w:val="16"/>
                <w:lang w:val="en-US"/>
              </w:rPr>
            </w:pPr>
            <w:r w:rsidRPr="00E2771E">
              <w:rPr>
                <w:rFonts w:ascii="Arial Narrow" w:hAnsi="Arial Narrow"/>
                <w:sz w:val="20"/>
                <w:szCs w:val="16"/>
                <w:lang w:val="en-US"/>
              </w:rPr>
              <w:t>R, DB</w:t>
            </w:r>
            <w:r>
              <w:rPr>
                <w:rFonts w:ascii="Arial Narrow" w:hAnsi="Arial Narrow"/>
                <w:sz w:val="20"/>
                <w:szCs w:val="16"/>
                <w:lang w:val="en-US"/>
              </w:rPr>
              <w:t>, PG, MC</w:t>
            </w:r>
          </w:p>
          <w:p w:rsidR="009710A3" w:rsidRPr="00E2771E" w:rsidRDefault="009710A3" w:rsidP="009710A3">
            <w:pPr>
              <w:jc w:val="center"/>
              <w:rPr>
                <w:rFonts w:ascii="Arial Narrow" w:hAnsi="Arial Narrow"/>
                <w:sz w:val="20"/>
                <w:szCs w:val="16"/>
                <w:lang w:val="en-US"/>
              </w:rPr>
            </w:pPr>
            <w:r>
              <w:rPr>
                <w:rFonts w:ascii="Arial Narrow" w:hAnsi="Arial Narrow"/>
                <w:sz w:val="20"/>
                <w:szCs w:val="16"/>
                <w:lang w:val="en-US"/>
              </w:rPr>
              <w:t>9</w:t>
            </w:r>
            <w:r w:rsidRPr="00E2771E">
              <w:rPr>
                <w:rFonts w:ascii="Arial Narrow" w:hAnsi="Arial Narrow"/>
                <w:sz w:val="20"/>
                <w:szCs w:val="16"/>
                <w:lang w:val="en-US"/>
              </w:rPr>
              <w:t xml:space="preserve"> </w:t>
            </w:r>
            <w:proofErr w:type="spellStart"/>
            <w:r w:rsidRPr="00E2771E">
              <w:rPr>
                <w:rFonts w:ascii="Arial Narrow" w:hAnsi="Arial Narrow"/>
                <w:sz w:val="20"/>
                <w:szCs w:val="16"/>
                <w:lang w:val="en-US"/>
              </w:rPr>
              <w:t>mths</w:t>
            </w:r>
            <w:proofErr w:type="spellEnd"/>
          </w:p>
        </w:tc>
        <w:tc>
          <w:tcPr>
            <w:tcW w:w="650" w:type="pct"/>
            <w:shd w:val="clear" w:color="auto" w:fill="auto"/>
            <w:vAlign w:val="center"/>
          </w:tcPr>
          <w:p w:rsidR="009710A3" w:rsidRPr="00E2771E" w:rsidRDefault="009710A3" w:rsidP="009710A3">
            <w:pPr>
              <w:jc w:val="center"/>
              <w:rPr>
                <w:rFonts w:ascii="Arial Narrow" w:hAnsi="Arial Narrow"/>
                <w:sz w:val="20"/>
                <w:szCs w:val="16"/>
                <w:lang w:val="en-US"/>
              </w:rPr>
            </w:pPr>
            <w:r w:rsidRPr="00E2771E">
              <w:rPr>
                <w:rFonts w:ascii="Arial Narrow" w:hAnsi="Arial Narrow"/>
                <w:sz w:val="20"/>
                <w:szCs w:val="16"/>
                <w:lang w:val="en-US"/>
              </w:rPr>
              <w:t>Low</w:t>
            </w:r>
          </w:p>
        </w:tc>
        <w:tc>
          <w:tcPr>
            <w:tcW w:w="935" w:type="pct"/>
            <w:shd w:val="clear" w:color="auto" w:fill="auto"/>
            <w:vAlign w:val="center"/>
          </w:tcPr>
          <w:p w:rsidR="009710A3" w:rsidRPr="00E2771E" w:rsidRDefault="009710A3" w:rsidP="009710A3">
            <w:pPr>
              <w:jc w:val="center"/>
              <w:rPr>
                <w:rFonts w:ascii="Arial Narrow" w:hAnsi="Arial Narrow"/>
                <w:sz w:val="20"/>
                <w:szCs w:val="16"/>
                <w:lang w:val="en-US"/>
              </w:rPr>
            </w:pPr>
            <w:r>
              <w:rPr>
                <w:rFonts w:ascii="Arial Narrow" w:hAnsi="Arial Narrow"/>
                <w:sz w:val="20"/>
                <w:szCs w:val="16"/>
                <w:lang w:val="en-US"/>
              </w:rPr>
              <w:t>Treatment-naïve adults</w:t>
            </w:r>
          </w:p>
        </w:tc>
        <w:tc>
          <w:tcPr>
            <w:tcW w:w="1008" w:type="pct"/>
            <w:shd w:val="clear" w:color="auto" w:fill="auto"/>
            <w:vAlign w:val="center"/>
          </w:tcPr>
          <w:p w:rsidR="009710A3" w:rsidRPr="00E2771E" w:rsidRDefault="009710A3" w:rsidP="00AC08ED">
            <w:pPr>
              <w:jc w:val="center"/>
              <w:rPr>
                <w:rFonts w:ascii="Arial Narrow" w:hAnsi="Arial Narrow"/>
                <w:sz w:val="20"/>
                <w:szCs w:val="16"/>
                <w:lang w:val="en-US"/>
              </w:rPr>
            </w:pPr>
            <w:r>
              <w:rPr>
                <w:rFonts w:ascii="Arial Narrow" w:hAnsi="Arial Narrow"/>
                <w:sz w:val="20"/>
                <w:szCs w:val="16"/>
                <w:lang w:val="en-US"/>
              </w:rPr>
              <w:t>Spleen volume</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t>PB-06-005</w:t>
            </w:r>
          </w:p>
        </w:tc>
        <w:tc>
          <w:tcPr>
            <w:tcW w:w="864" w:type="pct"/>
            <w:shd w:val="clear" w:color="auto" w:fill="auto"/>
            <w:vAlign w:val="center"/>
          </w:tcPr>
          <w:p w:rsidR="009710A3" w:rsidRPr="00E2771E" w:rsidRDefault="009710A3" w:rsidP="009710A3">
            <w:pPr>
              <w:jc w:val="center"/>
              <w:rPr>
                <w:rFonts w:ascii="Arial Narrow" w:hAnsi="Arial Narrow"/>
                <w:sz w:val="20"/>
                <w:szCs w:val="16"/>
                <w:lang w:val="en-US"/>
              </w:rPr>
            </w:pPr>
            <w:r>
              <w:rPr>
                <w:rFonts w:ascii="Arial Narrow" w:hAnsi="Arial Narrow"/>
                <w:sz w:val="20"/>
                <w:szCs w:val="16"/>
                <w:lang w:val="en-US"/>
              </w:rPr>
              <w:t>11</w:t>
            </w:r>
          </w:p>
        </w:tc>
        <w:tc>
          <w:tcPr>
            <w:tcW w:w="864" w:type="pct"/>
            <w:shd w:val="clear" w:color="auto" w:fill="auto"/>
            <w:vAlign w:val="center"/>
          </w:tcPr>
          <w:p w:rsidR="009710A3" w:rsidRPr="00E2771E" w:rsidRDefault="009710A3" w:rsidP="009710A3">
            <w:pPr>
              <w:jc w:val="center"/>
              <w:rPr>
                <w:rFonts w:ascii="Arial Narrow" w:hAnsi="Arial Narrow"/>
                <w:sz w:val="20"/>
                <w:szCs w:val="16"/>
                <w:lang w:val="en-US"/>
              </w:rPr>
            </w:pPr>
            <w:r w:rsidRPr="00E2771E">
              <w:rPr>
                <w:rFonts w:ascii="Arial Narrow" w:hAnsi="Arial Narrow"/>
                <w:sz w:val="20"/>
                <w:szCs w:val="16"/>
                <w:lang w:val="en-US"/>
              </w:rPr>
              <w:t xml:space="preserve">R, </w:t>
            </w:r>
            <w:r>
              <w:rPr>
                <w:rFonts w:ascii="Arial Narrow" w:hAnsi="Arial Narrow"/>
                <w:sz w:val="20"/>
                <w:szCs w:val="16"/>
                <w:lang w:val="en-US"/>
              </w:rPr>
              <w:t>DB, PG, MC</w:t>
            </w:r>
          </w:p>
          <w:p w:rsidR="009710A3" w:rsidRPr="00E2771E" w:rsidRDefault="009710A3" w:rsidP="009710A3">
            <w:pPr>
              <w:jc w:val="center"/>
              <w:rPr>
                <w:rFonts w:ascii="Arial Narrow" w:hAnsi="Arial Narrow"/>
                <w:sz w:val="20"/>
                <w:szCs w:val="16"/>
                <w:lang w:val="en-US"/>
              </w:rPr>
            </w:pPr>
            <w:r>
              <w:rPr>
                <w:rFonts w:ascii="Arial Narrow" w:hAnsi="Arial Narrow"/>
                <w:sz w:val="20"/>
                <w:szCs w:val="16"/>
                <w:lang w:val="en-US"/>
              </w:rPr>
              <w:t>12</w:t>
            </w:r>
            <w:r w:rsidRPr="00E2771E">
              <w:rPr>
                <w:rFonts w:ascii="Arial Narrow" w:hAnsi="Arial Narrow"/>
                <w:sz w:val="20"/>
                <w:szCs w:val="16"/>
                <w:lang w:val="en-US"/>
              </w:rPr>
              <w:t xml:space="preserve"> </w:t>
            </w:r>
            <w:proofErr w:type="spellStart"/>
            <w:r w:rsidRPr="00E2771E">
              <w:rPr>
                <w:rFonts w:ascii="Arial Narrow" w:hAnsi="Arial Narrow"/>
                <w:sz w:val="20"/>
                <w:szCs w:val="16"/>
                <w:lang w:val="en-US"/>
              </w:rPr>
              <w:t>mths</w:t>
            </w:r>
            <w:proofErr w:type="spellEnd"/>
          </w:p>
        </w:tc>
        <w:tc>
          <w:tcPr>
            <w:tcW w:w="650" w:type="pct"/>
            <w:shd w:val="clear" w:color="auto" w:fill="auto"/>
            <w:vAlign w:val="center"/>
          </w:tcPr>
          <w:p w:rsidR="009710A3" w:rsidRPr="00E2771E" w:rsidRDefault="009710A3" w:rsidP="009710A3">
            <w:pPr>
              <w:jc w:val="center"/>
              <w:rPr>
                <w:rFonts w:ascii="Arial Narrow" w:hAnsi="Arial Narrow"/>
                <w:sz w:val="20"/>
                <w:szCs w:val="16"/>
                <w:lang w:val="en-US"/>
              </w:rPr>
            </w:pPr>
            <w:r>
              <w:rPr>
                <w:rFonts w:ascii="Arial Narrow" w:hAnsi="Arial Narrow"/>
                <w:sz w:val="20"/>
                <w:szCs w:val="16"/>
                <w:lang w:val="en-US"/>
              </w:rPr>
              <w:t>Low</w:t>
            </w:r>
          </w:p>
        </w:tc>
        <w:tc>
          <w:tcPr>
            <w:tcW w:w="935" w:type="pct"/>
            <w:shd w:val="clear" w:color="auto" w:fill="auto"/>
            <w:vAlign w:val="center"/>
          </w:tcPr>
          <w:p w:rsidR="009710A3" w:rsidRPr="00E2771E" w:rsidRDefault="009710A3" w:rsidP="009710A3">
            <w:pPr>
              <w:jc w:val="center"/>
              <w:rPr>
                <w:rFonts w:ascii="Arial Narrow" w:hAnsi="Arial Narrow"/>
                <w:sz w:val="20"/>
                <w:szCs w:val="16"/>
                <w:lang w:val="en-US"/>
              </w:rPr>
            </w:pPr>
            <w:r>
              <w:rPr>
                <w:rFonts w:ascii="Arial Narrow" w:hAnsi="Arial Narrow"/>
                <w:sz w:val="20"/>
                <w:szCs w:val="16"/>
                <w:lang w:val="en-US"/>
              </w:rPr>
              <w:t xml:space="preserve">Treatment-naïve </w:t>
            </w:r>
            <w:proofErr w:type="spellStart"/>
            <w:r>
              <w:rPr>
                <w:rFonts w:ascii="Arial Narrow" w:hAnsi="Arial Narrow"/>
                <w:sz w:val="20"/>
                <w:szCs w:val="16"/>
                <w:lang w:val="en-US"/>
              </w:rPr>
              <w:t>paediatric</w:t>
            </w:r>
            <w:proofErr w:type="spellEnd"/>
          </w:p>
        </w:tc>
        <w:tc>
          <w:tcPr>
            <w:tcW w:w="1008" w:type="pct"/>
            <w:shd w:val="clear" w:color="auto" w:fill="auto"/>
            <w:vAlign w:val="center"/>
          </w:tcPr>
          <w:p w:rsidR="009710A3" w:rsidRPr="00E2771E" w:rsidRDefault="009710A3" w:rsidP="00AC08ED">
            <w:pPr>
              <w:jc w:val="center"/>
              <w:rPr>
                <w:rFonts w:ascii="Arial Narrow" w:hAnsi="Arial Narrow"/>
                <w:sz w:val="20"/>
                <w:szCs w:val="16"/>
                <w:lang w:val="en-US"/>
              </w:rPr>
            </w:pPr>
            <w:proofErr w:type="spellStart"/>
            <w:r>
              <w:rPr>
                <w:rFonts w:ascii="Arial Narrow" w:hAnsi="Arial Narrow"/>
                <w:sz w:val="20"/>
                <w:szCs w:val="16"/>
                <w:lang w:val="en-US"/>
              </w:rPr>
              <w:t>Haemoglobin</w:t>
            </w:r>
            <w:proofErr w:type="spellEnd"/>
          </w:p>
        </w:tc>
      </w:tr>
      <w:tr w:rsidR="009710A3" w:rsidRPr="00E2771E" w:rsidTr="009710A3">
        <w:tc>
          <w:tcPr>
            <w:tcW w:w="5000" w:type="pct"/>
            <w:gridSpan w:val="6"/>
            <w:shd w:val="clear" w:color="auto" w:fill="auto"/>
            <w:vAlign w:val="center"/>
          </w:tcPr>
          <w:p w:rsidR="009710A3" w:rsidRPr="00E2771E" w:rsidRDefault="009710A3" w:rsidP="009710A3">
            <w:pPr>
              <w:jc w:val="left"/>
              <w:rPr>
                <w:rFonts w:ascii="Arial Narrow" w:hAnsi="Arial Narrow"/>
                <w:b/>
                <w:sz w:val="20"/>
                <w:szCs w:val="16"/>
                <w:lang w:val="en-US"/>
              </w:rPr>
            </w:pPr>
            <w:proofErr w:type="spellStart"/>
            <w:r>
              <w:rPr>
                <w:rFonts w:ascii="Arial Narrow" w:hAnsi="Arial Narrow"/>
                <w:b/>
                <w:sz w:val="20"/>
                <w:szCs w:val="16"/>
                <w:lang w:val="en-US"/>
              </w:rPr>
              <w:lastRenderedPageBreak/>
              <w:t>Taliglucerase</w:t>
            </w:r>
            <w:proofErr w:type="spellEnd"/>
            <w:r>
              <w:rPr>
                <w:rFonts w:ascii="Arial Narrow" w:hAnsi="Arial Narrow"/>
                <w:b/>
                <w:sz w:val="20"/>
                <w:szCs w:val="16"/>
                <w:lang w:val="en-US"/>
              </w:rPr>
              <w:t xml:space="preserve"> alfa non-randomised trials</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t>PB-06-002</w:t>
            </w:r>
          </w:p>
        </w:tc>
        <w:tc>
          <w:tcPr>
            <w:tcW w:w="864" w:type="pct"/>
            <w:shd w:val="clear" w:color="auto" w:fill="auto"/>
            <w:vAlign w:val="center"/>
          </w:tcPr>
          <w:p w:rsidR="009710A3" w:rsidRPr="00E2771E" w:rsidRDefault="00EE1CDE" w:rsidP="009710A3">
            <w:pPr>
              <w:jc w:val="center"/>
              <w:rPr>
                <w:rFonts w:ascii="Arial Narrow" w:hAnsi="Arial Narrow"/>
                <w:sz w:val="20"/>
                <w:szCs w:val="16"/>
                <w:lang w:val="en-US"/>
              </w:rPr>
            </w:pPr>
            <w:r>
              <w:rPr>
                <w:rFonts w:ascii="Arial Narrow" w:hAnsi="Arial Narrow"/>
                <w:sz w:val="20"/>
                <w:szCs w:val="16"/>
                <w:lang w:val="en-US"/>
              </w:rPr>
              <w:t>31</w:t>
            </w:r>
          </w:p>
        </w:tc>
        <w:tc>
          <w:tcPr>
            <w:tcW w:w="864" w:type="pct"/>
            <w:shd w:val="clear" w:color="auto" w:fill="auto"/>
            <w:vAlign w:val="center"/>
          </w:tcPr>
          <w:p w:rsidR="009710A3" w:rsidRDefault="005D4557" w:rsidP="009710A3">
            <w:pPr>
              <w:jc w:val="center"/>
              <w:rPr>
                <w:rFonts w:ascii="Arial Narrow" w:hAnsi="Arial Narrow"/>
                <w:sz w:val="20"/>
                <w:szCs w:val="16"/>
                <w:lang w:val="en-US"/>
              </w:rPr>
            </w:pPr>
            <w:r>
              <w:rPr>
                <w:rFonts w:ascii="Arial Narrow" w:hAnsi="Arial Narrow"/>
                <w:sz w:val="20"/>
                <w:szCs w:val="16"/>
                <w:lang w:val="en-US"/>
              </w:rPr>
              <w:t>OL, MC, switching</w:t>
            </w:r>
          </w:p>
          <w:p w:rsidR="005D4557" w:rsidRPr="00E2771E" w:rsidRDefault="005D4557" w:rsidP="009710A3">
            <w:pPr>
              <w:jc w:val="center"/>
              <w:rPr>
                <w:rFonts w:ascii="Arial Narrow" w:hAnsi="Arial Narrow"/>
                <w:sz w:val="20"/>
                <w:szCs w:val="16"/>
                <w:lang w:val="en-US"/>
              </w:rPr>
            </w:pPr>
            <w:r>
              <w:rPr>
                <w:rFonts w:ascii="Arial Narrow" w:hAnsi="Arial Narrow"/>
                <w:sz w:val="20"/>
                <w:szCs w:val="16"/>
                <w:lang w:val="en-US"/>
              </w:rPr>
              <w:t xml:space="preserve">9 </w:t>
            </w:r>
            <w:proofErr w:type="spellStart"/>
            <w:r>
              <w:rPr>
                <w:rFonts w:ascii="Arial Narrow" w:hAnsi="Arial Narrow"/>
                <w:sz w:val="20"/>
                <w:szCs w:val="16"/>
                <w:lang w:val="en-US"/>
              </w:rPr>
              <w:t>mths</w:t>
            </w:r>
            <w:proofErr w:type="spellEnd"/>
          </w:p>
        </w:tc>
        <w:tc>
          <w:tcPr>
            <w:tcW w:w="650" w:type="pct"/>
            <w:shd w:val="clear" w:color="auto" w:fill="auto"/>
            <w:vAlign w:val="center"/>
          </w:tcPr>
          <w:p w:rsidR="009710A3" w:rsidRPr="00E2771E" w:rsidRDefault="00EE1CDE" w:rsidP="00AC08ED">
            <w:pPr>
              <w:jc w:val="center"/>
              <w:rPr>
                <w:rFonts w:ascii="Arial Narrow" w:hAnsi="Arial Narrow"/>
                <w:sz w:val="20"/>
                <w:szCs w:val="16"/>
                <w:lang w:val="en-US"/>
              </w:rPr>
            </w:pPr>
            <w:r>
              <w:rPr>
                <w:rFonts w:ascii="Arial Narrow" w:hAnsi="Arial Narrow"/>
                <w:sz w:val="20"/>
                <w:szCs w:val="16"/>
                <w:lang w:val="en-US"/>
              </w:rPr>
              <w:t>High</w:t>
            </w:r>
          </w:p>
        </w:tc>
        <w:tc>
          <w:tcPr>
            <w:tcW w:w="935" w:type="pct"/>
            <w:shd w:val="clear" w:color="auto" w:fill="auto"/>
            <w:vAlign w:val="center"/>
          </w:tcPr>
          <w:p w:rsidR="009710A3" w:rsidRPr="00E2771E" w:rsidRDefault="005D4557" w:rsidP="009710A3">
            <w:pPr>
              <w:jc w:val="center"/>
              <w:rPr>
                <w:rFonts w:ascii="Arial Narrow" w:hAnsi="Arial Narrow"/>
                <w:sz w:val="20"/>
                <w:szCs w:val="16"/>
                <w:lang w:val="en-US"/>
              </w:rPr>
            </w:pPr>
            <w:r>
              <w:rPr>
                <w:rFonts w:ascii="Arial Narrow" w:hAnsi="Arial Narrow"/>
                <w:sz w:val="20"/>
                <w:szCs w:val="16"/>
                <w:lang w:val="en-US"/>
              </w:rPr>
              <w:t xml:space="preserve">Adults and children previously stabilised on </w:t>
            </w:r>
            <w:proofErr w:type="spellStart"/>
            <w:r>
              <w:rPr>
                <w:rFonts w:ascii="Arial Narrow" w:hAnsi="Arial Narrow"/>
                <w:sz w:val="20"/>
                <w:szCs w:val="16"/>
                <w:lang w:val="en-US"/>
              </w:rPr>
              <w:t>imiglucerase</w:t>
            </w:r>
            <w:proofErr w:type="spellEnd"/>
          </w:p>
        </w:tc>
        <w:tc>
          <w:tcPr>
            <w:tcW w:w="1008" w:type="pct"/>
            <w:shd w:val="clear" w:color="auto" w:fill="auto"/>
            <w:vAlign w:val="center"/>
          </w:tcPr>
          <w:p w:rsidR="009710A3" w:rsidRPr="00E2771E" w:rsidRDefault="005D4557" w:rsidP="009710A3">
            <w:pPr>
              <w:jc w:val="center"/>
              <w:rPr>
                <w:rFonts w:ascii="Arial Narrow" w:hAnsi="Arial Narrow"/>
                <w:sz w:val="20"/>
                <w:szCs w:val="16"/>
                <w:lang w:val="en-US"/>
              </w:rPr>
            </w:pPr>
            <w:r>
              <w:rPr>
                <w:rFonts w:ascii="Arial Narrow" w:hAnsi="Arial Narrow"/>
                <w:sz w:val="20"/>
                <w:szCs w:val="16"/>
                <w:lang w:val="en-US"/>
              </w:rPr>
              <w:t>Clinical deterioration</w:t>
            </w:r>
          </w:p>
        </w:tc>
      </w:tr>
      <w:tr w:rsidR="00EE1CDE" w:rsidRPr="00E2771E" w:rsidTr="00595D7F">
        <w:tc>
          <w:tcPr>
            <w:tcW w:w="679" w:type="pct"/>
            <w:shd w:val="clear" w:color="auto" w:fill="auto"/>
            <w:vAlign w:val="center"/>
          </w:tcPr>
          <w:p w:rsidR="00EE1CDE" w:rsidRPr="00E2771E" w:rsidRDefault="00EE1CDE" w:rsidP="009710A3">
            <w:pPr>
              <w:jc w:val="left"/>
              <w:rPr>
                <w:rFonts w:ascii="Arial Narrow" w:hAnsi="Arial Narrow"/>
                <w:sz w:val="20"/>
                <w:szCs w:val="16"/>
                <w:lang w:val="en-US"/>
              </w:rPr>
            </w:pPr>
            <w:r>
              <w:rPr>
                <w:rFonts w:ascii="Arial Narrow" w:hAnsi="Arial Narrow"/>
                <w:sz w:val="20"/>
                <w:szCs w:val="16"/>
                <w:lang w:val="en-US"/>
              </w:rPr>
              <w:t>PB-06-003</w:t>
            </w:r>
          </w:p>
        </w:tc>
        <w:tc>
          <w:tcPr>
            <w:tcW w:w="864" w:type="pct"/>
            <w:shd w:val="clear" w:color="auto" w:fill="auto"/>
            <w:vAlign w:val="center"/>
          </w:tcPr>
          <w:p w:rsidR="00EE1CDE" w:rsidRPr="00E2771E" w:rsidRDefault="00EE1CDE" w:rsidP="009710A3">
            <w:pPr>
              <w:jc w:val="center"/>
              <w:rPr>
                <w:rFonts w:ascii="Arial Narrow" w:hAnsi="Arial Narrow"/>
                <w:sz w:val="20"/>
                <w:szCs w:val="16"/>
                <w:lang w:val="en-US"/>
              </w:rPr>
            </w:pPr>
            <w:r>
              <w:rPr>
                <w:rFonts w:ascii="Arial Narrow" w:hAnsi="Arial Narrow"/>
                <w:sz w:val="20"/>
                <w:szCs w:val="16"/>
                <w:lang w:val="en-US"/>
              </w:rPr>
              <w:t>44</w:t>
            </w:r>
          </w:p>
        </w:tc>
        <w:tc>
          <w:tcPr>
            <w:tcW w:w="864" w:type="pct"/>
            <w:shd w:val="clear" w:color="auto" w:fill="auto"/>
            <w:vAlign w:val="center"/>
          </w:tcPr>
          <w:p w:rsidR="00EE1CDE" w:rsidRDefault="005D4557" w:rsidP="005D4557">
            <w:pPr>
              <w:jc w:val="center"/>
              <w:rPr>
                <w:rFonts w:ascii="Arial Narrow" w:hAnsi="Arial Narrow"/>
                <w:sz w:val="20"/>
                <w:szCs w:val="16"/>
                <w:lang w:val="en-US"/>
              </w:rPr>
            </w:pPr>
            <w:r>
              <w:rPr>
                <w:rFonts w:ascii="Arial Narrow" w:hAnsi="Arial Narrow"/>
                <w:sz w:val="20"/>
                <w:szCs w:val="16"/>
                <w:lang w:val="en-US"/>
              </w:rPr>
              <w:t>Ext</w:t>
            </w:r>
            <w:r w:rsidR="00AC08ED">
              <w:rPr>
                <w:rFonts w:ascii="Arial Narrow" w:hAnsi="Arial Narrow"/>
                <w:sz w:val="20"/>
                <w:szCs w:val="16"/>
                <w:lang w:val="en-US"/>
              </w:rPr>
              <w:t>.</w:t>
            </w:r>
            <w:r>
              <w:rPr>
                <w:rFonts w:ascii="Arial Narrow" w:hAnsi="Arial Narrow"/>
                <w:sz w:val="20"/>
                <w:szCs w:val="16"/>
                <w:lang w:val="en-US"/>
              </w:rPr>
              <w:t xml:space="preserve"> PB-06-001 /PB-06-002</w:t>
            </w:r>
          </w:p>
          <w:p w:rsidR="005D4557" w:rsidRPr="00E2771E" w:rsidRDefault="005D4557" w:rsidP="005D4557">
            <w:pPr>
              <w:jc w:val="center"/>
              <w:rPr>
                <w:rFonts w:ascii="Arial Narrow" w:hAnsi="Arial Narrow"/>
                <w:sz w:val="20"/>
                <w:szCs w:val="16"/>
                <w:lang w:val="en-US"/>
              </w:rPr>
            </w:pPr>
            <w:r>
              <w:rPr>
                <w:rFonts w:ascii="Arial Narrow" w:hAnsi="Arial Narrow"/>
                <w:sz w:val="20"/>
                <w:szCs w:val="16"/>
                <w:lang w:val="en-US"/>
              </w:rPr>
              <w:t xml:space="preserve">15-30 </w:t>
            </w:r>
            <w:proofErr w:type="spellStart"/>
            <w:r>
              <w:rPr>
                <w:rFonts w:ascii="Arial Narrow" w:hAnsi="Arial Narrow"/>
                <w:sz w:val="20"/>
                <w:szCs w:val="16"/>
                <w:lang w:val="en-US"/>
              </w:rPr>
              <w:t>mths</w:t>
            </w:r>
            <w:proofErr w:type="spellEnd"/>
          </w:p>
        </w:tc>
        <w:tc>
          <w:tcPr>
            <w:tcW w:w="650" w:type="pct"/>
            <w:shd w:val="clear" w:color="auto" w:fill="auto"/>
            <w:vAlign w:val="center"/>
          </w:tcPr>
          <w:p w:rsidR="00EE1CDE" w:rsidRPr="00E2771E" w:rsidRDefault="00EE1CDE" w:rsidP="00AC08ED">
            <w:pPr>
              <w:jc w:val="center"/>
              <w:rPr>
                <w:rFonts w:ascii="Arial Narrow" w:hAnsi="Arial Narrow"/>
                <w:sz w:val="20"/>
                <w:szCs w:val="16"/>
                <w:lang w:val="en-US"/>
              </w:rPr>
            </w:pPr>
            <w:r w:rsidRPr="00271FC2">
              <w:rPr>
                <w:rFonts w:ascii="Arial Narrow" w:hAnsi="Arial Narrow"/>
                <w:sz w:val="20"/>
                <w:szCs w:val="16"/>
                <w:lang w:val="en-US"/>
              </w:rPr>
              <w:t>High</w:t>
            </w:r>
          </w:p>
        </w:tc>
        <w:tc>
          <w:tcPr>
            <w:tcW w:w="935" w:type="pct"/>
            <w:shd w:val="clear" w:color="auto" w:fill="auto"/>
            <w:vAlign w:val="center"/>
          </w:tcPr>
          <w:p w:rsidR="00EE1CDE" w:rsidRPr="00E2771E" w:rsidRDefault="005D4557" w:rsidP="00D30909">
            <w:pPr>
              <w:jc w:val="center"/>
              <w:rPr>
                <w:rFonts w:ascii="Arial Narrow" w:hAnsi="Arial Narrow"/>
                <w:sz w:val="20"/>
                <w:szCs w:val="16"/>
                <w:lang w:val="en-US"/>
              </w:rPr>
            </w:pPr>
            <w:r>
              <w:rPr>
                <w:rFonts w:ascii="Arial Narrow" w:hAnsi="Arial Narrow"/>
                <w:sz w:val="20"/>
                <w:szCs w:val="16"/>
                <w:lang w:val="en-US"/>
              </w:rPr>
              <w:t xml:space="preserve">Adults with previous </w:t>
            </w:r>
            <w:proofErr w:type="spellStart"/>
            <w:r>
              <w:rPr>
                <w:rFonts w:ascii="Arial Narrow" w:hAnsi="Arial Narrow"/>
                <w:sz w:val="20"/>
                <w:szCs w:val="16"/>
                <w:lang w:val="en-US"/>
              </w:rPr>
              <w:t>taliglucerase</w:t>
            </w:r>
            <w:proofErr w:type="spellEnd"/>
            <w:r w:rsidR="00AC08ED">
              <w:rPr>
                <w:rFonts w:ascii="Arial Narrow" w:hAnsi="Arial Narrow"/>
                <w:sz w:val="20"/>
                <w:szCs w:val="16"/>
                <w:lang w:val="en-US"/>
              </w:rPr>
              <w:t xml:space="preserve"> t</w:t>
            </w:r>
            <w:r w:rsidR="00D30909">
              <w:rPr>
                <w:rFonts w:ascii="Arial Narrow" w:hAnsi="Arial Narrow"/>
                <w:sz w:val="20"/>
                <w:szCs w:val="16"/>
                <w:lang w:val="en-US"/>
              </w:rPr>
              <w:t>reatment</w:t>
            </w:r>
          </w:p>
        </w:tc>
        <w:tc>
          <w:tcPr>
            <w:tcW w:w="1008" w:type="pct"/>
            <w:shd w:val="clear" w:color="auto" w:fill="auto"/>
            <w:vAlign w:val="center"/>
          </w:tcPr>
          <w:p w:rsidR="00EE1CDE" w:rsidRPr="00E2771E" w:rsidRDefault="00AC08ED" w:rsidP="009710A3">
            <w:pPr>
              <w:jc w:val="center"/>
              <w:rPr>
                <w:rFonts w:ascii="Arial Narrow" w:hAnsi="Arial Narrow"/>
                <w:sz w:val="20"/>
                <w:szCs w:val="16"/>
                <w:lang w:val="en-US"/>
              </w:rPr>
            </w:pPr>
            <w:r>
              <w:rPr>
                <w:rFonts w:ascii="Arial Narrow" w:hAnsi="Arial Narrow"/>
                <w:sz w:val="20"/>
                <w:szCs w:val="16"/>
                <w:lang w:val="en-US"/>
              </w:rPr>
              <w:t>No specific outcomes</w:t>
            </w:r>
          </w:p>
        </w:tc>
      </w:tr>
      <w:tr w:rsidR="00EE1CDE" w:rsidRPr="00E2771E" w:rsidTr="00595D7F">
        <w:tc>
          <w:tcPr>
            <w:tcW w:w="679" w:type="pct"/>
            <w:shd w:val="clear" w:color="auto" w:fill="auto"/>
            <w:vAlign w:val="center"/>
          </w:tcPr>
          <w:p w:rsidR="00EE1CDE" w:rsidRPr="00E2771E" w:rsidRDefault="00EE1CDE" w:rsidP="009710A3">
            <w:pPr>
              <w:jc w:val="left"/>
              <w:rPr>
                <w:rFonts w:ascii="Arial Narrow" w:hAnsi="Arial Narrow"/>
                <w:sz w:val="20"/>
                <w:szCs w:val="16"/>
                <w:lang w:val="en-US"/>
              </w:rPr>
            </w:pPr>
            <w:r>
              <w:rPr>
                <w:rFonts w:ascii="Arial Narrow" w:hAnsi="Arial Narrow"/>
                <w:sz w:val="20"/>
                <w:szCs w:val="16"/>
                <w:lang w:val="en-US"/>
              </w:rPr>
              <w:t>PB-06-004</w:t>
            </w:r>
          </w:p>
        </w:tc>
        <w:tc>
          <w:tcPr>
            <w:tcW w:w="864" w:type="pct"/>
            <w:shd w:val="clear" w:color="auto" w:fill="auto"/>
            <w:vAlign w:val="center"/>
          </w:tcPr>
          <w:p w:rsidR="00EE1CDE" w:rsidRPr="00E2771E" w:rsidRDefault="00EE1CDE" w:rsidP="009710A3">
            <w:pPr>
              <w:jc w:val="center"/>
              <w:rPr>
                <w:rFonts w:ascii="Arial Narrow" w:hAnsi="Arial Narrow"/>
                <w:sz w:val="20"/>
                <w:szCs w:val="16"/>
                <w:lang w:val="en-US"/>
              </w:rPr>
            </w:pPr>
            <w:r>
              <w:rPr>
                <w:rFonts w:ascii="Arial Narrow" w:hAnsi="Arial Narrow"/>
                <w:sz w:val="20"/>
                <w:szCs w:val="16"/>
                <w:lang w:val="en-US"/>
              </w:rPr>
              <w:t>36</w:t>
            </w:r>
          </w:p>
        </w:tc>
        <w:tc>
          <w:tcPr>
            <w:tcW w:w="864" w:type="pct"/>
            <w:shd w:val="clear" w:color="auto" w:fill="auto"/>
            <w:vAlign w:val="center"/>
          </w:tcPr>
          <w:p w:rsidR="00AC08ED" w:rsidRDefault="00AC08ED" w:rsidP="009710A3">
            <w:pPr>
              <w:jc w:val="center"/>
              <w:rPr>
                <w:rFonts w:ascii="Arial Narrow" w:hAnsi="Arial Narrow"/>
                <w:sz w:val="20"/>
                <w:szCs w:val="16"/>
                <w:lang w:val="en-US"/>
              </w:rPr>
            </w:pPr>
            <w:r>
              <w:rPr>
                <w:rFonts w:ascii="Arial Narrow" w:hAnsi="Arial Narrow"/>
                <w:sz w:val="20"/>
                <w:szCs w:val="16"/>
                <w:lang w:val="en-US"/>
              </w:rPr>
              <w:t>OL expanded access program</w:t>
            </w:r>
          </w:p>
          <w:p w:rsidR="00EE1CDE" w:rsidRPr="00E2771E" w:rsidRDefault="00AC08ED" w:rsidP="009710A3">
            <w:pPr>
              <w:jc w:val="center"/>
              <w:rPr>
                <w:rFonts w:ascii="Arial Narrow" w:hAnsi="Arial Narrow"/>
                <w:sz w:val="20"/>
                <w:szCs w:val="16"/>
                <w:lang w:val="en-US"/>
              </w:rPr>
            </w:pPr>
            <w:r>
              <w:rPr>
                <w:rFonts w:ascii="Arial Narrow" w:hAnsi="Arial Narrow"/>
                <w:sz w:val="20"/>
                <w:szCs w:val="16"/>
                <w:lang w:val="en-US"/>
              </w:rPr>
              <w:t xml:space="preserve">Up to 33 </w:t>
            </w:r>
            <w:proofErr w:type="spellStart"/>
            <w:r>
              <w:rPr>
                <w:rFonts w:ascii="Arial Narrow" w:hAnsi="Arial Narrow"/>
                <w:sz w:val="20"/>
                <w:szCs w:val="16"/>
                <w:lang w:val="en-US"/>
              </w:rPr>
              <w:t>mths</w:t>
            </w:r>
            <w:proofErr w:type="spellEnd"/>
          </w:p>
        </w:tc>
        <w:tc>
          <w:tcPr>
            <w:tcW w:w="650" w:type="pct"/>
            <w:shd w:val="clear" w:color="auto" w:fill="auto"/>
            <w:vAlign w:val="center"/>
          </w:tcPr>
          <w:p w:rsidR="00EE1CDE" w:rsidRDefault="00EE1CDE" w:rsidP="00AC08ED">
            <w:pPr>
              <w:jc w:val="center"/>
              <w:rPr>
                <w:rFonts w:ascii="Arial Narrow" w:hAnsi="Arial Narrow"/>
                <w:sz w:val="20"/>
                <w:szCs w:val="16"/>
                <w:lang w:val="en-US"/>
              </w:rPr>
            </w:pPr>
            <w:r w:rsidRPr="00271FC2">
              <w:rPr>
                <w:rFonts w:ascii="Arial Narrow" w:hAnsi="Arial Narrow"/>
                <w:sz w:val="20"/>
                <w:szCs w:val="16"/>
                <w:lang w:val="en-US"/>
              </w:rPr>
              <w:t>High</w:t>
            </w:r>
          </w:p>
        </w:tc>
        <w:tc>
          <w:tcPr>
            <w:tcW w:w="935" w:type="pct"/>
            <w:shd w:val="clear" w:color="auto" w:fill="auto"/>
            <w:vAlign w:val="center"/>
          </w:tcPr>
          <w:p w:rsidR="00EE1CDE" w:rsidRPr="00E2771E" w:rsidRDefault="00AC08ED" w:rsidP="009710A3">
            <w:pPr>
              <w:jc w:val="center"/>
              <w:rPr>
                <w:rFonts w:ascii="Arial Narrow" w:hAnsi="Arial Narrow"/>
                <w:sz w:val="20"/>
                <w:szCs w:val="16"/>
                <w:lang w:val="en-US"/>
              </w:rPr>
            </w:pPr>
            <w:r>
              <w:rPr>
                <w:rFonts w:ascii="Arial Narrow" w:hAnsi="Arial Narrow"/>
                <w:sz w:val="20"/>
                <w:szCs w:val="16"/>
                <w:lang w:val="en-US"/>
              </w:rPr>
              <w:t xml:space="preserve">Adults historically treated with </w:t>
            </w:r>
            <w:proofErr w:type="spellStart"/>
            <w:r>
              <w:rPr>
                <w:rFonts w:ascii="Arial Narrow" w:hAnsi="Arial Narrow"/>
                <w:sz w:val="20"/>
                <w:szCs w:val="16"/>
                <w:lang w:val="en-US"/>
              </w:rPr>
              <w:t>imiglucerase</w:t>
            </w:r>
            <w:proofErr w:type="spellEnd"/>
          </w:p>
        </w:tc>
        <w:tc>
          <w:tcPr>
            <w:tcW w:w="1008" w:type="pct"/>
            <w:shd w:val="clear" w:color="auto" w:fill="auto"/>
            <w:vAlign w:val="center"/>
          </w:tcPr>
          <w:p w:rsidR="00EE1CDE" w:rsidRPr="00E2771E" w:rsidRDefault="00AC08ED" w:rsidP="009710A3">
            <w:pPr>
              <w:jc w:val="center"/>
              <w:rPr>
                <w:rFonts w:ascii="Arial Narrow" w:hAnsi="Arial Narrow"/>
                <w:sz w:val="20"/>
                <w:szCs w:val="16"/>
                <w:lang w:val="en-US"/>
              </w:rPr>
            </w:pPr>
            <w:proofErr w:type="spellStart"/>
            <w:r>
              <w:rPr>
                <w:rFonts w:ascii="Arial Narrow" w:hAnsi="Arial Narrow"/>
                <w:sz w:val="20"/>
                <w:szCs w:val="16"/>
                <w:lang w:val="en-US"/>
              </w:rPr>
              <w:t>Haemoglobin</w:t>
            </w:r>
            <w:proofErr w:type="spellEnd"/>
            <w:r>
              <w:rPr>
                <w:rFonts w:ascii="Arial Narrow" w:hAnsi="Arial Narrow"/>
                <w:sz w:val="20"/>
                <w:szCs w:val="16"/>
                <w:lang w:val="en-US"/>
              </w:rPr>
              <w:t xml:space="preserve"> and platelet counts, biomarkers</w:t>
            </w:r>
          </w:p>
        </w:tc>
      </w:tr>
      <w:tr w:rsidR="00EE1CDE" w:rsidRPr="00E2771E" w:rsidTr="00595D7F">
        <w:tc>
          <w:tcPr>
            <w:tcW w:w="679" w:type="pct"/>
            <w:shd w:val="clear" w:color="auto" w:fill="auto"/>
            <w:vAlign w:val="center"/>
          </w:tcPr>
          <w:p w:rsidR="00EE1CDE" w:rsidRDefault="00EE1CDE" w:rsidP="009710A3">
            <w:pPr>
              <w:jc w:val="left"/>
              <w:rPr>
                <w:rFonts w:ascii="Arial Narrow" w:hAnsi="Arial Narrow"/>
                <w:sz w:val="20"/>
                <w:szCs w:val="16"/>
                <w:lang w:val="en-US"/>
              </w:rPr>
            </w:pPr>
            <w:r>
              <w:rPr>
                <w:rFonts w:ascii="Arial Narrow" w:hAnsi="Arial Narrow"/>
                <w:sz w:val="20"/>
                <w:szCs w:val="16"/>
                <w:lang w:val="en-US"/>
              </w:rPr>
              <w:t>PB-06-006</w:t>
            </w:r>
          </w:p>
          <w:p w:rsidR="00AC08ED" w:rsidRPr="00E2771E" w:rsidRDefault="00AC08ED" w:rsidP="009710A3">
            <w:pPr>
              <w:jc w:val="left"/>
              <w:rPr>
                <w:rFonts w:ascii="Arial Narrow" w:hAnsi="Arial Narrow"/>
                <w:sz w:val="20"/>
                <w:szCs w:val="16"/>
                <w:lang w:val="en-US"/>
              </w:rPr>
            </w:pPr>
            <w:r>
              <w:rPr>
                <w:rFonts w:ascii="Arial Narrow" w:hAnsi="Arial Narrow"/>
                <w:sz w:val="20"/>
                <w:szCs w:val="16"/>
                <w:lang w:val="en-US"/>
              </w:rPr>
              <w:t>(ongoing)</w:t>
            </w:r>
          </w:p>
        </w:tc>
        <w:tc>
          <w:tcPr>
            <w:tcW w:w="864" w:type="pct"/>
            <w:shd w:val="clear" w:color="auto" w:fill="auto"/>
            <w:vAlign w:val="center"/>
          </w:tcPr>
          <w:p w:rsidR="00EE1CDE" w:rsidRPr="00E2771E" w:rsidRDefault="00EE1CDE" w:rsidP="009710A3">
            <w:pPr>
              <w:jc w:val="center"/>
              <w:rPr>
                <w:rFonts w:ascii="Arial Narrow" w:hAnsi="Arial Narrow"/>
                <w:sz w:val="20"/>
                <w:szCs w:val="16"/>
                <w:lang w:val="en-US"/>
              </w:rPr>
            </w:pPr>
            <w:r>
              <w:rPr>
                <w:rFonts w:ascii="Arial Narrow" w:hAnsi="Arial Narrow"/>
                <w:sz w:val="20"/>
                <w:szCs w:val="16"/>
                <w:lang w:val="en-US"/>
              </w:rPr>
              <w:t>15</w:t>
            </w:r>
          </w:p>
        </w:tc>
        <w:tc>
          <w:tcPr>
            <w:tcW w:w="864" w:type="pct"/>
            <w:shd w:val="clear" w:color="auto" w:fill="auto"/>
            <w:vAlign w:val="center"/>
          </w:tcPr>
          <w:p w:rsidR="00EE1CDE" w:rsidRDefault="00AC08ED" w:rsidP="009710A3">
            <w:pPr>
              <w:jc w:val="center"/>
              <w:rPr>
                <w:rFonts w:ascii="Arial Narrow" w:hAnsi="Arial Narrow"/>
                <w:sz w:val="20"/>
                <w:szCs w:val="16"/>
                <w:lang w:val="en-US"/>
              </w:rPr>
            </w:pPr>
            <w:r>
              <w:rPr>
                <w:rFonts w:ascii="Arial Narrow" w:hAnsi="Arial Narrow"/>
                <w:sz w:val="20"/>
                <w:szCs w:val="16"/>
                <w:lang w:val="en-US"/>
              </w:rPr>
              <w:t>Ext. PB-06-005 /PB-06-002</w:t>
            </w:r>
          </w:p>
          <w:p w:rsidR="00AC08ED" w:rsidRPr="00E2771E" w:rsidRDefault="00AC08ED" w:rsidP="009710A3">
            <w:pPr>
              <w:jc w:val="center"/>
              <w:rPr>
                <w:rFonts w:ascii="Arial Narrow" w:hAnsi="Arial Narrow"/>
                <w:sz w:val="20"/>
                <w:szCs w:val="16"/>
                <w:lang w:val="en-US"/>
              </w:rPr>
            </w:pPr>
            <w:r>
              <w:rPr>
                <w:rFonts w:ascii="Arial Narrow" w:hAnsi="Arial Narrow"/>
                <w:sz w:val="20"/>
                <w:szCs w:val="16"/>
                <w:lang w:val="en-US"/>
              </w:rPr>
              <w:t>Up to 24 months</w:t>
            </w:r>
          </w:p>
        </w:tc>
        <w:tc>
          <w:tcPr>
            <w:tcW w:w="650" w:type="pct"/>
            <w:shd w:val="clear" w:color="auto" w:fill="auto"/>
            <w:vAlign w:val="center"/>
          </w:tcPr>
          <w:p w:rsidR="00EE1CDE" w:rsidRDefault="00EE1CDE" w:rsidP="00AC08ED">
            <w:pPr>
              <w:jc w:val="center"/>
              <w:rPr>
                <w:rFonts w:ascii="Arial Narrow" w:hAnsi="Arial Narrow"/>
                <w:sz w:val="20"/>
                <w:szCs w:val="16"/>
                <w:lang w:val="en-US"/>
              </w:rPr>
            </w:pPr>
            <w:r w:rsidRPr="00271FC2">
              <w:rPr>
                <w:rFonts w:ascii="Arial Narrow" w:hAnsi="Arial Narrow"/>
                <w:sz w:val="20"/>
                <w:szCs w:val="16"/>
                <w:lang w:val="en-US"/>
              </w:rPr>
              <w:t>High</w:t>
            </w:r>
          </w:p>
        </w:tc>
        <w:tc>
          <w:tcPr>
            <w:tcW w:w="935" w:type="pct"/>
            <w:shd w:val="clear" w:color="auto" w:fill="auto"/>
            <w:vAlign w:val="center"/>
          </w:tcPr>
          <w:p w:rsidR="00EE1CDE" w:rsidRPr="00E2771E" w:rsidRDefault="00AC08ED" w:rsidP="00D30909">
            <w:pPr>
              <w:jc w:val="center"/>
              <w:rPr>
                <w:rFonts w:ascii="Arial Narrow" w:hAnsi="Arial Narrow"/>
                <w:sz w:val="20"/>
                <w:szCs w:val="16"/>
                <w:lang w:val="en-US"/>
              </w:rPr>
            </w:pPr>
            <w:proofErr w:type="spellStart"/>
            <w:r>
              <w:rPr>
                <w:rFonts w:ascii="Arial Narrow" w:hAnsi="Arial Narrow"/>
                <w:sz w:val="20"/>
                <w:szCs w:val="16"/>
                <w:lang w:val="en-US"/>
              </w:rPr>
              <w:t>Paediatric</w:t>
            </w:r>
            <w:proofErr w:type="spellEnd"/>
            <w:r>
              <w:rPr>
                <w:rFonts w:ascii="Arial Narrow" w:hAnsi="Arial Narrow"/>
                <w:sz w:val="20"/>
                <w:szCs w:val="16"/>
                <w:lang w:val="en-US"/>
              </w:rPr>
              <w:t xml:space="preserve"> patients with previous </w:t>
            </w:r>
            <w:proofErr w:type="spellStart"/>
            <w:r>
              <w:rPr>
                <w:rFonts w:ascii="Arial Narrow" w:hAnsi="Arial Narrow"/>
                <w:sz w:val="20"/>
                <w:szCs w:val="16"/>
                <w:lang w:val="en-US"/>
              </w:rPr>
              <w:t>taliglucerase</w:t>
            </w:r>
            <w:proofErr w:type="spellEnd"/>
            <w:r>
              <w:rPr>
                <w:rFonts w:ascii="Arial Narrow" w:hAnsi="Arial Narrow"/>
                <w:sz w:val="20"/>
                <w:szCs w:val="16"/>
                <w:lang w:val="en-US"/>
              </w:rPr>
              <w:t xml:space="preserve"> t</w:t>
            </w:r>
            <w:r w:rsidR="00D30909">
              <w:rPr>
                <w:rFonts w:ascii="Arial Narrow" w:hAnsi="Arial Narrow"/>
                <w:sz w:val="20"/>
                <w:szCs w:val="16"/>
                <w:lang w:val="en-US"/>
              </w:rPr>
              <w:t>reatment</w:t>
            </w:r>
          </w:p>
        </w:tc>
        <w:tc>
          <w:tcPr>
            <w:tcW w:w="1008" w:type="pct"/>
            <w:shd w:val="clear" w:color="auto" w:fill="auto"/>
            <w:vAlign w:val="center"/>
          </w:tcPr>
          <w:p w:rsidR="00EE1CDE" w:rsidRPr="00E2771E" w:rsidRDefault="00AC08ED" w:rsidP="009710A3">
            <w:pPr>
              <w:jc w:val="center"/>
              <w:rPr>
                <w:rFonts w:ascii="Arial Narrow" w:hAnsi="Arial Narrow"/>
                <w:sz w:val="20"/>
                <w:szCs w:val="16"/>
                <w:lang w:val="en-US"/>
              </w:rPr>
            </w:pPr>
            <w:r>
              <w:rPr>
                <w:rFonts w:ascii="Arial Narrow" w:hAnsi="Arial Narrow"/>
                <w:sz w:val="20"/>
                <w:szCs w:val="16"/>
                <w:lang w:val="en-US"/>
              </w:rPr>
              <w:t xml:space="preserve">Spleen and liver volume, platelets, </w:t>
            </w:r>
            <w:proofErr w:type="spellStart"/>
            <w:r>
              <w:rPr>
                <w:rFonts w:ascii="Arial Narrow" w:hAnsi="Arial Narrow"/>
                <w:sz w:val="20"/>
                <w:szCs w:val="16"/>
                <w:lang w:val="en-US"/>
              </w:rPr>
              <w:t>haemoglobin</w:t>
            </w:r>
            <w:proofErr w:type="spellEnd"/>
            <w:r>
              <w:rPr>
                <w:rFonts w:ascii="Arial Narrow" w:hAnsi="Arial Narrow"/>
                <w:sz w:val="20"/>
                <w:szCs w:val="16"/>
                <w:lang w:val="en-US"/>
              </w:rPr>
              <w:t>, biomarkers</w:t>
            </w:r>
          </w:p>
        </w:tc>
      </w:tr>
      <w:tr w:rsidR="00EE1CDE" w:rsidRPr="00E2771E" w:rsidTr="00595D7F">
        <w:tc>
          <w:tcPr>
            <w:tcW w:w="679" w:type="pct"/>
            <w:shd w:val="clear" w:color="auto" w:fill="auto"/>
            <w:vAlign w:val="center"/>
          </w:tcPr>
          <w:p w:rsidR="00EE1CDE" w:rsidRPr="00E2771E" w:rsidRDefault="00EE1CDE" w:rsidP="009710A3">
            <w:pPr>
              <w:jc w:val="left"/>
              <w:rPr>
                <w:rFonts w:ascii="Arial Narrow" w:hAnsi="Arial Narrow"/>
                <w:sz w:val="20"/>
                <w:szCs w:val="16"/>
                <w:lang w:val="en-US"/>
              </w:rPr>
            </w:pPr>
            <w:proofErr w:type="spellStart"/>
            <w:r>
              <w:rPr>
                <w:rFonts w:ascii="Arial Narrow" w:hAnsi="Arial Narrow"/>
                <w:sz w:val="20"/>
                <w:szCs w:val="16"/>
                <w:lang w:val="en-US"/>
              </w:rPr>
              <w:t>Szer</w:t>
            </w:r>
            <w:proofErr w:type="spellEnd"/>
            <w:r>
              <w:rPr>
                <w:rFonts w:ascii="Arial Narrow" w:hAnsi="Arial Narrow"/>
                <w:sz w:val="20"/>
                <w:szCs w:val="16"/>
                <w:lang w:val="en-US"/>
              </w:rPr>
              <w:t xml:space="preserve"> 2014</w:t>
            </w:r>
          </w:p>
        </w:tc>
        <w:tc>
          <w:tcPr>
            <w:tcW w:w="864" w:type="pct"/>
            <w:shd w:val="clear" w:color="auto" w:fill="auto"/>
            <w:vAlign w:val="center"/>
          </w:tcPr>
          <w:p w:rsidR="00EE1CDE" w:rsidRPr="00E2771E" w:rsidRDefault="00EE1CDE" w:rsidP="009710A3">
            <w:pPr>
              <w:jc w:val="center"/>
              <w:rPr>
                <w:rFonts w:ascii="Arial Narrow" w:hAnsi="Arial Narrow"/>
                <w:sz w:val="20"/>
                <w:szCs w:val="16"/>
                <w:lang w:val="en-US"/>
              </w:rPr>
            </w:pPr>
            <w:r>
              <w:rPr>
                <w:rFonts w:ascii="Arial Narrow" w:hAnsi="Arial Narrow"/>
                <w:sz w:val="20"/>
                <w:szCs w:val="16"/>
                <w:lang w:val="en-US"/>
              </w:rPr>
              <w:t>11</w:t>
            </w:r>
          </w:p>
        </w:tc>
        <w:tc>
          <w:tcPr>
            <w:tcW w:w="864" w:type="pct"/>
            <w:shd w:val="clear" w:color="auto" w:fill="auto"/>
            <w:vAlign w:val="center"/>
          </w:tcPr>
          <w:p w:rsidR="00AC08ED" w:rsidRPr="00E2771E" w:rsidRDefault="00AC08ED" w:rsidP="00AC08ED">
            <w:pPr>
              <w:jc w:val="center"/>
              <w:rPr>
                <w:rFonts w:ascii="Arial Narrow" w:hAnsi="Arial Narrow"/>
                <w:sz w:val="20"/>
                <w:szCs w:val="16"/>
                <w:lang w:val="en-US"/>
              </w:rPr>
            </w:pPr>
            <w:r>
              <w:rPr>
                <w:rFonts w:ascii="Arial Narrow" w:hAnsi="Arial Narrow"/>
                <w:sz w:val="20"/>
                <w:szCs w:val="16"/>
                <w:lang w:val="en-US"/>
              </w:rPr>
              <w:t>Retrospective, descriptive review</w:t>
            </w:r>
          </w:p>
        </w:tc>
        <w:tc>
          <w:tcPr>
            <w:tcW w:w="650" w:type="pct"/>
            <w:shd w:val="clear" w:color="auto" w:fill="auto"/>
            <w:vAlign w:val="center"/>
          </w:tcPr>
          <w:p w:rsidR="00EE1CDE" w:rsidRDefault="00EE1CDE" w:rsidP="00AC08ED">
            <w:pPr>
              <w:jc w:val="center"/>
              <w:rPr>
                <w:rFonts w:ascii="Arial Narrow" w:hAnsi="Arial Narrow"/>
                <w:sz w:val="20"/>
                <w:szCs w:val="16"/>
                <w:lang w:val="en-US"/>
              </w:rPr>
            </w:pPr>
            <w:r w:rsidRPr="00271FC2">
              <w:rPr>
                <w:rFonts w:ascii="Arial Narrow" w:hAnsi="Arial Narrow"/>
                <w:sz w:val="20"/>
                <w:szCs w:val="16"/>
                <w:lang w:val="en-US"/>
              </w:rPr>
              <w:t>High</w:t>
            </w:r>
          </w:p>
        </w:tc>
        <w:tc>
          <w:tcPr>
            <w:tcW w:w="935" w:type="pct"/>
            <w:shd w:val="clear" w:color="auto" w:fill="auto"/>
            <w:vAlign w:val="center"/>
          </w:tcPr>
          <w:p w:rsidR="00AC08ED" w:rsidRPr="00E2771E" w:rsidRDefault="00AC08ED" w:rsidP="00D30909">
            <w:pPr>
              <w:jc w:val="center"/>
              <w:rPr>
                <w:rFonts w:ascii="Arial Narrow" w:hAnsi="Arial Narrow"/>
                <w:sz w:val="20"/>
                <w:szCs w:val="16"/>
                <w:lang w:val="en-US"/>
              </w:rPr>
            </w:pPr>
            <w:r>
              <w:rPr>
                <w:rFonts w:ascii="Arial Narrow" w:hAnsi="Arial Narrow"/>
                <w:sz w:val="20"/>
                <w:szCs w:val="16"/>
                <w:lang w:val="en-US"/>
              </w:rPr>
              <w:t xml:space="preserve">Australian patients </w:t>
            </w:r>
            <w:r w:rsidR="00D30909">
              <w:rPr>
                <w:rFonts w:ascii="Arial Narrow" w:hAnsi="Arial Narrow"/>
                <w:sz w:val="20"/>
                <w:szCs w:val="16"/>
                <w:lang w:val="en-US"/>
              </w:rPr>
              <w:t>previously stabilised on</w:t>
            </w:r>
            <w:r>
              <w:rPr>
                <w:rFonts w:ascii="Arial Narrow" w:hAnsi="Arial Narrow"/>
                <w:sz w:val="20"/>
                <w:szCs w:val="16"/>
                <w:lang w:val="en-US"/>
              </w:rPr>
              <w:t xml:space="preserve"> </w:t>
            </w:r>
            <w:proofErr w:type="spellStart"/>
            <w:r>
              <w:rPr>
                <w:rFonts w:ascii="Arial Narrow" w:hAnsi="Arial Narrow"/>
                <w:sz w:val="20"/>
                <w:szCs w:val="16"/>
                <w:lang w:val="en-US"/>
              </w:rPr>
              <w:t>imiglucerase</w:t>
            </w:r>
            <w:proofErr w:type="spellEnd"/>
          </w:p>
        </w:tc>
        <w:tc>
          <w:tcPr>
            <w:tcW w:w="1008" w:type="pct"/>
            <w:shd w:val="clear" w:color="auto" w:fill="auto"/>
            <w:vAlign w:val="center"/>
          </w:tcPr>
          <w:p w:rsidR="00EE1CDE" w:rsidRDefault="00AC08ED" w:rsidP="009710A3">
            <w:pPr>
              <w:jc w:val="center"/>
              <w:rPr>
                <w:rFonts w:ascii="Arial Narrow" w:hAnsi="Arial Narrow"/>
                <w:sz w:val="20"/>
                <w:szCs w:val="16"/>
                <w:lang w:val="en-US"/>
              </w:rPr>
            </w:pPr>
            <w:r>
              <w:rPr>
                <w:rFonts w:ascii="Arial Narrow" w:hAnsi="Arial Narrow"/>
                <w:sz w:val="20"/>
                <w:szCs w:val="16"/>
                <w:lang w:val="en-US"/>
              </w:rPr>
              <w:t xml:space="preserve">Platelets, </w:t>
            </w:r>
            <w:proofErr w:type="spellStart"/>
            <w:r>
              <w:rPr>
                <w:rFonts w:ascii="Arial Narrow" w:hAnsi="Arial Narrow"/>
                <w:sz w:val="20"/>
                <w:szCs w:val="16"/>
                <w:lang w:val="en-US"/>
              </w:rPr>
              <w:t>haemoglobin</w:t>
            </w:r>
            <w:proofErr w:type="spellEnd"/>
            <w:r>
              <w:rPr>
                <w:rFonts w:ascii="Arial Narrow" w:hAnsi="Arial Narrow"/>
                <w:sz w:val="20"/>
                <w:szCs w:val="16"/>
                <w:lang w:val="en-US"/>
              </w:rPr>
              <w:t>, biomarkers, bone marrow burden</w:t>
            </w:r>
          </w:p>
          <w:p w:rsidR="002C2C6F" w:rsidRPr="00E2771E" w:rsidRDefault="002C2C6F" w:rsidP="009710A3">
            <w:pPr>
              <w:jc w:val="center"/>
              <w:rPr>
                <w:rFonts w:ascii="Arial Narrow" w:hAnsi="Arial Narrow"/>
                <w:sz w:val="20"/>
                <w:szCs w:val="16"/>
                <w:lang w:val="en-US"/>
              </w:rPr>
            </w:pPr>
          </w:p>
        </w:tc>
      </w:tr>
      <w:tr w:rsidR="00EE1CDE" w:rsidRPr="00E2771E" w:rsidTr="00EE1CDE">
        <w:tc>
          <w:tcPr>
            <w:tcW w:w="5000" w:type="pct"/>
            <w:gridSpan w:val="6"/>
            <w:shd w:val="clear" w:color="auto" w:fill="auto"/>
            <w:vAlign w:val="center"/>
          </w:tcPr>
          <w:p w:rsidR="00EE1CDE" w:rsidRPr="00EE1CDE" w:rsidRDefault="00EE1CDE" w:rsidP="00EE1CDE">
            <w:pPr>
              <w:jc w:val="left"/>
              <w:rPr>
                <w:rFonts w:ascii="Arial Narrow" w:hAnsi="Arial Narrow"/>
                <w:b/>
                <w:sz w:val="20"/>
                <w:szCs w:val="16"/>
                <w:lang w:val="en-US"/>
              </w:rPr>
            </w:pPr>
            <w:proofErr w:type="spellStart"/>
            <w:r w:rsidRPr="00EE1CDE">
              <w:rPr>
                <w:rFonts w:ascii="Arial Narrow" w:hAnsi="Arial Narrow"/>
                <w:b/>
                <w:sz w:val="20"/>
                <w:szCs w:val="16"/>
                <w:lang w:val="en-US"/>
              </w:rPr>
              <w:t>Imiglucerase</w:t>
            </w:r>
            <w:proofErr w:type="spellEnd"/>
            <w:r w:rsidRPr="00EE1CDE">
              <w:rPr>
                <w:rFonts w:ascii="Arial Narrow" w:hAnsi="Arial Narrow"/>
                <w:b/>
                <w:sz w:val="20"/>
                <w:szCs w:val="16"/>
                <w:lang w:val="en-US"/>
              </w:rPr>
              <w:t xml:space="preserve"> randomised trials</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t>HGT-039</w:t>
            </w:r>
          </w:p>
        </w:tc>
        <w:tc>
          <w:tcPr>
            <w:tcW w:w="864" w:type="pct"/>
            <w:shd w:val="clear" w:color="auto" w:fill="auto"/>
            <w:vAlign w:val="center"/>
          </w:tcPr>
          <w:p w:rsidR="009710A3" w:rsidRPr="00E2771E" w:rsidRDefault="00EE1CDE" w:rsidP="009710A3">
            <w:pPr>
              <w:jc w:val="center"/>
              <w:rPr>
                <w:rFonts w:ascii="Arial Narrow" w:hAnsi="Arial Narrow"/>
                <w:sz w:val="20"/>
                <w:szCs w:val="16"/>
                <w:lang w:val="en-US"/>
              </w:rPr>
            </w:pPr>
            <w:r>
              <w:rPr>
                <w:rFonts w:ascii="Arial Narrow" w:hAnsi="Arial Narrow"/>
                <w:sz w:val="20"/>
                <w:szCs w:val="16"/>
                <w:lang w:val="en-US"/>
              </w:rPr>
              <w:t>34</w:t>
            </w:r>
          </w:p>
        </w:tc>
        <w:tc>
          <w:tcPr>
            <w:tcW w:w="864" w:type="pct"/>
            <w:shd w:val="clear" w:color="auto" w:fill="auto"/>
            <w:vAlign w:val="center"/>
          </w:tcPr>
          <w:p w:rsidR="009710A3" w:rsidRDefault="00AC08ED" w:rsidP="009710A3">
            <w:pPr>
              <w:jc w:val="center"/>
              <w:rPr>
                <w:rFonts w:ascii="Arial Narrow" w:hAnsi="Arial Narrow"/>
                <w:sz w:val="20"/>
                <w:szCs w:val="16"/>
                <w:lang w:val="en-US"/>
              </w:rPr>
            </w:pPr>
            <w:r>
              <w:rPr>
                <w:rFonts w:ascii="Arial Narrow" w:hAnsi="Arial Narrow"/>
                <w:sz w:val="20"/>
                <w:szCs w:val="16"/>
                <w:lang w:val="en-US"/>
              </w:rPr>
              <w:t>DB, R, MC</w:t>
            </w:r>
          </w:p>
          <w:p w:rsidR="00AC08ED" w:rsidRPr="00E2771E" w:rsidRDefault="00AC08ED" w:rsidP="009710A3">
            <w:pPr>
              <w:jc w:val="center"/>
              <w:rPr>
                <w:rFonts w:ascii="Arial Narrow" w:hAnsi="Arial Narrow"/>
                <w:sz w:val="20"/>
                <w:szCs w:val="16"/>
                <w:lang w:val="en-US"/>
              </w:rPr>
            </w:pPr>
            <w:r>
              <w:rPr>
                <w:rFonts w:ascii="Arial Narrow" w:hAnsi="Arial Narrow"/>
                <w:sz w:val="20"/>
                <w:szCs w:val="16"/>
                <w:lang w:val="en-US"/>
              </w:rPr>
              <w:t xml:space="preserve">9 </w:t>
            </w:r>
            <w:proofErr w:type="spellStart"/>
            <w:r>
              <w:rPr>
                <w:rFonts w:ascii="Arial Narrow" w:hAnsi="Arial Narrow"/>
                <w:sz w:val="20"/>
                <w:szCs w:val="16"/>
                <w:lang w:val="en-US"/>
              </w:rPr>
              <w:t>mths</w:t>
            </w:r>
            <w:proofErr w:type="spellEnd"/>
          </w:p>
        </w:tc>
        <w:tc>
          <w:tcPr>
            <w:tcW w:w="650" w:type="pct"/>
            <w:shd w:val="clear" w:color="auto" w:fill="auto"/>
            <w:vAlign w:val="center"/>
          </w:tcPr>
          <w:p w:rsidR="009710A3" w:rsidRDefault="00EE1CDE" w:rsidP="00AC08ED">
            <w:pPr>
              <w:jc w:val="center"/>
              <w:rPr>
                <w:rFonts w:ascii="Arial Narrow" w:hAnsi="Arial Narrow"/>
                <w:sz w:val="20"/>
                <w:szCs w:val="16"/>
                <w:lang w:val="en-US"/>
              </w:rPr>
            </w:pPr>
            <w:r>
              <w:rPr>
                <w:rFonts w:ascii="Arial Narrow" w:hAnsi="Arial Narrow"/>
                <w:sz w:val="20"/>
                <w:szCs w:val="16"/>
                <w:lang w:val="en-US"/>
              </w:rPr>
              <w:t>Low</w:t>
            </w:r>
          </w:p>
        </w:tc>
        <w:tc>
          <w:tcPr>
            <w:tcW w:w="935" w:type="pct"/>
            <w:shd w:val="clear" w:color="auto" w:fill="auto"/>
            <w:vAlign w:val="center"/>
          </w:tcPr>
          <w:p w:rsidR="00AC08ED" w:rsidRPr="00E2771E" w:rsidRDefault="00D30909" w:rsidP="00D30909">
            <w:pPr>
              <w:jc w:val="center"/>
              <w:rPr>
                <w:rFonts w:ascii="Arial Narrow" w:hAnsi="Arial Narrow"/>
                <w:sz w:val="20"/>
                <w:szCs w:val="16"/>
                <w:lang w:val="en-US"/>
              </w:rPr>
            </w:pPr>
            <w:r>
              <w:rPr>
                <w:rFonts w:ascii="Arial Narrow" w:hAnsi="Arial Narrow"/>
                <w:sz w:val="20"/>
                <w:szCs w:val="16"/>
                <w:lang w:val="en-US"/>
              </w:rPr>
              <w:t>Treatment naïve a</w:t>
            </w:r>
            <w:r w:rsidR="00AC08ED">
              <w:rPr>
                <w:rFonts w:ascii="Arial Narrow" w:hAnsi="Arial Narrow"/>
                <w:sz w:val="20"/>
                <w:szCs w:val="16"/>
                <w:lang w:val="en-US"/>
              </w:rPr>
              <w:t xml:space="preserve">dult and </w:t>
            </w:r>
            <w:proofErr w:type="spellStart"/>
            <w:r w:rsidR="00AC08ED">
              <w:rPr>
                <w:rFonts w:ascii="Arial Narrow" w:hAnsi="Arial Narrow"/>
                <w:sz w:val="20"/>
                <w:szCs w:val="16"/>
                <w:lang w:val="en-US"/>
              </w:rPr>
              <w:t>paediatric</w:t>
            </w:r>
            <w:proofErr w:type="spellEnd"/>
          </w:p>
        </w:tc>
        <w:tc>
          <w:tcPr>
            <w:tcW w:w="1008" w:type="pct"/>
            <w:shd w:val="clear" w:color="auto" w:fill="auto"/>
            <w:vAlign w:val="center"/>
          </w:tcPr>
          <w:p w:rsidR="009710A3" w:rsidRPr="00E2771E" w:rsidRDefault="00AC08ED" w:rsidP="00AC08ED">
            <w:pPr>
              <w:jc w:val="center"/>
              <w:rPr>
                <w:rFonts w:ascii="Arial Narrow" w:hAnsi="Arial Narrow"/>
                <w:sz w:val="20"/>
                <w:szCs w:val="16"/>
                <w:lang w:val="en-US"/>
              </w:rPr>
            </w:pPr>
            <w:proofErr w:type="spellStart"/>
            <w:r>
              <w:rPr>
                <w:rFonts w:ascii="Arial Narrow" w:hAnsi="Arial Narrow"/>
                <w:sz w:val="20"/>
                <w:szCs w:val="16"/>
                <w:lang w:val="en-US"/>
              </w:rPr>
              <w:t>Haemoglobin</w:t>
            </w:r>
            <w:proofErr w:type="spellEnd"/>
          </w:p>
        </w:tc>
      </w:tr>
      <w:tr w:rsidR="00EE1CDE" w:rsidRPr="00E2771E" w:rsidTr="00595D7F">
        <w:tc>
          <w:tcPr>
            <w:tcW w:w="679" w:type="pct"/>
            <w:shd w:val="clear" w:color="auto" w:fill="auto"/>
            <w:vAlign w:val="center"/>
          </w:tcPr>
          <w:p w:rsidR="00EE1CDE" w:rsidRPr="00E2771E" w:rsidRDefault="00EE1CDE" w:rsidP="009710A3">
            <w:pPr>
              <w:jc w:val="left"/>
              <w:rPr>
                <w:rFonts w:ascii="Arial Narrow" w:hAnsi="Arial Narrow"/>
                <w:sz w:val="20"/>
                <w:szCs w:val="16"/>
                <w:lang w:val="en-US"/>
              </w:rPr>
            </w:pPr>
            <w:proofErr w:type="spellStart"/>
            <w:r>
              <w:rPr>
                <w:rFonts w:ascii="Arial Narrow" w:hAnsi="Arial Narrow"/>
                <w:sz w:val="20"/>
                <w:szCs w:val="16"/>
                <w:lang w:val="en-US"/>
              </w:rPr>
              <w:t>Elstein</w:t>
            </w:r>
            <w:proofErr w:type="spellEnd"/>
            <w:r>
              <w:rPr>
                <w:rFonts w:ascii="Arial Narrow" w:hAnsi="Arial Narrow"/>
                <w:sz w:val="20"/>
                <w:szCs w:val="16"/>
                <w:lang w:val="en-US"/>
              </w:rPr>
              <w:t xml:space="preserve"> 2007</w:t>
            </w:r>
          </w:p>
        </w:tc>
        <w:tc>
          <w:tcPr>
            <w:tcW w:w="864" w:type="pct"/>
            <w:shd w:val="clear" w:color="auto" w:fill="auto"/>
            <w:vAlign w:val="center"/>
          </w:tcPr>
          <w:p w:rsidR="00EE1CDE" w:rsidRPr="00E2771E" w:rsidRDefault="00EE1CDE" w:rsidP="009710A3">
            <w:pPr>
              <w:jc w:val="center"/>
              <w:rPr>
                <w:rFonts w:ascii="Arial Narrow" w:hAnsi="Arial Narrow"/>
                <w:sz w:val="20"/>
                <w:szCs w:val="16"/>
                <w:lang w:val="en-US"/>
              </w:rPr>
            </w:pPr>
            <w:r>
              <w:rPr>
                <w:rFonts w:ascii="Arial Narrow" w:hAnsi="Arial Narrow"/>
                <w:sz w:val="20"/>
                <w:szCs w:val="16"/>
                <w:lang w:val="en-US"/>
              </w:rPr>
              <w:t>36</w:t>
            </w:r>
          </w:p>
        </w:tc>
        <w:tc>
          <w:tcPr>
            <w:tcW w:w="864" w:type="pct"/>
            <w:shd w:val="clear" w:color="auto" w:fill="auto"/>
            <w:vAlign w:val="center"/>
          </w:tcPr>
          <w:p w:rsidR="00EE1CDE" w:rsidRDefault="00AC08ED" w:rsidP="009710A3">
            <w:pPr>
              <w:jc w:val="center"/>
              <w:rPr>
                <w:rFonts w:ascii="Arial Narrow" w:hAnsi="Arial Narrow"/>
                <w:sz w:val="20"/>
                <w:szCs w:val="16"/>
                <w:lang w:val="en-US"/>
              </w:rPr>
            </w:pPr>
            <w:r>
              <w:rPr>
                <w:rFonts w:ascii="Arial Narrow" w:hAnsi="Arial Narrow"/>
                <w:sz w:val="20"/>
                <w:szCs w:val="16"/>
                <w:lang w:val="en-US"/>
              </w:rPr>
              <w:t>OL, R, PG</w:t>
            </w:r>
          </w:p>
          <w:p w:rsidR="00AC08ED" w:rsidRPr="00E2771E" w:rsidRDefault="00AC08ED" w:rsidP="009710A3">
            <w:pPr>
              <w:jc w:val="center"/>
              <w:rPr>
                <w:rFonts w:ascii="Arial Narrow" w:hAnsi="Arial Narrow"/>
                <w:sz w:val="20"/>
                <w:szCs w:val="16"/>
                <w:lang w:val="en-US"/>
              </w:rPr>
            </w:pPr>
            <w:r>
              <w:rPr>
                <w:rFonts w:ascii="Arial Narrow" w:hAnsi="Arial Narrow"/>
                <w:sz w:val="20"/>
                <w:szCs w:val="16"/>
                <w:lang w:val="en-US"/>
              </w:rPr>
              <w:t xml:space="preserve">6 </w:t>
            </w:r>
            <w:proofErr w:type="spellStart"/>
            <w:r>
              <w:rPr>
                <w:rFonts w:ascii="Arial Narrow" w:hAnsi="Arial Narrow"/>
                <w:sz w:val="20"/>
                <w:szCs w:val="16"/>
                <w:lang w:val="en-US"/>
              </w:rPr>
              <w:t>mths</w:t>
            </w:r>
            <w:proofErr w:type="spellEnd"/>
          </w:p>
        </w:tc>
        <w:tc>
          <w:tcPr>
            <w:tcW w:w="650" w:type="pct"/>
            <w:shd w:val="clear" w:color="auto" w:fill="auto"/>
            <w:vAlign w:val="center"/>
          </w:tcPr>
          <w:p w:rsidR="00EE1CDE" w:rsidRDefault="00EE1CDE" w:rsidP="00AC08ED">
            <w:pPr>
              <w:jc w:val="center"/>
              <w:rPr>
                <w:rFonts w:ascii="Arial Narrow" w:hAnsi="Arial Narrow"/>
                <w:sz w:val="20"/>
                <w:szCs w:val="16"/>
                <w:lang w:val="en-US"/>
              </w:rPr>
            </w:pPr>
            <w:r w:rsidRPr="00AC2450">
              <w:rPr>
                <w:rFonts w:ascii="Arial Narrow" w:hAnsi="Arial Narrow"/>
                <w:sz w:val="20"/>
                <w:szCs w:val="16"/>
                <w:lang w:val="en-US"/>
              </w:rPr>
              <w:t>High</w:t>
            </w:r>
          </w:p>
        </w:tc>
        <w:tc>
          <w:tcPr>
            <w:tcW w:w="935" w:type="pct"/>
            <w:shd w:val="clear" w:color="auto" w:fill="auto"/>
            <w:vAlign w:val="center"/>
          </w:tcPr>
          <w:p w:rsidR="00EE1CDE" w:rsidRPr="00E2771E" w:rsidRDefault="00AC08ED" w:rsidP="00A20004">
            <w:pPr>
              <w:jc w:val="center"/>
              <w:rPr>
                <w:rFonts w:ascii="Arial Narrow" w:hAnsi="Arial Narrow"/>
                <w:sz w:val="20"/>
                <w:szCs w:val="16"/>
                <w:lang w:val="en-US"/>
              </w:rPr>
            </w:pPr>
            <w:r>
              <w:rPr>
                <w:rFonts w:ascii="Arial Narrow" w:hAnsi="Arial Narrow"/>
                <w:sz w:val="20"/>
                <w:szCs w:val="16"/>
                <w:lang w:val="en-US"/>
              </w:rPr>
              <w:t xml:space="preserve">Adults previously stabilised on </w:t>
            </w:r>
            <w:proofErr w:type="spellStart"/>
            <w:r>
              <w:rPr>
                <w:rFonts w:ascii="Arial Narrow" w:hAnsi="Arial Narrow"/>
                <w:sz w:val="20"/>
                <w:szCs w:val="16"/>
                <w:lang w:val="en-US"/>
              </w:rPr>
              <w:t>imiglucerase</w:t>
            </w:r>
            <w:proofErr w:type="spellEnd"/>
          </w:p>
        </w:tc>
        <w:tc>
          <w:tcPr>
            <w:tcW w:w="1008" w:type="pct"/>
            <w:shd w:val="clear" w:color="auto" w:fill="auto"/>
            <w:vAlign w:val="center"/>
          </w:tcPr>
          <w:p w:rsidR="00EE1CDE" w:rsidRPr="00E2771E" w:rsidRDefault="00AC08ED" w:rsidP="00AC08ED">
            <w:pPr>
              <w:jc w:val="center"/>
              <w:rPr>
                <w:rFonts w:ascii="Arial Narrow" w:hAnsi="Arial Narrow"/>
                <w:sz w:val="20"/>
                <w:szCs w:val="16"/>
                <w:lang w:val="en-US"/>
              </w:rPr>
            </w:pPr>
            <w:r>
              <w:rPr>
                <w:rFonts w:ascii="Arial Narrow" w:hAnsi="Arial Narrow"/>
                <w:sz w:val="20"/>
                <w:szCs w:val="16"/>
                <w:lang w:val="en-US"/>
              </w:rPr>
              <w:t xml:space="preserve">Spleen / liver volume, </w:t>
            </w:r>
            <w:proofErr w:type="spellStart"/>
            <w:r>
              <w:rPr>
                <w:rFonts w:ascii="Arial Narrow" w:hAnsi="Arial Narrow"/>
                <w:sz w:val="20"/>
                <w:szCs w:val="16"/>
                <w:lang w:val="en-US"/>
              </w:rPr>
              <w:t>haemoglobin</w:t>
            </w:r>
            <w:proofErr w:type="spellEnd"/>
            <w:r>
              <w:rPr>
                <w:rFonts w:ascii="Arial Narrow" w:hAnsi="Arial Narrow"/>
                <w:sz w:val="20"/>
                <w:szCs w:val="16"/>
                <w:lang w:val="en-US"/>
              </w:rPr>
              <w:t>, platelets</w:t>
            </w:r>
          </w:p>
        </w:tc>
      </w:tr>
      <w:tr w:rsidR="00EE1CDE" w:rsidRPr="00E2771E" w:rsidTr="00595D7F">
        <w:tc>
          <w:tcPr>
            <w:tcW w:w="679" w:type="pct"/>
            <w:shd w:val="clear" w:color="auto" w:fill="auto"/>
            <w:vAlign w:val="center"/>
          </w:tcPr>
          <w:p w:rsidR="00EE1CDE" w:rsidRPr="00E2771E" w:rsidRDefault="00EE1CDE" w:rsidP="009710A3">
            <w:pPr>
              <w:jc w:val="left"/>
              <w:rPr>
                <w:rFonts w:ascii="Arial Narrow" w:hAnsi="Arial Narrow"/>
                <w:sz w:val="20"/>
                <w:szCs w:val="16"/>
                <w:lang w:val="en-US"/>
              </w:rPr>
            </w:pPr>
            <w:r>
              <w:rPr>
                <w:rFonts w:ascii="Arial Narrow" w:hAnsi="Arial Narrow"/>
                <w:sz w:val="20"/>
                <w:szCs w:val="16"/>
                <w:lang w:val="en-US"/>
              </w:rPr>
              <w:t xml:space="preserve">De </w:t>
            </w:r>
            <w:proofErr w:type="spellStart"/>
            <w:r>
              <w:rPr>
                <w:rFonts w:ascii="Arial Narrow" w:hAnsi="Arial Narrow"/>
                <w:sz w:val="20"/>
                <w:szCs w:val="16"/>
                <w:lang w:val="en-US"/>
              </w:rPr>
              <w:t>Fost</w:t>
            </w:r>
            <w:proofErr w:type="spellEnd"/>
            <w:r>
              <w:rPr>
                <w:rFonts w:ascii="Arial Narrow" w:hAnsi="Arial Narrow"/>
                <w:sz w:val="20"/>
                <w:szCs w:val="16"/>
                <w:lang w:val="en-US"/>
              </w:rPr>
              <w:t xml:space="preserve"> 2007</w:t>
            </w:r>
          </w:p>
        </w:tc>
        <w:tc>
          <w:tcPr>
            <w:tcW w:w="864" w:type="pct"/>
            <w:shd w:val="clear" w:color="auto" w:fill="auto"/>
            <w:vAlign w:val="center"/>
          </w:tcPr>
          <w:p w:rsidR="00EE1CDE" w:rsidRPr="00E2771E" w:rsidRDefault="00EE1CDE" w:rsidP="009710A3">
            <w:pPr>
              <w:jc w:val="center"/>
              <w:rPr>
                <w:rFonts w:ascii="Arial Narrow" w:hAnsi="Arial Narrow"/>
                <w:sz w:val="20"/>
                <w:szCs w:val="16"/>
                <w:lang w:val="en-US"/>
              </w:rPr>
            </w:pPr>
            <w:r>
              <w:rPr>
                <w:rFonts w:ascii="Arial Narrow" w:hAnsi="Arial Narrow"/>
                <w:sz w:val="20"/>
                <w:szCs w:val="16"/>
                <w:lang w:val="en-US"/>
              </w:rPr>
              <w:t>11</w:t>
            </w:r>
          </w:p>
        </w:tc>
        <w:tc>
          <w:tcPr>
            <w:tcW w:w="864" w:type="pct"/>
            <w:shd w:val="clear" w:color="auto" w:fill="auto"/>
            <w:vAlign w:val="center"/>
          </w:tcPr>
          <w:p w:rsidR="00EE1CDE" w:rsidRDefault="00A20004" w:rsidP="009710A3">
            <w:pPr>
              <w:jc w:val="center"/>
              <w:rPr>
                <w:rFonts w:ascii="Arial Narrow" w:hAnsi="Arial Narrow"/>
                <w:sz w:val="20"/>
                <w:szCs w:val="16"/>
                <w:lang w:val="en-US"/>
              </w:rPr>
            </w:pPr>
            <w:r>
              <w:rPr>
                <w:rFonts w:ascii="Arial Narrow" w:hAnsi="Arial Narrow"/>
                <w:sz w:val="20"/>
                <w:szCs w:val="16"/>
                <w:lang w:val="en-US"/>
              </w:rPr>
              <w:t>OL, R, dose frequency</w:t>
            </w:r>
          </w:p>
          <w:p w:rsidR="00A20004" w:rsidRPr="00E2771E" w:rsidRDefault="00A20004" w:rsidP="009710A3">
            <w:pPr>
              <w:jc w:val="center"/>
              <w:rPr>
                <w:rFonts w:ascii="Arial Narrow" w:hAnsi="Arial Narrow"/>
                <w:sz w:val="20"/>
                <w:szCs w:val="16"/>
                <w:lang w:val="en-US"/>
              </w:rPr>
            </w:pPr>
            <w:r>
              <w:rPr>
                <w:rFonts w:ascii="Arial Narrow" w:hAnsi="Arial Narrow"/>
                <w:sz w:val="20"/>
                <w:szCs w:val="16"/>
                <w:lang w:val="en-US"/>
              </w:rPr>
              <w:t>12 months</w:t>
            </w:r>
          </w:p>
        </w:tc>
        <w:tc>
          <w:tcPr>
            <w:tcW w:w="650" w:type="pct"/>
            <w:shd w:val="clear" w:color="auto" w:fill="auto"/>
            <w:vAlign w:val="center"/>
          </w:tcPr>
          <w:p w:rsidR="00EE1CDE" w:rsidRDefault="00EE1CDE" w:rsidP="00AC08ED">
            <w:pPr>
              <w:jc w:val="center"/>
              <w:rPr>
                <w:rFonts w:ascii="Arial Narrow" w:hAnsi="Arial Narrow"/>
                <w:sz w:val="20"/>
                <w:szCs w:val="16"/>
                <w:lang w:val="en-US"/>
              </w:rPr>
            </w:pPr>
            <w:r w:rsidRPr="00AC2450">
              <w:rPr>
                <w:rFonts w:ascii="Arial Narrow" w:hAnsi="Arial Narrow"/>
                <w:sz w:val="20"/>
                <w:szCs w:val="16"/>
                <w:lang w:val="en-US"/>
              </w:rPr>
              <w:t>High</w:t>
            </w:r>
          </w:p>
        </w:tc>
        <w:tc>
          <w:tcPr>
            <w:tcW w:w="935" w:type="pct"/>
            <w:shd w:val="clear" w:color="auto" w:fill="auto"/>
            <w:vAlign w:val="center"/>
          </w:tcPr>
          <w:p w:rsidR="00EE1CDE" w:rsidRPr="00E2771E" w:rsidRDefault="00A20004" w:rsidP="00A20004">
            <w:pPr>
              <w:jc w:val="center"/>
              <w:rPr>
                <w:rFonts w:ascii="Arial Narrow" w:hAnsi="Arial Narrow"/>
                <w:sz w:val="20"/>
                <w:szCs w:val="16"/>
                <w:lang w:val="en-US"/>
              </w:rPr>
            </w:pPr>
            <w:r>
              <w:rPr>
                <w:rFonts w:ascii="Arial Narrow" w:hAnsi="Arial Narrow"/>
                <w:sz w:val="20"/>
                <w:szCs w:val="16"/>
                <w:lang w:val="en-US"/>
              </w:rPr>
              <w:t xml:space="preserve">Adults previously stabilised on </w:t>
            </w:r>
            <w:proofErr w:type="spellStart"/>
            <w:r>
              <w:rPr>
                <w:rFonts w:ascii="Arial Narrow" w:hAnsi="Arial Narrow"/>
                <w:sz w:val="20"/>
                <w:szCs w:val="16"/>
                <w:lang w:val="en-US"/>
              </w:rPr>
              <w:t>imiglucerase</w:t>
            </w:r>
            <w:proofErr w:type="spellEnd"/>
          </w:p>
        </w:tc>
        <w:tc>
          <w:tcPr>
            <w:tcW w:w="1008" w:type="pct"/>
            <w:shd w:val="clear" w:color="auto" w:fill="auto"/>
            <w:vAlign w:val="center"/>
          </w:tcPr>
          <w:p w:rsidR="00EE1CDE" w:rsidRPr="00E2771E" w:rsidRDefault="00A20004" w:rsidP="009710A3">
            <w:pPr>
              <w:jc w:val="center"/>
              <w:rPr>
                <w:rFonts w:ascii="Arial Narrow" w:hAnsi="Arial Narrow"/>
                <w:sz w:val="20"/>
                <w:szCs w:val="16"/>
                <w:lang w:val="en-US"/>
              </w:rPr>
            </w:pPr>
            <w:r>
              <w:rPr>
                <w:rFonts w:ascii="Arial Narrow" w:hAnsi="Arial Narrow"/>
                <w:sz w:val="20"/>
                <w:szCs w:val="16"/>
                <w:lang w:val="en-US"/>
              </w:rPr>
              <w:t>Low vs standard frequency dosing: change in liver ratio</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proofErr w:type="spellStart"/>
            <w:r>
              <w:rPr>
                <w:rFonts w:ascii="Arial Narrow" w:hAnsi="Arial Narrow"/>
                <w:sz w:val="20"/>
                <w:szCs w:val="16"/>
                <w:lang w:val="en-US"/>
              </w:rPr>
              <w:t>Schiffmann</w:t>
            </w:r>
            <w:proofErr w:type="spellEnd"/>
            <w:r>
              <w:rPr>
                <w:rFonts w:ascii="Arial Narrow" w:hAnsi="Arial Narrow"/>
                <w:sz w:val="20"/>
                <w:szCs w:val="16"/>
                <w:lang w:val="en-US"/>
              </w:rPr>
              <w:t xml:space="preserve"> 2002</w:t>
            </w:r>
          </w:p>
        </w:tc>
        <w:tc>
          <w:tcPr>
            <w:tcW w:w="864" w:type="pct"/>
            <w:shd w:val="clear" w:color="auto" w:fill="auto"/>
            <w:vAlign w:val="center"/>
          </w:tcPr>
          <w:p w:rsidR="009710A3" w:rsidRPr="00E2771E" w:rsidRDefault="00EE1CDE" w:rsidP="009710A3">
            <w:pPr>
              <w:jc w:val="center"/>
              <w:rPr>
                <w:rFonts w:ascii="Arial Narrow" w:hAnsi="Arial Narrow"/>
                <w:sz w:val="20"/>
                <w:szCs w:val="16"/>
                <w:lang w:val="en-US"/>
              </w:rPr>
            </w:pPr>
            <w:r>
              <w:rPr>
                <w:rFonts w:ascii="Arial Narrow" w:hAnsi="Arial Narrow"/>
                <w:sz w:val="20"/>
                <w:szCs w:val="16"/>
                <w:lang w:val="en-US"/>
              </w:rPr>
              <w:t>29</w:t>
            </w:r>
          </w:p>
        </w:tc>
        <w:tc>
          <w:tcPr>
            <w:tcW w:w="864" w:type="pct"/>
            <w:shd w:val="clear" w:color="auto" w:fill="auto"/>
            <w:vAlign w:val="center"/>
          </w:tcPr>
          <w:p w:rsidR="00A20004" w:rsidRDefault="00A20004" w:rsidP="00A20004">
            <w:pPr>
              <w:jc w:val="center"/>
              <w:rPr>
                <w:rFonts w:ascii="Arial Narrow" w:hAnsi="Arial Narrow"/>
                <w:sz w:val="20"/>
                <w:szCs w:val="16"/>
                <w:lang w:val="en-US"/>
              </w:rPr>
            </w:pPr>
            <w:r>
              <w:rPr>
                <w:rFonts w:ascii="Arial Narrow" w:hAnsi="Arial Narrow"/>
                <w:sz w:val="20"/>
                <w:szCs w:val="16"/>
                <w:lang w:val="en-US"/>
              </w:rPr>
              <w:t>DB, R</w:t>
            </w:r>
          </w:p>
          <w:p w:rsidR="00A20004" w:rsidRPr="00E2771E" w:rsidRDefault="00A20004" w:rsidP="00A20004">
            <w:pPr>
              <w:jc w:val="center"/>
              <w:rPr>
                <w:rFonts w:ascii="Arial Narrow" w:hAnsi="Arial Narrow"/>
                <w:sz w:val="20"/>
                <w:szCs w:val="16"/>
                <w:lang w:val="en-US"/>
              </w:rPr>
            </w:pPr>
            <w:r>
              <w:rPr>
                <w:rFonts w:ascii="Arial Narrow" w:hAnsi="Arial Narrow"/>
                <w:sz w:val="20"/>
                <w:szCs w:val="16"/>
                <w:lang w:val="en-US"/>
              </w:rPr>
              <w:t xml:space="preserve">24 </w:t>
            </w:r>
            <w:proofErr w:type="spellStart"/>
            <w:r>
              <w:rPr>
                <w:rFonts w:ascii="Arial Narrow" w:hAnsi="Arial Narrow"/>
                <w:sz w:val="20"/>
                <w:szCs w:val="16"/>
                <w:lang w:val="en-US"/>
              </w:rPr>
              <w:t>mths</w:t>
            </w:r>
            <w:proofErr w:type="spellEnd"/>
          </w:p>
        </w:tc>
        <w:tc>
          <w:tcPr>
            <w:tcW w:w="650" w:type="pct"/>
            <w:shd w:val="clear" w:color="auto" w:fill="auto"/>
            <w:vAlign w:val="center"/>
          </w:tcPr>
          <w:p w:rsidR="009710A3" w:rsidRDefault="00EE1CDE" w:rsidP="00AC08ED">
            <w:pPr>
              <w:jc w:val="center"/>
              <w:rPr>
                <w:rFonts w:ascii="Arial Narrow" w:hAnsi="Arial Narrow"/>
                <w:sz w:val="20"/>
                <w:szCs w:val="16"/>
                <w:lang w:val="en-US"/>
              </w:rPr>
            </w:pPr>
            <w:r>
              <w:rPr>
                <w:rFonts w:ascii="Arial Narrow" w:hAnsi="Arial Narrow"/>
                <w:sz w:val="20"/>
                <w:szCs w:val="16"/>
                <w:lang w:val="en-US"/>
              </w:rPr>
              <w:t>Low</w:t>
            </w:r>
          </w:p>
        </w:tc>
        <w:tc>
          <w:tcPr>
            <w:tcW w:w="935" w:type="pct"/>
            <w:shd w:val="clear" w:color="auto" w:fill="auto"/>
            <w:vAlign w:val="center"/>
          </w:tcPr>
          <w:p w:rsidR="009710A3" w:rsidRPr="00E2771E" w:rsidRDefault="00A20004" w:rsidP="00A20004">
            <w:pPr>
              <w:jc w:val="center"/>
              <w:rPr>
                <w:rFonts w:ascii="Arial Narrow" w:hAnsi="Arial Narrow"/>
                <w:sz w:val="20"/>
                <w:szCs w:val="16"/>
                <w:lang w:val="en-US"/>
              </w:rPr>
            </w:pPr>
            <w:proofErr w:type="spellStart"/>
            <w:r>
              <w:rPr>
                <w:rFonts w:ascii="Arial Narrow" w:hAnsi="Arial Narrow"/>
                <w:sz w:val="20"/>
                <w:szCs w:val="16"/>
                <w:lang w:val="en-US"/>
              </w:rPr>
              <w:t>Splenectomised</w:t>
            </w:r>
            <w:proofErr w:type="spellEnd"/>
            <w:r>
              <w:rPr>
                <w:rFonts w:ascii="Arial Narrow" w:hAnsi="Arial Narrow"/>
                <w:sz w:val="20"/>
                <w:szCs w:val="16"/>
                <w:lang w:val="en-US"/>
              </w:rPr>
              <w:t>, treatment-naïve adults</w:t>
            </w:r>
          </w:p>
        </w:tc>
        <w:tc>
          <w:tcPr>
            <w:tcW w:w="1008" w:type="pct"/>
            <w:shd w:val="clear" w:color="auto" w:fill="auto"/>
            <w:vAlign w:val="center"/>
          </w:tcPr>
          <w:p w:rsidR="009710A3" w:rsidRPr="00E2771E" w:rsidRDefault="00A20004" w:rsidP="009710A3">
            <w:pPr>
              <w:jc w:val="center"/>
              <w:rPr>
                <w:rFonts w:ascii="Arial Narrow" w:hAnsi="Arial Narrow"/>
                <w:sz w:val="20"/>
                <w:szCs w:val="16"/>
                <w:lang w:val="en-US"/>
              </w:rPr>
            </w:pPr>
            <w:r>
              <w:rPr>
                <w:rFonts w:ascii="Arial Narrow" w:hAnsi="Arial Narrow"/>
                <w:sz w:val="20"/>
                <w:szCs w:val="16"/>
                <w:lang w:val="en-US"/>
              </w:rPr>
              <w:t>Bone mineral density of lumbar spine</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t>Grabowski 1995</w:t>
            </w:r>
          </w:p>
        </w:tc>
        <w:tc>
          <w:tcPr>
            <w:tcW w:w="864" w:type="pct"/>
            <w:shd w:val="clear" w:color="auto" w:fill="auto"/>
            <w:vAlign w:val="center"/>
          </w:tcPr>
          <w:p w:rsidR="009710A3" w:rsidRPr="00E2771E" w:rsidRDefault="00EE1CDE" w:rsidP="009710A3">
            <w:pPr>
              <w:jc w:val="center"/>
              <w:rPr>
                <w:rFonts w:ascii="Arial Narrow" w:hAnsi="Arial Narrow"/>
                <w:sz w:val="20"/>
                <w:szCs w:val="16"/>
                <w:lang w:val="en-US"/>
              </w:rPr>
            </w:pPr>
            <w:r>
              <w:rPr>
                <w:rFonts w:ascii="Arial Narrow" w:hAnsi="Arial Narrow"/>
                <w:sz w:val="20"/>
                <w:szCs w:val="16"/>
                <w:lang w:val="en-US"/>
              </w:rPr>
              <w:t>30</w:t>
            </w:r>
          </w:p>
        </w:tc>
        <w:tc>
          <w:tcPr>
            <w:tcW w:w="864" w:type="pct"/>
            <w:shd w:val="clear" w:color="auto" w:fill="auto"/>
            <w:vAlign w:val="center"/>
          </w:tcPr>
          <w:p w:rsidR="009710A3" w:rsidRDefault="00A20004" w:rsidP="009710A3">
            <w:pPr>
              <w:jc w:val="center"/>
              <w:rPr>
                <w:rFonts w:ascii="Arial Narrow" w:hAnsi="Arial Narrow"/>
                <w:sz w:val="20"/>
                <w:szCs w:val="16"/>
                <w:lang w:val="en-US"/>
              </w:rPr>
            </w:pPr>
            <w:r>
              <w:rPr>
                <w:rFonts w:ascii="Arial Narrow" w:hAnsi="Arial Narrow"/>
                <w:sz w:val="20"/>
                <w:szCs w:val="16"/>
                <w:lang w:val="en-US"/>
              </w:rPr>
              <w:t>DB, R, PG</w:t>
            </w:r>
          </w:p>
          <w:p w:rsidR="00A20004" w:rsidRPr="00E2771E" w:rsidRDefault="00A20004" w:rsidP="009710A3">
            <w:pPr>
              <w:jc w:val="center"/>
              <w:rPr>
                <w:rFonts w:ascii="Arial Narrow" w:hAnsi="Arial Narrow"/>
                <w:sz w:val="20"/>
                <w:szCs w:val="16"/>
                <w:lang w:val="en-US"/>
              </w:rPr>
            </w:pPr>
            <w:r>
              <w:rPr>
                <w:rFonts w:ascii="Arial Narrow" w:hAnsi="Arial Narrow"/>
                <w:sz w:val="20"/>
                <w:szCs w:val="16"/>
                <w:lang w:val="en-US"/>
              </w:rPr>
              <w:t xml:space="preserve">9 </w:t>
            </w:r>
            <w:proofErr w:type="spellStart"/>
            <w:r>
              <w:rPr>
                <w:rFonts w:ascii="Arial Narrow" w:hAnsi="Arial Narrow"/>
                <w:sz w:val="20"/>
                <w:szCs w:val="16"/>
                <w:lang w:val="en-US"/>
              </w:rPr>
              <w:t>mths</w:t>
            </w:r>
            <w:proofErr w:type="spellEnd"/>
          </w:p>
        </w:tc>
        <w:tc>
          <w:tcPr>
            <w:tcW w:w="650" w:type="pct"/>
            <w:shd w:val="clear" w:color="auto" w:fill="auto"/>
            <w:vAlign w:val="center"/>
          </w:tcPr>
          <w:p w:rsidR="009710A3" w:rsidRDefault="00EE1CDE" w:rsidP="00AC08ED">
            <w:pPr>
              <w:jc w:val="center"/>
              <w:rPr>
                <w:rFonts w:ascii="Arial Narrow" w:hAnsi="Arial Narrow"/>
                <w:sz w:val="20"/>
                <w:szCs w:val="16"/>
                <w:lang w:val="en-US"/>
              </w:rPr>
            </w:pPr>
            <w:r>
              <w:rPr>
                <w:rFonts w:ascii="Arial Narrow" w:hAnsi="Arial Narrow"/>
                <w:sz w:val="20"/>
                <w:szCs w:val="16"/>
                <w:lang w:val="en-US"/>
              </w:rPr>
              <w:t>Low</w:t>
            </w:r>
          </w:p>
        </w:tc>
        <w:tc>
          <w:tcPr>
            <w:tcW w:w="935" w:type="pct"/>
            <w:shd w:val="clear" w:color="auto" w:fill="auto"/>
            <w:vAlign w:val="center"/>
          </w:tcPr>
          <w:p w:rsidR="009710A3" w:rsidRPr="00E2771E" w:rsidRDefault="00D30909" w:rsidP="00A20004">
            <w:pPr>
              <w:jc w:val="center"/>
              <w:rPr>
                <w:rFonts w:ascii="Arial Narrow" w:hAnsi="Arial Narrow"/>
                <w:sz w:val="20"/>
                <w:szCs w:val="16"/>
                <w:lang w:val="en-US"/>
              </w:rPr>
            </w:pPr>
            <w:r>
              <w:rPr>
                <w:rFonts w:ascii="Arial Narrow" w:hAnsi="Arial Narrow"/>
                <w:sz w:val="20"/>
                <w:szCs w:val="16"/>
                <w:lang w:val="en-US"/>
              </w:rPr>
              <w:t xml:space="preserve">Treatment naïve adult and </w:t>
            </w:r>
            <w:proofErr w:type="spellStart"/>
            <w:r>
              <w:rPr>
                <w:rFonts w:ascii="Arial Narrow" w:hAnsi="Arial Narrow"/>
                <w:sz w:val="20"/>
                <w:szCs w:val="16"/>
                <w:lang w:val="en-US"/>
              </w:rPr>
              <w:t>paediatric</w:t>
            </w:r>
            <w:proofErr w:type="spellEnd"/>
          </w:p>
        </w:tc>
        <w:tc>
          <w:tcPr>
            <w:tcW w:w="1008" w:type="pct"/>
            <w:shd w:val="clear" w:color="auto" w:fill="auto"/>
            <w:vAlign w:val="center"/>
          </w:tcPr>
          <w:p w:rsidR="009710A3" w:rsidRPr="00E2771E" w:rsidRDefault="00A20004" w:rsidP="009710A3">
            <w:pPr>
              <w:jc w:val="center"/>
              <w:rPr>
                <w:rFonts w:ascii="Arial Narrow" w:hAnsi="Arial Narrow"/>
                <w:sz w:val="20"/>
                <w:szCs w:val="16"/>
                <w:lang w:val="en-US"/>
              </w:rPr>
            </w:pPr>
            <w:proofErr w:type="spellStart"/>
            <w:r>
              <w:rPr>
                <w:rFonts w:ascii="Arial Narrow" w:hAnsi="Arial Narrow"/>
                <w:sz w:val="20"/>
                <w:szCs w:val="16"/>
                <w:lang w:val="en-US"/>
              </w:rPr>
              <w:t>Haemoglobin</w:t>
            </w:r>
            <w:proofErr w:type="spellEnd"/>
            <w:r>
              <w:rPr>
                <w:rFonts w:ascii="Arial Narrow" w:hAnsi="Arial Narrow"/>
                <w:sz w:val="20"/>
                <w:szCs w:val="16"/>
                <w:lang w:val="en-US"/>
              </w:rPr>
              <w:t xml:space="preserve">, platelets, liver and spleen volumes, </w:t>
            </w:r>
            <w:proofErr w:type="spellStart"/>
            <w:r>
              <w:rPr>
                <w:rFonts w:ascii="Arial Narrow" w:hAnsi="Arial Narrow"/>
                <w:sz w:val="20"/>
                <w:szCs w:val="16"/>
                <w:lang w:val="en-US"/>
              </w:rPr>
              <w:t>IgG</w:t>
            </w:r>
            <w:proofErr w:type="spellEnd"/>
            <w:r>
              <w:rPr>
                <w:rFonts w:ascii="Arial Narrow" w:hAnsi="Arial Narrow"/>
                <w:sz w:val="20"/>
                <w:szCs w:val="16"/>
                <w:lang w:val="en-US"/>
              </w:rPr>
              <w:t xml:space="preserve"> antibodies</w:t>
            </w:r>
          </w:p>
        </w:tc>
      </w:tr>
      <w:tr w:rsidR="00EE1CDE" w:rsidRPr="00E2771E" w:rsidTr="00EE1CDE">
        <w:tc>
          <w:tcPr>
            <w:tcW w:w="5000" w:type="pct"/>
            <w:gridSpan w:val="6"/>
            <w:shd w:val="clear" w:color="auto" w:fill="auto"/>
            <w:vAlign w:val="center"/>
          </w:tcPr>
          <w:p w:rsidR="00EE1CDE" w:rsidRPr="00EE1CDE" w:rsidRDefault="00EE1CDE" w:rsidP="00EE1CDE">
            <w:pPr>
              <w:jc w:val="left"/>
              <w:rPr>
                <w:rFonts w:ascii="Arial Narrow" w:hAnsi="Arial Narrow"/>
                <w:b/>
                <w:sz w:val="20"/>
                <w:szCs w:val="16"/>
                <w:lang w:val="en-US"/>
              </w:rPr>
            </w:pPr>
            <w:proofErr w:type="spellStart"/>
            <w:r w:rsidRPr="00EE1CDE">
              <w:rPr>
                <w:rFonts w:ascii="Arial Narrow" w:hAnsi="Arial Narrow"/>
                <w:b/>
                <w:sz w:val="20"/>
                <w:szCs w:val="16"/>
                <w:lang w:val="en-US"/>
              </w:rPr>
              <w:t>Imiglucerase</w:t>
            </w:r>
            <w:proofErr w:type="spellEnd"/>
            <w:r w:rsidRPr="00EE1CDE">
              <w:rPr>
                <w:rFonts w:ascii="Arial Narrow" w:hAnsi="Arial Narrow"/>
                <w:b/>
                <w:sz w:val="20"/>
                <w:szCs w:val="16"/>
                <w:lang w:val="en-US"/>
              </w:rPr>
              <w:t xml:space="preserve"> non-randomised study</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t>Sims 2008</w:t>
            </w:r>
          </w:p>
        </w:tc>
        <w:tc>
          <w:tcPr>
            <w:tcW w:w="864" w:type="pct"/>
            <w:shd w:val="clear" w:color="auto" w:fill="auto"/>
            <w:vAlign w:val="center"/>
          </w:tcPr>
          <w:p w:rsidR="009710A3" w:rsidRPr="00E2771E" w:rsidRDefault="00EE1CDE" w:rsidP="009710A3">
            <w:pPr>
              <w:jc w:val="center"/>
              <w:rPr>
                <w:rFonts w:ascii="Arial Narrow" w:hAnsi="Arial Narrow"/>
                <w:sz w:val="20"/>
                <w:szCs w:val="16"/>
                <w:lang w:val="en-US"/>
              </w:rPr>
            </w:pPr>
            <w:r>
              <w:rPr>
                <w:rFonts w:ascii="Arial Narrow" w:hAnsi="Arial Narrow"/>
                <w:sz w:val="20"/>
                <w:szCs w:val="16"/>
                <w:lang w:val="en-US"/>
              </w:rPr>
              <w:t>33</w:t>
            </w:r>
          </w:p>
        </w:tc>
        <w:tc>
          <w:tcPr>
            <w:tcW w:w="864" w:type="pct"/>
            <w:shd w:val="clear" w:color="auto" w:fill="auto"/>
            <w:vAlign w:val="center"/>
          </w:tcPr>
          <w:p w:rsidR="009710A3" w:rsidRDefault="00A20004" w:rsidP="009710A3">
            <w:pPr>
              <w:jc w:val="center"/>
              <w:rPr>
                <w:rFonts w:ascii="Arial Narrow" w:hAnsi="Arial Narrow"/>
                <w:sz w:val="20"/>
                <w:szCs w:val="16"/>
                <w:lang w:val="en-US"/>
              </w:rPr>
            </w:pPr>
            <w:r>
              <w:rPr>
                <w:rFonts w:ascii="Arial Narrow" w:hAnsi="Arial Narrow"/>
                <w:sz w:val="20"/>
                <w:szCs w:val="16"/>
                <w:lang w:val="en-US"/>
              </w:rPr>
              <w:t>OL, MC, safety</w:t>
            </w:r>
          </w:p>
          <w:p w:rsidR="00757510" w:rsidRPr="00E2771E" w:rsidRDefault="00757510" w:rsidP="009710A3">
            <w:pPr>
              <w:jc w:val="center"/>
              <w:rPr>
                <w:rFonts w:ascii="Arial Narrow" w:hAnsi="Arial Narrow"/>
                <w:sz w:val="20"/>
                <w:szCs w:val="16"/>
                <w:lang w:val="en-US"/>
              </w:rPr>
            </w:pPr>
            <w:r>
              <w:rPr>
                <w:rFonts w:ascii="Arial Narrow" w:hAnsi="Arial Narrow"/>
                <w:sz w:val="20"/>
                <w:szCs w:val="16"/>
                <w:lang w:val="en-US"/>
              </w:rPr>
              <w:t xml:space="preserve">48 </w:t>
            </w:r>
            <w:proofErr w:type="spellStart"/>
            <w:r>
              <w:rPr>
                <w:rFonts w:ascii="Arial Narrow" w:hAnsi="Arial Narrow"/>
                <w:sz w:val="20"/>
                <w:szCs w:val="16"/>
                <w:lang w:val="en-US"/>
              </w:rPr>
              <w:t>mths</w:t>
            </w:r>
            <w:proofErr w:type="spellEnd"/>
          </w:p>
        </w:tc>
        <w:tc>
          <w:tcPr>
            <w:tcW w:w="650" w:type="pct"/>
            <w:shd w:val="clear" w:color="auto" w:fill="auto"/>
            <w:vAlign w:val="center"/>
          </w:tcPr>
          <w:p w:rsidR="009710A3" w:rsidRDefault="00EE1CDE" w:rsidP="009710A3">
            <w:pPr>
              <w:jc w:val="center"/>
              <w:rPr>
                <w:rFonts w:ascii="Arial Narrow" w:hAnsi="Arial Narrow"/>
                <w:sz w:val="20"/>
                <w:szCs w:val="16"/>
                <w:lang w:val="en-US"/>
              </w:rPr>
            </w:pPr>
            <w:r>
              <w:rPr>
                <w:rFonts w:ascii="Arial Narrow" w:hAnsi="Arial Narrow"/>
                <w:sz w:val="20"/>
                <w:szCs w:val="16"/>
                <w:lang w:val="en-US"/>
              </w:rPr>
              <w:t>High</w:t>
            </w:r>
          </w:p>
        </w:tc>
        <w:tc>
          <w:tcPr>
            <w:tcW w:w="935" w:type="pct"/>
            <w:shd w:val="clear" w:color="auto" w:fill="auto"/>
            <w:vAlign w:val="center"/>
          </w:tcPr>
          <w:p w:rsidR="009710A3" w:rsidRPr="00E2771E" w:rsidRDefault="00A20004" w:rsidP="009710A3">
            <w:pPr>
              <w:jc w:val="center"/>
              <w:rPr>
                <w:rFonts w:ascii="Arial Narrow" w:hAnsi="Arial Narrow"/>
                <w:sz w:val="20"/>
                <w:szCs w:val="16"/>
                <w:lang w:val="en-US"/>
              </w:rPr>
            </w:pPr>
            <w:r>
              <w:rPr>
                <w:rFonts w:ascii="Arial Narrow" w:hAnsi="Arial Narrow"/>
                <w:sz w:val="20"/>
                <w:szCs w:val="16"/>
                <w:lang w:val="en-US"/>
              </w:rPr>
              <w:t xml:space="preserve">Adult and </w:t>
            </w:r>
            <w:proofErr w:type="spellStart"/>
            <w:r>
              <w:rPr>
                <w:rFonts w:ascii="Arial Narrow" w:hAnsi="Arial Narrow"/>
                <w:sz w:val="20"/>
                <w:szCs w:val="16"/>
                <w:lang w:val="en-US"/>
              </w:rPr>
              <w:t>paediatric</w:t>
            </w:r>
            <w:proofErr w:type="spellEnd"/>
            <w:r>
              <w:rPr>
                <w:rFonts w:ascii="Arial Narrow" w:hAnsi="Arial Narrow"/>
                <w:sz w:val="20"/>
                <w:szCs w:val="16"/>
                <w:lang w:val="en-US"/>
              </w:rPr>
              <w:t xml:space="preserve"> (≥10yrs) treatment naïve w/ history of bone disease problems</w:t>
            </w:r>
          </w:p>
        </w:tc>
        <w:tc>
          <w:tcPr>
            <w:tcW w:w="1008" w:type="pct"/>
            <w:shd w:val="clear" w:color="auto" w:fill="auto"/>
            <w:vAlign w:val="center"/>
          </w:tcPr>
          <w:p w:rsidR="009710A3" w:rsidRPr="00E2771E" w:rsidRDefault="00A20004" w:rsidP="009710A3">
            <w:pPr>
              <w:jc w:val="center"/>
              <w:rPr>
                <w:rFonts w:ascii="Arial Narrow" w:hAnsi="Arial Narrow"/>
                <w:sz w:val="20"/>
                <w:szCs w:val="16"/>
                <w:lang w:val="en-US"/>
              </w:rPr>
            </w:pPr>
            <w:r>
              <w:rPr>
                <w:rFonts w:ascii="Arial Narrow" w:hAnsi="Arial Narrow"/>
                <w:sz w:val="20"/>
                <w:szCs w:val="16"/>
                <w:lang w:val="en-US"/>
              </w:rPr>
              <w:t>Improvement in bone pain, bone crises and bone mineral density</w:t>
            </w:r>
          </w:p>
        </w:tc>
      </w:tr>
      <w:tr w:rsidR="009710A3" w:rsidRPr="00E2771E" w:rsidTr="009710A3">
        <w:tc>
          <w:tcPr>
            <w:tcW w:w="5000" w:type="pct"/>
            <w:gridSpan w:val="6"/>
            <w:shd w:val="clear" w:color="auto" w:fill="auto"/>
            <w:vAlign w:val="center"/>
          </w:tcPr>
          <w:p w:rsidR="009710A3" w:rsidRPr="009710A3" w:rsidRDefault="009710A3" w:rsidP="009710A3">
            <w:pPr>
              <w:jc w:val="left"/>
              <w:rPr>
                <w:rFonts w:ascii="Arial Narrow" w:hAnsi="Arial Narrow"/>
                <w:b/>
                <w:sz w:val="20"/>
                <w:szCs w:val="16"/>
                <w:lang w:val="en-US"/>
              </w:rPr>
            </w:pPr>
            <w:proofErr w:type="spellStart"/>
            <w:r w:rsidRPr="009710A3">
              <w:rPr>
                <w:rFonts w:ascii="Arial Narrow" w:hAnsi="Arial Narrow"/>
                <w:b/>
                <w:sz w:val="20"/>
                <w:szCs w:val="16"/>
                <w:lang w:val="en-US"/>
              </w:rPr>
              <w:t>Velaglucerase</w:t>
            </w:r>
            <w:proofErr w:type="spellEnd"/>
            <w:r w:rsidRPr="009710A3">
              <w:rPr>
                <w:rFonts w:ascii="Arial Narrow" w:hAnsi="Arial Narrow"/>
                <w:b/>
                <w:sz w:val="20"/>
                <w:szCs w:val="16"/>
                <w:lang w:val="en-US"/>
              </w:rPr>
              <w:t xml:space="preserve"> alfa randomised trial</w:t>
            </w:r>
          </w:p>
        </w:tc>
      </w:tr>
      <w:tr w:rsidR="00757510" w:rsidRPr="00E2771E" w:rsidTr="00757510">
        <w:tc>
          <w:tcPr>
            <w:tcW w:w="679" w:type="pct"/>
            <w:shd w:val="clear" w:color="auto" w:fill="auto"/>
            <w:vAlign w:val="center"/>
          </w:tcPr>
          <w:p w:rsidR="00757510" w:rsidRDefault="00757510" w:rsidP="009710A3">
            <w:pPr>
              <w:jc w:val="left"/>
              <w:rPr>
                <w:rFonts w:ascii="Arial Narrow" w:hAnsi="Arial Narrow"/>
                <w:sz w:val="20"/>
                <w:szCs w:val="16"/>
                <w:lang w:val="en-US"/>
              </w:rPr>
            </w:pPr>
            <w:r>
              <w:rPr>
                <w:rFonts w:ascii="Arial Narrow" w:hAnsi="Arial Narrow"/>
                <w:sz w:val="20"/>
                <w:szCs w:val="16"/>
                <w:lang w:val="en-US"/>
              </w:rPr>
              <w:t>HGT-039</w:t>
            </w:r>
          </w:p>
        </w:tc>
        <w:tc>
          <w:tcPr>
            <w:tcW w:w="4321" w:type="pct"/>
            <w:gridSpan w:val="5"/>
            <w:shd w:val="clear" w:color="auto" w:fill="auto"/>
            <w:vAlign w:val="center"/>
          </w:tcPr>
          <w:p w:rsidR="00757510" w:rsidRPr="00E2771E" w:rsidRDefault="00757510" w:rsidP="00757510">
            <w:pPr>
              <w:jc w:val="center"/>
              <w:rPr>
                <w:rFonts w:ascii="Arial Narrow" w:hAnsi="Arial Narrow"/>
                <w:sz w:val="20"/>
                <w:szCs w:val="16"/>
                <w:lang w:val="en-US"/>
              </w:rPr>
            </w:pPr>
            <w:r>
              <w:rPr>
                <w:rFonts w:ascii="Arial Narrow" w:hAnsi="Arial Narrow"/>
                <w:sz w:val="20"/>
                <w:szCs w:val="16"/>
                <w:lang w:val="en-US"/>
              </w:rPr>
              <w:t>(see above)</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t>TKT-032</w:t>
            </w:r>
          </w:p>
        </w:tc>
        <w:tc>
          <w:tcPr>
            <w:tcW w:w="864" w:type="pct"/>
            <w:shd w:val="clear" w:color="auto" w:fill="auto"/>
            <w:vAlign w:val="center"/>
          </w:tcPr>
          <w:p w:rsidR="009710A3" w:rsidRPr="00E2771E" w:rsidRDefault="00EE1CDE" w:rsidP="009710A3">
            <w:pPr>
              <w:jc w:val="center"/>
              <w:rPr>
                <w:rFonts w:ascii="Arial Narrow" w:hAnsi="Arial Narrow"/>
                <w:sz w:val="20"/>
                <w:szCs w:val="16"/>
                <w:lang w:val="en-US"/>
              </w:rPr>
            </w:pPr>
            <w:r>
              <w:rPr>
                <w:rFonts w:ascii="Arial Narrow" w:hAnsi="Arial Narrow"/>
                <w:sz w:val="20"/>
                <w:szCs w:val="16"/>
                <w:lang w:val="en-US"/>
              </w:rPr>
              <w:t>25</w:t>
            </w:r>
          </w:p>
        </w:tc>
        <w:tc>
          <w:tcPr>
            <w:tcW w:w="864" w:type="pct"/>
            <w:shd w:val="clear" w:color="auto" w:fill="auto"/>
            <w:vAlign w:val="center"/>
          </w:tcPr>
          <w:p w:rsidR="009710A3" w:rsidRDefault="00757510" w:rsidP="009710A3">
            <w:pPr>
              <w:jc w:val="center"/>
              <w:rPr>
                <w:rFonts w:ascii="Arial Narrow" w:hAnsi="Arial Narrow"/>
                <w:sz w:val="20"/>
                <w:szCs w:val="16"/>
                <w:lang w:val="en-US"/>
              </w:rPr>
            </w:pPr>
            <w:r>
              <w:rPr>
                <w:rFonts w:ascii="Arial Narrow" w:hAnsi="Arial Narrow"/>
                <w:sz w:val="20"/>
                <w:szCs w:val="16"/>
                <w:lang w:val="en-US"/>
              </w:rPr>
              <w:t>DB, R, PB, MC</w:t>
            </w:r>
          </w:p>
          <w:p w:rsidR="00757510" w:rsidRPr="00E2771E" w:rsidRDefault="00757510" w:rsidP="009710A3">
            <w:pPr>
              <w:jc w:val="center"/>
              <w:rPr>
                <w:rFonts w:ascii="Arial Narrow" w:hAnsi="Arial Narrow"/>
                <w:sz w:val="20"/>
                <w:szCs w:val="16"/>
                <w:lang w:val="en-US"/>
              </w:rPr>
            </w:pPr>
            <w:r>
              <w:rPr>
                <w:rFonts w:ascii="Arial Narrow" w:hAnsi="Arial Narrow"/>
                <w:sz w:val="20"/>
                <w:szCs w:val="16"/>
                <w:lang w:val="en-US"/>
              </w:rPr>
              <w:t xml:space="preserve">12 </w:t>
            </w:r>
            <w:proofErr w:type="spellStart"/>
            <w:r>
              <w:rPr>
                <w:rFonts w:ascii="Arial Narrow" w:hAnsi="Arial Narrow"/>
                <w:sz w:val="20"/>
                <w:szCs w:val="16"/>
                <w:lang w:val="en-US"/>
              </w:rPr>
              <w:t>mths</w:t>
            </w:r>
            <w:proofErr w:type="spellEnd"/>
          </w:p>
        </w:tc>
        <w:tc>
          <w:tcPr>
            <w:tcW w:w="650" w:type="pct"/>
            <w:shd w:val="clear" w:color="auto" w:fill="auto"/>
            <w:vAlign w:val="center"/>
          </w:tcPr>
          <w:p w:rsidR="009710A3" w:rsidRDefault="00EE1CDE" w:rsidP="009710A3">
            <w:pPr>
              <w:jc w:val="center"/>
              <w:rPr>
                <w:rFonts w:ascii="Arial Narrow" w:hAnsi="Arial Narrow"/>
                <w:sz w:val="20"/>
                <w:szCs w:val="16"/>
                <w:lang w:val="en-US"/>
              </w:rPr>
            </w:pPr>
            <w:r>
              <w:rPr>
                <w:rFonts w:ascii="Arial Narrow" w:hAnsi="Arial Narrow"/>
                <w:sz w:val="20"/>
                <w:szCs w:val="16"/>
                <w:lang w:val="en-US"/>
              </w:rPr>
              <w:t>Unclear</w:t>
            </w:r>
          </w:p>
        </w:tc>
        <w:tc>
          <w:tcPr>
            <w:tcW w:w="935" w:type="pct"/>
            <w:shd w:val="clear" w:color="auto" w:fill="auto"/>
            <w:vAlign w:val="center"/>
          </w:tcPr>
          <w:p w:rsidR="009710A3" w:rsidRPr="00E2771E" w:rsidRDefault="00D30909" w:rsidP="009710A3">
            <w:pPr>
              <w:jc w:val="center"/>
              <w:rPr>
                <w:rFonts w:ascii="Arial Narrow" w:hAnsi="Arial Narrow"/>
                <w:sz w:val="20"/>
                <w:szCs w:val="16"/>
                <w:lang w:val="en-US"/>
              </w:rPr>
            </w:pPr>
            <w:r>
              <w:rPr>
                <w:rFonts w:ascii="Arial Narrow" w:hAnsi="Arial Narrow"/>
                <w:sz w:val="20"/>
                <w:szCs w:val="16"/>
                <w:lang w:val="en-US"/>
              </w:rPr>
              <w:t xml:space="preserve">Treatment naïve adult and </w:t>
            </w:r>
            <w:proofErr w:type="spellStart"/>
            <w:r>
              <w:rPr>
                <w:rFonts w:ascii="Arial Narrow" w:hAnsi="Arial Narrow"/>
                <w:sz w:val="20"/>
                <w:szCs w:val="16"/>
                <w:lang w:val="en-US"/>
              </w:rPr>
              <w:t>paediatric</w:t>
            </w:r>
            <w:proofErr w:type="spellEnd"/>
          </w:p>
        </w:tc>
        <w:tc>
          <w:tcPr>
            <w:tcW w:w="1008" w:type="pct"/>
            <w:shd w:val="clear" w:color="auto" w:fill="auto"/>
            <w:vAlign w:val="center"/>
          </w:tcPr>
          <w:p w:rsidR="009710A3" w:rsidRPr="00E2771E" w:rsidRDefault="00757510" w:rsidP="009710A3">
            <w:pPr>
              <w:jc w:val="center"/>
              <w:rPr>
                <w:rFonts w:ascii="Arial Narrow" w:hAnsi="Arial Narrow"/>
                <w:sz w:val="20"/>
                <w:szCs w:val="16"/>
                <w:lang w:val="en-US"/>
              </w:rPr>
            </w:pPr>
            <w:proofErr w:type="spellStart"/>
            <w:r>
              <w:rPr>
                <w:rFonts w:ascii="Arial Narrow" w:hAnsi="Arial Narrow"/>
                <w:sz w:val="20"/>
                <w:szCs w:val="16"/>
                <w:lang w:val="en-US"/>
              </w:rPr>
              <w:t>Haemoglobin</w:t>
            </w:r>
            <w:proofErr w:type="spellEnd"/>
            <w:r>
              <w:rPr>
                <w:rFonts w:ascii="Arial Narrow" w:hAnsi="Arial Narrow"/>
                <w:sz w:val="20"/>
                <w:szCs w:val="16"/>
                <w:lang w:val="en-US"/>
              </w:rPr>
              <w:t xml:space="preserve"> change in 60</w:t>
            </w:r>
            <w:r w:rsidR="00577BCD">
              <w:rPr>
                <w:rFonts w:ascii="Arial Narrow" w:hAnsi="Arial Narrow"/>
                <w:sz w:val="20"/>
                <w:szCs w:val="16"/>
                <w:lang w:val="en-US"/>
              </w:rPr>
              <w:t xml:space="preserve"> </w:t>
            </w:r>
            <w:r>
              <w:rPr>
                <w:rFonts w:ascii="Arial Narrow" w:hAnsi="Arial Narrow"/>
                <w:sz w:val="20"/>
                <w:szCs w:val="16"/>
                <w:lang w:val="en-US"/>
              </w:rPr>
              <w:t>U/kg group</w:t>
            </w:r>
          </w:p>
        </w:tc>
      </w:tr>
      <w:tr w:rsidR="009710A3" w:rsidRPr="00E2771E" w:rsidTr="009710A3">
        <w:tc>
          <w:tcPr>
            <w:tcW w:w="5000" w:type="pct"/>
            <w:gridSpan w:val="6"/>
            <w:shd w:val="clear" w:color="auto" w:fill="auto"/>
            <w:vAlign w:val="center"/>
          </w:tcPr>
          <w:p w:rsidR="009710A3" w:rsidRPr="009710A3" w:rsidRDefault="009710A3" w:rsidP="009710A3">
            <w:pPr>
              <w:jc w:val="left"/>
              <w:rPr>
                <w:rFonts w:ascii="Arial Narrow" w:hAnsi="Arial Narrow"/>
                <w:b/>
                <w:sz w:val="20"/>
                <w:szCs w:val="16"/>
                <w:lang w:val="en-US"/>
              </w:rPr>
            </w:pPr>
            <w:proofErr w:type="spellStart"/>
            <w:r w:rsidRPr="009710A3">
              <w:rPr>
                <w:rFonts w:ascii="Arial Narrow" w:hAnsi="Arial Narrow"/>
                <w:b/>
                <w:sz w:val="20"/>
                <w:szCs w:val="16"/>
                <w:lang w:val="en-US"/>
              </w:rPr>
              <w:t>Velaglucerase</w:t>
            </w:r>
            <w:proofErr w:type="spellEnd"/>
            <w:r w:rsidRPr="009710A3">
              <w:rPr>
                <w:rFonts w:ascii="Arial Narrow" w:hAnsi="Arial Narrow"/>
                <w:b/>
                <w:sz w:val="20"/>
                <w:szCs w:val="16"/>
                <w:lang w:val="en-US"/>
              </w:rPr>
              <w:t xml:space="preserve"> alfa non-randomised studies</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t>TKT-034</w:t>
            </w:r>
          </w:p>
        </w:tc>
        <w:tc>
          <w:tcPr>
            <w:tcW w:w="864" w:type="pct"/>
            <w:shd w:val="clear" w:color="auto" w:fill="auto"/>
            <w:vAlign w:val="center"/>
          </w:tcPr>
          <w:p w:rsidR="009710A3" w:rsidRPr="00E2771E" w:rsidRDefault="00EE1CDE" w:rsidP="009710A3">
            <w:pPr>
              <w:jc w:val="center"/>
              <w:rPr>
                <w:rFonts w:ascii="Arial Narrow" w:hAnsi="Arial Narrow"/>
                <w:sz w:val="20"/>
                <w:szCs w:val="16"/>
                <w:lang w:val="en-US"/>
              </w:rPr>
            </w:pPr>
            <w:r>
              <w:rPr>
                <w:rFonts w:ascii="Arial Narrow" w:hAnsi="Arial Narrow"/>
                <w:sz w:val="20"/>
                <w:szCs w:val="16"/>
                <w:lang w:val="en-US"/>
              </w:rPr>
              <w:t>40</w:t>
            </w:r>
          </w:p>
        </w:tc>
        <w:tc>
          <w:tcPr>
            <w:tcW w:w="864" w:type="pct"/>
            <w:shd w:val="clear" w:color="auto" w:fill="auto"/>
            <w:vAlign w:val="center"/>
          </w:tcPr>
          <w:p w:rsidR="009710A3" w:rsidRDefault="00757510" w:rsidP="009710A3">
            <w:pPr>
              <w:jc w:val="center"/>
              <w:rPr>
                <w:rFonts w:ascii="Arial Narrow" w:hAnsi="Arial Narrow"/>
                <w:sz w:val="20"/>
                <w:szCs w:val="16"/>
                <w:lang w:val="en-US"/>
              </w:rPr>
            </w:pPr>
            <w:r>
              <w:rPr>
                <w:rFonts w:ascii="Arial Narrow" w:hAnsi="Arial Narrow"/>
                <w:sz w:val="20"/>
                <w:szCs w:val="16"/>
                <w:lang w:val="en-US"/>
              </w:rPr>
              <w:t>OL, MC</w:t>
            </w:r>
          </w:p>
          <w:p w:rsidR="00757510" w:rsidRPr="00E2771E" w:rsidRDefault="00757510" w:rsidP="009710A3">
            <w:pPr>
              <w:jc w:val="center"/>
              <w:rPr>
                <w:rFonts w:ascii="Arial Narrow" w:hAnsi="Arial Narrow"/>
                <w:sz w:val="20"/>
                <w:szCs w:val="16"/>
                <w:lang w:val="en-US"/>
              </w:rPr>
            </w:pPr>
          </w:p>
        </w:tc>
        <w:tc>
          <w:tcPr>
            <w:tcW w:w="650" w:type="pct"/>
            <w:shd w:val="clear" w:color="auto" w:fill="auto"/>
            <w:vAlign w:val="center"/>
          </w:tcPr>
          <w:p w:rsidR="009710A3" w:rsidRDefault="00EE1CDE" w:rsidP="009710A3">
            <w:pPr>
              <w:jc w:val="center"/>
              <w:rPr>
                <w:rFonts w:ascii="Arial Narrow" w:hAnsi="Arial Narrow"/>
                <w:sz w:val="20"/>
                <w:szCs w:val="16"/>
                <w:lang w:val="en-US"/>
              </w:rPr>
            </w:pPr>
            <w:r>
              <w:rPr>
                <w:rFonts w:ascii="Arial Narrow" w:hAnsi="Arial Narrow"/>
                <w:sz w:val="20"/>
                <w:szCs w:val="16"/>
                <w:lang w:val="en-US"/>
              </w:rPr>
              <w:t>High</w:t>
            </w:r>
          </w:p>
        </w:tc>
        <w:tc>
          <w:tcPr>
            <w:tcW w:w="935" w:type="pct"/>
            <w:shd w:val="clear" w:color="auto" w:fill="auto"/>
            <w:vAlign w:val="center"/>
          </w:tcPr>
          <w:p w:rsidR="009710A3" w:rsidRPr="00E2771E" w:rsidRDefault="00757510" w:rsidP="009710A3">
            <w:pPr>
              <w:jc w:val="center"/>
              <w:rPr>
                <w:rFonts w:ascii="Arial Narrow" w:hAnsi="Arial Narrow"/>
                <w:sz w:val="20"/>
                <w:szCs w:val="16"/>
                <w:lang w:val="en-US"/>
              </w:rPr>
            </w:pPr>
            <w:r>
              <w:rPr>
                <w:rFonts w:ascii="Arial Narrow" w:hAnsi="Arial Narrow"/>
                <w:sz w:val="20"/>
                <w:szCs w:val="16"/>
                <w:lang w:val="en-US"/>
              </w:rPr>
              <w:t xml:space="preserve">Adult and </w:t>
            </w:r>
            <w:proofErr w:type="spellStart"/>
            <w:r>
              <w:rPr>
                <w:rFonts w:ascii="Arial Narrow" w:hAnsi="Arial Narrow"/>
                <w:sz w:val="20"/>
                <w:szCs w:val="16"/>
                <w:lang w:val="en-US"/>
              </w:rPr>
              <w:t>paediatric</w:t>
            </w:r>
            <w:proofErr w:type="spellEnd"/>
            <w:r>
              <w:rPr>
                <w:rFonts w:ascii="Arial Narrow" w:hAnsi="Arial Narrow"/>
                <w:sz w:val="20"/>
                <w:szCs w:val="16"/>
                <w:lang w:val="en-US"/>
              </w:rPr>
              <w:t xml:space="preserve"> treatment experienced with </w:t>
            </w:r>
            <w:proofErr w:type="spellStart"/>
            <w:r>
              <w:rPr>
                <w:rFonts w:ascii="Arial Narrow" w:hAnsi="Arial Narrow"/>
                <w:sz w:val="20"/>
                <w:szCs w:val="16"/>
                <w:lang w:val="en-US"/>
              </w:rPr>
              <w:t>imiglucerase</w:t>
            </w:r>
            <w:proofErr w:type="spellEnd"/>
          </w:p>
        </w:tc>
        <w:tc>
          <w:tcPr>
            <w:tcW w:w="1008" w:type="pct"/>
            <w:shd w:val="clear" w:color="auto" w:fill="auto"/>
            <w:vAlign w:val="center"/>
          </w:tcPr>
          <w:p w:rsidR="009710A3" w:rsidRPr="00E2771E" w:rsidRDefault="00757510" w:rsidP="009710A3">
            <w:pPr>
              <w:jc w:val="center"/>
              <w:rPr>
                <w:rFonts w:ascii="Arial Narrow" w:hAnsi="Arial Narrow"/>
                <w:sz w:val="20"/>
                <w:szCs w:val="16"/>
                <w:lang w:val="en-US"/>
              </w:rPr>
            </w:pPr>
            <w:r>
              <w:rPr>
                <w:rFonts w:ascii="Arial Narrow" w:hAnsi="Arial Narrow"/>
                <w:sz w:val="20"/>
                <w:szCs w:val="16"/>
                <w:lang w:val="en-US"/>
              </w:rPr>
              <w:t>Safety</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t>TKT-025/ext.</w:t>
            </w:r>
          </w:p>
        </w:tc>
        <w:tc>
          <w:tcPr>
            <w:tcW w:w="864" w:type="pct"/>
            <w:shd w:val="clear" w:color="auto" w:fill="auto"/>
            <w:vAlign w:val="center"/>
          </w:tcPr>
          <w:p w:rsidR="009710A3" w:rsidRPr="00E2771E" w:rsidRDefault="00EE1CDE" w:rsidP="009710A3">
            <w:pPr>
              <w:jc w:val="center"/>
              <w:rPr>
                <w:rFonts w:ascii="Arial Narrow" w:hAnsi="Arial Narrow"/>
                <w:sz w:val="20"/>
                <w:szCs w:val="16"/>
                <w:lang w:val="en-US"/>
              </w:rPr>
            </w:pPr>
            <w:r>
              <w:rPr>
                <w:rFonts w:ascii="Arial Narrow" w:hAnsi="Arial Narrow"/>
                <w:sz w:val="20"/>
                <w:szCs w:val="16"/>
                <w:lang w:val="en-US"/>
              </w:rPr>
              <w:t>12 / 9</w:t>
            </w:r>
          </w:p>
        </w:tc>
        <w:tc>
          <w:tcPr>
            <w:tcW w:w="864" w:type="pct"/>
            <w:shd w:val="clear" w:color="auto" w:fill="auto"/>
            <w:vAlign w:val="center"/>
          </w:tcPr>
          <w:p w:rsidR="009710A3" w:rsidRDefault="00595D7F" w:rsidP="009710A3">
            <w:pPr>
              <w:jc w:val="center"/>
              <w:rPr>
                <w:rFonts w:ascii="Arial Narrow" w:hAnsi="Arial Narrow"/>
                <w:sz w:val="20"/>
                <w:szCs w:val="16"/>
                <w:lang w:val="en-US"/>
              </w:rPr>
            </w:pPr>
            <w:r>
              <w:rPr>
                <w:rFonts w:ascii="Arial Narrow" w:hAnsi="Arial Narrow"/>
                <w:sz w:val="20"/>
                <w:szCs w:val="16"/>
                <w:lang w:val="en-US"/>
              </w:rPr>
              <w:t xml:space="preserve">OL, Phase 1/2 </w:t>
            </w:r>
            <w:r>
              <w:rPr>
                <w:rFonts w:ascii="Arial Narrow" w:hAnsi="Arial Narrow"/>
                <w:sz w:val="20"/>
                <w:szCs w:val="16"/>
                <w:lang w:val="en-US"/>
              </w:rPr>
              <w:lastRenderedPageBreak/>
              <w:t>+</w:t>
            </w:r>
            <w:proofErr w:type="spellStart"/>
            <w:r>
              <w:rPr>
                <w:rFonts w:ascii="Arial Narrow" w:hAnsi="Arial Narrow"/>
                <w:sz w:val="20"/>
                <w:szCs w:val="16"/>
                <w:lang w:val="en-US"/>
              </w:rPr>
              <w:t>ext</w:t>
            </w:r>
            <w:proofErr w:type="spellEnd"/>
          </w:p>
          <w:p w:rsidR="00595D7F" w:rsidRPr="00E2771E" w:rsidRDefault="00595D7F" w:rsidP="009710A3">
            <w:pPr>
              <w:jc w:val="center"/>
              <w:rPr>
                <w:rFonts w:ascii="Arial Narrow" w:hAnsi="Arial Narrow"/>
                <w:sz w:val="20"/>
                <w:szCs w:val="16"/>
                <w:lang w:val="en-US"/>
              </w:rPr>
            </w:pPr>
            <w:r>
              <w:rPr>
                <w:rFonts w:ascii="Arial Narrow" w:hAnsi="Arial Narrow"/>
                <w:sz w:val="20"/>
                <w:szCs w:val="16"/>
                <w:lang w:val="en-US"/>
              </w:rPr>
              <w:t xml:space="preserve">9 </w:t>
            </w:r>
            <w:proofErr w:type="spellStart"/>
            <w:r>
              <w:rPr>
                <w:rFonts w:ascii="Arial Narrow" w:hAnsi="Arial Narrow"/>
                <w:sz w:val="20"/>
                <w:szCs w:val="16"/>
                <w:lang w:val="en-US"/>
              </w:rPr>
              <w:t>mths</w:t>
            </w:r>
            <w:proofErr w:type="spellEnd"/>
            <w:r>
              <w:rPr>
                <w:rFonts w:ascii="Arial Narrow" w:hAnsi="Arial Narrow"/>
                <w:sz w:val="20"/>
                <w:szCs w:val="16"/>
                <w:lang w:val="en-US"/>
              </w:rPr>
              <w:t xml:space="preserve"> + 5 </w:t>
            </w:r>
            <w:proofErr w:type="spellStart"/>
            <w:r>
              <w:rPr>
                <w:rFonts w:ascii="Arial Narrow" w:hAnsi="Arial Narrow"/>
                <w:sz w:val="20"/>
                <w:szCs w:val="16"/>
                <w:lang w:val="en-US"/>
              </w:rPr>
              <w:t>yrs</w:t>
            </w:r>
            <w:proofErr w:type="spellEnd"/>
          </w:p>
        </w:tc>
        <w:tc>
          <w:tcPr>
            <w:tcW w:w="650" w:type="pct"/>
            <w:shd w:val="clear" w:color="auto" w:fill="auto"/>
            <w:vAlign w:val="center"/>
          </w:tcPr>
          <w:p w:rsidR="009710A3" w:rsidRDefault="00EE1CDE" w:rsidP="009710A3">
            <w:pPr>
              <w:jc w:val="center"/>
              <w:rPr>
                <w:rFonts w:ascii="Arial Narrow" w:hAnsi="Arial Narrow"/>
                <w:sz w:val="20"/>
                <w:szCs w:val="16"/>
                <w:lang w:val="en-US"/>
              </w:rPr>
            </w:pPr>
            <w:r>
              <w:rPr>
                <w:rFonts w:ascii="Arial Narrow" w:hAnsi="Arial Narrow"/>
                <w:sz w:val="20"/>
                <w:szCs w:val="16"/>
                <w:lang w:val="en-US"/>
              </w:rPr>
              <w:lastRenderedPageBreak/>
              <w:t>High</w:t>
            </w:r>
          </w:p>
        </w:tc>
        <w:tc>
          <w:tcPr>
            <w:tcW w:w="935" w:type="pct"/>
            <w:shd w:val="clear" w:color="auto" w:fill="auto"/>
            <w:vAlign w:val="center"/>
          </w:tcPr>
          <w:p w:rsidR="009710A3" w:rsidRPr="00E2771E" w:rsidRDefault="00595D7F" w:rsidP="009710A3">
            <w:pPr>
              <w:jc w:val="center"/>
              <w:rPr>
                <w:rFonts w:ascii="Arial Narrow" w:hAnsi="Arial Narrow"/>
                <w:sz w:val="20"/>
                <w:szCs w:val="16"/>
                <w:lang w:val="en-US"/>
              </w:rPr>
            </w:pPr>
            <w:r>
              <w:rPr>
                <w:rFonts w:ascii="Arial Narrow" w:hAnsi="Arial Narrow"/>
                <w:sz w:val="20"/>
                <w:szCs w:val="16"/>
                <w:lang w:val="en-US"/>
              </w:rPr>
              <w:t xml:space="preserve">Adults w/ intact </w:t>
            </w:r>
            <w:r>
              <w:rPr>
                <w:rFonts w:ascii="Arial Narrow" w:hAnsi="Arial Narrow"/>
                <w:sz w:val="20"/>
                <w:szCs w:val="16"/>
                <w:lang w:val="en-US"/>
              </w:rPr>
              <w:lastRenderedPageBreak/>
              <w:t>spleen, treatment naive</w:t>
            </w:r>
          </w:p>
        </w:tc>
        <w:tc>
          <w:tcPr>
            <w:tcW w:w="1008" w:type="pct"/>
            <w:shd w:val="clear" w:color="auto" w:fill="auto"/>
            <w:vAlign w:val="center"/>
          </w:tcPr>
          <w:p w:rsidR="009710A3" w:rsidRPr="00E2771E" w:rsidRDefault="00757510" w:rsidP="009710A3">
            <w:pPr>
              <w:jc w:val="center"/>
              <w:rPr>
                <w:rFonts w:ascii="Arial Narrow" w:hAnsi="Arial Narrow"/>
                <w:sz w:val="20"/>
                <w:szCs w:val="16"/>
                <w:lang w:val="en-US"/>
              </w:rPr>
            </w:pPr>
            <w:proofErr w:type="spellStart"/>
            <w:r>
              <w:rPr>
                <w:rFonts w:ascii="Arial Narrow" w:hAnsi="Arial Narrow"/>
                <w:sz w:val="20"/>
                <w:szCs w:val="16"/>
                <w:lang w:val="en-US"/>
              </w:rPr>
              <w:lastRenderedPageBreak/>
              <w:t>Haemoglobin</w:t>
            </w:r>
            <w:proofErr w:type="spellEnd"/>
            <w:r>
              <w:rPr>
                <w:rFonts w:ascii="Arial Narrow" w:hAnsi="Arial Narrow"/>
                <w:sz w:val="20"/>
                <w:szCs w:val="16"/>
                <w:lang w:val="en-US"/>
              </w:rPr>
              <w:t xml:space="preserve">, </w:t>
            </w:r>
            <w:r>
              <w:rPr>
                <w:rFonts w:ascii="Arial Narrow" w:hAnsi="Arial Narrow"/>
                <w:sz w:val="20"/>
                <w:szCs w:val="16"/>
                <w:lang w:val="en-US"/>
              </w:rPr>
              <w:lastRenderedPageBreak/>
              <w:t>platelets, liver /spleen volume, biomarkers</w:t>
            </w:r>
          </w:p>
        </w:tc>
      </w:tr>
      <w:tr w:rsidR="009710A3" w:rsidRPr="00E2771E" w:rsidTr="00595D7F">
        <w:tc>
          <w:tcPr>
            <w:tcW w:w="679" w:type="pct"/>
            <w:shd w:val="clear" w:color="auto" w:fill="auto"/>
            <w:vAlign w:val="center"/>
          </w:tcPr>
          <w:p w:rsidR="009710A3" w:rsidRPr="00E2771E" w:rsidRDefault="009710A3" w:rsidP="009710A3">
            <w:pPr>
              <w:jc w:val="left"/>
              <w:rPr>
                <w:rFonts w:ascii="Arial Narrow" w:hAnsi="Arial Narrow"/>
                <w:sz w:val="20"/>
                <w:szCs w:val="16"/>
                <w:lang w:val="en-US"/>
              </w:rPr>
            </w:pPr>
            <w:r>
              <w:rPr>
                <w:rFonts w:ascii="Arial Narrow" w:hAnsi="Arial Narrow"/>
                <w:sz w:val="20"/>
                <w:szCs w:val="16"/>
                <w:lang w:val="en-US"/>
              </w:rPr>
              <w:lastRenderedPageBreak/>
              <w:t>HGT-044</w:t>
            </w:r>
          </w:p>
        </w:tc>
        <w:tc>
          <w:tcPr>
            <w:tcW w:w="864" w:type="pct"/>
            <w:shd w:val="clear" w:color="auto" w:fill="auto"/>
            <w:vAlign w:val="center"/>
          </w:tcPr>
          <w:p w:rsidR="009710A3" w:rsidRPr="00E2771E" w:rsidRDefault="00EE1CDE" w:rsidP="009710A3">
            <w:pPr>
              <w:jc w:val="center"/>
              <w:rPr>
                <w:rFonts w:ascii="Arial Narrow" w:hAnsi="Arial Narrow"/>
                <w:sz w:val="20"/>
                <w:szCs w:val="16"/>
                <w:lang w:val="en-US"/>
              </w:rPr>
            </w:pPr>
            <w:r>
              <w:rPr>
                <w:rFonts w:ascii="Arial Narrow" w:hAnsi="Arial Narrow"/>
                <w:sz w:val="20"/>
                <w:szCs w:val="16"/>
                <w:lang w:val="en-US"/>
              </w:rPr>
              <w:t>32</w:t>
            </w:r>
          </w:p>
        </w:tc>
        <w:tc>
          <w:tcPr>
            <w:tcW w:w="864" w:type="pct"/>
            <w:shd w:val="clear" w:color="auto" w:fill="auto"/>
            <w:vAlign w:val="center"/>
          </w:tcPr>
          <w:p w:rsidR="009710A3" w:rsidRDefault="00757510" w:rsidP="009710A3">
            <w:pPr>
              <w:jc w:val="center"/>
              <w:rPr>
                <w:rFonts w:ascii="Arial Narrow" w:hAnsi="Arial Narrow"/>
                <w:sz w:val="20"/>
                <w:szCs w:val="16"/>
                <w:lang w:val="en-US"/>
              </w:rPr>
            </w:pPr>
            <w:r>
              <w:rPr>
                <w:rFonts w:ascii="Arial Narrow" w:hAnsi="Arial Narrow"/>
                <w:sz w:val="20"/>
                <w:szCs w:val="16"/>
                <w:lang w:val="en-US"/>
              </w:rPr>
              <w:t>OL, ext. of HGT-039</w:t>
            </w:r>
          </w:p>
          <w:p w:rsidR="00757510" w:rsidRPr="00E2771E" w:rsidRDefault="00757510" w:rsidP="009710A3">
            <w:pPr>
              <w:jc w:val="center"/>
              <w:rPr>
                <w:rFonts w:ascii="Arial Narrow" w:hAnsi="Arial Narrow"/>
                <w:sz w:val="20"/>
                <w:szCs w:val="16"/>
                <w:lang w:val="en-US"/>
              </w:rPr>
            </w:pPr>
            <w:r>
              <w:rPr>
                <w:rFonts w:ascii="Arial Narrow" w:hAnsi="Arial Narrow"/>
                <w:sz w:val="20"/>
                <w:szCs w:val="16"/>
                <w:lang w:val="en-US"/>
              </w:rPr>
              <w:t xml:space="preserve">15 </w:t>
            </w:r>
            <w:proofErr w:type="spellStart"/>
            <w:r>
              <w:rPr>
                <w:rFonts w:ascii="Arial Narrow" w:hAnsi="Arial Narrow"/>
                <w:sz w:val="20"/>
                <w:szCs w:val="16"/>
                <w:lang w:val="en-US"/>
              </w:rPr>
              <w:t>mths</w:t>
            </w:r>
            <w:proofErr w:type="spellEnd"/>
          </w:p>
        </w:tc>
        <w:tc>
          <w:tcPr>
            <w:tcW w:w="650" w:type="pct"/>
            <w:shd w:val="clear" w:color="auto" w:fill="auto"/>
            <w:vAlign w:val="center"/>
          </w:tcPr>
          <w:p w:rsidR="009710A3" w:rsidRDefault="00EE1CDE" w:rsidP="009710A3">
            <w:pPr>
              <w:jc w:val="center"/>
              <w:rPr>
                <w:rFonts w:ascii="Arial Narrow" w:hAnsi="Arial Narrow"/>
                <w:sz w:val="20"/>
                <w:szCs w:val="16"/>
                <w:lang w:val="en-US"/>
              </w:rPr>
            </w:pPr>
            <w:r>
              <w:rPr>
                <w:rFonts w:ascii="Arial Narrow" w:hAnsi="Arial Narrow"/>
                <w:sz w:val="20"/>
                <w:szCs w:val="16"/>
                <w:lang w:val="en-US"/>
              </w:rPr>
              <w:t>High</w:t>
            </w:r>
          </w:p>
        </w:tc>
        <w:tc>
          <w:tcPr>
            <w:tcW w:w="935" w:type="pct"/>
            <w:shd w:val="clear" w:color="auto" w:fill="auto"/>
            <w:vAlign w:val="center"/>
          </w:tcPr>
          <w:p w:rsidR="00757510" w:rsidRPr="00E2771E" w:rsidRDefault="00757510" w:rsidP="00757510">
            <w:pPr>
              <w:jc w:val="center"/>
              <w:rPr>
                <w:rFonts w:ascii="Arial Narrow" w:hAnsi="Arial Narrow"/>
                <w:sz w:val="20"/>
                <w:szCs w:val="16"/>
                <w:lang w:val="en-US"/>
              </w:rPr>
            </w:pPr>
            <w:r>
              <w:rPr>
                <w:rFonts w:ascii="Arial Narrow" w:hAnsi="Arial Narrow"/>
                <w:sz w:val="20"/>
                <w:szCs w:val="16"/>
                <w:lang w:val="en-US"/>
              </w:rPr>
              <w:t xml:space="preserve">Adult and </w:t>
            </w:r>
            <w:proofErr w:type="spellStart"/>
            <w:r>
              <w:rPr>
                <w:rFonts w:ascii="Arial Narrow" w:hAnsi="Arial Narrow"/>
                <w:sz w:val="20"/>
                <w:szCs w:val="16"/>
                <w:lang w:val="en-US"/>
              </w:rPr>
              <w:t>paediatric</w:t>
            </w:r>
            <w:proofErr w:type="spellEnd"/>
            <w:r>
              <w:rPr>
                <w:rFonts w:ascii="Arial Narrow" w:hAnsi="Arial Narrow"/>
                <w:sz w:val="20"/>
                <w:szCs w:val="16"/>
                <w:lang w:val="en-US"/>
              </w:rPr>
              <w:t xml:space="preserve"> treatment experienced with </w:t>
            </w:r>
            <w:proofErr w:type="spellStart"/>
            <w:r>
              <w:rPr>
                <w:rFonts w:ascii="Arial Narrow" w:hAnsi="Arial Narrow"/>
                <w:sz w:val="20"/>
                <w:szCs w:val="16"/>
                <w:lang w:val="en-US"/>
              </w:rPr>
              <w:t>imiglucerase</w:t>
            </w:r>
            <w:proofErr w:type="spellEnd"/>
            <w:r>
              <w:rPr>
                <w:rFonts w:ascii="Arial Narrow" w:hAnsi="Arial Narrow"/>
                <w:sz w:val="20"/>
                <w:szCs w:val="16"/>
                <w:lang w:val="en-US"/>
              </w:rPr>
              <w:t xml:space="preserve"> or </w:t>
            </w:r>
            <w:proofErr w:type="spellStart"/>
            <w:r>
              <w:rPr>
                <w:rFonts w:ascii="Arial Narrow" w:hAnsi="Arial Narrow"/>
                <w:sz w:val="20"/>
                <w:szCs w:val="16"/>
                <w:lang w:val="en-US"/>
              </w:rPr>
              <w:t>velaglucerase</w:t>
            </w:r>
            <w:proofErr w:type="spellEnd"/>
          </w:p>
        </w:tc>
        <w:tc>
          <w:tcPr>
            <w:tcW w:w="1008" w:type="pct"/>
            <w:shd w:val="clear" w:color="auto" w:fill="auto"/>
            <w:vAlign w:val="center"/>
          </w:tcPr>
          <w:p w:rsidR="009710A3" w:rsidRPr="00E2771E" w:rsidRDefault="00757510" w:rsidP="009710A3">
            <w:pPr>
              <w:jc w:val="center"/>
              <w:rPr>
                <w:rFonts w:ascii="Arial Narrow" w:hAnsi="Arial Narrow"/>
                <w:sz w:val="20"/>
                <w:szCs w:val="16"/>
                <w:lang w:val="en-US"/>
              </w:rPr>
            </w:pPr>
            <w:r>
              <w:rPr>
                <w:rFonts w:ascii="Arial Narrow" w:hAnsi="Arial Narrow"/>
                <w:sz w:val="20"/>
                <w:szCs w:val="16"/>
                <w:lang w:val="en-US"/>
              </w:rPr>
              <w:t xml:space="preserve"> Safety and tolerability</w:t>
            </w:r>
          </w:p>
        </w:tc>
      </w:tr>
    </w:tbl>
    <w:p w:rsidR="00595D7F" w:rsidRPr="005474F1" w:rsidRDefault="00595D7F" w:rsidP="005474F1">
      <w:pPr>
        <w:ind w:left="720"/>
        <w:rPr>
          <w:rFonts w:ascii="Arial Narrow" w:hAnsi="Arial Narrow"/>
          <w:sz w:val="18"/>
          <w:szCs w:val="18"/>
        </w:rPr>
      </w:pPr>
      <w:r w:rsidRPr="005474F1">
        <w:rPr>
          <w:rFonts w:ascii="Arial Narrow" w:hAnsi="Arial Narrow"/>
          <w:sz w:val="18"/>
          <w:szCs w:val="18"/>
        </w:rPr>
        <w:t>Note: paediatric populations included patients ≥2 and &lt;18 unless otherwise specified</w:t>
      </w:r>
    </w:p>
    <w:p w:rsidR="009710A3" w:rsidRPr="005474F1" w:rsidRDefault="009710A3" w:rsidP="005474F1">
      <w:pPr>
        <w:ind w:left="720"/>
        <w:rPr>
          <w:rFonts w:ascii="Arial Narrow" w:hAnsi="Arial Narrow"/>
          <w:sz w:val="18"/>
          <w:szCs w:val="18"/>
        </w:rPr>
      </w:pPr>
      <w:r w:rsidRPr="005474F1">
        <w:rPr>
          <w:rFonts w:ascii="Arial Narrow" w:hAnsi="Arial Narrow"/>
          <w:sz w:val="18"/>
          <w:szCs w:val="18"/>
        </w:rPr>
        <w:t xml:space="preserve">DB=double blind; ext., extension; MC=multi-centre; </w:t>
      </w:r>
      <w:proofErr w:type="spellStart"/>
      <w:r w:rsidR="005D4557" w:rsidRPr="005474F1">
        <w:rPr>
          <w:rFonts w:ascii="Arial Narrow" w:hAnsi="Arial Narrow"/>
          <w:sz w:val="18"/>
          <w:szCs w:val="18"/>
        </w:rPr>
        <w:t>mths</w:t>
      </w:r>
      <w:proofErr w:type="spellEnd"/>
      <w:r w:rsidR="005D4557" w:rsidRPr="005474F1">
        <w:rPr>
          <w:rFonts w:ascii="Arial Narrow" w:hAnsi="Arial Narrow"/>
          <w:sz w:val="18"/>
          <w:szCs w:val="18"/>
        </w:rPr>
        <w:t xml:space="preserve">, months; </w:t>
      </w:r>
      <w:r w:rsidRPr="005474F1">
        <w:rPr>
          <w:rFonts w:ascii="Arial Narrow" w:hAnsi="Arial Narrow"/>
          <w:sz w:val="18"/>
          <w:szCs w:val="18"/>
        </w:rPr>
        <w:t>OL=open label; PG, parallel-group; R=randomised</w:t>
      </w:r>
    </w:p>
    <w:p w:rsidR="009710A3" w:rsidRPr="005474F1" w:rsidRDefault="009710A3" w:rsidP="005474F1">
      <w:pPr>
        <w:ind w:left="720"/>
        <w:rPr>
          <w:rFonts w:ascii="Arial Narrow" w:hAnsi="Arial Narrow"/>
          <w:sz w:val="18"/>
          <w:szCs w:val="18"/>
        </w:rPr>
      </w:pPr>
      <w:r w:rsidRPr="005474F1">
        <w:rPr>
          <w:rFonts w:ascii="Arial Narrow" w:hAnsi="Arial Narrow"/>
          <w:sz w:val="18"/>
          <w:szCs w:val="18"/>
        </w:rPr>
        <w:t>Source: compiled during the evaluation</w:t>
      </w:r>
    </w:p>
    <w:p w:rsidR="007F1017" w:rsidRDefault="007F1017" w:rsidP="007F1017">
      <w:pPr>
        <w:widowControl/>
        <w:rPr>
          <w:szCs w:val="22"/>
        </w:rPr>
      </w:pPr>
    </w:p>
    <w:p w:rsidR="00A151DE" w:rsidRDefault="00A151DE" w:rsidP="00A151DE">
      <w:pPr>
        <w:pStyle w:val="ListParagraph"/>
        <w:ind w:left="709"/>
        <w:rPr>
          <w:i/>
          <w:szCs w:val="22"/>
        </w:rPr>
      </w:pPr>
      <w:r>
        <w:rPr>
          <w:i/>
          <w:szCs w:val="22"/>
        </w:rPr>
        <w:t>For more detail on PBAC’s view, see section 7 “PBAC outcome”</w:t>
      </w:r>
    </w:p>
    <w:p w:rsidR="00A151DE" w:rsidRDefault="00A151DE" w:rsidP="007F1017">
      <w:pPr>
        <w:widowControl/>
        <w:rPr>
          <w:szCs w:val="22"/>
        </w:rPr>
      </w:pPr>
    </w:p>
    <w:p w:rsidR="00B60939" w:rsidRPr="00EF0F93" w:rsidRDefault="00B60939" w:rsidP="00EF0F93">
      <w:pPr>
        <w:rPr>
          <w:b/>
          <w:szCs w:val="22"/>
        </w:rPr>
      </w:pPr>
      <w:bookmarkStart w:id="10" w:name="_Toc398646923"/>
      <w:r w:rsidRPr="00EF0F93">
        <w:rPr>
          <w:b/>
          <w:szCs w:val="22"/>
        </w:rPr>
        <w:t>Comparative effectiveness</w:t>
      </w:r>
      <w:bookmarkEnd w:id="10"/>
    </w:p>
    <w:p w:rsidR="00B60939" w:rsidRPr="00882085" w:rsidRDefault="00B60939" w:rsidP="00B60939">
      <w:pPr>
        <w:rPr>
          <w:szCs w:val="22"/>
        </w:rPr>
      </w:pPr>
    </w:p>
    <w:p w:rsidR="00B60939" w:rsidRPr="00AC1B85" w:rsidRDefault="00595D7F" w:rsidP="00C32489">
      <w:pPr>
        <w:pStyle w:val="ListParagraph"/>
        <w:widowControl/>
        <w:numPr>
          <w:ilvl w:val="1"/>
          <w:numId w:val="2"/>
        </w:numPr>
        <w:ind w:left="709" w:hanging="709"/>
        <w:rPr>
          <w:szCs w:val="22"/>
        </w:rPr>
      </w:pPr>
      <w:r w:rsidRPr="00AC1B85">
        <w:t xml:space="preserve">Results </w:t>
      </w:r>
      <w:r w:rsidR="00AD0FC1">
        <w:t>we</w:t>
      </w:r>
      <w:r w:rsidRPr="00AC1B85">
        <w:t>re updat</w:t>
      </w:r>
      <w:r w:rsidR="005D7005" w:rsidRPr="00AC1B85">
        <w:t>ed from the previous submission with new trial data</w:t>
      </w:r>
      <w:r w:rsidR="00577BCD">
        <w:t>.</w:t>
      </w:r>
      <w:r w:rsidR="005D7005" w:rsidRPr="00AC1B85">
        <w:t xml:space="preserve"> </w:t>
      </w:r>
      <w:r w:rsidR="00577BCD">
        <w:t>K</w:t>
      </w:r>
      <w:r w:rsidR="005D7005" w:rsidRPr="00AC1B85">
        <w:t>ey outcomes measured were the same</w:t>
      </w:r>
      <w:r w:rsidR="00F626EA" w:rsidRPr="00AC1B85">
        <w:t xml:space="preserve"> as previously</w:t>
      </w:r>
      <w:r w:rsidR="005D7005" w:rsidRPr="00AC1B85">
        <w:t xml:space="preserve">: change from baseline in haemoglobin levels, platelet counts, and spleen and liver volumes. Differences in baseline levels for these measures, and different methods for calculating spleen and liver volumes in the </w:t>
      </w:r>
      <w:proofErr w:type="spellStart"/>
      <w:r w:rsidR="005D7005" w:rsidRPr="00AC1B85">
        <w:t>taliglucerase</w:t>
      </w:r>
      <w:proofErr w:type="spellEnd"/>
      <w:r w:rsidR="00896815">
        <w:t xml:space="preserve"> alfa</w:t>
      </w:r>
      <w:r w:rsidR="005D7005" w:rsidRPr="00AC1B85">
        <w:t xml:space="preserve"> and </w:t>
      </w:r>
      <w:proofErr w:type="spellStart"/>
      <w:r w:rsidR="005D7005" w:rsidRPr="00AC1B85">
        <w:t>imiglucerase</w:t>
      </w:r>
      <w:proofErr w:type="spellEnd"/>
      <w:r w:rsidR="005D7005" w:rsidRPr="00AC1B85">
        <w:t>/</w:t>
      </w:r>
      <w:proofErr w:type="spellStart"/>
      <w:r w:rsidR="005D7005" w:rsidRPr="00AC1B85">
        <w:t>velaglucerase</w:t>
      </w:r>
      <w:proofErr w:type="spellEnd"/>
      <w:r w:rsidR="005D7005" w:rsidRPr="00AC1B85">
        <w:t xml:space="preserve"> studies</w:t>
      </w:r>
      <w:r w:rsidR="004A6B73" w:rsidRPr="00AC1B85">
        <w:t>,</w:t>
      </w:r>
      <w:r w:rsidR="005D7005" w:rsidRPr="00AC1B85">
        <w:t xml:space="preserve"> limit</w:t>
      </w:r>
      <w:r w:rsidR="00AD0FC1">
        <w:t xml:space="preserve">ed the </w:t>
      </w:r>
      <w:r w:rsidR="005D7005" w:rsidRPr="00AC1B85">
        <w:t>comparability of these results.</w:t>
      </w:r>
    </w:p>
    <w:p w:rsidR="00D30909" w:rsidRDefault="00D30909" w:rsidP="00D30909">
      <w:pPr>
        <w:widowControl/>
        <w:rPr>
          <w:i/>
          <w:szCs w:val="22"/>
        </w:rPr>
      </w:pPr>
    </w:p>
    <w:p w:rsidR="00D30909" w:rsidRDefault="00DB56A9" w:rsidP="00D30909">
      <w:pPr>
        <w:keepNext/>
        <w:ind w:left="709"/>
        <w:rPr>
          <w:rStyle w:val="CommentReference"/>
        </w:rPr>
      </w:pPr>
      <w:r w:rsidRPr="00323130">
        <w:rPr>
          <w:rFonts w:ascii="Arial Narrow" w:hAnsi="Arial Narrow"/>
          <w:b/>
          <w:sz w:val="20"/>
        </w:rPr>
        <w:t>Main outcomes: Mean (SD) change from baseline to 9</w:t>
      </w:r>
      <w:r w:rsidR="00CD0DA4">
        <w:rPr>
          <w:rFonts w:ascii="Arial Narrow" w:hAnsi="Arial Narrow"/>
          <w:b/>
          <w:sz w:val="20"/>
        </w:rPr>
        <w:t>/12</w:t>
      </w:r>
      <w:r w:rsidRPr="00323130">
        <w:rPr>
          <w:rFonts w:ascii="Arial Narrow" w:hAnsi="Arial Narrow"/>
          <w:b/>
          <w:sz w:val="20"/>
        </w:rPr>
        <w:t xml:space="preserve"> months</w:t>
      </w:r>
      <w:r w:rsidR="00D30909">
        <w:rPr>
          <w:rStyle w:val="CommentReference"/>
        </w:rPr>
        <w:t xml:space="preserve"> in the key studies</w:t>
      </w:r>
    </w:p>
    <w:tbl>
      <w:tblPr>
        <w:tblW w:w="828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484"/>
        <w:gridCol w:w="1792"/>
        <w:gridCol w:w="1426"/>
        <w:gridCol w:w="1568"/>
      </w:tblGrid>
      <w:tr w:rsidR="00634EBF" w:rsidRPr="00CD0DA4" w:rsidTr="00CD0DA4">
        <w:trPr>
          <w:trHeight w:val="70"/>
        </w:trPr>
        <w:tc>
          <w:tcPr>
            <w:tcW w:w="2016" w:type="dxa"/>
            <w:vMerge w:val="restart"/>
            <w:vAlign w:val="center"/>
          </w:tcPr>
          <w:p w:rsidR="00634EBF" w:rsidRPr="00CD0DA4" w:rsidRDefault="00634EBF" w:rsidP="002867F3">
            <w:pPr>
              <w:jc w:val="center"/>
              <w:rPr>
                <w:rFonts w:ascii="Arial Narrow" w:hAnsi="Arial Narrow"/>
                <w:b/>
                <w:sz w:val="20"/>
              </w:rPr>
            </w:pPr>
            <w:r w:rsidRPr="00CD0DA4">
              <w:rPr>
                <w:rFonts w:ascii="Arial Narrow" w:hAnsi="Arial Narrow"/>
                <w:b/>
                <w:sz w:val="20"/>
              </w:rPr>
              <w:t>Treatment arm</w:t>
            </w:r>
          </w:p>
        </w:tc>
        <w:tc>
          <w:tcPr>
            <w:tcW w:w="6270" w:type="dxa"/>
            <w:gridSpan w:val="4"/>
            <w:vAlign w:val="center"/>
          </w:tcPr>
          <w:p w:rsidR="00634EBF" w:rsidRPr="00CD0DA4" w:rsidRDefault="00634EBF" w:rsidP="002867F3">
            <w:pPr>
              <w:jc w:val="center"/>
              <w:rPr>
                <w:rFonts w:ascii="Arial Narrow" w:hAnsi="Arial Narrow"/>
                <w:b/>
                <w:sz w:val="20"/>
              </w:rPr>
            </w:pPr>
            <w:r w:rsidRPr="00CD0DA4">
              <w:rPr>
                <w:rFonts w:ascii="Arial Narrow" w:hAnsi="Arial Narrow"/>
                <w:b/>
                <w:sz w:val="20"/>
              </w:rPr>
              <w:t>Change at 9</w:t>
            </w:r>
            <w:r w:rsidR="00CD0DA4" w:rsidRPr="00CD0DA4">
              <w:rPr>
                <w:rFonts w:ascii="Arial Narrow" w:hAnsi="Arial Narrow"/>
                <w:b/>
                <w:sz w:val="20"/>
              </w:rPr>
              <w:t>/12</w:t>
            </w:r>
            <w:r w:rsidRPr="00CD0DA4">
              <w:rPr>
                <w:rFonts w:ascii="Arial Narrow" w:hAnsi="Arial Narrow"/>
                <w:b/>
                <w:sz w:val="20"/>
              </w:rPr>
              <w:t xml:space="preserve"> months, Mean (SD)</w:t>
            </w:r>
          </w:p>
        </w:tc>
      </w:tr>
      <w:tr w:rsidR="00634EBF" w:rsidRPr="00CD0DA4" w:rsidTr="00CD0DA4">
        <w:trPr>
          <w:trHeight w:val="470"/>
        </w:trPr>
        <w:tc>
          <w:tcPr>
            <w:tcW w:w="2016" w:type="dxa"/>
            <w:vMerge/>
            <w:vAlign w:val="center"/>
          </w:tcPr>
          <w:p w:rsidR="00634EBF" w:rsidRPr="00CD0DA4" w:rsidRDefault="00634EBF" w:rsidP="002867F3">
            <w:pPr>
              <w:jc w:val="center"/>
              <w:rPr>
                <w:rFonts w:ascii="Arial Narrow" w:hAnsi="Arial Narrow"/>
                <w:b/>
                <w:sz w:val="20"/>
              </w:rPr>
            </w:pPr>
          </w:p>
        </w:tc>
        <w:tc>
          <w:tcPr>
            <w:tcW w:w="1484" w:type="dxa"/>
            <w:vAlign w:val="center"/>
          </w:tcPr>
          <w:p w:rsidR="00634EBF" w:rsidRPr="00CD0DA4" w:rsidRDefault="00634EBF" w:rsidP="002867F3">
            <w:pPr>
              <w:jc w:val="center"/>
              <w:rPr>
                <w:rFonts w:ascii="Arial Narrow" w:hAnsi="Arial Narrow"/>
                <w:b/>
                <w:sz w:val="20"/>
              </w:rPr>
            </w:pPr>
            <w:r w:rsidRPr="00CD0DA4">
              <w:rPr>
                <w:rFonts w:ascii="Arial Narrow" w:hAnsi="Arial Narrow"/>
                <w:b/>
                <w:sz w:val="20"/>
              </w:rPr>
              <w:t>Spleen volume (%)</w:t>
            </w:r>
          </w:p>
        </w:tc>
        <w:tc>
          <w:tcPr>
            <w:tcW w:w="1792" w:type="dxa"/>
            <w:vAlign w:val="center"/>
          </w:tcPr>
          <w:p w:rsidR="00634EBF" w:rsidRPr="00CD0DA4" w:rsidRDefault="00634EBF" w:rsidP="002867F3">
            <w:pPr>
              <w:jc w:val="center"/>
              <w:rPr>
                <w:rFonts w:ascii="Arial Narrow" w:hAnsi="Arial Narrow"/>
                <w:b/>
                <w:sz w:val="20"/>
              </w:rPr>
            </w:pPr>
            <w:proofErr w:type="spellStart"/>
            <w:r w:rsidRPr="00CD0DA4">
              <w:rPr>
                <w:rFonts w:ascii="Arial Narrow" w:hAnsi="Arial Narrow"/>
                <w:b/>
                <w:sz w:val="20"/>
              </w:rPr>
              <w:t>Hb</w:t>
            </w:r>
            <w:proofErr w:type="spellEnd"/>
            <w:r w:rsidRPr="00CD0DA4">
              <w:rPr>
                <w:rFonts w:ascii="Arial Narrow" w:hAnsi="Arial Narrow"/>
                <w:b/>
                <w:sz w:val="20"/>
              </w:rPr>
              <w:t xml:space="preserve"> concentration (g/</w:t>
            </w:r>
            <w:proofErr w:type="spellStart"/>
            <w:r w:rsidRPr="00CD0DA4">
              <w:rPr>
                <w:rFonts w:ascii="Arial Narrow" w:hAnsi="Arial Narrow"/>
                <w:b/>
                <w:sz w:val="20"/>
              </w:rPr>
              <w:t>dL</w:t>
            </w:r>
            <w:proofErr w:type="spellEnd"/>
            <w:r w:rsidRPr="00CD0DA4">
              <w:rPr>
                <w:rFonts w:ascii="Arial Narrow" w:hAnsi="Arial Narrow"/>
                <w:b/>
                <w:sz w:val="20"/>
              </w:rPr>
              <w:t>)</w:t>
            </w:r>
          </w:p>
        </w:tc>
        <w:tc>
          <w:tcPr>
            <w:tcW w:w="1426" w:type="dxa"/>
            <w:vAlign w:val="center"/>
          </w:tcPr>
          <w:p w:rsidR="00634EBF" w:rsidRPr="00CD0DA4" w:rsidRDefault="00634EBF" w:rsidP="002867F3">
            <w:pPr>
              <w:jc w:val="center"/>
              <w:rPr>
                <w:rFonts w:ascii="Arial Narrow" w:hAnsi="Arial Narrow"/>
                <w:b/>
                <w:sz w:val="20"/>
              </w:rPr>
            </w:pPr>
            <w:r w:rsidRPr="00CD0DA4">
              <w:rPr>
                <w:rFonts w:ascii="Arial Narrow" w:hAnsi="Arial Narrow"/>
                <w:b/>
                <w:sz w:val="20"/>
              </w:rPr>
              <w:t xml:space="preserve">Liver </w:t>
            </w:r>
          </w:p>
          <w:p w:rsidR="00634EBF" w:rsidRPr="00CD0DA4" w:rsidRDefault="00634EBF" w:rsidP="002867F3">
            <w:pPr>
              <w:jc w:val="center"/>
              <w:rPr>
                <w:rFonts w:ascii="Arial Narrow" w:hAnsi="Arial Narrow"/>
                <w:b/>
                <w:sz w:val="20"/>
              </w:rPr>
            </w:pPr>
            <w:proofErr w:type="gramStart"/>
            <w:r w:rsidRPr="00CD0DA4">
              <w:rPr>
                <w:rFonts w:ascii="Arial Narrow" w:hAnsi="Arial Narrow"/>
                <w:b/>
                <w:sz w:val="20"/>
              </w:rPr>
              <w:t>volume</w:t>
            </w:r>
            <w:proofErr w:type="gramEnd"/>
            <w:r w:rsidRPr="00CD0DA4">
              <w:rPr>
                <w:rFonts w:ascii="Arial Narrow" w:hAnsi="Arial Narrow"/>
                <w:b/>
                <w:sz w:val="20"/>
              </w:rPr>
              <w:t xml:space="preserve"> (%)</w:t>
            </w:r>
          </w:p>
        </w:tc>
        <w:tc>
          <w:tcPr>
            <w:tcW w:w="1568" w:type="dxa"/>
            <w:vAlign w:val="center"/>
          </w:tcPr>
          <w:p w:rsidR="00634EBF" w:rsidRPr="00CD0DA4" w:rsidRDefault="00634EBF" w:rsidP="002867F3">
            <w:pPr>
              <w:jc w:val="center"/>
              <w:rPr>
                <w:rFonts w:ascii="Arial Narrow" w:hAnsi="Arial Narrow"/>
                <w:b/>
                <w:sz w:val="20"/>
              </w:rPr>
            </w:pPr>
            <w:r w:rsidRPr="00CD0DA4">
              <w:rPr>
                <w:rFonts w:ascii="Arial Narrow" w:hAnsi="Arial Narrow"/>
                <w:b/>
                <w:sz w:val="20"/>
              </w:rPr>
              <w:t xml:space="preserve">Platelet </w:t>
            </w:r>
          </w:p>
          <w:p w:rsidR="00634EBF" w:rsidRPr="00CD0DA4" w:rsidRDefault="00634EBF" w:rsidP="00D80899">
            <w:pPr>
              <w:jc w:val="center"/>
              <w:rPr>
                <w:rFonts w:ascii="Arial Narrow" w:hAnsi="Arial Narrow"/>
                <w:b/>
                <w:sz w:val="20"/>
              </w:rPr>
            </w:pPr>
            <w:r w:rsidRPr="00D80899">
              <w:rPr>
                <w:rFonts w:ascii="Arial Narrow" w:hAnsi="Arial Narrow"/>
                <w:b/>
                <w:sz w:val="20"/>
              </w:rPr>
              <w:t>count (/</w:t>
            </w:r>
            <w:r w:rsidR="00D80899" w:rsidRPr="00D80899">
              <w:rPr>
                <w:rFonts w:ascii="Arial Narrow" w:hAnsi="Arial Narrow"/>
                <w:b/>
                <w:sz w:val="20"/>
              </w:rPr>
              <w:t>mm</w:t>
            </w:r>
            <w:r w:rsidR="00D80899" w:rsidRPr="00D80899">
              <w:rPr>
                <w:rFonts w:ascii="Arial Narrow" w:hAnsi="Arial Narrow"/>
                <w:b/>
                <w:sz w:val="20"/>
                <w:vertAlign w:val="superscript"/>
              </w:rPr>
              <w:t>3</w:t>
            </w:r>
            <w:r w:rsidRPr="00D80899">
              <w:rPr>
                <w:rFonts w:ascii="Arial Narrow" w:hAnsi="Arial Narrow"/>
                <w:b/>
                <w:sz w:val="20"/>
              </w:rPr>
              <w:t>)</w:t>
            </w:r>
          </w:p>
        </w:tc>
      </w:tr>
      <w:tr w:rsidR="00634EBF" w:rsidRPr="00CD0DA4" w:rsidTr="00CD0DA4">
        <w:trPr>
          <w:trHeight w:val="70"/>
        </w:trPr>
        <w:tc>
          <w:tcPr>
            <w:tcW w:w="8286" w:type="dxa"/>
            <w:gridSpan w:val="5"/>
          </w:tcPr>
          <w:p w:rsidR="00DB56A9" w:rsidRPr="00CD0DA4" w:rsidRDefault="00DB56A9" w:rsidP="002867F3">
            <w:pPr>
              <w:rPr>
                <w:rFonts w:ascii="Arial Narrow" w:hAnsi="Arial Narrow"/>
                <w:b/>
                <w:sz w:val="20"/>
              </w:rPr>
            </w:pPr>
            <w:r w:rsidRPr="00CD0DA4">
              <w:rPr>
                <w:rFonts w:ascii="Arial Narrow" w:hAnsi="Arial Narrow"/>
                <w:b/>
                <w:sz w:val="20"/>
              </w:rPr>
              <w:t xml:space="preserve">PB-06-001 </w:t>
            </w:r>
            <w:r w:rsidR="00CD0DA4" w:rsidRPr="00CD0DA4">
              <w:rPr>
                <w:rFonts w:ascii="Arial Narrow" w:hAnsi="Arial Narrow"/>
                <w:b/>
                <w:sz w:val="20"/>
              </w:rPr>
              <w:t>(9 months)</w:t>
            </w:r>
          </w:p>
        </w:tc>
      </w:tr>
      <w:tr w:rsidR="00634EBF" w:rsidRPr="00634EBF" w:rsidTr="00CD0DA4">
        <w:tc>
          <w:tcPr>
            <w:tcW w:w="2016" w:type="dxa"/>
            <w:vAlign w:val="center"/>
          </w:tcPr>
          <w:p w:rsidR="00DB56A9" w:rsidRPr="00151B19" w:rsidRDefault="00DB56A9" w:rsidP="002867F3">
            <w:pPr>
              <w:rPr>
                <w:rFonts w:ascii="Arial Narrow" w:hAnsi="Arial Narrow"/>
                <w:sz w:val="20"/>
              </w:rPr>
            </w:pPr>
            <w:proofErr w:type="spellStart"/>
            <w:r w:rsidRPr="00151B19">
              <w:rPr>
                <w:rFonts w:ascii="Arial Narrow" w:hAnsi="Arial Narrow"/>
                <w:sz w:val="20"/>
              </w:rPr>
              <w:t>Taliglucerase</w:t>
            </w:r>
            <w:proofErr w:type="spellEnd"/>
            <w:r w:rsidRPr="00151B19">
              <w:rPr>
                <w:rFonts w:ascii="Arial Narrow" w:hAnsi="Arial Narrow"/>
                <w:sz w:val="20"/>
              </w:rPr>
              <w:t xml:space="preserve"> 30U</w:t>
            </w:r>
            <w:r w:rsidR="00151B19">
              <w:rPr>
                <w:rFonts w:ascii="Arial Narrow" w:hAnsi="Arial Narrow"/>
                <w:sz w:val="20"/>
              </w:rPr>
              <w:t>/kg</w:t>
            </w:r>
            <w:r w:rsidRPr="00151B19">
              <w:rPr>
                <w:rFonts w:ascii="Arial Narrow" w:hAnsi="Arial Narrow"/>
                <w:sz w:val="20"/>
              </w:rPr>
              <w:t xml:space="preserve"> </w:t>
            </w:r>
          </w:p>
          <w:p w:rsidR="00DB56A9" w:rsidRPr="00151B19" w:rsidRDefault="00931F93" w:rsidP="002867F3">
            <w:pPr>
              <w:rPr>
                <w:rFonts w:ascii="Arial Narrow" w:hAnsi="Arial Narrow"/>
                <w:sz w:val="20"/>
              </w:rPr>
            </w:pPr>
            <w:r>
              <w:rPr>
                <w:rFonts w:ascii="Arial Narrow" w:hAnsi="Arial Narrow"/>
                <w:sz w:val="20"/>
              </w:rPr>
              <w:t>(N</w:t>
            </w:r>
            <w:r w:rsidR="00DB56A9" w:rsidRPr="00151B19">
              <w:rPr>
                <w:rFonts w:ascii="Arial Narrow" w:hAnsi="Arial Narrow"/>
                <w:sz w:val="20"/>
              </w:rPr>
              <w:t>=</w:t>
            </w:r>
            <w:r>
              <w:rPr>
                <w:rFonts w:ascii="Arial Narrow" w:hAnsi="Arial Narrow"/>
                <w:sz w:val="20"/>
              </w:rPr>
              <w:t>1</w:t>
            </w:r>
            <w:r w:rsidR="00DB56A9" w:rsidRPr="00151B19">
              <w:rPr>
                <w:rFonts w:ascii="Arial Narrow" w:hAnsi="Arial Narrow"/>
                <w:sz w:val="20"/>
              </w:rPr>
              <w:t>5)</w:t>
            </w:r>
          </w:p>
        </w:tc>
        <w:tc>
          <w:tcPr>
            <w:tcW w:w="1484" w:type="dxa"/>
            <w:vAlign w:val="center"/>
          </w:tcPr>
          <w:p w:rsidR="00DB56A9" w:rsidRPr="00151B19" w:rsidRDefault="00DB56A9" w:rsidP="002867F3">
            <w:pPr>
              <w:jc w:val="center"/>
              <w:rPr>
                <w:rFonts w:ascii="Arial Narrow" w:hAnsi="Arial Narrow"/>
                <w:sz w:val="20"/>
              </w:rPr>
            </w:pPr>
            <w:r w:rsidRPr="00151B19">
              <w:rPr>
                <w:rFonts w:ascii="Arial Narrow" w:hAnsi="Arial Narrow"/>
                <w:sz w:val="20"/>
              </w:rPr>
              <w:t xml:space="preserve">-26.9% </w:t>
            </w:r>
          </w:p>
          <w:p w:rsidR="00DB56A9" w:rsidRPr="00151B19" w:rsidRDefault="00DB56A9" w:rsidP="002867F3">
            <w:pPr>
              <w:jc w:val="center"/>
              <w:rPr>
                <w:rFonts w:ascii="Arial Narrow" w:hAnsi="Arial Narrow"/>
                <w:sz w:val="20"/>
              </w:rPr>
            </w:pPr>
            <w:r w:rsidRPr="00151B19">
              <w:rPr>
                <w:rFonts w:ascii="Arial Narrow" w:hAnsi="Arial Narrow"/>
                <w:sz w:val="20"/>
              </w:rPr>
              <w:t>(7.8)</w:t>
            </w:r>
          </w:p>
        </w:tc>
        <w:tc>
          <w:tcPr>
            <w:tcW w:w="1792" w:type="dxa"/>
            <w:vAlign w:val="center"/>
          </w:tcPr>
          <w:p w:rsidR="00DB56A9" w:rsidRPr="003404B1" w:rsidRDefault="00DB56A9" w:rsidP="002867F3">
            <w:pPr>
              <w:jc w:val="center"/>
              <w:rPr>
                <w:rFonts w:ascii="Arial Narrow" w:hAnsi="Arial Narrow"/>
                <w:sz w:val="20"/>
              </w:rPr>
            </w:pPr>
            <w:r w:rsidRPr="003404B1">
              <w:rPr>
                <w:rFonts w:ascii="Arial Narrow" w:hAnsi="Arial Narrow"/>
                <w:sz w:val="20"/>
              </w:rPr>
              <w:t xml:space="preserve">+1.6 </w:t>
            </w:r>
          </w:p>
          <w:p w:rsidR="00DB56A9" w:rsidRPr="00634EBF" w:rsidRDefault="00DB56A9" w:rsidP="002867F3">
            <w:pPr>
              <w:jc w:val="center"/>
              <w:rPr>
                <w:rFonts w:ascii="Arial Narrow" w:hAnsi="Arial Narrow"/>
                <w:sz w:val="20"/>
                <w:highlight w:val="yellow"/>
              </w:rPr>
            </w:pPr>
            <w:r w:rsidRPr="003404B1">
              <w:rPr>
                <w:rFonts w:ascii="Arial Narrow" w:hAnsi="Arial Narrow"/>
                <w:sz w:val="20"/>
              </w:rPr>
              <w:t>(1.4)</w:t>
            </w:r>
          </w:p>
        </w:tc>
        <w:tc>
          <w:tcPr>
            <w:tcW w:w="1426" w:type="dxa"/>
            <w:vAlign w:val="center"/>
          </w:tcPr>
          <w:p w:rsidR="00DB56A9" w:rsidRPr="00144B91" w:rsidRDefault="00DB56A9" w:rsidP="002867F3">
            <w:pPr>
              <w:jc w:val="center"/>
              <w:rPr>
                <w:rFonts w:ascii="Arial Narrow" w:hAnsi="Arial Narrow"/>
                <w:sz w:val="20"/>
              </w:rPr>
            </w:pPr>
            <w:r w:rsidRPr="00144B91">
              <w:rPr>
                <w:rFonts w:ascii="Arial Narrow" w:hAnsi="Arial Narrow"/>
                <w:sz w:val="20"/>
              </w:rPr>
              <w:t>-10.5% (11.3)</w:t>
            </w:r>
          </w:p>
        </w:tc>
        <w:tc>
          <w:tcPr>
            <w:tcW w:w="1568" w:type="dxa"/>
            <w:vAlign w:val="center"/>
          </w:tcPr>
          <w:p w:rsidR="00DB56A9" w:rsidRPr="00D80899" w:rsidRDefault="00DB56A9" w:rsidP="002867F3">
            <w:pPr>
              <w:jc w:val="center"/>
              <w:rPr>
                <w:rFonts w:ascii="Arial Narrow" w:hAnsi="Arial Narrow"/>
                <w:sz w:val="20"/>
              </w:rPr>
            </w:pPr>
            <w:r w:rsidRPr="00D80899">
              <w:rPr>
                <w:rFonts w:ascii="Arial Narrow" w:hAnsi="Arial Narrow"/>
                <w:sz w:val="20"/>
              </w:rPr>
              <w:t>+11</w:t>
            </w:r>
            <w:r w:rsidR="00D80899" w:rsidRPr="00D80899">
              <w:rPr>
                <w:rFonts w:ascii="Arial Narrow" w:hAnsi="Arial Narrow"/>
                <w:sz w:val="20"/>
              </w:rPr>
              <w:t>,</w:t>
            </w:r>
            <w:r w:rsidRPr="00D80899">
              <w:rPr>
                <w:rFonts w:ascii="Arial Narrow" w:hAnsi="Arial Narrow"/>
                <w:sz w:val="20"/>
              </w:rPr>
              <w:t>4</w:t>
            </w:r>
            <w:r w:rsidR="00D80899" w:rsidRPr="00D80899">
              <w:rPr>
                <w:rFonts w:ascii="Arial Narrow" w:hAnsi="Arial Narrow"/>
                <w:sz w:val="20"/>
              </w:rPr>
              <w:t>27</w:t>
            </w:r>
            <w:r w:rsidRPr="00D80899">
              <w:rPr>
                <w:rFonts w:ascii="Arial Narrow" w:hAnsi="Arial Narrow"/>
                <w:sz w:val="20"/>
              </w:rPr>
              <w:t xml:space="preserve"> </w:t>
            </w:r>
          </w:p>
          <w:p w:rsidR="00DB56A9" w:rsidRPr="00634EBF" w:rsidRDefault="00DB56A9" w:rsidP="00D80899">
            <w:pPr>
              <w:jc w:val="center"/>
              <w:rPr>
                <w:rFonts w:ascii="Arial Narrow" w:hAnsi="Arial Narrow"/>
                <w:sz w:val="20"/>
                <w:highlight w:val="yellow"/>
              </w:rPr>
            </w:pPr>
            <w:r w:rsidRPr="00D80899">
              <w:rPr>
                <w:rFonts w:ascii="Arial Narrow" w:hAnsi="Arial Narrow"/>
                <w:sz w:val="20"/>
              </w:rPr>
              <w:t>(20</w:t>
            </w:r>
            <w:r w:rsidR="00D80899" w:rsidRPr="00D80899">
              <w:rPr>
                <w:rFonts w:ascii="Arial Narrow" w:hAnsi="Arial Narrow"/>
                <w:sz w:val="20"/>
              </w:rPr>
              <w:t>,</w:t>
            </w:r>
            <w:r w:rsidRPr="00D80899">
              <w:rPr>
                <w:rFonts w:ascii="Arial Narrow" w:hAnsi="Arial Narrow"/>
                <w:sz w:val="20"/>
              </w:rPr>
              <w:t>2</w:t>
            </w:r>
            <w:r w:rsidR="00D80899" w:rsidRPr="00D80899">
              <w:rPr>
                <w:rFonts w:ascii="Arial Narrow" w:hAnsi="Arial Narrow"/>
                <w:sz w:val="20"/>
              </w:rPr>
              <w:t>14</w:t>
            </w:r>
            <w:r w:rsidRPr="00D80899">
              <w:rPr>
                <w:rFonts w:ascii="Arial Narrow" w:hAnsi="Arial Narrow"/>
                <w:sz w:val="20"/>
              </w:rPr>
              <w:t>)</w:t>
            </w:r>
          </w:p>
        </w:tc>
      </w:tr>
      <w:tr w:rsidR="00634EBF" w:rsidRPr="00634EBF" w:rsidTr="00CD0DA4">
        <w:tc>
          <w:tcPr>
            <w:tcW w:w="2016" w:type="dxa"/>
            <w:vAlign w:val="center"/>
          </w:tcPr>
          <w:p w:rsidR="00DB56A9" w:rsidRPr="00151B19" w:rsidRDefault="00DB56A9" w:rsidP="002867F3">
            <w:pPr>
              <w:rPr>
                <w:rFonts w:ascii="Arial Narrow" w:hAnsi="Arial Narrow"/>
                <w:sz w:val="20"/>
              </w:rPr>
            </w:pPr>
            <w:proofErr w:type="spellStart"/>
            <w:r w:rsidRPr="00151B19">
              <w:rPr>
                <w:rFonts w:ascii="Arial Narrow" w:hAnsi="Arial Narrow"/>
                <w:sz w:val="20"/>
              </w:rPr>
              <w:t>Taliglucerase</w:t>
            </w:r>
            <w:proofErr w:type="spellEnd"/>
            <w:r w:rsidRPr="00151B19">
              <w:rPr>
                <w:rFonts w:ascii="Arial Narrow" w:hAnsi="Arial Narrow"/>
                <w:sz w:val="20"/>
              </w:rPr>
              <w:t xml:space="preserve"> 60U</w:t>
            </w:r>
            <w:r w:rsidR="00151B19">
              <w:rPr>
                <w:rFonts w:ascii="Arial Narrow" w:hAnsi="Arial Narrow"/>
                <w:sz w:val="20"/>
              </w:rPr>
              <w:t>/kg</w:t>
            </w:r>
            <w:r w:rsidRPr="00151B19">
              <w:rPr>
                <w:rFonts w:ascii="Arial Narrow" w:hAnsi="Arial Narrow"/>
                <w:sz w:val="20"/>
              </w:rPr>
              <w:t xml:space="preserve"> </w:t>
            </w:r>
          </w:p>
          <w:p w:rsidR="00DB56A9" w:rsidRPr="00151B19" w:rsidRDefault="00931F93" w:rsidP="002867F3">
            <w:pPr>
              <w:rPr>
                <w:rFonts w:ascii="Arial Narrow" w:hAnsi="Arial Narrow"/>
                <w:sz w:val="20"/>
              </w:rPr>
            </w:pPr>
            <w:r>
              <w:rPr>
                <w:rFonts w:ascii="Arial Narrow" w:hAnsi="Arial Narrow"/>
                <w:sz w:val="20"/>
              </w:rPr>
              <w:t>(N=</w:t>
            </w:r>
            <w:r w:rsidR="00DB56A9" w:rsidRPr="00151B19">
              <w:rPr>
                <w:rFonts w:ascii="Arial Narrow" w:hAnsi="Arial Narrow"/>
                <w:sz w:val="20"/>
              </w:rPr>
              <w:t>16)</w:t>
            </w:r>
          </w:p>
        </w:tc>
        <w:tc>
          <w:tcPr>
            <w:tcW w:w="1484" w:type="dxa"/>
            <w:vAlign w:val="center"/>
          </w:tcPr>
          <w:p w:rsidR="00DB56A9" w:rsidRPr="00151B19" w:rsidRDefault="00DB56A9" w:rsidP="002867F3">
            <w:pPr>
              <w:jc w:val="center"/>
              <w:rPr>
                <w:rFonts w:ascii="Arial Narrow" w:hAnsi="Arial Narrow"/>
                <w:sz w:val="20"/>
              </w:rPr>
            </w:pPr>
            <w:r w:rsidRPr="00151B19">
              <w:rPr>
                <w:rFonts w:ascii="Arial Narrow" w:hAnsi="Arial Narrow"/>
                <w:sz w:val="20"/>
              </w:rPr>
              <w:t xml:space="preserve">-38.0% </w:t>
            </w:r>
          </w:p>
          <w:p w:rsidR="00DB56A9" w:rsidRPr="00151B19" w:rsidRDefault="00DB56A9" w:rsidP="002867F3">
            <w:pPr>
              <w:jc w:val="center"/>
              <w:rPr>
                <w:rFonts w:ascii="Arial Narrow" w:hAnsi="Arial Narrow"/>
                <w:sz w:val="20"/>
              </w:rPr>
            </w:pPr>
            <w:r w:rsidRPr="00151B19">
              <w:rPr>
                <w:rFonts w:ascii="Arial Narrow" w:hAnsi="Arial Narrow"/>
                <w:sz w:val="20"/>
              </w:rPr>
              <w:t>(9.4)</w:t>
            </w:r>
          </w:p>
        </w:tc>
        <w:tc>
          <w:tcPr>
            <w:tcW w:w="1792" w:type="dxa"/>
            <w:vAlign w:val="center"/>
          </w:tcPr>
          <w:p w:rsidR="00DB56A9" w:rsidRPr="003404B1" w:rsidRDefault="00DB56A9" w:rsidP="002867F3">
            <w:pPr>
              <w:jc w:val="center"/>
              <w:rPr>
                <w:rFonts w:ascii="Arial Narrow" w:hAnsi="Arial Narrow"/>
                <w:sz w:val="20"/>
              </w:rPr>
            </w:pPr>
            <w:r w:rsidRPr="003404B1">
              <w:rPr>
                <w:rFonts w:ascii="Arial Narrow" w:hAnsi="Arial Narrow"/>
                <w:sz w:val="20"/>
              </w:rPr>
              <w:t>+</w:t>
            </w:r>
            <w:r w:rsidR="003404B1" w:rsidRPr="003404B1">
              <w:rPr>
                <w:rFonts w:ascii="Arial Narrow" w:hAnsi="Arial Narrow"/>
                <w:sz w:val="20"/>
              </w:rPr>
              <w:t>2.2</w:t>
            </w:r>
            <w:r w:rsidRPr="003404B1">
              <w:rPr>
                <w:rFonts w:ascii="Arial Narrow" w:hAnsi="Arial Narrow"/>
                <w:sz w:val="20"/>
              </w:rPr>
              <w:t xml:space="preserve"> </w:t>
            </w:r>
          </w:p>
          <w:p w:rsidR="00DB56A9" w:rsidRPr="00634EBF" w:rsidRDefault="00DB56A9" w:rsidP="003404B1">
            <w:pPr>
              <w:jc w:val="center"/>
              <w:rPr>
                <w:rFonts w:ascii="Arial Narrow" w:hAnsi="Arial Narrow"/>
                <w:sz w:val="20"/>
                <w:highlight w:val="yellow"/>
              </w:rPr>
            </w:pPr>
            <w:r w:rsidRPr="003404B1">
              <w:rPr>
                <w:rFonts w:ascii="Arial Narrow" w:hAnsi="Arial Narrow"/>
                <w:sz w:val="20"/>
              </w:rPr>
              <w:t>(1.</w:t>
            </w:r>
            <w:r w:rsidR="003404B1" w:rsidRPr="003404B1">
              <w:rPr>
                <w:rFonts w:ascii="Arial Narrow" w:hAnsi="Arial Narrow"/>
                <w:sz w:val="20"/>
              </w:rPr>
              <w:t>4</w:t>
            </w:r>
            <w:r w:rsidRPr="003404B1">
              <w:rPr>
                <w:rFonts w:ascii="Arial Narrow" w:hAnsi="Arial Narrow"/>
                <w:sz w:val="20"/>
              </w:rPr>
              <w:t>)</w:t>
            </w:r>
          </w:p>
        </w:tc>
        <w:tc>
          <w:tcPr>
            <w:tcW w:w="1426" w:type="dxa"/>
            <w:vAlign w:val="center"/>
          </w:tcPr>
          <w:p w:rsidR="00DB56A9" w:rsidRPr="00144B91" w:rsidRDefault="00DB56A9" w:rsidP="002867F3">
            <w:pPr>
              <w:jc w:val="center"/>
              <w:rPr>
                <w:rFonts w:ascii="Arial Narrow" w:hAnsi="Arial Narrow"/>
                <w:sz w:val="20"/>
              </w:rPr>
            </w:pPr>
            <w:r w:rsidRPr="00144B91">
              <w:rPr>
                <w:rFonts w:ascii="Arial Narrow" w:hAnsi="Arial Narrow"/>
                <w:sz w:val="20"/>
              </w:rPr>
              <w:t xml:space="preserve">-11.1% </w:t>
            </w:r>
          </w:p>
          <w:p w:rsidR="00DB56A9" w:rsidRPr="00144B91" w:rsidRDefault="00DB56A9" w:rsidP="002867F3">
            <w:pPr>
              <w:jc w:val="center"/>
              <w:rPr>
                <w:rFonts w:ascii="Arial Narrow" w:hAnsi="Arial Narrow"/>
                <w:sz w:val="20"/>
              </w:rPr>
            </w:pPr>
            <w:r w:rsidRPr="00144B91">
              <w:rPr>
                <w:rFonts w:ascii="Arial Narrow" w:hAnsi="Arial Narrow"/>
                <w:sz w:val="20"/>
              </w:rPr>
              <w:t>(6.7)</w:t>
            </w:r>
          </w:p>
        </w:tc>
        <w:tc>
          <w:tcPr>
            <w:tcW w:w="1568" w:type="dxa"/>
            <w:vAlign w:val="center"/>
          </w:tcPr>
          <w:p w:rsidR="00DB56A9" w:rsidRPr="00D80899" w:rsidRDefault="00DB56A9" w:rsidP="002867F3">
            <w:pPr>
              <w:jc w:val="center"/>
              <w:rPr>
                <w:rFonts w:ascii="Arial Narrow" w:hAnsi="Arial Narrow"/>
                <w:sz w:val="20"/>
              </w:rPr>
            </w:pPr>
            <w:r w:rsidRPr="00D80899">
              <w:rPr>
                <w:rFonts w:ascii="Arial Narrow" w:hAnsi="Arial Narrow"/>
                <w:sz w:val="20"/>
              </w:rPr>
              <w:t>+41</w:t>
            </w:r>
            <w:r w:rsidR="00D80899" w:rsidRPr="00D80899">
              <w:rPr>
                <w:rFonts w:ascii="Arial Narrow" w:hAnsi="Arial Narrow"/>
                <w:sz w:val="20"/>
              </w:rPr>
              <w:t>,494</w:t>
            </w:r>
            <w:r w:rsidRPr="00D80899">
              <w:rPr>
                <w:rFonts w:ascii="Arial Narrow" w:hAnsi="Arial Narrow"/>
                <w:sz w:val="20"/>
              </w:rPr>
              <w:t xml:space="preserve"> </w:t>
            </w:r>
          </w:p>
          <w:p w:rsidR="00DB56A9" w:rsidRPr="00634EBF" w:rsidRDefault="00DB56A9" w:rsidP="00D80899">
            <w:pPr>
              <w:jc w:val="center"/>
              <w:rPr>
                <w:rFonts w:ascii="Arial Narrow" w:hAnsi="Arial Narrow"/>
                <w:sz w:val="20"/>
                <w:highlight w:val="yellow"/>
              </w:rPr>
            </w:pPr>
            <w:r w:rsidRPr="00D80899">
              <w:rPr>
                <w:rFonts w:ascii="Arial Narrow" w:hAnsi="Arial Narrow"/>
                <w:sz w:val="20"/>
              </w:rPr>
              <w:t>(47</w:t>
            </w:r>
            <w:r w:rsidR="00D80899" w:rsidRPr="00D80899">
              <w:rPr>
                <w:rFonts w:ascii="Arial Narrow" w:hAnsi="Arial Narrow"/>
                <w:sz w:val="20"/>
              </w:rPr>
              <w:t>,063</w:t>
            </w:r>
            <w:r w:rsidRPr="00D80899">
              <w:rPr>
                <w:rFonts w:ascii="Arial Narrow" w:hAnsi="Arial Narrow"/>
                <w:sz w:val="20"/>
              </w:rPr>
              <w:t>)</w:t>
            </w:r>
          </w:p>
        </w:tc>
      </w:tr>
      <w:tr w:rsidR="00634EBF" w:rsidRPr="00CD0DA4" w:rsidTr="00CD0DA4">
        <w:tc>
          <w:tcPr>
            <w:tcW w:w="8286" w:type="dxa"/>
            <w:gridSpan w:val="5"/>
            <w:vAlign w:val="center"/>
          </w:tcPr>
          <w:p w:rsidR="00DB56A9" w:rsidRPr="00CD0DA4" w:rsidRDefault="00CD0DA4" w:rsidP="002867F3">
            <w:pPr>
              <w:rPr>
                <w:rFonts w:ascii="Arial Narrow" w:hAnsi="Arial Narrow"/>
                <w:b/>
                <w:sz w:val="20"/>
              </w:rPr>
            </w:pPr>
            <w:r w:rsidRPr="00CD0DA4">
              <w:rPr>
                <w:rFonts w:ascii="Arial Narrow" w:hAnsi="Arial Narrow"/>
                <w:b/>
                <w:sz w:val="20"/>
              </w:rPr>
              <w:t xml:space="preserve">Grabowski </w:t>
            </w:r>
            <w:r w:rsidR="00DB56A9" w:rsidRPr="00CD0DA4">
              <w:rPr>
                <w:rFonts w:ascii="Arial Narrow" w:hAnsi="Arial Narrow"/>
                <w:b/>
                <w:sz w:val="20"/>
              </w:rPr>
              <w:t>1995</w:t>
            </w:r>
            <w:r w:rsidRPr="00CD0DA4">
              <w:rPr>
                <w:rFonts w:ascii="Arial Narrow" w:hAnsi="Arial Narrow"/>
                <w:b/>
                <w:sz w:val="20"/>
              </w:rPr>
              <w:t xml:space="preserve"> (9 months</w:t>
            </w:r>
            <w:r w:rsidR="00DB56A9" w:rsidRPr="00CD0DA4">
              <w:rPr>
                <w:rFonts w:ascii="Arial Narrow" w:hAnsi="Arial Narrow"/>
                <w:b/>
                <w:sz w:val="20"/>
              </w:rPr>
              <w:t>)</w:t>
            </w:r>
          </w:p>
        </w:tc>
      </w:tr>
      <w:tr w:rsidR="00634EBF" w:rsidRPr="00634EBF" w:rsidTr="00CD0DA4">
        <w:tc>
          <w:tcPr>
            <w:tcW w:w="2016" w:type="dxa"/>
            <w:vAlign w:val="center"/>
          </w:tcPr>
          <w:p w:rsidR="00DB56A9" w:rsidRPr="00151B19" w:rsidRDefault="00DB56A9" w:rsidP="002867F3">
            <w:pPr>
              <w:rPr>
                <w:rFonts w:ascii="Arial Narrow" w:hAnsi="Arial Narrow"/>
                <w:sz w:val="20"/>
              </w:rPr>
            </w:pPr>
            <w:proofErr w:type="spellStart"/>
            <w:r w:rsidRPr="00151B19">
              <w:rPr>
                <w:rFonts w:ascii="Arial Narrow" w:hAnsi="Arial Narrow"/>
                <w:sz w:val="20"/>
              </w:rPr>
              <w:t>Imiglucerase</w:t>
            </w:r>
            <w:proofErr w:type="spellEnd"/>
            <w:r w:rsidRPr="00151B19">
              <w:rPr>
                <w:rFonts w:ascii="Arial Narrow" w:hAnsi="Arial Narrow"/>
                <w:sz w:val="20"/>
              </w:rPr>
              <w:t xml:space="preserve"> 60U</w:t>
            </w:r>
            <w:r w:rsidR="00151B19">
              <w:rPr>
                <w:rFonts w:ascii="Arial Narrow" w:hAnsi="Arial Narrow"/>
                <w:sz w:val="20"/>
              </w:rPr>
              <w:t>/kg</w:t>
            </w:r>
            <w:r w:rsidRPr="00151B19">
              <w:rPr>
                <w:rFonts w:ascii="Arial Narrow" w:hAnsi="Arial Narrow"/>
                <w:sz w:val="20"/>
              </w:rPr>
              <w:t xml:space="preserve"> </w:t>
            </w:r>
          </w:p>
          <w:p w:rsidR="00DB56A9" w:rsidRPr="00151B19" w:rsidRDefault="00931F93" w:rsidP="002867F3">
            <w:pPr>
              <w:rPr>
                <w:rFonts w:ascii="Arial Narrow" w:hAnsi="Arial Narrow"/>
                <w:sz w:val="20"/>
              </w:rPr>
            </w:pPr>
            <w:r>
              <w:rPr>
                <w:rFonts w:ascii="Arial Narrow" w:hAnsi="Arial Narrow"/>
                <w:sz w:val="20"/>
              </w:rPr>
              <w:t>(N=</w:t>
            </w:r>
            <w:r w:rsidR="00DB56A9" w:rsidRPr="00151B19">
              <w:rPr>
                <w:rFonts w:ascii="Arial Narrow" w:hAnsi="Arial Narrow"/>
                <w:sz w:val="20"/>
              </w:rPr>
              <w:t>15)</w:t>
            </w:r>
          </w:p>
        </w:tc>
        <w:tc>
          <w:tcPr>
            <w:tcW w:w="1484" w:type="dxa"/>
            <w:vAlign w:val="center"/>
          </w:tcPr>
          <w:p w:rsidR="00DB56A9" w:rsidRPr="00151B19" w:rsidRDefault="00DB56A9" w:rsidP="002867F3">
            <w:pPr>
              <w:jc w:val="center"/>
              <w:rPr>
                <w:rFonts w:ascii="Arial Narrow" w:hAnsi="Arial Narrow"/>
                <w:sz w:val="20"/>
              </w:rPr>
            </w:pPr>
            <w:r w:rsidRPr="00151B19">
              <w:rPr>
                <w:rFonts w:ascii="Arial Narrow" w:hAnsi="Arial Narrow"/>
                <w:sz w:val="20"/>
              </w:rPr>
              <w:t xml:space="preserve">-47.1% </w:t>
            </w:r>
          </w:p>
          <w:p w:rsidR="00DB56A9" w:rsidRPr="00151B19" w:rsidRDefault="00DB56A9" w:rsidP="002867F3">
            <w:pPr>
              <w:jc w:val="center"/>
              <w:rPr>
                <w:rFonts w:ascii="Arial Narrow" w:hAnsi="Arial Narrow"/>
                <w:sz w:val="20"/>
              </w:rPr>
            </w:pPr>
            <w:r w:rsidRPr="00151B19">
              <w:rPr>
                <w:rFonts w:ascii="Arial Narrow" w:hAnsi="Arial Narrow"/>
                <w:sz w:val="20"/>
              </w:rPr>
              <w:t>(13.7)</w:t>
            </w:r>
            <w:r w:rsidRPr="00151B19">
              <w:rPr>
                <w:rFonts w:ascii="Arial Narrow" w:hAnsi="Arial Narrow"/>
                <w:sz w:val="20"/>
                <w:vertAlign w:val="superscript"/>
              </w:rPr>
              <w:t>a</w:t>
            </w:r>
          </w:p>
        </w:tc>
        <w:tc>
          <w:tcPr>
            <w:tcW w:w="1792" w:type="dxa"/>
            <w:vAlign w:val="center"/>
          </w:tcPr>
          <w:p w:rsidR="00DB56A9" w:rsidRPr="00144B91" w:rsidRDefault="00DB56A9" w:rsidP="002867F3">
            <w:pPr>
              <w:jc w:val="center"/>
              <w:rPr>
                <w:rFonts w:ascii="Arial Narrow" w:hAnsi="Arial Narrow"/>
                <w:sz w:val="20"/>
              </w:rPr>
            </w:pPr>
            <w:r w:rsidRPr="00144B91">
              <w:rPr>
                <w:rFonts w:ascii="Arial Narrow" w:hAnsi="Arial Narrow"/>
                <w:sz w:val="20"/>
              </w:rPr>
              <w:t xml:space="preserve">+2.5 </w:t>
            </w:r>
          </w:p>
          <w:p w:rsidR="00DB56A9" w:rsidRPr="00144B91" w:rsidRDefault="00DB56A9" w:rsidP="002867F3">
            <w:pPr>
              <w:jc w:val="center"/>
              <w:rPr>
                <w:rFonts w:ascii="Arial Narrow" w:hAnsi="Arial Narrow"/>
                <w:sz w:val="20"/>
              </w:rPr>
            </w:pPr>
            <w:r w:rsidRPr="00144B91">
              <w:rPr>
                <w:rFonts w:ascii="Arial Narrow" w:hAnsi="Arial Narrow"/>
                <w:sz w:val="20"/>
              </w:rPr>
              <w:t>(RNG +0.4, +5.8)</w:t>
            </w:r>
          </w:p>
        </w:tc>
        <w:tc>
          <w:tcPr>
            <w:tcW w:w="1426" w:type="dxa"/>
            <w:vAlign w:val="center"/>
          </w:tcPr>
          <w:p w:rsidR="00DB56A9" w:rsidRPr="00144B91" w:rsidRDefault="00DB56A9" w:rsidP="002867F3">
            <w:pPr>
              <w:jc w:val="center"/>
              <w:rPr>
                <w:rFonts w:ascii="Arial Narrow" w:hAnsi="Arial Narrow"/>
                <w:sz w:val="20"/>
                <w:vertAlign w:val="superscript"/>
              </w:rPr>
            </w:pPr>
            <w:r w:rsidRPr="00144B91">
              <w:rPr>
                <w:rFonts w:ascii="Arial Narrow" w:hAnsi="Arial Narrow"/>
                <w:sz w:val="20"/>
              </w:rPr>
              <w:t>-21.4% (10.8)</w:t>
            </w:r>
            <w:r w:rsidRPr="00144B91">
              <w:rPr>
                <w:rFonts w:ascii="Arial Narrow" w:hAnsi="Arial Narrow"/>
                <w:sz w:val="20"/>
                <w:vertAlign w:val="superscript"/>
              </w:rPr>
              <w:t>a</w:t>
            </w:r>
          </w:p>
        </w:tc>
        <w:tc>
          <w:tcPr>
            <w:tcW w:w="1568" w:type="dxa"/>
            <w:vAlign w:val="center"/>
          </w:tcPr>
          <w:p w:rsidR="00DB56A9" w:rsidRPr="00074A60" w:rsidRDefault="00DB56A9" w:rsidP="002867F3">
            <w:pPr>
              <w:jc w:val="center"/>
              <w:rPr>
                <w:rFonts w:ascii="Arial Narrow" w:hAnsi="Arial Narrow"/>
                <w:i/>
                <w:sz w:val="20"/>
              </w:rPr>
            </w:pPr>
            <w:r w:rsidRPr="00074A60">
              <w:rPr>
                <w:rFonts w:ascii="Arial Narrow" w:hAnsi="Arial Narrow"/>
                <w:i/>
                <w:sz w:val="20"/>
              </w:rPr>
              <w:t>+30</w:t>
            </w:r>
            <w:r w:rsidR="00074A60" w:rsidRPr="00074A60">
              <w:rPr>
                <w:rFonts w:ascii="Arial Narrow" w:hAnsi="Arial Narrow"/>
                <w:i/>
                <w:sz w:val="20"/>
              </w:rPr>
              <w:t>,867</w:t>
            </w:r>
          </w:p>
          <w:p w:rsidR="00DB56A9" w:rsidRPr="00074A60" w:rsidRDefault="00DB56A9" w:rsidP="00074A60">
            <w:pPr>
              <w:jc w:val="center"/>
              <w:rPr>
                <w:rFonts w:ascii="Arial Narrow" w:hAnsi="Arial Narrow"/>
                <w:i/>
                <w:sz w:val="20"/>
              </w:rPr>
            </w:pPr>
            <w:r w:rsidRPr="00074A60">
              <w:rPr>
                <w:rFonts w:ascii="Arial Narrow" w:hAnsi="Arial Narrow"/>
                <w:i/>
                <w:sz w:val="20"/>
              </w:rPr>
              <w:t>(20</w:t>
            </w:r>
            <w:r w:rsidR="00074A60" w:rsidRPr="00074A60">
              <w:rPr>
                <w:rFonts w:ascii="Arial Narrow" w:hAnsi="Arial Narrow"/>
                <w:i/>
                <w:sz w:val="20"/>
              </w:rPr>
              <w:t>,594</w:t>
            </w:r>
            <w:r w:rsidRPr="00074A60">
              <w:rPr>
                <w:rFonts w:ascii="Arial Narrow" w:hAnsi="Arial Narrow"/>
                <w:i/>
                <w:sz w:val="20"/>
              </w:rPr>
              <w:t>)</w:t>
            </w:r>
          </w:p>
        </w:tc>
      </w:tr>
      <w:tr w:rsidR="00634EBF" w:rsidRPr="00634EBF" w:rsidTr="00CD0DA4">
        <w:tc>
          <w:tcPr>
            <w:tcW w:w="2016" w:type="dxa"/>
            <w:vAlign w:val="center"/>
          </w:tcPr>
          <w:p w:rsidR="00DB56A9" w:rsidRPr="00151B19" w:rsidRDefault="00DB56A9" w:rsidP="002867F3">
            <w:pPr>
              <w:rPr>
                <w:rFonts w:ascii="Arial Narrow" w:hAnsi="Arial Narrow"/>
                <w:sz w:val="20"/>
              </w:rPr>
            </w:pPr>
            <w:proofErr w:type="spellStart"/>
            <w:r w:rsidRPr="00151B19">
              <w:rPr>
                <w:rFonts w:ascii="Arial Narrow" w:hAnsi="Arial Narrow"/>
                <w:sz w:val="20"/>
              </w:rPr>
              <w:t>Alglucerase</w:t>
            </w:r>
            <w:proofErr w:type="spellEnd"/>
            <w:r w:rsidRPr="00151B19">
              <w:rPr>
                <w:rFonts w:ascii="Arial Narrow" w:hAnsi="Arial Narrow"/>
                <w:sz w:val="20"/>
              </w:rPr>
              <w:t>* 60U</w:t>
            </w:r>
            <w:r w:rsidR="00151B19">
              <w:rPr>
                <w:rFonts w:ascii="Arial Narrow" w:hAnsi="Arial Narrow"/>
                <w:sz w:val="20"/>
              </w:rPr>
              <w:t>/kg</w:t>
            </w:r>
            <w:r w:rsidRPr="00151B19">
              <w:rPr>
                <w:rFonts w:ascii="Arial Narrow" w:hAnsi="Arial Narrow"/>
                <w:sz w:val="20"/>
              </w:rPr>
              <w:t xml:space="preserve"> </w:t>
            </w:r>
          </w:p>
          <w:p w:rsidR="00DB56A9" w:rsidRPr="00151B19" w:rsidRDefault="00931F93" w:rsidP="002867F3">
            <w:pPr>
              <w:rPr>
                <w:rFonts w:ascii="Arial Narrow" w:hAnsi="Arial Narrow"/>
                <w:sz w:val="20"/>
              </w:rPr>
            </w:pPr>
            <w:r>
              <w:rPr>
                <w:rFonts w:ascii="Arial Narrow" w:hAnsi="Arial Narrow"/>
                <w:sz w:val="20"/>
              </w:rPr>
              <w:t>(N=</w:t>
            </w:r>
            <w:r w:rsidR="00DB56A9" w:rsidRPr="00151B19">
              <w:rPr>
                <w:rFonts w:ascii="Arial Narrow" w:hAnsi="Arial Narrow"/>
                <w:sz w:val="20"/>
              </w:rPr>
              <w:t>15)</w:t>
            </w:r>
          </w:p>
        </w:tc>
        <w:tc>
          <w:tcPr>
            <w:tcW w:w="1484" w:type="dxa"/>
            <w:vAlign w:val="center"/>
          </w:tcPr>
          <w:p w:rsidR="00DB56A9" w:rsidRPr="00151B19" w:rsidRDefault="00DB56A9" w:rsidP="002867F3">
            <w:pPr>
              <w:jc w:val="center"/>
              <w:rPr>
                <w:rFonts w:ascii="Arial Narrow" w:hAnsi="Arial Narrow"/>
                <w:sz w:val="20"/>
              </w:rPr>
            </w:pPr>
            <w:r w:rsidRPr="00151B19">
              <w:rPr>
                <w:rFonts w:ascii="Arial Narrow" w:hAnsi="Arial Narrow"/>
                <w:sz w:val="20"/>
              </w:rPr>
              <w:t xml:space="preserve">-42.2% </w:t>
            </w:r>
          </w:p>
          <w:p w:rsidR="00DB56A9" w:rsidRPr="00151B19" w:rsidRDefault="00DB56A9" w:rsidP="002867F3">
            <w:pPr>
              <w:jc w:val="center"/>
              <w:rPr>
                <w:rFonts w:ascii="Arial Narrow" w:hAnsi="Arial Narrow"/>
                <w:sz w:val="20"/>
              </w:rPr>
            </w:pPr>
            <w:r w:rsidRPr="00151B19">
              <w:rPr>
                <w:rFonts w:ascii="Arial Narrow" w:hAnsi="Arial Narrow"/>
                <w:sz w:val="20"/>
              </w:rPr>
              <w:t>(6.9)</w:t>
            </w:r>
            <w:r w:rsidRPr="00151B19">
              <w:rPr>
                <w:rFonts w:ascii="Arial Narrow" w:hAnsi="Arial Narrow"/>
                <w:sz w:val="20"/>
                <w:vertAlign w:val="superscript"/>
              </w:rPr>
              <w:t>a</w:t>
            </w:r>
          </w:p>
        </w:tc>
        <w:tc>
          <w:tcPr>
            <w:tcW w:w="1792" w:type="dxa"/>
            <w:vAlign w:val="center"/>
          </w:tcPr>
          <w:p w:rsidR="00DB56A9" w:rsidRPr="00144B91" w:rsidRDefault="00DB56A9" w:rsidP="002867F3">
            <w:pPr>
              <w:jc w:val="center"/>
              <w:rPr>
                <w:rFonts w:ascii="Arial Narrow" w:hAnsi="Arial Narrow"/>
                <w:sz w:val="20"/>
              </w:rPr>
            </w:pPr>
            <w:r w:rsidRPr="00144B91">
              <w:rPr>
                <w:rFonts w:ascii="Arial Narrow" w:hAnsi="Arial Narrow"/>
                <w:sz w:val="20"/>
              </w:rPr>
              <w:t xml:space="preserve">+2.3 </w:t>
            </w:r>
          </w:p>
          <w:p w:rsidR="00DB56A9" w:rsidRPr="00144B91" w:rsidRDefault="00DB56A9" w:rsidP="002867F3">
            <w:pPr>
              <w:jc w:val="center"/>
              <w:rPr>
                <w:rFonts w:ascii="Arial Narrow" w:hAnsi="Arial Narrow"/>
                <w:sz w:val="20"/>
              </w:rPr>
            </w:pPr>
            <w:r w:rsidRPr="00144B91">
              <w:rPr>
                <w:rFonts w:ascii="Arial Narrow" w:hAnsi="Arial Narrow"/>
                <w:sz w:val="20"/>
              </w:rPr>
              <w:t>(RNG +0.5, +4.3)</w:t>
            </w:r>
          </w:p>
        </w:tc>
        <w:tc>
          <w:tcPr>
            <w:tcW w:w="1426" w:type="dxa"/>
            <w:vAlign w:val="center"/>
          </w:tcPr>
          <w:p w:rsidR="00DB56A9" w:rsidRPr="00144B91" w:rsidRDefault="00DB56A9" w:rsidP="002867F3">
            <w:pPr>
              <w:jc w:val="center"/>
              <w:rPr>
                <w:rFonts w:ascii="Arial Narrow" w:hAnsi="Arial Narrow"/>
                <w:sz w:val="20"/>
              </w:rPr>
            </w:pPr>
            <w:r w:rsidRPr="00144B91">
              <w:rPr>
                <w:rFonts w:ascii="Arial Narrow" w:hAnsi="Arial Narrow"/>
                <w:sz w:val="20"/>
              </w:rPr>
              <w:t xml:space="preserve">-16.4% </w:t>
            </w:r>
          </w:p>
          <w:p w:rsidR="00DB56A9" w:rsidRPr="00144B91" w:rsidRDefault="00DB56A9" w:rsidP="002867F3">
            <w:pPr>
              <w:jc w:val="center"/>
              <w:rPr>
                <w:rFonts w:ascii="Arial Narrow" w:hAnsi="Arial Narrow"/>
                <w:sz w:val="20"/>
                <w:vertAlign w:val="superscript"/>
              </w:rPr>
            </w:pPr>
            <w:r w:rsidRPr="00144B91">
              <w:rPr>
                <w:rFonts w:ascii="Arial Narrow" w:hAnsi="Arial Narrow"/>
                <w:sz w:val="20"/>
              </w:rPr>
              <w:t>(8.4)</w:t>
            </w:r>
            <w:r w:rsidRPr="00144B91">
              <w:rPr>
                <w:rFonts w:ascii="Arial Narrow" w:hAnsi="Arial Narrow"/>
                <w:sz w:val="20"/>
                <w:vertAlign w:val="superscript"/>
              </w:rPr>
              <w:t>a</w:t>
            </w:r>
          </w:p>
        </w:tc>
        <w:tc>
          <w:tcPr>
            <w:tcW w:w="1568" w:type="dxa"/>
            <w:vAlign w:val="center"/>
          </w:tcPr>
          <w:p w:rsidR="00DB56A9" w:rsidRPr="00074A60" w:rsidRDefault="00DB56A9" w:rsidP="002867F3">
            <w:pPr>
              <w:jc w:val="center"/>
              <w:rPr>
                <w:rFonts w:ascii="Arial Narrow" w:hAnsi="Arial Narrow"/>
                <w:i/>
                <w:sz w:val="20"/>
              </w:rPr>
            </w:pPr>
            <w:r w:rsidRPr="00074A60">
              <w:rPr>
                <w:rFonts w:ascii="Arial Narrow" w:hAnsi="Arial Narrow"/>
                <w:i/>
                <w:sz w:val="20"/>
              </w:rPr>
              <w:t>+25</w:t>
            </w:r>
            <w:r w:rsidR="00074A60" w:rsidRPr="00074A60">
              <w:rPr>
                <w:rFonts w:ascii="Arial Narrow" w:hAnsi="Arial Narrow"/>
                <w:i/>
                <w:sz w:val="20"/>
              </w:rPr>
              <w:t>,067</w:t>
            </w:r>
            <w:r w:rsidRPr="00074A60">
              <w:rPr>
                <w:rFonts w:ascii="Arial Narrow" w:hAnsi="Arial Narrow"/>
                <w:i/>
                <w:sz w:val="20"/>
              </w:rPr>
              <w:t xml:space="preserve"> </w:t>
            </w:r>
          </w:p>
          <w:p w:rsidR="00DB56A9" w:rsidRPr="00074A60" w:rsidRDefault="00DB56A9" w:rsidP="00074A60">
            <w:pPr>
              <w:jc w:val="center"/>
              <w:rPr>
                <w:rFonts w:ascii="Arial Narrow" w:hAnsi="Arial Narrow"/>
                <w:i/>
                <w:sz w:val="20"/>
              </w:rPr>
            </w:pPr>
            <w:r w:rsidRPr="00074A60">
              <w:rPr>
                <w:rFonts w:ascii="Arial Narrow" w:hAnsi="Arial Narrow"/>
                <w:i/>
                <w:sz w:val="20"/>
              </w:rPr>
              <w:t>(21</w:t>
            </w:r>
            <w:r w:rsidR="00074A60" w:rsidRPr="00074A60">
              <w:rPr>
                <w:rFonts w:ascii="Arial Narrow" w:hAnsi="Arial Narrow"/>
                <w:i/>
                <w:sz w:val="20"/>
              </w:rPr>
              <w:t>,059</w:t>
            </w:r>
            <w:r w:rsidRPr="00074A60">
              <w:rPr>
                <w:rFonts w:ascii="Arial Narrow" w:hAnsi="Arial Narrow"/>
                <w:i/>
                <w:sz w:val="20"/>
              </w:rPr>
              <w:t>)</w:t>
            </w:r>
          </w:p>
        </w:tc>
      </w:tr>
      <w:tr w:rsidR="00634EBF" w:rsidRPr="00CD0DA4" w:rsidTr="00CD0DA4">
        <w:tc>
          <w:tcPr>
            <w:tcW w:w="8286" w:type="dxa"/>
            <w:gridSpan w:val="5"/>
            <w:vAlign w:val="center"/>
          </w:tcPr>
          <w:p w:rsidR="00DB56A9" w:rsidRPr="00CD0DA4" w:rsidRDefault="00DB56A9" w:rsidP="002867F3">
            <w:pPr>
              <w:rPr>
                <w:rFonts w:ascii="Arial Narrow" w:hAnsi="Arial Narrow"/>
                <w:b/>
                <w:sz w:val="20"/>
              </w:rPr>
            </w:pPr>
            <w:r w:rsidRPr="00CD0DA4">
              <w:rPr>
                <w:rFonts w:ascii="Arial Narrow" w:hAnsi="Arial Narrow"/>
                <w:b/>
                <w:sz w:val="20"/>
              </w:rPr>
              <w:t>HGT-039</w:t>
            </w:r>
            <w:r w:rsidR="00CD0DA4" w:rsidRPr="00CD0DA4">
              <w:rPr>
                <w:rFonts w:ascii="Arial Narrow" w:hAnsi="Arial Narrow"/>
                <w:b/>
                <w:sz w:val="20"/>
              </w:rPr>
              <w:t xml:space="preserve"> (9 months)</w:t>
            </w:r>
          </w:p>
        </w:tc>
      </w:tr>
      <w:tr w:rsidR="00144B91" w:rsidRPr="00634EBF" w:rsidTr="00CD0DA4">
        <w:tc>
          <w:tcPr>
            <w:tcW w:w="2016" w:type="dxa"/>
            <w:vAlign w:val="center"/>
          </w:tcPr>
          <w:p w:rsidR="00144B91" w:rsidRPr="00931F93" w:rsidRDefault="00144B91" w:rsidP="002867F3">
            <w:pPr>
              <w:rPr>
                <w:rFonts w:ascii="Arial Narrow" w:hAnsi="Arial Narrow"/>
                <w:sz w:val="20"/>
              </w:rPr>
            </w:pPr>
            <w:proofErr w:type="spellStart"/>
            <w:r w:rsidRPr="00931F93">
              <w:rPr>
                <w:rFonts w:ascii="Arial Narrow" w:hAnsi="Arial Narrow"/>
                <w:sz w:val="20"/>
              </w:rPr>
              <w:t>Imiglucerase</w:t>
            </w:r>
            <w:proofErr w:type="spellEnd"/>
            <w:r w:rsidRPr="00931F93">
              <w:rPr>
                <w:rFonts w:ascii="Arial Narrow" w:hAnsi="Arial Narrow"/>
                <w:sz w:val="20"/>
              </w:rPr>
              <w:t xml:space="preserve"> 60U</w:t>
            </w:r>
            <w:r>
              <w:rPr>
                <w:rFonts w:ascii="Arial Narrow" w:hAnsi="Arial Narrow"/>
                <w:sz w:val="20"/>
              </w:rPr>
              <w:t>/kg</w:t>
            </w:r>
            <w:r w:rsidRPr="00931F93">
              <w:rPr>
                <w:rFonts w:ascii="Arial Narrow" w:hAnsi="Arial Narrow"/>
                <w:sz w:val="20"/>
              </w:rPr>
              <w:t xml:space="preserve"> </w:t>
            </w:r>
          </w:p>
          <w:p w:rsidR="00144B91" w:rsidRPr="00931F93" w:rsidRDefault="00144B91" w:rsidP="002867F3">
            <w:pPr>
              <w:rPr>
                <w:rFonts w:ascii="Arial Narrow" w:hAnsi="Arial Narrow"/>
                <w:sz w:val="20"/>
              </w:rPr>
            </w:pPr>
            <w:r w:rsidRPr="00931F93">
              <w:rPr>
                <w:rFonts w:ascii="Arial Narrow" w:hAnsi="Arial Narrow"/>
                <w:sz w:val="20"/>
              </w:rPr>
              <w:t>(N=17)</w:t>
            </w:r>
          </w:p>
        </w:tc>
        <w:tc>
          <w:tcPr>
            <w:tcW w:w="1484" w:type="dxa"/>
            <w:vAlign w:val="center"/>
          </w:tcPr>
          <w:p w:rsidR="00144B91" w:rsidRPr="0044303C" w:rsidRDefault="00144B91" w:rsidP="0044303C">
            <w:pPr>
              <w:jc w:val="center"/>
              <w:rPr>
                <w:rFonts w:ascii="Arial Narrow" w:hAnsi="Arial Narrow"/>
                <w:sz w:val="20"/>
                <w:vertAlign w:val="superscript"/>
              </w:rPr>
            </w:pPr>
            <w:r w:rsidRPr="0044303C">
              <w:rPr>
                <w:rFonts w:ascii="Arial Narrow" w:hAnsi="Arial Narrow"/>
                <w:sz w:val="20"/>
              </w:rPr>
              <w:t xml:space="preserve">NR </w:t>
            </w:r>
            <w:proofErr w:type="spellStart"/>
            <w:r w:rsidRPr="0044303C">
              <w:rPr>
                <w:rFonts w:ascii="Arial Narrow" w:hAnsi="Arial Narrow"/>
                <w:sz w:val="20"/>
                <w:vertAlign w:val="superscript"/>
              </w:rPr>
              <w:t>b,c</w:t>
            </w:r>
            <w:proofErr w:type="spellEnd"/>
          </w:p>
        </w:tc>
        <w:tc>
          <w:tcPr>
            <w:tcW w:w="1792" w:type="dxa"/>
            <w:vAlign w:val="center"/>
          </w:tcPr>
          <w:p w:rsidR="00144B91" w:rsidRPr="003404B1" w:rsidRDefault="00144B91" w:rsidP="002867F3">
            <w:pPr>
              <w:jc w:val="center"/>
              <w:rPr>
                <w:rFonts w:ascii="Arial Narrow" w:hAnsi="Arial Narrow"/>
                <w:sz w:val="20"/>
              </w:rPr>
            </w:pPr>
            <w:r w:rsidRPr="003404B1">
              <w:rPr>
                <w:rFonts w:ascii="Arial Narrow" w:hAnsi="Arial Narrow"/>
                <w:sz w:val="20"/>
              </w:rPr>
              <w:t xml:space="preserve">+1.5 </w:t>
            </w:r>
          </w:p>
          <w:p w:rsidR="00144B91" w:rsidRPr="003404B1" w:rsidRDefault="00144B91" w:rsidP="002867F3">
            <w:pPr>
              <w:jc w:val="center"/>
              <w:rPr>
                <w:rFonts w:ascii="Arial Narrow" w:hAnsi="Arial Narrow"/>
                <w:sz w:val="20"/>
              </w:rPr>
            </w:pPr>
            <w:r w:rsidRPr="003404B1">
              <w:rPr>
                <w:rFonts w:ascii="Arial Narrow" w:hAnsi="Arial Narrow"/>
                <w:sz w:val="20"/>
              </w:rPr>
              <w:t>(SE 0.3)</w:t>
            </w:r>
          </w:p>
        </w:tc>
        <w:tc>
          <w:tcPr>
            <w:tcW w:w="1426" w:type="dxa"/>
            <w:vAlign w:val="center"/>
          </w:tcPr>
          <w:p w:rsidR="00144B91" w:rsidRPr="00634EBF" w:rsidRDefault="00144B91" w:rsidP="00144B91">
            <w:pPr>
              <w:jc w:val="center"/>
              <w:rPr>
                <w:rFonts w:ascii="Arial Narrow" w:hAnsi="Arial Narrow"/>
                <w:sz w:val="20"/>
                <w:highlight w:val="yellow"/>
              </w:rPr>
            </w:pPr>
            <w:r w:rsidRPr="0044303C">
              <w:rPr>
                <w:rFonts w:ascii="Arial Narrow" w:hAnsi="Arial Narrow"/>
                <w:sz w:val="20"/>
              </w:rPr>
              <w:t xml:space="preserve">NR </w:t>
            </w:r>
            <w:r w:rsidRPr="0044303C">
              <w:rPr>
                <w:rFonts w:ascii="Arial Narrow" w:hAnsi="Arial Narrow"/>
                <w:sz w:val="20"/>
                <w:vertAlign w:val="superscript"/>
              </w:rPr>
              <w:t>c</w:t>
            </w:r>
          </w:p>
        </w:tc>
        <w:tc>
          <w:tcPr>
            <w:tcW w:w="1568" w:type="dxa"/>
            <w:vAlign w:val="center"/>
          </w:tcPr>
          <w:p w:rsidR="00144B91" w:rsidRPr="00D80899" w:rsidRDefault="00D80899" w:rsidP="002867F3">
            <w:pPr>
              <w:jc w:val="center"/>
              <w:rPr>
                <w:rFonts w:ascii="Arial Narrow" w:hAnsi="Arial Narrow"/>
                <w:i/>
                <w:sz w:val="20"/>
              </w:rPr>
            </w:pPr>
            <w:r w:rsidRPr="00D80899">
              <w:rPr>
                <w:rFonts w:ascii="Arial Narrow" w:hAnsi="Arial Narrow"/>
                <w:i/>
                <w:sz w:val="20"/>
              </w:rPr>
              <w:t>+147,433</w:t>
            </w:r>
          </w:p>
          <w:p w:rsidR="00D80899" w:rsidRPr="00D80899" w:rsidRDefault="00D80899" w:rsidP="002867F3">
            <w:pPr>
              <w:jc w:val="center"/>
              <w:rPr>
                <w:rFonts w:ascii="Arial Narrow" w:hAnsi="Arial Narrow"/>
                <w:i/>
                <w:sz w:val="20"/>
              </w:rPr>
            </w:pPr>
            <w:r w:rsidRPr="00D80899">
              <w:rPr>
                <w:rFonts w:ascii="Arial Narrow" w:hAnsi="Arial Narrow"/>
                <w:i/>
                <w:sz w:val="20"/>
              </w:rPr>
              <w:t>(97,506)</w:t>
            </w:r>
          </w:p>
        </w:tc>
      </w:tr>
      <w:tr w:rsidR="00144B91" w:rsidRPr="00634EBF" w:rsidTr="00CD0DA4">
        <w:tc>
          <w:tcPr>
            <w:tcW w:w="2016" w:type="dxa"/>
            <w:vAlign w:val="center"/>
          </w:tcPr>
          <w:p w:rsidR="00144B91" w:rsidRPr="00931F93" w:rsidRDefault="00144B91" w:rsidP="002867F3">
            <w:pPr>
              <w:rPr>
                <w:rFonts w:ascii="Arial Narrow" w:hAnsi="Arial Narrow"/>
                <w:sz w:val="20"/>
              </w:rPr>
            </w:pPr>
            <w:proofErr w:type="spellStart"/>
            <w:r w:rsidRPr="00931F93">
              <w:rPr>
                <w:rFonts w:ascii="Arial Narrow" w:hAnsi="Arial Narrow"/>
                <w:sz w:val="20"/>
              </w:rPr>
              <w:t>Velaglucerase</w:t>
            </w:r>
            <w:proofErr w:type="spellEnd"/>
            <w:r w:rsidRPr="00931F93">
              <w:rPr>
                <w:rFonts w:ascii="Arial Narrow" w:hAnsi="Arial Narrow"/>
                <w:sz w:val="20"/>
              </w:rPr>
              <w:t xml:space="preserve"> 60U</w:t>
            </w:r>
            <w:r>
              <w:rPr>
                <w:rFonts w:ascii="Arial Narrow" w:hAnsi="Arial Narrow"/>
                <w:sz w:val="20"/>
              </w:rPr>
              <w:t>/kg</w:t>
            </w:r>
            <w:r w:rsidRPr="00931F93">
              <w:rPr>
                <w:rFonts w:ascii="Arial Narrow" w:hAnsi="Arial Narrow"/>
                <w:sz w:val="20"/>
              </w:rPr>
              <w:t xml:space="preserve"> </w:t>
            </w:r>
          </w:p>
          <w:p w:rsidR="00144B91" w:rsidRPr="00931F93" w:rsidRDefault="00144B91" w:rsidP="002867F3">
            <w:pPr>
              <w:rPr>
                <w:rFonts w:ascii="Arial Narrow" w:hAnsi="Arial Narrow"/>
                <w:sz w:val="20"/>
              </w:rPr>
            </w:pPr>
            <w:r w:rsidRPr="00931F93">
              <w:rPr>
                <w:rFonts w:ascii="Arial Narrow" w:hAnsi="Arial Narrow"/>
                <w:sz w:val="20"/>
              </w:rPr>
              <w:t>(N=17)</w:t>
            </w:r>
          </w:p>
        </w:tc>
        <w:tc>
          <w:tcPr>
            <w:tcW w:w="1484" w:type="dxa"/>
            <w:vAlign w:val="center"/>
          </w:tcPr>
          <w:p w:rsidR="00144B91" w:rsidRPr="0044303C" w:rsidRDefault="00144B91" w:rsidP="0044303C">
            <w:pPr>
              <w:jc w:val="center"/>
              <w:rPr>
                <w:rFonts w:ascii="Arial Narrow" w:hAnsi="Arial Narrow"/>
                <w:sz w:val="20"/>
                <w:vertAlign w:val="superscript"/>
              </w:rPr>
            </w:pPr>
            <w:r w:rsidRPr="0044303C">
              <w:rPr>
                <w:rFonts w:ascii="Arial Narrow" w:hAnsi="Arial Narrow"/>
                <w:sz w:val="20"/>
              </w:rPr>
              <w:t xml:space="preserve">NR </w:t>
            </w:r>
            <w:proofErr w:type="spellStart"/>
            <w:r w:rsidRPr="0044303C">
              <w:rPr>
                <w:rFonts w:ascii="Arial Narrow" w:hAnsi="Arial Narrow"/>
                <w:sz w:val="20"/>
                <w:vertAlign w:val="superscript"/>
              </w:rPr>
              <w:t>b,c</w:t>
            </w:r>
            <w:proofErr w:type="spellEnd"/>
          </w:p>
        </w:tc>
        <w:tc>
          <w:tcPr>
            <w:tcW w:w="1792" w:type="dxa"/>
            <w:vAlign w:val="center"/>
          </w:tcPr>
          <w:p w:rsidR="00144B91" w:rsidRPr="003404B1" w:rsidRDefault="00144B91" w:rsidP="002867F3">
            <w:pPr>
              <w:jc w:val="center"/>
              <w:rPr>
                <w:rFonts w:ascii="Arial Narrow" w:hAnsi="Arial Narrow"/>
                <w:sz w:val="20"/>
              </w:rPr>
            </w:pPr>
            <w:r w:rsidRPr="003404B1">
              <w:rPr>
                <w:rFonts w:ascii="Arial Narrow" w:hAnsi="Arial Narrow"/>
                <w:sz w:val="20"/>
              </w:rPr>
              <w:t xml:space="preserve">+1.6 </w:t>
            </w:r>
          </w:p>
          <w:p w:rsidR="00144B91" w:rsidRPr="003404B1" w:rsidRDefault="00144B91" w:rsidP="002867F3">
            <w:pPr>
              <w:jc w:val="center"/>
              <w:rPr>
                <w:rFonts w:ascii="Arial Narrow" w:hAnsi="Arial Narrow"/>
                <w:sz w:val="20"/>
              </w:rPr>
            </w:pPr>
            <w:r w:rsidRPr="003404B1">
              <w:rPr>
                <w:rFonts w:ascii="Arial Narrow" w:hAnsi="Arial Narrow"/>
                <w:sz w:val="20"/>
              </w:rPr>
              <w:t>(SE 0.2)</w:t>
            </w:r>
          </w:p>
        </w:tc>
        <w:tc>
          <w:tcPr>
            <w:tcW w:w="1426" w:type="dxa"/>
            <w:vAlign w:val="center"/>
          </w:tcPr>
          <w:p w:rsidR="00144B91" w:rsidRPr="00634EBF" w:rsidRDefault="00144B91" w:rsidP="00144B91">
            <w:pPr>
              <w:jc w:val="center"/>
              <w:rPr>
                <w:rFonts w:ascii="Arial Narrow" w:hAnsi="Arial Narrow"/>
                <w:sz w:val="20"/>
                <w:highlight w:val="yellow"/>
              </w:rPr>
            </w:pPr>
            <w:r w:rsidRPr="0044303C">
              <w:rPr>
                <w:rFonts w:ascii="Arial Narrow" w:hAnsi="Arial Narrow"/>
                <w:sz w:val="20"/>
              </w:rPr>
              <w:t xml:space="preserve">NR </w:t>
            </w:r>
            <w:r w:rsidRPr="0044303C">
              <w:rPr>
                <w:rFonts w:ascii="Arial Narrow" w:hAnsi="Arial Narrow"/>
                <w:sz w:val="20"/>
                <w:vertAlign w:val="superscript"/>
              </w:rPr>
              <w:t>c</w:t>
            </w:r>
          </w:p>
        </w:tc>
        <w:tc>
          <w:tcPr>
            <w:tcW w:w="1568" w:type="dxa"/>
            <w:vAlign w:val="center"/>
          </w:tcPr>
          <w:p w:rsidR="00144B91" w:rsidRPr="00D80899" w:rsidRDefault="00D80899" w:rsidP="002867F3">
            <w:pPr>
              <w:jc w:val="center"/>
              <w:rPr>
                <w:rFonts w:ascii="Arial Narrow" w:hAnsi="Arial Narrow"/>
                <w:i/>
                <w:sz w:val="20"/>
              </w:rPr>
            </w:pPr>
            <w:r w:rsidRPr="00D80899">
              <w:rPr>
                <w:rFonts w:ascii="Arial Narrow" w:hAnsi="Arial Narrow"/>
                <w:i/>
                <w:sz w:val="20"/>
              </w:rPr>
              <w:t>+101,063</w:t>
            </w:r>
          </w:p>
          <w:p w:rsidR="00D80899" w:rsidRPr="00D80899" w:rsidRDefault="00D80899" w:rsidP="002867F3">
            <w:pPr>
              <w:jc w:val="center"/>
              <w:rPr>
                <w:rFonts w:ascii="Arial Narrow" w:hAnsi="Arial Narrow"/>
                <w:i/>
                <w:sz w:val="20"/>
              </w:rPr>
            </w:pPr>
            <w:r w:rsidRPr="00D80899">
              <w:rPr>
                <w:rFonts w:ascii="Arial Narrow" w:hAnsi="Arial Narrow"/>
                <w:i/>
                <w:sz w:val="20"/>
              </w:rPr>
              <w:t>(61,268)</w:t>
            </w:r>
          </w:p>
        </w:tc>
      </w:tr>
      <w:tr w:rsidR="00CD0DA4" w:rsidRPr="00CD0DA4" w:rsidTr="002867F3">
        <w:tc>
          <w:tcPr>
            <w:tcW w:w="8286" w:type="dxa"/>
            <w:gridSpan w:val="5"/>
            <w:vAlign w:val="center"/>
          </w:tcPr>
          <w:p w:rsidR="00CD0DA4" w:rsidRPr="00CD0DA4" w:rsidRDefault="00CD0DA4" w:rsidP="002867F3">
            <w:pPr>
              <w:rPr>
                <w:rFonts w:ascii="Arial Narrow" w:hAnsi="Arial Narrow"/>
                <w:b/>
                <w:sz w:val="20"/>
              </w:rPr>
            </w:pPr>
            <w:r w:rsidRPr="00CD0DA4">
              <w:rPr>
                <w:rFonts w:ascii="Arial Narrow" w:hAnsi="Arial Narrow"/>
                <w:b/>
                <w:sz w:val="20"/>
              </w:rPr>
              <w:t>TKT-032 (12 months)</w:t>
            </w:r>
          </w:p>
        </w:tc>
      </w:tr>
      <w:tr w:rsidR="00CD0DA4" w:rsidRPr="00634EBF" w:rsidTr="00CD0DA4">
        <w:tc>
          <w:tcPr>
            <w:tcW w:w="2016" w:type="dxa"/>
            <w:vAlign w:val="center"/>
          </w:tcPr>
          <w:p w:rsidR="00CD0DA4" w:rsidRPr="00931F93" w:rsidRDefault="00931F93" w:rsidP="002867F3">
            <w:pPr>
              <w:rPr>
                <w:rFonts w:ascii="Arial Narrow" w:hAnsi="Arial Narrow"/>
                <w:sz w:val="20"/>
              </w:rPr>
            </w:pPr>
            <w:proofErr w:type="spellStart"/>
            <w:r w:rsidRPr="00931F93">
              <w:rPr>
                <w:rFonts w:ascii="Arial Narrow" w:hAnsi="Arial Narrow"/>
                <w:sz w:val="20"/>
              </w:rPr>
              <w:t>Velaglucerase</w:t>
            </w:r>
            <w:proofErr w:type="spellEnd"/>
            <w:r w:rsidRPr="00931F93">
              <w:rPr>
                <w:rFonts w:ascii="Arial Narrow" w:hAnsi="Arial Narrow"/>
                <w:sz w:val="20"/>
              </w:rPr>
              <w:t xml:space="preserve"> 45U/kg (N=13)</w:t>
            </w:r>
          </w:p>
        </w:tc>
        <w:tc>
          <w:tcPr>
            <w:tcW w:w="1484" w:type="dxa"/>
            <w:vAlign w:val="center"/>
          </w:tcPr>
          <w:p w:rsidR="0044303C" w:rsidRPr="0044303C" w:rsidRDefault="0044303C" w:rsidP="0044303C">
            <w:pPr>
              <w:jc w:val="center"/>
              <w:rPr>
                <w:rFonts w:ascii="Arial Narrow" w:hAnsi="Arial Narrow"/>
                <w:sz w:val="20"/>
                <w:vertAlign w:val="superscript"/>
              </w:rPr>
            </w:pPr>
            <w:r w:rsidRPr="0044303C">
              <w:rPr>
                <w:rFonts w:ascii="Arial Narrow" w:hAnsi="Arial Narrow"/>
                <w:sz w:val="20"/>
              </w:rPr>
              <w:t>-39.9%</w:t>
            </w:r>
            <w:r>
              <w:rPr>
                <w:rFonts w:ascii="Arial Narrow" w:hAnsi="Arial Narrow"/>
                <w:sz w:val="20"/>
              </w:rPr>
              <w:t xml:space="preserve"> </w:t>
            </w:r>
            <w:r>
              <w:rPr>
                <w:rFonts w:ascii="Arial Narrow" w:hAnsi="Arial Narrow"/>
                <w:sz w:val="20"/>
                <w:vertAlign w:val="superscript"/>
              </w:rPr>
              <w:t>c</w:t>
            </w:r>
          </w:p>
          <w:p w:rsidR="00CD0DA4" w:rsidRPr="0044303C" w:rsidRDefault="0044303C" w:rsidP="0044303C">
            <w:pPr>
              <w:jc w:val="center"/>
              <w:rPr>
                <w:rFonts w:ascii="Arial Narrow" w:hAnsi="Arial Narrow"/>
                <w:sz w:val="20"/>
              </w:rPr>
            </w:pPr>
            <w:r w:rsidRPr="0044303C">
              <w:rPr>
                <w:rFonts w:ascii="Arial Narrow" w:hAnsi="Arial Narrow"/>
                <w:sz w:val="20"/>
              </w:rPr>
              <w:t>(NR)</w:t>
            </w:r>
          </w:p>
        </w:tc>
        <w:tc>
          <w:tcPr>
            <w:tcW w:w="1792" w:type="dxa"/>
            <w:vAlign w:val="center"/>
          </w:tcPr>
          <w:p w:rsidR="00CD0DA4" w:rsidRPr="00144B91" w:rsidRDefault="00144B91" w:rsidP="002867F3">
            <w:pPr>
              <w:jc w:val="center"/>
              <w:rPr>
                <w:rFonts w:ascii="Arial Narrow" w:hAnsi="Arial Narrow"/>
                <w:sz w:val="20"/>
              </w:rPr>
            </w:pPr>
            <w:r w:rsidRPr="00144B91">
              <w:rPr>
                <w:rFonts w:ascii="Arial Narrow" w:hAnsi="Arial Narrow"/>
                <w:sz w:val="20"/>
              </w:rPr>
              <w:t>+2.4</w:t>
            </w:r>
          </w:p>
          <w:p w:rsidR="00144B91" w:rsidRPr="00144B91" w:rsidRDefault="00144B91" w:rsidP="002867F3">
            <w:pPr>
              <w:jc w:val="center"/>
              <w:rPr>
                <w:rFonts w:ascii="Arial Narrow" w:hAnsi="Arial Narrow"/>
                <w:sz w:val="20"/>
              </w:rPr>
            </w:pPr>
            <w:r w:rsidRPr="00144B91">
              <w:rPr>
                <w:rFonts w:ascii="Arial Narrow" w:hAnsi="Arial Narrow"/>
                <w:sz w:val="20"/>
              </w:rPr>
              <w:t>(SE 0.5)</w:t>
            </w:r>
          </w:p>
        </w:tc>
        <w:tc>
          <w:tcPr>
            <w:tcW w:w="1426" w:type="dxa"/>
            <w:vAlign w:val="center"/>
          </w:tcPr>
          <w:p w:rsidR="00CD0DA4" w:rsidRDefault="00144B91" w:rsidP="002867F3">
            <w:pPr>
              <w:jc w:val="center"/>
              <w:rPr>
                <w:rFonts w:ascii="Arial Narrow" w:hAnsi="Arial Narrow"/>
                <w:sz w:val="20"/>
              </w:rPr>
            </w:pPr>
            <w:r w:rsidRPr="00144B91">
              <w:rPr>
                <w:rFonts w:ascii="Arial Narrow" w:hAnsi="Arial Narrow"/>
                <w:sz w:val="20"/>
              </w:rPr>
              <w:t>-6.2</w:t>
            </w:r>
            <w:r w:rsidRPr="0044303C">
              <w:rPr>
                <w:rFonts w:ascii="Arial Narrow" w:hAnsi="Arial Narrow"/>
                <w:sz w:val="20"/>
              </w:rPr>
              <w:t>%</w:t>
            </w:r>
            <w:r>
              <w:rPr>
                <w:rFonts w:ascii="Arial Narrow" w:hAnsi="Arial Narrow"/>
                <w:sz w:val="20"/>
              </w:rPr>
              <w:t xml:space="preserve"> </w:t>
            </w:r>
            <w:r>
              <w:rPr>
                <w:rFonts w:ascii="Arial Narrow" w:hAnsi="Arial Narrow"/>
                <w:sz w:val="20"/>
                <w:vertAlign w:val="superscript"/>
              </w:rPr>
              <w:t>c</w:t>
            </w:r>
          </w:p>
          <w:p w:rsidR="00144B91" w:rsidRPr="00144B91" w:rsidRDefault="00144B91" w:rsidP="002867F3">
            <w:pPr>
              <w:jc w:val="center"/>
              <w:rPr>
                <w:rFonts w:ascii="Arial Narrow" w:hAnsi="Arial Narrow"/>
                <w:sz w:val="20"/>
              </w:rPr>
            </w:pPr>
            <w:r>
              <w:rPr>
                <w:rFonts w:ascii="Arial Narrow" w:hAnsi="Arial Narrow"/>
                <w:sz w:val="20"/>
              </w:rPr>
              <w:t>(NR)</w:t>
            </w:r>
          </w:p>
        </w:tc>
        <w:tc>
          <w:tcPr>
            <w:tcW w:w="1568" w:type="dxa"/>
            <w:vAlign w:val="center"/>
          </w:tcPr>
          <w:p w:rsidR="00074A60" w:rsidRPr="00074A60" w:rsidRDefault="00074A60" w:rsidP="00074A60">
            <w:pPr>
              <w:jc w:val="center"/>
              <w:rPr>
                <w:rFonts w:ascii="Arial Narrow" w:hAnsi="Arial Narrow"/>
                <w:sz w:val="20"/>
              </w:rPr>
            </w:pPr>
            <w:r w:rsidRPr="00074A60">
              <w:rPr>
                <w:rFonts w:ascii="Arial Narrow" w:hAnsi="Arial Narrow"/>
                <w:sz w:val="20"/>
              </w:rPr>
              <w:t>+40,920</w:t>
            </w:r>
          </w:p>
          <w:p w:rsidR="00CD0DA4" w:rsidRPr="00074A60" w:rsidRDefault="00074A60" w:rsidP="00074A60">
            <w:pPr>
              <w:jc w:val="center"/>
              <w:rPr>
                <w:rFonts w:ascii="Arial Narrow" w:hAnsi="Arial Narrow"/>
                <w:sz w:val="20"/>
              </w:rPr>
            </w:pPr>
            <w:r w:rsidRPr="00074A60">
              <w:rPr>
                <w:rFonts w:ascii="Arial Narrow" w:hAnsi="Arial Narrow"/>
                <w:sz w:val="20"/>
              </w:rPr>
              <w:t>(NR)</w:t>
            </w:r>
          </w:p>
        </w:tc>
      </w:tr>
      <w:tr w:rsidR="00CD0DA4" w:rsidRPr="00634EBF" w:rsidTr="00CD0DA4">
        <w:tc>
          <w:tcPr>
            <w:tcW w:w="2016" w:type="dxa"/>
            <w:vAlign w:val="center"/>
          </w:tcPr>
          <w:p w:rsidR="00CD0DA4" w:rsidRPr="00931F93" w:rsidRDefault="00931F93" w:rsidP="002867F3">
            <w:pPr>
              <w:rPr>
                <w:rFonts w:ascii="Arial Narrow" w:hAnsi="Arial Narrow"/>
                <w:sz w:val="20"/>
              </w:rPr>
            </w:pPr>
            <w:proofErr w:type="spellStart"/>
            <w:r w:rsidRPr="00931F93">
              <w:rPr>
                <w:rFonts w:ascii="Arial Narrow" w:hAnsi="Arial Narrow"/>
                <w:sz w:val="20"/>
              </w:rPr>
              <w:t>Velaglucerase</w:t>
            </w:r>
            <w:proofErr w:type="spellEnd"/>
            <w:r w:rsidRPr="00931F93">
              <w:rPr>
                <w:rFonts w:ascii="Arial Narrow" w:hAnsi="Arial Narrow"/>
                <w:sz w:val="20"/>
              </w:rPr>
              <w:t xml:space="preserve"> 60U/kg (N=12)</w:t>
            </w:r>
          </w:p>
        </w:tc>
        <w:tc>
          <w:tcPr>
            <w:tcW w:w="1484" w:type="dxa"/>
            <w:vAlign w:val="center"/>
          </w:tcPr>
          <w:p w:rsidR="0044303C" w:rsidRPr="0044303C" w:rsidRDefault="0044303C" w:rsidP="002867F3">
            <w:pPr>
              <w:jc w:val="center"/>
              <w:rPr>
                <w:rFonts w:ascii="Arial Narrow" w:hAnsi="Arial Narrow"/>
                <w:sz w:val="20"/>
                <w:vertAlign w:val="superscript"/>
              </w:rPr>
            </w:pPr>
            <w:r w:rsidRPr="0044303C">
              <w:rPr>
                <w:rFonts w:ascii="Arial Narrow" w:hAnsi="Arial Narrow"/>
                <w:sz w:val="20"/>
              </w:rPr>
              <w:t>-50.4%</w:t>
            </w:r>
            <w:r>
              <w:rPr>
                <w:rFonts w:ascii="Arial Narrow" w:hAnsi="Arial Narrow"/>
                <w:sz w:val="20"/>
              </w:rPr>
              <w:t xml:space="preserve"> </w:t>
            </w:r>
            <w:r>
              <w:rPr>
                <w:rFonts w:ascii="Arial Narrow" w:hAnsi="Arial Narrow"/>
                <w:sz w:val="20"/>
                <w:vertAlign w:val="superscript"/>
              </w:rPr>
              <w:t>c</w:t>
            </w:r>
          </w:p>
          <w:p w:rsidR="00CD0DA4" w:rsidRPr="0044303C" w:rsidRDefault="0044303C" w:rsidP="002867F3">
            <w:pPr>
              <w:jc w:val="center"/>
              <w:rPr>
                <w:rFonts w:ascii="Arial Narrow" w:hAnsi="Arial Narrow"/>
                <w:sz w:val="20"/>
              </w:rPr>
            </w:pPr>
            <w:r w:rsidRPr="0044303C">
              <w:rPr>
                <w:rFonts w:ascii="Arial Narrow" w:hAnsi="Arial Narrow"/>
                <w:sz w:val="20"/>
              </w:rPr>
              <w:t>(NR)</w:t>
            </w:r>
          </w:p>
        </w:tc>
        <w:tc>
          <w:tcPr>
            <w:tcW w:w="1792" w:type="dxa"/>
            <w:vAlign w:val="center"/>
          </w:tcPr>
          <w:p w:rsidR="00CD0DA4" w:rsidRPr="00144B91" w:rsidRDefault="00144B91" w:rsidP="002867F3">
            <w:pPr>
              <w:jc w:val="center"/>
              <w:rPr>
                <w:rFonts w:ascii="Arial Narrow" w:hAnsi="Arial Narrow"/>
                <w:sz w:val="20"/>
              </w:rPr>
            </w:pPr>
            <w:r w:rsidRPr="00144B91">
              <w:rPr>
                <w:rFonts w:ascii="Arial Narrow" w:hAnsi="Arial Narrow"/>
                <w:sz w:val="20"/>
              </w:rPr>
              <w:t>+2.4</w:t>
            </w:r>
          </w:p>
          <w:p w:rsidR="00144B91" w:rsidRPr="00144B91" w:rsidRDefault="00144B91" w:rsidP="002867F3">
            <w:pPr>
              <w:jc w:val="center"/>
              <w:rPr>
                <w:rFonts w:ascii="Arial Narrow" w:hAnsi="Arial Narrow"/>
                <w:sz w:val="20"/>
              </w:rPr>
            </w:pPr>
            <w:r w:rsidRPr="00144B91">
              <w:rPr>
                <w:rFonts w:ascii="Arial Narrow" w:hAnsi="Arial Narrow"/>
                <w:sz w:val="20"/>
              </w:rPr>
              <w:t>(SE 0.3)</w:t>
            </w:r>
          </w:p>
        </w:tc>
        <w:tc>
          <w:tcPr>
            <w:tcW w:w="1426" w:type="dxa"/>
            <w:vAlign w:val="center"/>
          </w:tcPr>
          <w:p w:rsidR="00CD0DA4" w:rsidRDefault="00144B91" w:rsidP="002867F3">
            <w:pPr>
              <w:jc w:val="center"/>
              <w:rPr>
                <w:rFonts w:ascii="Arial Narrow" w:hAnsi="Arial Narrow"/>
                <w:sz w:val="20"/>
              </w:rPr>
            </w:pPr>
            <w:r w:rsidRPr="00144B91">
              <w:rPr>
                <w:rFonts w:ascii="Arial Narrow" w:hAnsi="Arial Narrow"/>
                <w:sz w:val="20"/>
              </w:rPr>
              <w:t>-17.0</w:t>
            </w:r>
            <w:r w:rsidRPr="0044303C">
              <w:rPr>
                <w:rFonts w:ascii="Arial Narrow" w:hAnsi="Arial Narrow"/>
                <w:sz w:val="20"/>
              </w:rPr>
              <w:t>%</w:t>
            </w:r>
            <w:r>
              <w:rPr>
                <w:rFonts w:ascii="Arial Narrow" w:hAnsi="Arial Narrow"/>
                <w:sz w:val="20"/>
              </w:rPr>
              <w:t xml:space="preserve"> </w:t>
            </w:r>
            <w:r>
              <w:rPr>
                <w:rFonts w:ascii="Arial Narrow" w:hAnsi="Arial Narrow"/>
                <w:sz w:val="20"/>
                <w:vertAlign w:val="superscript"/>
              </w:rPr>
              <w:t>c</w:t>
            </w:r>
          </w:p>
          <w:p w:rsidR="00144B91" w:rsidRPr="00144B91" w:rsidRDefault="00144B91" w:rsidP="002867F3">
            <w:pPr>
              <w:jc w:val="center"/>
              <w:rPr>
                <w:rFonts w:ascii="Arial Narrow" w:hAnsi="Arial Narrow"/>
                <w:sz w:val="20"/>
              </w:rPr>
            </w:pPr>
            <w:r>
              <w:rPr>
                <w:rFonts w:ascii="Arial Narrow" w:hAnsi="Arial Narrow"/>
                <w:sz w:val="20"/>
              </w:rPr>
              <w:t>(NR)</w:t>
            </w:r>
          </w:p>
        </w:tc>
        <w:tc>
          <w:tcPr>
            <w:tcW w:w="1568" w:type="dxa"/>
            <w:vAlign w:val="center"/>
          </w:tcPr>
          <w:p w:rsidR="00CD0DA4" w:rsidRPr="00074A60" w:rsidRDefault="00074A60" w:rsidP="002867F3">
            <w:pPr>
              <w:jc w:val="center"/>
              <w:rPr>
                <w:rFonts w:ascii="Arial Narrow" w:hAnsi="Arial Narrow"/>
                <w:sz w:val="20"/>
              </w:rPr>
            </w:pPr>
            <w:r w:rsidRPr="00074A60">
              <w:rPr>
                <w:rFonts w:ascii="Arial Narrow" w:hAnsi="Arial Narrow"/>
                <w:sz w:val="20"/>
              </w:rPr>
              <w:t>+50,880</w:t>
            </w:r>
          </w:p>
          <w:p w:rsidR="00074A60" w:rsidRPr="00074A60" w:rsidRDefault="00074A60" w:rsidP="002867F3">
            <w:pPr>
              <w:jc w:val="center"/>
              <w:rPr>
                <w:rFonts w:ascii="Arial Narrow" w:hAnsi="Arial Narrow"/>
                <w:sz w:val="20"/>
              </w:rPr>
            </w:pPr>
            <w:r w:rsidRPr="00074A60">
              <w:rPr>
                <w:rFonts w:ascii="Arial Narrow" w:hAnsi="Arial Narrow"/>
                <w:sz w:val="20"/>
              </w:rPr>
              <w:t>(NR)</w:t>
            </w:r>
          </w:p>
        </w:tc>
      </w:tr>
    </w:tbl>
    <w:p w:rsidR="00074A60" w:rsidRPr="00074A60" w:rsidRDefault="00074A60" w:rsidP="00151B19">
      <w:pPr>
        <w:pStyle w:val="BodyText3"/>
        <w:spacing w:after="0"/>
        <w:ind w:left="709"/>
        <w:rPr>
          <w:rFonts w:ascii="Arial Narrow" w:hAnsi="Arial Narrow"/>
          <w:sz w:val="18"/>
          <w:szCs w:val="18"/>
        </w:rPr>
      </w:pPr>
      <w:r w:rsidRPr="00074A60">
        <w:rPr>
          <w:rFonts w:ascii="Arial Narrow" w:hAnsi="Arial Narrow"/>
          <w:sz w:val="18"/>
          <w:szCs w:val="18"/>
        </w:rPr>
        <w:t xml:space="preserve">Source: Section B.6 of the </w:t>
      </w:r>
      <w:r w:rsidR="00035FBE">
        <w:rPr>
          <w:rFonts w:ascii="Arial Narrow" w:hAnsi="Arial Narrow"/>
          <w:sz w:val="18"/>
          <w:szCs w:val="18"/>
        </w:rPr>
        <w:t>resubmission</w:t>
      </w:r>
      <w:r w:rsidRPr="00074A60">
        <w:rPr>
          <w:rFonts w:ascii="Arial Narrow" w:hAnsi="Arial Narrow"/>
          <w:sz w:val="18"/>
          <w:szCs w:val="18"/>
        </w:rPr>
        <w:t xml:space="preserve">; </w:t>
      </w:r>
      <w:proofErr w:type="spellStart"/>
      <w:r w:rsidRPr="00074A60">
        <w:rPr>
          <w:rFonts w:ascii="Arial Narrow" w:hAnsi="Arial Narrow"/>
          <w:sz w:val="18"/>
          <w:szCs w:val="18"/>
        </w:rPr>
        <w:t>Velaglucerase</w:t>
      </w:r>
      <w:proofErr w:type="spellEnd"/>
      <w:r w:rsidRPr="00074A60">
        <w:rPr>
          <w:rFonts w:ascii="Arial Narrow" w:hAnsi="Arial Narrow"/>
          <w:sz w:val="18"/>
          <w:szCs w:val="18"/>
        </w:rPr>
        <w:t xml:space="preserve"> EMA report; Grabowski 1995</w:t>
      </w:r>
    </w:p>
    <w:p w:rsidR="00DB56A9" w:rsidRDefault="00DB56A9" w:rsidP="00151B19">
      <w:pPr>
        <w:pStyle w:val="BodyText3"/>
        <w:spacing w:after="0"/>
        <w:ind w:left="709"/>
        <w:rPr>
          <w:rFonts w:ascii="Arial Narrow" w:hAnsi="Arial Narrow"/>
          <w:sz w:val="18"/>
          <w:szCs w:val="18"/>
        </w:rPr>
      </w:pPr>
      <w:r w:rsidRPr="00931F93">
        <w:rPr>
          <w:rFonts w:ascii="Arial Narrow" w:hAnsi="Arial Narrow"/>
          <w:sz w:val="18"/>
          <w:szCs w:val="18"/>
        </w:rPr>
        <w:t xml:space="preserve">Abbreviations: </w:t>
      </w:r>
      <w:proofErr w:type="spellStart"/>
      <w:r w:rsidRPr="00931F93">
        <w:rPr>
          <w:rFonts w:ascii="Arial Narrow" w:hAnsi="Arial Narrow"/>
          <w:sz w:val="18"/>
          <w:szCs w:val="18"/>
        </w:rPr>
        <w:t>Hb</w:t>
      </w:r>
      <w:proofErr w:type="spellEnd"/>
      <w:r w:rsidRPr="00931F93">
        <w:rPr>
          <w:rFonts w:ascii="Arial Narrow" w:hAnsi="Arial Narrow"/>
          <w:sz w:val="18"/>
          <w:szCs w:val="18"/>
        </w:rPr>
        <w:t xml:space="preserve">, </w:t>
      </w:r>
      <w:r w:rsidRPr="00074A60">
        <w:rPr>
          <w:rFonts w:ascii="Arial Narrow" w:hAnsi="Arial Narrow"/>
          <w:sz w:val="18"/>
          <w:szCs w:val="18"/>
        </w:rPr>
        <w:t>haemoglobin; RNG, range; SD, standard</w:t>
      </w:r>
      <w:r w:rsidRPr="00931F93">
        <w:rPr>
          <w:rFonts w:ascii="Arial Narrow" w:hAnsi="Arial Narrow"/>
          <w:sz w:val="18"/>
          <w:szCs w:val="18"/>
        </w:rPr>
        <w:t xml:space="preserve"> </w:t>
      </w:r>
      <w:r w:rsidRPr="003404B1">
        <w:rPr>
          <w:rFonts w:ascii="Arial Narrow" w:hAnsi="Arial Narrow"/>
          <w:sz w:val="18"/>
          <w:szCs w:val="18"/>
        </w:rPr>
        <w:t>deviation; SE, standard error</w:t>
      </w:r>
    </w:p>
    <w:p w:rsidR="00D80899" w:rsidRPr="00D80899" w:rsidRDefault="00D80899" w:rsidP="00151B19">
      <w:pPr>
        <w:pStyle w:val="BodyText3"/>
        <w:spacing w:after="0"/>
        <w:ind w:left="709"/>
        <w:rPr>
          <w:rFonts w:ascii="Arial Narrow" w:hAnsi="Arial Narrow"/>
          <w:i/>
          <w:sz w:val="18"/>
          <w:szCs w:val="18"/>
        </w:rPr>
      </w:pPr>
      <w:r>
        <w:rPr>
          <w:rFonts w:ascii="Arial Narrow" w:hAnsi="Arial Narrow"/>
          <w:i/>
          <w:sz w:val="18"/>
          <w:szCs w:val="18"/>
        </w:rPr>
        <w:t>Numbers in italics were calculated during the evaluation. Platelet counts were converted from 10</w:t>
      </w:r>
      <w:r>
        <w:rPr>
          <w:rFonts w:ascii="Arial Narrow" w:hAnsi="Arial Narrow"/>
          <w:i/>
          <w:sz w:val="18"/>
          <w:szCs w:val="18"/>
          <w:vertAlign w:val="superscript"/>
        </w:rPr>
        <w:t>9</w:t>
      </w:r>
      <w:r>
        <w:rPr>
          <w:rFonts w:ascii="Arial Narrow" w:hAnsi="Arial Narrow"/>
          <w:i/>
          <w:sz w:val="18"/>
          <w:szCs w:val="18"/>
        </w:rPr>
        <w:t>/L to mm</w:t>
      </w:r>
      <w:r>
        <w:rPr>
          <w:rFonts w:ascii="Arial Narrow" w:hAnsi="Arial Narrow"/>
          <w:i/>
          <w:sz w:val="18"/>
          <w:szCs w:val="18"/>
          <w:vertAlign w:val="superscript"/>
        </w:rPr>
        <w:t>3</w:t>
      </w:r>
      <w:r>
        <w:rPr>
          <w:rFonts w:ascii="Arial Narrow" w:hAnsi="Arial Narrow"/>
          <w:i/>
          <w:sz w:val="18"/>
          <w:szCs w:val="18"/>
        </w:rPr>
        <w:t xml:space="preserve"> where applicable, and some rounding errors may have occurred as a result.</w:t>
      </w:r>
    </w:p>
    <w:p w:rsidR="00DB56A9" w:rsidRDefault="00DB56A9" w:rsidP="00151B19">
      <w:pPr>
        <w:pStyle w:val="BodyText3"/>
        <w:spacing w:after="0"/>
        <w:ind w:left="709"/>
        <w:rPr>
          <w:rFonts w:ascii="Arial Narrow" w:hAnsi="Arial Narrow"/>
          <w:sz w:val="18"/>
          <w:szCs w:val="18"/>
        </w:rPr>
      </w:pPr>
      <w:proofErr w:type="spellStart"/>
      <w:proofErr w:type="gramStart"/>
      <w:r w:rsidRPr="00931F93">
        <w:rPr>
          <w:rFonts w:ascii="Arial Narrow" w:hAnsi="Arial Narrow"/>
          <w:sz w:val="18"/>
          <w:szCs w:val="18"/>
          <w:vertAlign w:val="superscript"/>
        </w:rPr>
        <w:t>a</w:t>
      </w:r>
      <w:proofErr w:type="spellEnd"/>
      <w:proofErr w:type="gramEnd"/>
      <w:r w:rsidRPr="00931F93">
        <w:rPr>
          <w:rFonts w:ascii="Arial Narrow" w:hAnsi="Arial Narrow"/>
          <w:sz w:val="18"/>
          <w:szCs w:val="18"/>
        </w:rPr>
        <w:t xml:space="preserve"> The number of patients with 9 month results is unclear</w:t>
      </w:r>
    </w:p>
    <w:p w:rsidR="00081CAE" w:rsidRDefault="00081CAE" w:rsidP="00151B19">
      <w:pPr>
        <w:pStyle w:val="BodyText3"/>
        <w:spacing w:after="0"/>
        <w:ind w:left="709"/>
        <w:rPr>
          <w:rFonts w:ascii="Arial Narrow" w:hAnsi="Arial Narrow"/>
          <w:sz w:val="18"/>
          <w:szCs w:val="18"/>
        </w:rPr>
      </w:pPr>
      <w:proofErr w:type="gramStart"/>
      <w:r>
        <w:rPr>
          <w:rFonts w:ascii="Arial Narrow" w:hAnsi="Arial Narrow"/>
          <w:sz w:val="18"/>
          <w:szCs w:val="18"/>
          <w:vertAlign w:val="superscript"/>
        </w:rPr>
        <w:lastRenderedPageBreak/>
        <w:t>b</w:t>
      </w:r>
      <w:proofErr w:type="gramEnd"/>
      <w:r>
        <w:rPr>
          <w:rFonts w:ascii="Arial Narrow" w:hAnsi="Arial Narrow"/>
          <w:sz w:val="18"/>
          <w:szCs w:val="18"/>
          <w:vertAlign w:val="superscript"/>
        </w:rPr>
        <w:t xml:space="preserve"> </w:t>
      </w:r>
      <w:r>
        <w:rPr>
          <w:rFonts w:ascii="Arial Narrow" w:hAnsi="Arial Narrow"/>
          <w:sz w:val="18"/>
          <w:szCs w:val="18"/>
        </w:rPr>
        <w:t>N=7 in each arm due to exclusion of 10 splenectomised patients per arm.</w:t>
      </w:r>
    </w:p>
    <w:p w:rsidR="0044303C" w:rsidRPr="0044303C" w:rsidRDefault="0044303C" w:rsidP="00151B19">
      <w:pPr>
        <w:pStyle w:val="BodyText3"/>
        <w:spacing w:after="0"/>
        <w:ind w:left="709"/>
        <w:rPr>
          <w:rFonts w:ascii="Arial Narrow" w:hAnsi="Arial Narrow"/>
          <w:sz w:val="18"/>
          <w:szCs w:val="18"/>
        </w:rPr>
      </w:pPr>
      <w:proofErr w:type="gramStart"/>
      <w:r>
        <w:rPr>
          <w:rFonts w:ascii="Arial Narrow" w:hAnsi="Arial Narrow"/>
          <w:sz w:val="18"/>
          <w:szCs w:val="18"/>
          <w:vertAlign w:val="superscript"/>
        </w:rPr>
        <w:t>c</w:t>
      </w:r>
      <w:proofErr w:type="gramEnd"/>
      <w:r>
        <w:rPr>
          <w:rFonts w:ascii="Arial Narrow" w:hAnsi="Arial Narrow"/>
          <w:sz w:val="18"/>
          <w:szCs w:val="18"/>
          <w:vertAlign w:val="superscript"/>
        </w:rPr>
        <w:t xml:space="preserve"> </w:t>
      </w:r>
      <w:r>
        <w:rPr>
          <w:rFonts w:ascii="Arial Narrow" w:hAnsi="Arial Narrow"/>
          <w:sz w:val="18"/>
          <w:szCs w:val="18"/>
        </w:rPr>
        <w:t>Spleen and liver volumes for studies HGT-039 and TKT-032 were reported as change from baseline in normalised organ volumes, and cannot be directly compared to results for the other key trials.</w:t>
      </w:r>
    </w:p>
    <w:p w:rsidR="00DB56A9" w:rsidRPr="00151B19" w:rsidRDefault="00DB56A9" w:rsidP="00151B19">
      <w:pPr>
        <w:ind w:left="709"/>
        <w:rPr>
          <w:rFonts w:ascii="Arial Narrow" w:hAnsi="Arial Narrow"/>
          <w:sz w:val="18"/>
          <w:szCs w:val="18"/>
        </w:rPr>
      </w:pPr>
      <w:r w:rsidRPr="00151B19">
        <w:rPr>
          <w:rFonts w:ascii="Arial Narrow" w:hAnsi="Arial Narrow"/>
          <w:sz w:val="18"/>
          <w:szCs w:val="18"/>
        </w:rPr>
        <w:t xml:space="preserve">* </w:t>
      </w:r>
      <w:proofErr w:type="spellStart"/>
      <w:r w:rsidRPr="00151B19">
        <w:rPr>
          <w:rFonts w:ascii="Arial Narrow" w:hAnsi="Arial Narrow"/>
          <w:sz w:val="18"/>
          <w:szCs w:val="18"/>
        </w:rPr>
        <w:t>Alglucerase</w:t>
      </w:r>
      <w:proofErr w:type="spellEnd"/>
      <w:r w:rsidRPr="00151B19">
        <w:rPr>
          <w:rFonts w:ascii="Arial Narrow" w:hAnsi="Arial Narrow"/>
          <w:sz w:val="18"/>
          <w:szCs w:val="18"/>
        </w:rPr>
        <w:t xml:space="preserve"> is an alternative enzyme replacement therapy that was assessed alongside </w:t>
      </w:r>
      <w:proofErr w:type="spellStart"/>
      <w:r w:rsidRPr="00151B19">
        <w:rPr>
          <w:rFonts w:ascii="Arial Narrow" w:hAnsi="Arial Narrow"/>
          <w:sz w:val="18"/>
          <w:szCs w:val="18"/>
        </w:rPr>
        <w:t>imiglucerase</w:t>
      </w:r>
      <w:proofErr w:type="spellEnd"/>
      <w:r w:rsidRPr="00151B19">
        <w:rPr>
          <w:rFonts w:ascii="Arial Narrow" w:hAnsi="Arial Narrow"/>
          <w:sz w:val="18"/>
          <w:szCs w:val="18"/>
        </w:rPr>
        <w:t xml:space="preserve"> in the Grabowski et al (1995) study. </w:t>
      </w:r>
      <w:proofErr w:type="spellStart"/>
      <w:r w:rsidRPr="00151B19">
        <w:rPr>
          <w:rFonts w:ascii="Arial Narrow" w:hAnsi="Arial Narrow"/>
          <w:sz w:val="18"/>
          <w:szCs w:val="18"/>
        </w:rPr>
        <w:t>Imiglucerase</w:t>
      </w:r>
      <w:proofErr w:type="spellEnd"/>
      <w:r w:rsidRPr="00151B19">
        <w:rPr>
          <w:rFonts w:ascii="Arial Narrow" w:hAnsi="Arial Narrow"/>
          <w:sz w:val="18"/>
          <w:szCs w:val="18"/>
        </w:rPr>
        <w:t xml:space="preserve"> has completely replaced the use of </w:t>
      </w:r>
      <w:proofErr w:type="spellStart"/>
      <w:r w:rsidRPr="00151B19">
        <w:rPr>
          <w:rFonts w:ascii="Arial Narrow" w:hAnsi="Arial Narrow"/>
          <w:sz w:val="18"/>
          <w:szCs w:val="18"/>
        </w:rPr>
        <w:t>alglucerase</w:t>
      </w:r>
      <w:proofErr w:type="spellEnd"/>
      <w:r w:rsidRPr="00151B19">
        <w:rPr>
          <w:rFonts w:ascii="Arial Narrow" w:hAnsi="Arial Narrow"/>
          <w:sz w:val="18"/>
          <w:szCs w:val="18"/>
        </w:rPr>
        <w:t xml:space="preserve"> in Australian clinical practice.</w:t>
      </w:r>
    </w:p>
    <w:p w:rsidR="00B60939" w:rsidRDefault="00B60939" w:rsidP="00B60939">
      <w:pPr>
        <w:rPr>
          <w:szCs w:val="22"/>
        </w:rPr>
      </w:pPr>
    </w:p>
    <w:p w:rsidR="00035FBE" w:rsidRDefault="00035FBE" w:rsidP="00035FBE">
      <w:pPr>
        <w:pStyle w:val="ListParagraph"/>
        <w:widowControl/>
        <w:ind w:left="709"/>
      </w:pPr>
    </w:p>
    <w:p w:rsidR="00595D7F" w:rsidRDefault="00595D7F" w:rsidP="00C32489">
      <w:pPr>
        <w:pStyle w:val="ListParagraph"/>
        <w:widowControl/>
        <w:numPr>
          <w:ilvl w:val="1"/>
          <w:numId w:val="2"/>
        </w:numPr>
        <w:ind w:left="709" w:hanging="709"/>
      </w:pPr>
      <w:r>
        <w:t>Responder an</w:t>
      </w:r>
      <w:r w:rsidR="00582A44">
        <w:t>alyses were presented in the re</w:t>
      </w:r>
      <w:r>
        <w:t>submission at the 9 month time point for patients taking 60</w:t>
      </w:r>
      <w:r w:rsidR="00AD0FC1">
        <w:t xml:space="preserve"> </w:t>
      </w:r>
      <w:r>
        <w:t xml:space="preserve">U/kg doses in three of the key trials: </w:t>
      </w:r>
      <w:r w:rsidR="00D30909">
        <w:t>PB-06-001, HGT-039 and TKT-032.</w:t>
      </w:r>
    </w:p>
    <w:p w:rsidR="00595D7F" w:rsidRDefault="00595D7F" w:rsidP="00595D7F">
      <w:pPr>
        <w:ind w:left="709"/>
      </w:pPr>
    </w:p>
    <w:p w:rsidR="00595D7F" w:rsidRDefault="00595D7F" w:rsidP="00595D7F">
      <w:pPr>
        <w:keepNext/>
        <w:ind w:left="709"/>
        <w:rPr>
          <w:rStyle w:val="CommentReference"/>
        </w:rPr>
      </w:pPr>
      <w:r>
        <w:rPr>
          <w:rStyle w:val="CommentReference"/>
        </w:rPr>
        <w:t>Comparative responder analysis results at 9 months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7"/>
        <w:gridCol w:w="1655"/>
        <w:gridCol w:w="1513"/>
        <w:gridCol w:w="1747"/>
        <w:gridCol w:w="1701"/>
      </w:tblGrid>
      <w:tr w:rsidR="00595D7F" w:rsidTr="0036175A">
        <w:trPr>
          <w:tblHeader/>
        </w:trPr>
        <w:tc>
          <w:tcPr>
            <w:tcW w:w="1747" w:type="dxa"/>
            <w:vMerge w:val="restart"/>
            <w:vAlign w:val="center"/>
          </w:tcPr>
          <w:p w:rsidR="00595D7F" w:rsidRPr="00E042FC" w:rsidRDefault="00595D7F" w:rsidP="00595D7F">
            <w:pPr>
              <w:keepNext/>
              <w:ind w:left="34"/>
              <w:jc w:val="center"/>
              <w:rPr>
                <w:rFonts w:ascii="Arial Narrow" w:hAnsi="Arial Narrow"/>
                <w:b/>
                <w:sz w:val="20"/>
              </w:rPr>
            </w:pPr>
            <w:r>
              <w:rPr>
                <w:rFonts w:ascii="Arial Narrow" w:hAnsi="Arial Narrow"/>
                <w:b/>
                <w:sz w:val="20"/>
              </w:rPr>
              <w:t>Measure / Response</w:t>
            </w:r>
          </w:p>
        </w:tc>
        <w:tc>
          <w:tcPr>
            <w:tcW w:w="1655" w:type="dxa"/>
            <w:vAlign w:val="center"/>
          </w:tcPr>
          <w:p w:rsidR="00595D7F" w:rsidRPr="0036175A" w:rsidRDefault="00595D7F" w:rsidP="00595D7F">
            <w:pPr>
              <w:keepNext/>
              <w:ind w:left="-12"/>
              <w:jc w:val="center"/>
              <w:rPr>
                <w:rFonts w:ascii="Arial Narrow" w:hAnsi="Arial Narrow"/>
                <w:b/>
                <w:sz w:val="20"/>
              </w:rPr>
            </w:pPr>
            <w:r w:rsidRPr="0036175A">
              <w:rPr>
                <w:rFonts w:ascii="Arial Narrow" w:hAnsi="Arial Narrow"/>
                <w:b/>
                <w:sz w:val="20"/>
              </w:rPr>
              <w:t>Trial PB-06-001</w:t>
            </w:r>
          </w:p>
        </w:tc>
        <w:tc>
          <w:tcPr>
            <w:tcW w:w="3260" w:type="dxa"/>
            <w:gridSpan w:val="2"/>
            <w:tcMar>
              <w:left w:w="57" w:type="dxa"/>
              <w:right w:w="57" w:type="dxa"/>
            </w:tcMar>
            <w:vAlign w:val="center"/>
          </w:tcPr>
          <w:p w:rsidR="00595D7F" w:rsidRPr="0036175A" w:rsidRDefault="00595D7F" w:rsidP="00595D7F">
            <w:pPr>
              <w:keepNext/>
              <w:jc w:val="center"/>
              <w:rPr>
                <w:rFonts w:ascii="Arial Narrow" w:hAnsi="Arial Narrow"/>
                <w:b/>
                <w:sz w:val="20"/>
              </w:rPr>
            </w:pPr>
            <w:r w:rsidRPr="0036175A">
              <w:rPr>
                <w:rFonts w:ascii="Arial Narrow" w:hAnsi="Arial Narrow"/>
                <w:b/>
                <w:sz w:val="20"/>
              </w:rPr>
              <w:t>Trial HGT-039</w:t>
            </w:r>
          </w:p>
        </w:tc>
        <w:tc>
          <w:tcPr>
            <w:tcW w:w="1701" w:type="dxa"/>
            <w:vAlign w:val="center"/>
          </w:tcPr>
          <w:p w:rsidR="00595D7F" w:rsidRPr="0036175A" w:rsidRDefault="00595D7F" w:rsidP="00595D7F">
            <w:pPr>
              <w:keepNext/>
              <w:jc w:val="center"/>
              <w:rPr>
                <w:rFonts w:ascii="Arial Narrow" w:hAnsi="Arial Narrow"/>
                <w:b/>
                <w:sz w:val="20"/>
              </w:rPr>
            </w:pPr>
            <w:r w:rsidRPr="0036175A">
              <w:rPr>
                <w:rFonts w:ascii="Arial Narrow" w:hAnsi="Arial Narrow"/>
                <w:b/>
                <w:sz w:val="20"/>
              </w:rPr>
              <w:t>Trial TKT-032</w:t>
            </w:r>
          </w:p>
        </w:tc>
      </w:tr>
      <w:tr w:rsidR="00595D7F" w:rsidTr="0036175A">
        <w:tc>
          <w:tcPr>
            <w:tcW w:w="1747" w:type="dxa"/>
            <w:vMerge/>
            <w:vAlign w:val="center"/>
          </w:tcPr>
          <w:p w:rsidR="00595D7F" w:rsidRDefault="00595D7F" w:rsidP="00595D7F">
            <w:pPr>
              <w:ind w:left="34"/>
              <w:jc w:val="left"/>
              <w:rPr>
                <w:rFonts w:ascii="Arial Narrow" w:hAnsi="Arial Narrow"/>
                <w:sz w:val="20"/>
              </w:rPr>
            </w:pPr>
          </w:p>
        </w:tc>
        <w:tc>
          <w:tcPr>
            <w:tcW w:w="1655" w:type="dxa"/>
            <w:vAlign w:val="center"/>
          </w:tcPr>
          <w:p w:rsidR="00595D7F" w:rsidRPr="0036175A" w:rsidRDefault="00595D7F" w:rsidP="00595D7F">
            <w:pPr>
              <w:ind w:left="-12"/>
              <w:jc w:val="center"/>
              <w:rPr>
                <w:rFonts w:ascii="Arial Narrow" w:hAnsi="Arial Narrow"/>
                <w:b/>
                <w:sz w:val="20"/>
              </w:rPr>
            </w:pPr>
            <w:proofErr w:type="spellStart"/>
            <w:r w:rsidRPr="0036175A">
              <w:rPr>
                <w:rFonts w:ascii="Arial Narrow" w:hAnsi="Arial Narrow"/>
                <w:b/>
                <w:sz w:val="20"/>
              </w:rPr>
              <w:t>Taliglucerase</w:t>
            </w:r>
            <w:proofErr w:type="spellEnd"/>
            <w:r w:rsidRPr="0036175A">
              <w:rPr>
                <w:rFonts w:ascii="Arial Narrow" w:hAnsi="Arial Narrow"/>
                <w:b/>
                <w:sz w:val="20"/>
              </w:rPr>
              <w:t xml:space="preserve"> alfa 60U/kg (N=16)</w:t>
            </w:r>
          </w:p>
        </w:tc>
        <w:tc>
          <w:tcPr>
            <w:tcW w:w="1513" w:type="dxa"/>
            <w:vAlign w:val="center"/>
          </w:tcPr>
          <w:p w:rsidR="00595D7F" w:rsidRPr="0036175A" w:rsidRDefault="00595D7F" w:rsidP="00595D7F">
            <w:pPr>
              <w:jc w:val="center"/>
              <w:rPr>
                <w:rFonts w:ascii="Arial Narrow" w:hAnsi="Arial Narrow"/>
                <w:b/>
                <w:sz w:val="20"/>
              </w:rPr>
            </w:pPr>
            <w:proofErr w:type="spellStart"/>
            <w:r w:rsidRPr="0036175A">
              <w:rPr>
                <w:rFonts w:ascii="Arial Narrow" w:hAnsi="Arial Narrow"/>
                <w:b/>
                <w:sz w:val="20"/>
              </w:rPr>
              <w:t>Imiglucerase</w:t>
            </w:r>
            <w:proofErr w:type="spellEnd"/>
            <w:r w:rsidRPr="0036175A">
              <w:rPr>
                <w:rFonts w:ascii="Arial Narrow" w:hAnsi="Arial Narrow"/>
                <w:b/>
                <w:sz w:val="20"/>
              </w:rPr>
              <w:t xml:space="preserve"> 60U/kg (N=17)</w:t>
            </w:r>
          </w:p>
        </w:tc>
        <w:tc>
          <w:tcPr>
            <w:tcW w:w="1747" w:type="dxa"/>
            <w:vAlign w:val="center"/>
          </w:tcPr>
          <w:p w:rsidR="00595D7F" w:rsidRPr="0036175A" w:rsidRDefault="00595D7F" w:rsidP="00595D7F">
            <w:pPr>
              <w:jc w:val="center"/>
              <w:rPr>
                <w:rFonts w:ascii="Arial Narrow" w:hAnsi="Arial Narrow"/>
                <w:b/>
                <w:sz w:val="20"/>
              </w:rPr>
            </w:pPr>
            <w:proofErr w:type="spellStart"/>
            <w:r w:rsidRPr="0036175A">
              <w:rPr>
                <w:rFonts w:ascii="Arial Narrow" w:hAnsi="Arial Narrow"/>
                <w:b/>
                <w:sz w:val="20"/>
              </w:rPr>
              <w:t>Velaglucerase</w:t>
            </w:r>
            <w:proofErr w:type="spellEnd"/>
            <w:r w:rsidRPr="0036175A">
              <w:rPr>
                <w:rFonts w:ascii="Arial Narrow" w:hAnsi="Arial Narrow"/>
                <w:b/>
                <w:sz w:val="20"/>
              </w:rPr>
              <w:t xml:space="preserve"> alfa 60U/kg (N=17)</w:t>
            </w:r>
          </w:p>
        </w:tc>
        <w:tc>
          <w:tcPr>
            <w:tcW w:w="1701" w:type="dxa"/>
            <w:vAlign w:val="center"/>
          </w:tcPr>
          <w:p w:rsidR="00595D7F" w:rsidRPr="0036175A" w:rsidRDefault="00595D7F" w:rsidP="00595D7F">
            <w:pPr>
              <w:jc w:val="center"/>
              <w:rPr>
                <w:rFonts w:ascii="Arial Narrow" w:hAnsi="Arial Narrow"/>
                <w:b/>
                <w:sz w:val="20"/>
              </w:rPr>
            </w:pPr>
            <w:proofErr w:type="spellStart"/>
            <w:r w:rsidRPr="0036175A">
              <w:rPr>
                <w:rFonts w:ascii="Arial Narrow" w:hAnsi="Arial Narrow"/>
                <w:b/>
                <w:sz w:val="20"/>
              </w:rPr>
              <w:t>Velaglucerase</w:t>
            </w:r>
            <w:proofErr w:type="spellEnd"/>
            <w:r w:rsidRPr="0036175A">
              <w:rPr>
                <w:rFonts w:ascii="Arial Narrow" w:hAnsi="Arial Narrow"/>
                <w:b/>
                <w:sz w:val="20"/>
              </w:rPr>
              <w:t xml:space="preserve"> alfa 60U/kg (N=12)</w:t>
            </w:r>
          </w:p>
        </w:tc>
      </w:tr>
      <w:tr w:rsidR="00595D7F" w:rsidTr="00595D7F">
        <w:tc>
          <w:tcPr>
            <w:tcW w:w="8363" w:type="dxa"/>
            <w:gridSpan w:val="5"/>
          </w:tcPr>
          <w:p w:rsidR="00595D7F" w:rsidRPr="00260435" w:rsidRDefault="00595D7F" w:rsidP="00595D7F">
            <w:pPr>
              <w:jc w:val="left"/>
              <w:rPr>
                <w:rFonts w:ascii="Arial Narrow" w:hAnsi="Arial Narrow"/>
                <w:b/>
                <w:sz w:val="20"/>
              </w:rPr>
            </w:pPr>
            <w:r w:rsidRPr="00260435">
              <w:rPr>
                <w:rFonts w:ascii="Arial Narrow" w:hAnsi="Arial Narrow"/>
                <w:b/>
                <w:sz w:val="20"/>
              </w:rPr>
              <w:t>Haemoglobin</w:t>
            </w:r>
          </w:p>
        </w:tc>
      </w:tr>
      <w:tr w:rsidR="00595D7F" w:rsidTr="0036175A">
        <w:tc>
          <w:tcPr>
            <w:tcW w:w="1747" w:type="dxa"/>
            <w:vAlign w:val="center"/>
          </w:tcPr>
          <w:p w:rsidR="00595D7F" w:rsidRPr="00E042FC" w:rsidRDefault="00595D7F" w:rsidP="00595D7F">
            <w:pPr>
              <w:ind w:left="34"/>
              <w:jc w:val="left"/>
              <w:rPr>
                <w:rFonts w:ascii="Arial Narrow" w:hAnsi="Arial Narrow"/>
                <w:sz w:val="20"/>
              </w:rPr>
            </w:pPr>
            <w:r>
              <w:rPr>
                <w:rFonts w:ascii="Arial Narrow" w:hAnsi="Arial Narrow"/>
                <w:sz w:val="20"/>
              </w:rPr>
              <w:t>Good</w:t>
            </w:r>
          </w:p>
        </w:tc>
        <w:tc>
          <w:tcPr>
            <w:tcW w:w="1655" w:type="dxa"/>
            <w:vAlign w:val="center"/>
          </w:tcPr>
          <w:p w:rsidR="00595D7F" w:rsidRPr="00E042FC" w:rsidRDefault="00595D7F" w:rsidP="00595D7F">
            <w:pPr>
              <w:ind w:left="-12"/>
              <w:jc w:val="center"/>
              <w:rPr>
                <w:rFonts w:ascii="Arial Narrow" w:hAnsi="Arial Narrow"/>
                <w:sz w:val="20"/>
              </w:rPr>
            </w:pPr>
            <w:r>
              <w:rPr>
                <w:rFonts w:ascii="Arial Narrow" w:hAnsi="Arial Narrow"/>
                <w:sz w:val="20"/>
              </w:rPr>
              <w:t>87.5%</w:t>
            </w:r>
          </w:p>
        </w:tc>
        <w:tc>
          <w:tcPr>
            <w:tcW w:w="1513" w:type="dxa"/>
            <w:vAlign w:val="center"/>
          </w:tcPr>
          <w:p w:rsidR="00595D7F" w:rsidRPr="00E30170" w:rsidRDefault="00595D7F" w:rsidP="00595D7F">
            <w:pPr>
              <w:jc w:val="center"/>
              <w:rPr>
                <w:rFonts w:ascii="Arial Narrow" w:hAnsi="Arial Narrow"/>
                <w:sz w:val="20"/>
              </w:rPr>
            </w:pPr>
            <w:r>
              <w:rPr>
                <w:rFonts w:ascii="Arial Narrow" w:hAnsi="Arial Narrow"/>
                <w:sz w:val="20"/>
              </w:rPr>
              <w:t>41.2%</w:t>
            </w:r>
          </w:p>
        </w:tc>
        <w:tc>
          <w:tcPr>
            <w:tcW w:w="1747" w:type="dxa"/>
          </w:tcPr>
          <w:p w:rsidR="00595D7F" w:rsidRDefault="00595D7F" w:rsidP="00595D7F">
            <w:pPr>
              <w:jc w:val="center"/>
              <w:rPr>
                <w:rFonts w:ascii="Arial Narrow" w:hAnsi="Arial Narrow"/>
                <w:sz w:val="20"/>
              </w:rPr>
            </w:pPr>
            <w:r>
              <w:rPr>
                <w:rFonts w:ascii="Arial Narrow" w:hAnsi="Arial Narrow"/>
                <w:sz w:val="20"/>
              </w:rPr>
              <w:t>52.9%</w:t>
            </w:r>
          </w:p>
        </w:tc>
        <w:tc>
          <w:tcPr>
            <w:tcW w:w="1701" w:type="dxa"/>
            <w:vAlign w:val="center"/>
          </w:tcPr>
          <w:p w:rsidR="00595D7F" w:rsidRDefault="00595D7F" w:rsidP="00595D7F">
            <w:pPr>
              <w:ind w:left="33"/>
              <w:jc w:val="center"/>
              <w:rPr>
                <w:rFonts w:ascii="Arial Narrow" w:hAnsi="Arial Narrow"/>
                <w:sz w:val="20"/>
              </w:rPr>
            </w:pPr>
            <w:r>
              <w:rPr>
                <w:rFonts w:ascii="Arial Narrow" w:hAnsi="Arial Narrow"/>
                <w:sz w:val="20"/>
              </w:rPr>
              <w:t>58.3%</w:t>
            </w:r>
          </w:p>
        </w:tc>
      </w:tr>
      <w:tr w:rsidR="00595D7F" w:rsidTr="0036175A">
        <w:tc>
          <w:tcPr>
            <w:tcW w:w="1747" w:type="dxa"/>
            <w:vAlign w:val="center"/>
          </w:tcPr>
          <w:p w:rsidR="00595D7F" w:rsidRDefault="00595D7F" w:rsidP="00595D7F">
            <w:pPr>
              <w:ind w:left="34"/>
              <w:jc w:val="left"/>
              <w:rPr>
                <w:rFonts w:ascii="Arial Narrow" w:hAnsi="Arial Narrow"/>
                <w:sz w:val="20"/>
              </w:rPr>
            </w:pPr>
            <w:r>
              <w:rPr>
                <w:rFonts w:ascii="Arial Narrow" w:hAnsi="Arial Narrow"/>
                <w:sz w:val="20"/>
              </w:rPr>
              <w:t>Moderate</w:t>
            </w:r>
          </w:p>
        </w:tc>
        <w:tc>
          <w:tcPr>
            <w:tcW w:w="1655" w:type="dxa"/>
            <w:vAlign w:val="center"/>
          </w:tcPr>
          <w:p w:rsidR="00595D7F" w:rsidRPr="00E042FC" w:rsidRDefault="00595D7F" w:rsidP="00595D7F">
            <w:pPr>
              <w:ind w:left="-12"/>
              <w:jc w:val="center"/>
              <w:rPr>
                <w:rFonts w:ascii="Arial Narrow" w:hAnsi="Arial Narrow"/>
                <w:sz w:val="20"/>
              </w:rPr>
            </w:pPr>
            <w:r>
              <w:rPr>
                <w:rFonts w:ascii="Arial Narrow" w:hAnsi="Arial Narrow"/>
                <w:sz w:val="20"/>
              </w:rPr>
              <w:t>12.5%</w:t>
            </w:r>
          </w:p>
        </w:tc>
        <w:tc>
          <w:tcPr>
            <w:tcW w:w="1513" w:type="dxa"/>
            <w:vAlign w:val="center"/>
          </w:tcPr>
          <w:p w:rsidR="00595D7F" w:rsidRPr="00E30170" w:rsidRDefault="00595D7F" w:rsidP="00595D7F">
            <w:pPr>
              <w:jc w:val="center"/>
              <w:rPr>
                <w:rFonts w:ascii="Arial Narrow" w:hAnsi="Arial Narrow"/>
                <w:sz w:val="20"/>
              </w:rPr>
            </w:pPr>
            <w:r>
              <w:rPr>
                <w:rFonts w:ascii="Arial Narrow" w:hAnsi="Arial Narrow"/>
                <w:sz w:val="20"/>
              </w:rPr>
              <w:t>41.2%</w:t>
            </w:r>
          </w:p>
        </w:tc>
        <w:tc>
          <w:tcPr>
            <w:tcW w:w="1747" w:type="dxa"/>
          </w:tcPr>
          <w:p w:rsidR="00595D7F" w:rsidRDefault="00595D7F" w:rsidP="00595D7F">
            <w:pPr>
              <w:jc w:val="center"/>
              <w:rPr>
                <w:rFonts w:ascii="Arial Narrow" w:hAnsi="Arial Narrow"/>
                <w:sz w:val="20"/>
              </w:rPr>
            </w:pPr>
            <w:r>
              <w:rPr>
                <w:rFonts w:ascii="Arial Narrow" w:hAnsi="Arial Narrow"/>
                <w:sz w:val="20"/>
              </w:rPr>
              <w:t>35.3%</w:t>
            </w:r>
          </w:p>
        </w:tc>
        <w:tc>
          <w:tcPr>
            <w:tcW w:w="1701" w:type="dxa"/>
            <w:vAlign w:val="center"/>
          </w:tcPr>
          <w:p w:rsidR="00595D7F" w:rsidRDefault="00595D7F" w:rsidP="00595D7F">
            <w:pPr>
              <w:ind w:left="33"/>
              <w:jc w:val="center"/>
              <w:rPr>
                <w:rFonts w:ascii="Arial Narrow" w:hAnsi="Arial Narrow"/>
                <w:sz w:val="20"/>
              </w:rPr>
            </w:pPr>
            <w:r>
              <w:rPr>
                <w:rFonts w:ascii="Arial Narrow" w:hAnsi="Arial Narrow"/>
                <w:sz w:val="20"/>
              </w:rPr>
              <w:t>41.7%</w:t>
            </w:r>
          </w:p>
        </w:tc>
      </w:tr>
      <w:tr w:rsidR="00595D7F" w:rsidTr="0036175A">
        <w:tc>
          <w:tcPr>
            <w:tcW w:w="1747" w:type="dxa"/>
            <w:vAlign w:val="center"/>
          </w:tcPr>
          <w:p w:rsidR="00595D7F" w:rsidRDefault="00595D7F" w:rsidP="00595D7F">
            <w:pPr>
              <w:keepNext/>
              <w:ind w:left="34"/>
              <w:jc w:val="left"/>
              <w:rPr>
                <w:rFonts w:ascii="Arial Narrow" w:hAnsi="Arial Narrow"/>
                <w:sz w:val="20"/>
              </w:rPr>
            </w:pPr>
            <w:r>
              <w:rPr>
                <w:rFonts w:ascii="Arial Narrow" w:hAnsi="Arial Narrow"/>
                <w:sz w:val="20"/>
              </w:rPr>
              <w:t>No</w:t>
            </w:r>
          </w:p>
        </w:tc>
        <w:tc>
          <w:tcPr>
            <w:tcW w:w="1655" w:type="dxa"/>
            <w:vAlign w:val="center"/>
          </w:tcPr>
          <w:p w:rsidR="00595D7F" w:rsidRPr="00E042FC" w:rsidRDefault="00595D7F" w:rsidP="00595D7F">
            <w:pPr>
              <w:keepNext/>
              <w:ind w:left="-12"/>
              <w:jc w:val="center"/>
              <w:rPr>
                <w:rFonts w:ascii="Arial Narrow" w:hAnsi="Arial Narrow"/>
                <w:sz w:val="20"/>
              </w:rPr>
            </w:pPr>
            <w:r>
              <w:rPr>
                <w:rFonts w:ascii="Arial Narrow" w:hAnsi="Arial Narrow"/>
                <w:sz w:val="20"/>
              </w:rPr>
              <w:t>0%</w:t>
            </w:r>
          </w:p>
        </w:tc>
        <w:tc>
          <w:tcPr>
            <w:tcW w:w="1513" w:type="dxa"/>
            <w:vAlign w:val="center"/>
          </w:tcPr>
          <w:p w:rsidR="00595D7F" w:rsidRPr="00E30170" w:rsidRDefault="00595D7F" w:rsidP="00595D7F">
            <w:pPr>
              <w:keepNext/>
              <w:jc w:val="center"/>
              <w:rPr>
                <w:rFonts w:ascii="Arial Narrow" w:hAnsi="Arial Narrow"/>
                <w:sz w:val="20"/>
              </w:rPr>
            </w:pPr>
            <w:r>
              <w:rPr>
                <w:rFonts w:ascii="Arial Narrow" w:hAnsi="Arial Narrow"/>
                <w:sz w:val="20"/>
              </w:rPr>
              <w:t>17.6%</w:t>
            </w:r>
          </w:p>
        </w:tc>
        <w:tc>
          <w:tcPr>
            <w:tcW w:w="1747" w:type="dxa"/>
          </w:tcPr>
          <w:p w:rsidR="00595D7F" w:rsidRDefault="00595D7F" w:rsidP="00595D7F">
            <w:pPr>
              <w:keepNext/>
              <w:jc w:val="center"/>
              <w:rPr>
                <w:rFonts w:ascii="Arial Narrow" w:hAnsi="Arial Narrow"/>
                <w:sz w:val="20"/>
              </w:rPr>
            </w:pPr>
            <w:r>
              <w:rPr>
                <w:rFonts w:ascii="Arial Narrow" w:hAnsi="Arial Narrow"/>
                <w:sz w:val="20"/>
              </w:rPr>
              <w:t>11.8%</w:t>
            </w:r>
          </w:p>
        </w:tc>
        <w:tc>
          <w:tcPr>
            <w:tcW w:w="1701" w:type="dxa"/>
            <w:vAlign w:val="center"/>
          </w:tcPr>
          <w:p w:rsidR="00595D7F" w:rsidRDefault="00595D7F" w:rsidP="00595D7F">
            <w:pPr>
              <w:keepNext/>
              <w:ind w:left="33"/>
              <w:jc w:val="center"/>
              <w:rPr>
                <w:rFonts w:ascii="Arial Narrow" w:hAnsi="Arial Narrow"/>
                <w:sz w:val="20"/>
              </w:rPr>
            </w:pPr>
            <w:r>
              <w:rPr>
                <w:rFonts w:ascii="Arial Narrow" w:hAnsi="Arial Narrow"/>
                <w:sz w:val="20"/>
              </w:rPr>
              <w:t>0%</w:t>
            </w:r>
          </w:p>
        </w:tc>
      </w:tr>
      <w:tr w:rsidR="00595D7F" w:rsidTr="00595D7F">
        <w:tc>
          <w:tcPr>
            <w:tcW w:w="8363" w:type="dxa"/>
            <w:gridSpan w:val="5"/>
          </w:tcPr>
          <w:p w:rsidR="00595D7F" w:rsidRDefault="00595D7F" w:rsidP="00595D7F">
            <w:pPr>
              <w:jc w:val="left"/>
              <w:rPr>
                <w:rFonts w:ascii="Arial Narrow" w:hAnsi="Arial Narrow"/>
                <w:sz w:val="20"/>
              </w:rPr>
            </w:pPr>
            <w:r>
              <w:rPr>
                <w:rFonts w:ascii="Arial Narrow" w:hAnsi="Arial Narrow"/>
                <w:b/>
                <w:sz w:val="20"/>
              </w:rPr>
              <w:t>Platelets</w:t>
            </w:r>
          </w:p>
        </w:tc>
      </w:tr>
      <w:tr w:rsidR="00595D7F" w:rsidTr="0036175A">
        <w:tc>
          <w:tcPr>
            <w:tcW w:w="1747" w:type="dxa"/>
            <w:vAlign w:val="center"/>
          </w:tcPr>
          <w:p w:rsidR="00595D7F" w:rsidRPr="00E042FC" w:rsidRDefault="00595D7F" w:rsidP="00595D7F">
            <w:pPr>
              <w:ind w:left="34"/>
              <w:jc w:val="left"/>
              <w:rPr>
                <w:rFonts w:ascii="Arial Narrow" w:hAnsi="Arial Narrow"/>
                <w:sz w:val="20"/>
              </w:rPr>
            </w:pPr>
            <w:r>
              <w:rPr>
                <w:rFonts w:ascii="Arial Narrow" w:hAnsi="Arial Narrow"/>
                <w:sz w:val="20"/>
              </w:rPr>
              <w:t>Good</w:t>
            </w:r>
          </w:p>
        </w:tc>
        <w:tc>
          <w:tcPr>
            <w:tcW w:w="1655" w:type="dxa"/>
            <w:vAlign w:val="center"/>
          </w:tcPr>
          <w:p w:rsidR="00595D7F" w:rsidRPr="008136BC" w:rsidRDefault="00595D7F" w:rsidP="00595D7F">
            <w:pPr>
              <w:ind w:left="-12"/>
              <w:jc w:val="center"/>
              <w:rPr>
                <w:rFonts w:ascii="Arial Narrow" w:hAnsi="Arial Narrow"/>
                <w:sz w:val="20"/>
              </w:rPr>
            </w:pPr>
            <w:r>
              <w:rPr>
                <w:rFonts w:ascii="Arial Narrow" w:hAnsi="Arial Narrow"/>
                <w:sz w:val="20"/>
              </w:rPr>
              <w:t>56.3%</w:t>
            </w:r>
          </w:p>
        </w:tc>
        <w:tc>
          <w:tcPr>
            <w:tcW w:w="1513" w:type="dxa"/>
            <w:vAlign w:val="center"/>
          </w:tcPr>
          <w:p w:rsidR="00595D7F" w:rsidRPr="008136BC" w:rsidRDefault="00595D7F" w:rsidP="00595D7F">
            <w:pPr>
              <w:jc w:val="center"/>
              <w:rPr>
                <w:rFonts w:ascii="Arial Narrow" w:hAnsi="Arial Narrow"/>
                <w:sz w:val="20"/>
              </w:rPr>
            </w:pPr>
            <w:r>
              <w:rPr>
                <w:rFonts w:ascii="Arial Narrow" w:hAnsi="Arial Narrow"/>
                <w:sz w:val="20"/>
              </w:rPr>
              <w:t>100%</w:t>
            </w:r>
          </w:p>
        </w:tc>
        <w:tc>
          <w:tcPr>
            <w:tcW w:w="1747" w:type="dxa"/>
          </w:tcPr>
          <w:p w:rsidR="00595D7F" w:rsidRDefault="00595D7F" w:rsidP="00595D7F">
            <w:pPr>
              <w:jc w:val="center"/>
              <w:rPr>
                <w:rFonts w:ascii="Arial Narrow" w:hAnsi="Arial Narrow"/>
                <w:sz w:val="20"/>
              </w:rPr>
            </w:pPr>
            <w:r>
              <w:rPr>
                <w:rFonts w:ascii="Arial Narrow" w:hAnsi="Arial Narrow"/>
                <w:sz w:val="20"/>
              </w:rPr>
              <w:t>87.5%</w:t>
            </w:r>
          </w:p>
        </w:tc>
        <w:tc>
          <w:tcPr>
            <w:tcW w:w="1701" w:type="dxa"/>
            <w:vAlign w:val="center"/>
          </w:tcPr>
          <w:p w:rsidR="00595D7F" w:rsidRDefault="00595D7F" w:rsidP="00595D7F">
            <w:pPr>
              <w:ind w:left="33"/>
              <w:jc w:val="center"/>
              <w:rPr>
                <w:rFonts w:ascii="Arial Narrow" w:hAnsi="Arial Narrow"/>
                <w:sz w:val="20"/>
              </w:rPr>
            </w:pPr>
            <w:r>
              <w:rPr>
                <w:rFonts w:ascii="Arial Narrow" w:hAnsi="Arial Narrow"/>
                <w:sz w:val="20"/>
              </w:rPr>
              <w:t>50.0%</w:t>
            </w:r>
          </w:p>
        </w:tc>
      </w:tr>
      <w:tr w:rsidR="00595D7F" w:rsidTr="0036175A">
        <w:tc>
          <w:tcPr>
            <w:tcW w:w="1747" w:type="dxa"/>
            <w:vAlign w:val="center"/>
          </w:tcPr>
          <w:p w:rsidR="00595D7F" w:rsidRDefault="00595D7F" w:rsidP="00595D7F">
            <w:pPr>
              <w:ind w:left="34"/>
              <w:jc w:val="left"/>
              <w:rPr>
                <w:rFonts w:ascii="Arial Narrow" w:hAnsi="Arial Narrow"/>
                <w:sz w:val="20"/>
              </w:rPr>
            </w:pPr>
            <w:r>
              <w:rPr>
                <w:rFonts w:ascii="Arial Narrow" w:hAnsi="Arial Narrow"/>
                <w:sz w:val="20"/>
              </w:rPr>
              <w:t>Moderate</w:t>
            </w:r>
          </w:p>
        </w:tc>
        <w:tc>
          <w:tcPr>
            <w:tcW w:w="1655" w:type="dxa"/>
            <w:vAlign w:val="center"/>
          </w:tcPr>
          <w:p w:rsidR="00595D7F" w:rsidRPr="008136BC" w:rsidRDefault="00595D7F" w:rsidP="00595D7F">
            <w:pPr>
              <w:ind w:left="-12"/>
              <w:jc w:val="center"/>
              <w:rPr>
                <w:rFonts w:ascii="Arial Narrow" w:hAnsi="Arial Narrow"/>
                <w:sz w:val="20"/>
              </w:rPr>
            </w:pPr>
            <w:r>
              <w:rPr>
                <w:rFonts w:ascii="Arial Narrow" w:hAnsi="Arial Narrow"/>
                <w:sz w:val="20"/>
              </w:rPr>
              <w:t>6.3%</w:t>
            </w:r>
          </w:p>
        </w:tc>
        <w:tc>
          <w:tcPr>
            <w:tcW w:w="1513" w:type="dxa"/>
            <w:vAlign w:val="center"/>
          </w:tcPr>
          <w:p w:rsidR="00595D7F" w:rsidRPr="008136BC" w:rsidRDefault="00595D7F" w:rsidP="00595D7F">
            <w:pPr>
              <w:jc w:val="center"/>
              <w:rPr>
                <w:rFonts w:ascii="Arial Narrow" w:hAnsi="Arial Narrow"/>
                <w:sz w:val="20"/>
              </w:rPr>
            </w:pPr>
            <w:r>
              <w:rPr>
                <w:rFonts w:ascii="Arial Narrow" w:hAnsi="Arial Narrow"/>
                <w:sz w:val="20"/>
              </w:rPr>
              <w:t>0%</w:t>
            </w:r>
          </w:p>
        </w:tc>
        <w:tc>
          <w:tcPr>
            <w:tcW w:w="1747" w:type="dxa"/>
          </w:tcPr>
          <w:p w:rsidR="00595D7F" w:rsidRDefault="00595D7F" w:rsidP="00595D7F">
            <w:pPr>
              <w:jc w:val="center"/>
              <w:rPr>
                <w:rFonts w:ascii="Arial Narrow" w:hAnsi="Arial Narrow"/>
                <w:sz w:val="20"/>
              </w:rPr>
            </w:pPr>
            <w:r>
              <w:rPr>
                <w:rFonts w:ascii="Arial Narrow" w:hAnsi="Arial Narrow"/>
                <w:sz w:val="20"/>
              </w:rPr>
              <w:t>12.5%</w:t>
            </w:r>
          </w:p>
        </w:tc>
        <w:tc>
          <w:tcPr>
            <w:tcW w:w="1701" w:type="dxa"/>
            <w:vAlign w:val="center"/>
          </w:tcPr>
          <w:p w:rsidR="00595D7F" w:rsidRDefault="00595D7F" w:rsidP="00595D7F">
            <w:pPr>
              <w:ind w:left="33"/>
              <w:jc w:val="center"/>
              <w:rPr>
                <w:rFonts w:ascii="Arial Narrow" w:hAnsi="Arial Narrow"/>
                <w:sz w:val="20"/>
              </w:rPr>
            </w:pPr>
            <w:r>
              <w:rPr>
                <w:rFonts w:ascii="Arial Narrow" w:hAnsi="Arial Narrow"/>
                <w:sz w:val="20"/>
              </w:rPr>
              <w:t>8.3%</w:t>
            </w:r>
          </w:p>
        </w:tc>
      </w:tr>
      <w:tr w:rsidR="00595D7F" w:rsidTr="0036175A">
        <w:tc>
          <w:tcPr>
            <w:tcW w:w="1747" w:type="dxa"/>
            <w:vAlign w:val="center"/>
          </w:tcPr>
          <w:p w:rsidR="00595D7F" w:rsidRDefault="00595D7F" w:rsidP="00595D7F">
            <w:pPr>
              <w:ind w:left="34"/>
              <w:jc w:val="left"/>
              <w:rPr>
                <w:rFonts w:ascii="Arial Narrow" w:hAnsi="Arial Narrow"/>
                <w:sz w:val="20"/>
              </w:rPr>
            </w:pPr>
            <w:r>
              <w:rPr>
                <w:rFonts w:ascii="Arial Narrow" w:hAnsi="Arial Narrow"/>
                <w:sz w:val="20"/>
              </w:rPr>
              <w:t>No</w:t>
            </w:r>
          </w:p>
        </w:tc>
        <w:tc>
          <w:tcPr>
            <w:tcW w:w="1655" w:type="dxa"/>
            <w:vAlign w:val="center"/>
          </w:tcPr>
          <w:p w:rsidR="00595D7F" w:rsidRPr="008136BC" w:rsidRDefault="00595D7F" w:rsidP="00595D7F">
            <w:pPr>
              <w:ind w:left="-12"/>
              <w:jc w:val="center"/>
              <w:rPr>
                <w:rFonts w:ascii="Arial Narrow" w:hAnsi="Arial Narrow"/>
                <w:sz w:val="20"/>
              </w:rPr>
            </w:pPr>
            <w:r>
              <w:rPr>
                <w:rFonts w:ascii="Arial Narrow" w:hAnsi="Arial Narrow"/>
                <w:sz w:val="20"/>
              </w:rPr>
              <w:t>37.5%</w:t>
            </w:r>
          </w:p>
        </w:tc>
        <w:tc>
          <w:tcPr>
            <w:tcW w:w="1513" w:type="dxa"/>
            <w:vAlign w:val="center"/>
          </w:tcPr>
          <w:p w:rsidR="00595D7F" w:rsidRPr="008136BC" w:rsidRDefault="00595D7F" w:rsidP="00595D7F">
            <w:pPr>
              <w:jc w:val="center"/>
              <w:rPr>
                <w:rFonts w:ascii="Arial Narrow" w:hAnsi="Arial Narrow"/>
                <w:sz w:val="20"/>
              </w:rPr>
            </w:pPr>
            <w:r>
              <w:rPr>
                <w:rFonts w:ascii="Arial Narrow" w:hAnsi="Arial Narrow"/>
                <w:sz w:val="20"/>
              </w:rPr>
              <w:t>0%</w:t>
            </w:r>
          </w:p>
        </w:tc>
        <w:tc>
          <w:tcPr>
            <w:tcW w:w="1747" w:type="dxa"/>
          </w:tcPr>
          <w:p w:rsidR="00595D7F" w:rsidRDefault="00595D7F" w:rsidP="00595D7F">
            <w:pPr>
              <w:jc w:val="center"/>
              <w:rPr>
                <w:rFonts w:ascii="Arial Narrow" w:hAnsi="Arial Narrow"/>
                <w:sz w:val="20"/>
              </w:rPr>
            </w:pPr>
            <w:r>
              <w:rPr>
                <w:rFonts w:ascii="Arial Narrow" w:hAnsi="Arial Narrow"/>
                <w:sz w:val="20"/>
              </w:rPr>
              <w:t>0%</w:t>
            </w:r>
          </w:p>
        </w:tc>
        <w:tc>
          <w:tcPr>
            <w:tcW w:w="1701" w:type="dxa"/>
            <w:vAlign w:val="center"/>
          </w:tcPr>
          <w:p w:rsidR="00595D7F" w:rsidRDefault="00595D7F" w:rsidP="00595D7F">
            <w:pPr>
              <w:ind w:left="33"/>
              <w:jc w:val="center"/>
              <w:rPr>
                <w:rFonts w:ascii="Arial Narrow" w:hAnsi="Arial Narrow"/>
                <w:sz w:val="20"/>
              </w:rPr>
            </w:pPr>
            <w:r>
              <w:rPr>
                <w:rFonts w:ascii="Arial Narrow" w:hAnsi="Arial Narrow"/>
                <w:sz w:val="20"/>
              </w:rPr>
              <w:t>41.7%</w:t>
            </w:r>
          </w:p>
        </w:tc>
      </w:tr>
      <w:tr w:rsidR="00595D7F" w:rsidTr="00595D7F">
        <w:tc>
          <w:tcPr>
            <w:tcW w:w="8363" w:type="dxa"/>
            <w:gridSpan w:val="5"/>
          </w:tcPr>
          <w:p w:rsidR="00595D7F" w:rsidRDefault="00595D7F" w:rsidP="00595D7F">
            <w:pPr>
              <w:jc w:val="left"/>
              <w:rPr>
                <w:rFonts w:ascii="Arial Narrow" w:hAnsi="Arial Narrow"/>
                <w:sz w:val="20"/>
              </w:rPr>
            </w:pPr>
            <w:r>
              <w:rPr>
                <w:rFonts w:ascii="Arial Narrow" w:hAnsi="Arial Narrow"/>
                <w:b/>
                <w:sz w:val="20"/>
              </w:rPr>
              <w:t>Liver</w:t>
            </w:r>
          </w:p>
        </w:tc>
      </w:tr>
      <w:tr w:rsidR="00595D7F" w:rsidTr="0036175A">
        <w:tc>
          <w:tcPr>
            <w:tcW w:w="1747" w:type="dxa"/>
            <w:vAlign w:val="center"/>
          </w:tcPr>
          <w:p w:rsidR="00595D7F" w:rsidRPr="00260435" w:rsidRDefault="00595D7F" w:rsidP="00595D7F">
            <w:pPr>
              <w:ind w:left="34"/>
              <w:jc w:val="left"/>
              <w:rPr>
                <w:rFonts w:ascii="Arial Narrow" w:hAnsi="Arial Narrow"/>
                <w:b/>
                <w:sz w:val="20"/>
              </w:rPr>
            </w:pPr>
            <w:r>
              <w:rPr>
                <w:rFonts w:ascii="Arial Narrow" w:hAnsi="Arial Narrow"/>
                <w:sz w:val="20"/>
              </w:rPr>
              <w:t>Good</w:t>
            </w:r>
          </w:p>
        </w:tc>
        <w:tc>
          <w:tcPr>
            <w:tcW w:w="1655" w:type="dxa"/>
            <w:vAlign w:val="center"/>
          </w:tcPr>
          <w:p w:rsidR="00595D7F" w:rsidRPr="008136BC" w:rsidRDefault="00595D7F" w:rsidP="00595D7F">
            <w:pPr>
              <w:ind w:left="-12"/>
              <w:jc w:val="center"/>
              <w:rPr>
                <w:rFonts w:ascii="Arial Narrow" w:hAnsi="Arial Narrow"/>
                <w:sz w:val="20"/>
              </w:rPr>
            </w:pPr>
            <w:r>
              <w:rPr>
                <w:rFonts w:ascii="Arial Narrow" w:hAnsi="Arial Narrow"/>
                <w:sz w:val="20"/>
              </w:rPr>
              <w:t>0%</w:t>
            </w:r>
          </w:p>
        </w:tc>
        <w:tc>
          <w:tcPr>
            <w:tcW w:w="3260" w:type="dxa"/>
            <w:gridSpan w:val="2"/>
            <w:vMerge w:val="restart"/>
            <w:vAlign w:val="center"/>
          </w:tcPr>
          <w:p w:rsidR="00595D7F" w:rsidRDefault="00595D7F" w:rsidP="00595D7F">
            <w:pPr>
              <w:jc w:val="center"/>
              <w:rPr>
                <w:rFonts w:ascii="Arial Narrow" w:hAnsi="Arial Narrow"/>
                <w:sz w:val="20"/>
              </w:rPr>
            </w:pPr>
            <w:r>
              <w:rPr>
                <w:rFonts w:ascii="Arial Narrow" w:hAnsi="Arial Narrow"/>
                <w:sz w:val="20"/>
              </w:rPr>
              <w:t>NR</w:t>
            </w:r>
          </w:p>
        </w:tc>
        <w:tc>
          <w:tcPr>
            <w:tcW w:w="1701" w:type="dxa"/>
            <w:vMerge w:val="restart"/>
            <w:vAlign w:val="center"/>
          </w:tcPr>
          <w:p w:rsidR="00595D7F" w:rsidRDefault="00595D7F" w:rsidP="00595D7F">
            <w:pPr>
              <w:ind w:left="33"/>
              <w:jc w:val="center"/>
              <w:rPr>
                <w:rFonts w:ascii="Arial Narrow" w:hAnsi="Arial Narrow"/>
                <w:sz w:val="20"/>
              </w:rPr>
            </w:pPr>
            <w:r>
              <w:rPr>
                <w:rFonts w:ascii="Arial Narrow" w:hAnsi="Arial Narrow"/>
                <w:sz w:val="20"/>
              </w:rPr>
              <w:t>NR</w:t>
            </w:r>
          </w:p>
        </w:tc>
      </w:tr>
      <w:tr w:rsidR="00595D7F" w:rsidTr="0036175A">
        <w:tc>
          <w:tcPr>
            <w:tcW w:w="1747" w:type="dxa"/>
            <w:vAlign w:val="center"/>
          </w:tcPr>
          <w:p w:rsidR="00595D7F" w:rsidRDefault="00595D7F" w:rsidP="00595D7F">
            <w:pPr>
              <w:ind w:left="34"/>
              <w:jc w:val="left"/>
              <w:rPr>
                <w:rFonts w:ascii="Arial Narrow" w:hAnsi="Arial Narrow"/>
                <w:sz w:val="20"/>
              </w:rPr>
            </w:pPr>
            <w:r>
              <w:rPr>
                <w:rFonts w:ascii="Arial Narrow" w:hAnsi="Arial Narrow"/>
                <w:sz w:val="20"/>
              </w:rPr>
              <w:t>Moderate</w:t>
            </w:r>
          </w:p>
        </w:tc>
        <w:tc>
          <w:tcPr>
            <w:tcW w:w="1655" w:type="dxa"/>
            <w:vAlign w:val="center"/>
          </w:tcPr>
          <w:p w:rsidR="00595D7F" w:rsidRPr="008136BC" w:rsidRDefault="00595D7F" w:rsidP="00595D7F">
            <w:pPr>
              <w:ind w:left="-12"/>
              <w:jc w:val="center"/>
              <w:rPr>
                <w:rFonts w:ascii="Arial Narrow" w:hAnsi="Arial Narrow"/>
                <w:sz w:val="20"/>
              </w:rPr>
            </w:pPr>
            <w:r>
              <w:rPr>
                <w:rFonts w:ascii="Arial Narrow" w:hAnsi="Arial Narrow"/>
                <w:sz w:val="20"/>
              </w:rPr>
              <w:t>83.3%</w:t>
            </w:r>
          </w:p>
        </w:tc>
        <w:tc>
          <w:tcPr>
            <w:tcW w:w="3260" w:type="dxa"/>
            <w:gridSpan w:val="2"/>
            <w:vMerge/>
            <w:vAlign w:val="center"/>
          </w:tcPr>
          <w:p w:rsidR="00595D7F" w:rsidRDefault="00595D7F" w:rsidP="00595D7F">
            <w:pPr>
              <w:jc w:val="center"/>
              <w:rPr>
                <w:rFonts w:ascii="Arial Narrow" w:hAnsi="Arial Narrow"/>
                <w:sz w:val="20"/>
              </w:rPr>
            </w:pPr>
          </w:p>
        </w:tc>
        <w:tc>
          <w:tcPr>
            <w:tcW w:w="1701" w:type="dxa"/>
            <w:vMerge/>
            <w:vAlign w:val="center"/>
          </w:tcPr>
          <w:p w:rsidR="00595D7F" w:rsidRDefault="00595D7F" w:rsidP="00595D7F">
            <w:pPr>
              <w:ind w:left="709"/>
              <w:jc w:val="center"/>
              <w:rPr>
                <w:rFonts w:ascii="Arial Narrow" w:hAnsi="Arial Narrow"/>
                <w:sz w:val="20"/>
              </w:rPr>
            </w:pPr>
          </w:p>
        </w:tc>
      </w:tr>
      <w:tr w:rsidR="00595D7F" w:rsidTr="0036175A">
        <w:tc>
          <w:tcPr>
            <w:tcW w:w="1747" w:type="dxa"/>
            <w:vAlign w:val="center"/>
          </w:tcPr>
          <w:p w:rsidR="00595D7F" w:rsidRDefault="00595D7F" w:rsidP="00595D7F">
            <w:pPr>
              <w:ind w:left="34"/>
              <w:jc w:val="left"/>
              <w:rPr>
                <w:rFonts w:ascii="Arial Narrow" w:hAnsi="Arial Narrow"/>
                <w:sz w:val="20"/>
              </w:rPr>
            </w:pPr>
            <w:r>
              <w:rPr>
                <w:rFonts w:ascii="Arial Narrow" w:hAnsi="Arial Narrow"/>
                <w:sz w:val="20"/>
              </w:rPr>
              <w:t>No</w:t>
            </w:r>
          </w:p>
        </w:tc>
        <w:tc>
          <w:tcPr>
            <w:tcW w:w="1655" w:type="dxa"/>
            <w:vAlign w:val="center"/>
          </w:tcPr>
          <w:p w:rsidR="00595D7F" w:rsidRPr="008136BC" w:rsidRDefault="00595D7F" w:rsidP="00595D7F">
            <w:pPr>
              <w:ind w:left="-12"/>
              <w:jc w:val="center"/>
              <w:rPr>
                <w:rFonts w:ascii="Arial Narrow" w:hAnsi="Arial Narrow"/>
                <w:sz w:val="20"/>
              </w:rPr>
            </w:pPr>
            <w:r>
              <w:rPr>
                <w:rFonts w:ascii="Arial Narrow" w:hAnsi="Arial Narrow"/>
                <w:sz w:val="20"/>
              </w:rPr>
              <w:t>16.7%</w:t>
            </w:r>
          </w:p>
        </w:tc>
        <w:tc>
          <w:tcPr>
            <w:tcW w:w="3260" w:type="dxa"/>
            <w:gridSpan w:val="2"/>
            <w:vMerge/>
            <w:vAlign w:val="center"/>
          </w:tcPr>
          <w:p w:rsidR="00595D7F" w:rsidRDefault="00595D7F" w:rsidP="00595D7F">
            <w:pPr>
              <w:jc w:val="center"/>
              <w:rPr>
                <w:rFonts w:ascii="Arial Narrow" w:hAnsi="Arial Narrow"/>
                <w:sz w:val="20"/>
              </w:rPr>
            </w:pPr>
          </w:p>
        </w:tc>
        <w:tc>
          <w:tcPr>
            <w:tcW w:w="1701" w:type="dxa"/>
            <w:vMerge/>
            <w:vAlign w:val="center"/>
          </w:tcPr>
          <w:p w:rsidR="00595D7F" w:rsidRDefault="00595D7F" w:rsidP="00595D7F">
            <w:pPr>
              <w:ind w:left="709"/>
              <w:jc w:val="center"/>
              <w:rPr>
                <w:rFonts w:ascii="Arial Narrow" w:hAnsi="Arial Narrow"/>
                <w:sz w:val="20"/>
              </w:rPr>
            </w:pPr>
          </w:p>
        </w:tc>
      </w:tr>
      <w:tr w:rsidR="00595D7F" w:rsidTr="00595D7F">
        <w:tc>
          <w:tcPr>
            <w:tcW w:w="8363" w:type="dxa"/>
            <w:gridSpan w:val="5"/>
          </w:tcPr>
          <w:p w:rsidR="00595D7F" w:rsidRDefault="00595D7F" w:rsidP="00595D7F">
            <w:pPr>
              <w:jc w:val="left"/>
              <w:rPr>
                <w:rFonts w:ascii="Arial Narrow" w:hAnsi="Arial Narrow"/>
                <w:sz w:val="20"/>
              </w:rPr>
            </w:pPr>
            <w:r>
              <w:rPr>
                <w:rFonts w:ascii="Arial Narrow" w:hAnsi="Arial Narrow"/>
                <w:b/>
                <w:sz w:val="20"/>
              </w:rPr>
              <w:t>Spleen</w:t>
            </w:r>
          </w:p>
        </w:tc>
      </w:tr>
      <w:tr w:rsidR="00595D7F" w:rsidTr="0036175A">
        <w:tc>
          <w:tcPr>
            <w:tcW w:w="1747" w:type="dxa"/>
            <w:vAlign w:val="center"/>
          </w:tcPr>
          <w:p w:rsidR="00595D7F" w:rsidRPr="00260435" w:rsidRDefault="00595D7F" w:rsidP="00595D7F">
            <w:pPr>
              <w:ind w:left="34"/>
              <w:jc w:val="left"/>
              <w:rPr>
                <w:rFonts w:ascii="Arial Narrow" w:hAnsi="Arial Narrow"/>
                <w:b/>
                <w:sz w:val="20"/>
              </w:rPr>
            </w:pPr>
            <w:r>
              <w:rPr>
                <w:rFonts w:ascii="Arial Narrow" w:hAnsi="Arial Narrow"/>
                <w:sz w:val="20"/>
              </w:rPr>
              <w:t>Good</w:t>
            </w:r>
          </w:p>
        </w:tc>
        <w:tc>
          <w:tcPr>
            <w:tcW w:w="1655" w:type="dxa"/>
            <w:vAlign w:val="center"/>
          </w:tcPr>
          <w:p w:rsidR="00595D7F" w:rsidRPr="008136BC" w:rsidRDefault="00595D7F" w:rsidP="00595D7F">
            <w:pPr>
              <w:ind w:left="-12"/>
              <w:jc w:val="center"/>
              <w:rPr>
                <w:rFonts w:ascii="Arial Narrow" w:hAnsi="Arial Narrow"/>
                <w:sz w:val="20"/>
              </w:rPr>
            </w:pPr>
            <w:r>
              <w:rPr>
                <w:rFonts w:ascii="Arial Narrow" w:hAnsi="Arial Narrow"/>
                <w:sz w:val="20"/>
              </w:rPr>
              <w:t>85.7%</w:t>
            </w:r>
          </w:p>
        </w:tc>
        <w:tc>
          <w:tcPr>
            <w:tcW w:w="1513" w:type="dxa"/>
            <w:vAlign w:val="center"/>
          </w:tcPr>
          <w:p w:rsidR="00595D7F" w:rsidRPr="008136BC" w:rsidRDefault="00595D7F" w:rsidP="00595D7F">
            <w:pPr>
              <w:jc w:val="center"/>
              <w:rPr>
                <w:rFonts w:ascii="Arial Narrow" w:hAnsi="Arial Narrow"/>
                <w:sz w:val="20"/>
              </w:rPr>
            </w:pPr>
            <w:r>
              <w:rPr>
                <w:rFonts w:ascii="Arial Narrow" w:hAnsi="Arial Narrow"/>
                <w:sz w:val="20"/>
              </w:rPr>
              <w:t>100%</w:t>
            </w:r>
          </w:p>
        </w:tc>
        <w:tc>
          <w:tcPr>
            <w:tcW w:w="1747" w:type="dxa"/>
          </w:tcPr>
          <w:p w:rsidR="00595D7F" w:rsidRDefault="00595D7F" w:rsidP="00595D7F">
            <w:pPr>
              <w:jc w:val="center"/>
              <w:rPr>
                <w:rFonts w:ascii="Arial Narrow" w:hAnsi="Arial Narrow"/>
                <w:sz w:val="20"/>
              </w:rPr>
            </w:pPr>
            <w:r>
              <w:rPr>
                <w:rFonts w:ascii="Arial Narrow" w:hAnsi="Arial Narrow"/>
                <w:sz w:val="20"/>
              </w:rPr>
              <w:t>100%</w:t>
            </w:r>
          </w:p>
        </w:tc>
        <w:tc>
          <w:tcPr>
            <w:tcW w:w="1701" w:type="dxa"/>
            <w:vMerge w:val="restart"/>
            <w:vAlign w:val="center"/>
          </w:tcPr>
          <w:p w:rsidR="00595D7F" w:rsidRDefault="00595D7F" w:rsidP="00595D7F">
            <w:pPr>
              <w:ind w:left="33"/>
              <w:jc w:val="center"/>
              <w:rPr>
                <w:rFonts w:ascii="Arial Narrow" w:hAnsi="Arial Narrow"/>
                <w:sz w:val="20"/>
              </w:rPr>
            </w:pPr>
            <w:r>
              <w:rPr>
                <w:rFonts w:ascii="Arial Narrow" w:hAnsi="Arial Narrow"/>
                <w:sz w:val="20"/>
              </w:rPr>
              <w:t>NR</w:t>
            </w:r>
          </w:p>
        </w:tc>
      </w:tr>
      <w:tr w:rsidR="00595D7F" w:rsidTr="0036175A">
        <w:tc>
          <w:tcPr>
            <w:tcW w:w="1747" w:type="dxa"/>
            <w:vAlign w:val="center"/>
          </w:tcPr>
          <w:p w:rsidR="00595D7F" w:rsidRDefault="00595D7F" w:rsidP="00595D7F">
            <w:pPr>
              <w:ind w:left="34"/>
              <w:jc w:val="left"/>
              <w:rPr>
                <w:rFonts w:ascii="Arial Narrow" w:hAnsi="Arial Narrow"/>
                <w:sz w:val="20"/>
              </w:rPr>
            </w:pPr>
            <w:r>
              <w:rPr>
                <w:rFonts w:ascii="Arial Narrow" w:hAnsi="Arial Narrow"/>
                <w:sz w:val="20"/>
              </w:rPr>
              <w:t>Moderate</w:t>
            </w:r>
          </w:p>
        </w:tc>
        <w:tc>
          <w:tcPr>
            <w:tcW w:w="1655" w:type="dxa"/>
            <w:vAlign w:val="center"/>
          </w:tcPr>
          <w:p w:rsidR="00595D7F" w:rsidRPr="008136BC" w:rsidRDefault="00595D7F" w:rsidP="00595D7F">
            <w:pPr>
              <w:ind w:left="-12"/>
              <w:jc w:val="center"/>
              <w:rPr>
                <w:rFonts w:ascii="Arial Narrow" w:hAnsi="Arial Narrow"/>
                <w:sz w:val="20"/>
              </w:rPr>
            </w:pPr>
            <w:r>
              <w:rPr>
                <w:rFonts w:ascii="Arial Narrow" w:hAnsi="Arial Narrow"/>
                <w:sz w:val="20"/>
              </w:rPr>
              <w:t>14.3%</w:t>
            </w:r>
          </w:p>
        </w:tc>
        <w:tc>
          <w:tcPr>
            <w:tcW w:w="1513" w:type="dxa"/>
            <w:vAlign w:val="center"/>
          </w:tcPr>
          <w:p w:rsidR="00595D7F" w:rsidRPr="008136BC" w:rsidRDefault="00595D7F" w:rsidP="00595D7F">
            <w:pPr>
              <w:jc w:val="center"/>
              <w:rPr>
                <w:rFonts w:ascii="Arial Narrow" w:hAnsi="Arial Narrow"/>
                <w:sz w:val="20"/>
              </w:rPr>
            </w:pPr>
            <w:r>
              <w:rPr>
                <w:rFonts w:ascii="Arial Narrow" w:hAnsi="Arial Narrow"/>
                <w:sz w:val="20"/>
              </w:rPr>
              <w:t>0%</w:t>
            </w:r>
          </w:p>
        </w:tc>
        <w:tc>
          <w:tcPr>
            <w:tcW w:w="1747" w:type="dxa"/>
          </w:tcPr>
          <w:p w:rsidR="00595D7F" w:rsidRDefault="00595D7F" w:rsidP="00595D7F">
            <w:pPr>
              <w:jc w:val="center"/>
              <w:rPr>
                <w:rFonts w:ascii="Arial Narrow" w:hAnsi="Arial Narrow"/>
                <w:sz w:val="20"/>
              </w:rPr>
            </w:pPr>
            <w:r>
              <w:rPr>
                <w:rFonts w:ascii="Arial Narrow" w:hAnsi="Arial Narrow"/>
                <w:sz w:val="20"/>
              </w:rPr>
              <w:t>0%</w:t>
            </w:r>
          </w:p>
        </w:tc>
        <w:tc>
          <w:tcPr>
            <w:tcW w:w="1701" w:type="dxa"/>
            <w:vMerge/>
            <w:vAlign w:val="center"/>
          </w:tcPr>
          <w:p w:rsidR="00595D7F" w:rsidRDefault="00595D7F" w:rsidP="00595D7F">
            <w:pPr>
              <w:ind w:left="709"/>
              <w:jc w:val="center"/>
              <w:rPr>
                <w:rFonts w:ascii="Arial Narrow" w:hAnsi="Arial Narrow"/>
                <w:sz w:val="20"/>
              </w:rPr>
            </w:pPr>
          </w:p>
        </w:tc>
      </w:tr>
      <w:tr w:rsidR="00595D7F" w:rsidTr="0036175A">
        <w:tc>
          <w:tcPr>
            <w:tcW w:w="1747" w:type="dxa"/>
            <w:vAlign w:val="center"/>
          </w:tcPr>
          <w:p w:rsidR="00595D7F" w:rsidRDefault="00595D7F" w:rsidP="00595D7F">
            <w:pPr>
              <w:ind w:left="34"/>
              <w:jc w:val="left"/>
              <w:rPr>
                <w:rFonts w:ascii="Arial Narrow" w:hAnsi="Arial Narrow"/>
                <w:sz w:val="20"/>
              </w:rPr>
            </w:pPr>
            <w:r>
              <w:rPr>
                <w:rFonts w:ascii="Arial Narrow" w:hAnsi="Arial Narrow"/>
                <w:sz w:val="20"/>
              </w:rPr>
              <w:t>No</w:t>
            </w:r>
          </w:p>
        </w:tc>
        <w:tc>
          <w:tcPr>
            <w:tcW w:w="1655" w:type="dxa"/>
            <w:vAlign w:val="center"/>
          </w:tcPr>
          <w:p w:rsidR="00595D7F" w:rsidRPr="008136BC" w:rsidRDefault="00595D7F" w:rsidP="00595D7F">
            <w:pPr>
              <w:ind w:left="-12"/>
              <w:jc w:val="center"/>
              <w:rPr>
                <w:rFonts w:ascii="Arial Narrow" w:hAnsi="Arial Narrow"/>
                <w:sz w:val="20"/>
              </w:rPr>
            </w:pPr>
            <w:r>
              <w:rPr>
                <w:rFonts w:ascii="Arial Narrow" w:hAnsi="Arial Narrow"/>
                <w:sz w:val="20"/>
              </w:rPr>
              <w:t>0%</w:t>
            </w:r>
          </w:p>
        </w:tc>
        <w:tc>
          <w:tcPr>
            <w:tcW w:w="1513" w:type="dxa"/>
            <w:vAlign w:val="center"/>
          </w:tcPr>
          <w:p w:rsidR="00595D7F" w:rsidRPr="008136BC" w:rsidRDefault="00595D7F" w:rsidP="00595D7F">
            <w:pPr>
              <w:jc w:val="center"/>
              <w:rPr>
                <w:rFonts w:ascii="Arial Narrow" w:hAnsi="Arial Narrow"/>
                <w:sz w:val="20"/>
              </w:rPr>
            </w:pPr>
            <w:r>
              <w:rPr>
                <w:rFonts w:ascii="Arial Narrow" w:hAnsi="Arial Narrow"/>
                <w:sz w:val="20"/>
              </w:rPr>
              <w:t>0%</w:t>
            </w:r>
          </w:p>
        </w:tc>
        <w:tc>
          <w:tcPr>
            <w:tcW w:w="1747" w:type="dxa"/>
          </w:tcPr>
          <w:p w:rsidR="00595D7F" w:rsidRDefault="00595D7F" w:rsidP="00595D7F">
            <w:pPr>
              <w:jc w:val="center"/>
              <w:rPr>
                <w:rFonts w:ascii="Arial Narrow" w:hAnsi="Arial Narrow"/>
                <w:sz w:val="20"/>
              </w:rPr>
            </w:pPr>
            <w:r>
              <w:rPr>
                <w:rFonts w:ascii="Arial Narrow" w:hAnsi="Arial Narrow"/>
                <w:sz w:val="20"/>
              </w:rPr>
              <w:t>0%</w:t>
            </w:r>
          </w:p>
        </w:tc>
        <w:tc>
          <w:tcPr>
            <w:tcW w:w="1701" w:type="dxa"/>
            <w:vMerge/>
            <w:vAlign w:val="center"/>
          </w:tcPr>
          <w:p w:rsidR="00595D7F" w:rsidRDefault="00595D7F" w:rsidP="00595D7F">
            <w:pPr>
              <w:ind w:left="709"/>
              <w:jc w:val="center"/>
              <w:rPr>
                <w:rFonts w:ascii="Arial Narrow" w:hAnsi="Arial Narrow"/>
                <w:sz w:val="20"/>
              </w:rPr>
            </w:pPr>
          </w:p>
        </w:tc>
      </w:tr>
    </w:tbl>
    <w:p w:rsidR="00595D7F" w:rsidRDefault="00595D7F" w:rsidP="00595D7F">
      <w:pPr>
        <w:keepNext/>
        <w:ind w:left="709"/>
        <w:rPr>
          <w:rStyle w:val="CommentReference"/>
          <w:b w:val="0"/>
          <w:sz w:val="18"/>
          <w:szCs w:val="18"/>
        </w:rPr>
      </w:pPr>
      <w:r w:rsidRPr="00260435">
        <w:rPr>
          <w:rStyle w:val="CommentReference"/>
          <w:b w:val="0"/>
          <w:sz w:val="18"/>
          <w:szCs w:val="18"/>
        </w:rPr>
        <w:t xml:space="preserve">Note: </w:t>
      </w:r>
      <w:r>
        <w:rPr>
          <w:rStyle w:val="CommentReference"/>
          <w:b w:val="0"/>
          <w:sz w:val="18"/>
          <w:szCs w:val="18"/>
        </w:rPr>
        <w:t>Definitions of Good, Moderate and No response are presented in Table B.5.3 of th</w:t>
      </w:r>
      <w:r w:rsidR="005405B1">
        <w:rPr>
          <w:rStyle w:val="CommentReference"/>
          <w:b w:val="0"/>
          <w:sz w:val="18"/>
          <w:szCs w:val="18"/>
        </w:rPr>
        <w:t>e</w:t>
      </w:r>
      <w:r>
        <w:rPr>
          <w:rStyle w:val="CommentReference"/>
          <w:b w:val="0"/>
          <w:sz w:val="18"/>
          <w:szCs w:val="18"/>
        </w:rPr>
        <w:t xml:space="preserve"> commentary</w:t>
      </w:r>
    </w:p>
    <w:p w:rsidR="00595D7F" w:rsidRDefault="00595D7F" w:rsidP="00595D7F">
      <w:pPr>
        <w:keepNext/>
        <w:ind w:left="709"/>
        <w:rPr>
          <w:rStyle w:val="CommentReference"/>
          <w:b w:val="0"/>
          <w:sz w:val="18"/>
          <w:szCs w:val="18"/>
        </w:rPr>
      </w:pPr>
      <w:r>
        <w:rPr>
          <w:rStyle w:val="CommentReference"/>
          <w:b w:val="0"/>
          <w:sz w:val="18"/>
          <w:szCs w:val="18"/>
        </w:rPr>
        <w:t>Abbreviations: NR, not reported.</w:t>
      </w:r>
    </w:p>
    <w:p w:rsidR="00595D7F" w:rsidRPr="00260435" w:rsidRDefault="00595D7F" w:rsidP="00595D7F">
      <w:pPr>
        <w:keepNext/>
        <w:ind w:left="709"/>
        <w:rPr>
          <w:rStyle w:val="CommentReference"/>
          <w:b w:val="0"/>
          <w:sz w:val="18"/>
          <w:szCs w:val="18"/>
        </w:rPr>
      </w:pPr>
      <w:r>
        <w:rPr>
          <w:rStyle w:val="CommentReference"/>
          <w:b w:val="0"/>
          <w:sz w:val="18"/>
          <w:szCs w:val="18"/>
        </w:rPr>
        <w:t xml:space="preserve">Source: Table 189, pB.273 of the </w:t>
      </w:r>
      <w:r w:rsidR="00035FBE">
        <w:rPr>
          <w:rStyle w:val="CommentReference"/>
          <w:b w:val="0"/>
          <w:sz w:val="18"/>
          <w:szCs w:val="18"/>
        </w:rPr>
        <w:t>resubmission</w:t>
      </w:r>
    </w:p>
    <w:p w:rsidR="00595D7F" w:rsidRPr="00260435" w:rsidRDefault="00595D7F" w:rsidP="00595D7F">
      <w:pPr>
        <w:ind w:left="709"/>
      </w:pPr>
    </w:p>
    <w:p w:rsidR="00595D7F" w:rsidRPr="00A151DE" w:rsidRDefault="00595D7F" w:rsidP="00C32489">
      <w:pPr>
        <w:pStyle w:val="ListParagraph"/>
        <w:widowControl/>
        <w:numPr>
          <w:ilvl w:val="1"/>
          <w:numId w:val="2"/>
        </w:numPr>
        <w:ind w:left="709" w:hanging="709"/>
      </w:pPr>
      <w:r w:rsidRPr="00AC1B85">
        <w:t xml:space="preserve">The source of </w:t>
      </w:r>
      <w:r w:rsidR="00634EBF" w:rsidRPr="00AC1B85">
        <w:t xml:space="preserve">these </w:t>
      </w:r>
      <w:r w:rsidRPr="00AC1B85">
        <w:t xml:space="preserve">data </w:t>
      </w:r>
      <w:r w:rsidR="00634EBF" w:rsidRPr="00AC1B85">
        <w:t>was</w:t>
      </w:r>
      <w:r w:rsidR="00582A44" w:rsidRPr="00AC1B85">
        <w:t xml:space="preserve"> not specified in the </w:t>
      </w:r>
      <w:proofErr w:type="gramStart"/>
      <w:r w:rsidR="00582A44" w:rsidRPr="00AC1B85">
        <w:t>re</w:t>
      </w:r>
      <w:r w:rsidRPr="00AC1B85">
        <w:t>submission,</w:t>
      </w:r>
      <w:proofErr w:type="gramEnd"/>
      <w:r w:rsidRPr="00AC1B85">
        <w:t xml:space="preserve"> </w:t>
      </w:r>
      <w:r w:rsidR="00634EBF" w:rsidRPr="00AC1B85">
        <w:t xml:space="preserve">and </w:t>
      </w:r>
      <w:r w:rsidR="004A6B73" w:rsidRPr="00AC1B85">
        <w:t>for Trial PB-06-001 and TKT-032</w:t>
      </w:r>
      <w:r w:rsidRPr="00AC1B85">
        <w:t xml:space="preserve"> could not be found or verified during the evaluation. </w:t>
      </w:r>
      <w:r w:rsidR="009727D4" w:rsidRPr="00A151DE">
        <w:t xml:space="preserve">The ESC noted the sources had been </w:t>
      </w:r>
      <w:r w:rsidR="00035FBE" w:rsidRPr="00A151DE">
        <w:t xml:space="preserve">provided in </w:t>
      </w:r>
      <w:r w:rsidR="009727D4" w:rsidRPr="00A151DE">
        <w:t xml:space="preserve">appendix 1 of </w:t>
      </w:r>
      <w:r w:rsidR="00035FBE" w:rsidRPr="00A151DE">
        <w:t xml:space="preserve">the </w:t>
      </w:r>
      <w:r w:rsidR="00AD0FC1">
        <w:t>pre-sub-committee response (</w:t>
      </w:r>
      <w:r w:rsidR="00035FBE" w:rsidRPr="00A151DE">
        <w:t>PSCR</w:t>
      </w:r>
      <w:r w:rsidR="00AD0FC1">
        <w:t>)</w:t>
      </w:r>
      <w:r w:rsidR="00035FBE" w:rsidRPr="00A151DE">
        <w:t xml:space="preserve"> (p5-6).</w:t>
      </w:r>
    </w:p>
    <w:p w:rsidR="00595D7F" w:rsidRDefault="00595D7F" w:rsidP="00595D7F">
      <w:pPr>
        <w:ind w:left="709"/>
        <w:rPr>
          <w:highlight w:val="yellow"/>
        </w:rPr>
      </w:pPr>
    </w:p>
    <w:p w:rsidR="00D06FD4" w:rsidRPr="00A151DE" w:rsidRDefault="00595D7F" w:rsidP="00C32489">
      <w:pPr>
        <w:pStyle w:val="ListParagraph"/>
        <w:widowControl/>
        <w:numPr>
          <w:ilvl w:val="1"/>
          <w:numId w:val="2"/>
        </w:numPr>
        <w:ind w:left="709" w:hanging="709"/>
        <w:rPr>
          <w:szCs w:val="22"/>
        </w:rPr>
      </w:pPr>
      <w:r>
        <w:t xml:space="preserve">The responder analysis </w:t>
      </w:r>
      <w:r w:rsidR="00634EBF">
        <w:t>indicate</w:t>
      </w:r>
      <w:r w:rsidR="00AD0FC1">
        <w:t>d</w:t>
      </w:r>
      <w:r>
        <w:t xml:space="preserve"> that between 6</w:t>
      </w:r>
      <w:r w:rsidR="00ED6CBF">
        <w:t>2</w:t>
      </w:r>
      <w:r>
        <w:t>.</w:t>
      </w:r>
      <w:r w:rsidR="00ED6CBF">
        <w:t>6</w:t>
      </w:r>
      <w:r>
        <w:t>%</w:t>
      </w:r>
      <w:r w:rsidR="00ED6CBF">
        <w:t xml:space="preserve"> </w:t>
      </w:r>
      <w:r>
        <w:t xml:space="preserve">and 100% of </w:t>
      </w:r>
      <w:proofErr w:type="spellStart"/>
      <w:r>
        <w:t>taliglucerase</w:t>
      </w:r>
      <w:proofErr w:type="spellEnd"/>
      <w:r>
        <w:t xml:space="preserve"> </w:t>
      </w:r>
      <w:r w:rsidR="00AD0FC1">
        <w:t xml:space="preserve">alfa </w:t>
      </w:r>
      <w:r>
        <w:t>treated patients achieved a good or moderate response across all 4 endpoints</w:t>
      </w:r>
      <w:r w:rsidR="00582A44">
        <w:t>. The re</w:t>
      </w:r>
      <w:r w:rsidR="00634EBF">
        <w:t>submission claim</w:t>
      </w:r>
      <w:r w:rsidR="00AD0FC1">
        <w:t>ed</w:t>
      </w:r>
      <w:r w:rsidR="00634EBF">
        <w:t xml:space="preserve"> that these results are comparable to response rates for </w:t>
      </w:r>
      <w:proofErr w:type="spellStart"/>
      <w:r w:rsidR="00634EBF">
        <w:t>imiglucerase</w:t>
      </w:r>
      <w:proofErr w:type="spellEnd"/>
      <w:r w:rsidR="00634EBF">
        <w:t xml:space="preserve"> and </w:t>
      </w:r>
      <w:proofErr w:type="spellStart"/>
      <w:r w:rsidR="00634EBF">
        <w:t>velaglucerase</w:t>
      </w:r>
      <w:proofErr w:type="spellEnd"/>
      <w:r>
        <w:t xml:space="preserve">. </w:t>
      </w:r>
      <w:r w:rsidR="00BC2C8D">
        <w:t xml:space="preserve"> </w:t>
      </w:r>
      <w:r w:rsidR="005D5D82" w:rsidRPr="00A151DE">
        <w:t>G</w:t>
      </w:r>
      <w:r w:rsidRPr="00A151DE">
        <w:t xml:space="preserve">iven </w:t>
      </w:r>
      <w:r w:rsidR="00AD0FC1">
        <w:t xml:space="preserve">that </w:t>
      </w:r>
      <w:r w:rsidR="00634EBF" w:rsidRPr="00A151DE">
        <w:t xml:space="preserve">there </w:t>
      </w:r>
      <w:r w:rsidR="00AD0FC1">
        <w:t>we</w:t>
      </w:r>
      <w:r w:rsidR="00634EBF" w:rsidRPr="00A151DE">
        <w:t xml:space="preserve">re differences in proportions of good and moderate responders, </w:t>
      </w:r>
      <w:r w:rsidR="00DA6171" w:rsidRPr="00A151DE">
        <w:t xml:space="preserve">limitations with the trial designs and low patient numbers, the ESC </w:t>
      </w:r>
      <w:r w:rsidR="00AD0FC1">
        <w:t>advised that</w:t>
      </w:r>
      <w:r w:rsidR="00AD0FC1" w:rsidRPr="00A151DE">
        <w:t xml:space="preserve"> </w:t>
      </w:r>
      <w:r w:rsidR="005D5D82" w:rsidRPr="00A151DE">
        <w:t>it</w:t>
      </w:r>
      <w:r w:rsidR="00AD0FC1">
        <w:t xml:space="preserve"> is</w:t>
      </w:r>
      <w:r w:rsidR="005D5D82" w:rsidRPr="00A151DE">
        <w:t xml:space="preserve"> </w:t>
      </w:r>
      <w:r w:rsidR="00577BCD" w:rsidRPr="00A151DE">
        <w:t xml:space="preserve">difficult to determine whether </w:t>
      </w:r>
      <w:proofErr w:type="spellStart"/>
      <w:r w:rsidR="00577BCD" w:rsidRPr="00A151DE">
        <w:t>taliglucerase</w:t>
      </w:r>
      <w:proofErr w:type="spellEnd"/>
      <w:r w:rsidR="00577BCD" w:rsidRPr="00A151DE">
        <w:t xml:space="preserve"> alfa is non-inferior to </w:t>
      </w:r>
      <w:proofErr w:type="spellStart"/>
      <w:r w:rsidR="00577BCD" w:rsidRPr="00A151DE">
        <w:t>imiglucerase</w:t>
      </w:r>
      <w:proofErr w:type="spellEnd"/>
      <w:r w:rsidR="00577BCD" w:rsidRPr="00A151DE">
        <w:t xml:space="preserve"> and </w:t>
      </w:r>
      <w:proofErr w:type="spellStart"/>
      <w:r w:rsidR="00577BCD" w:rsidRPr="00A151DE">
        <w:t>velaglucerase</w:t>
      </w:r>
      <w:proofErr w:type="spellEnd"/>
      <w:r w:rsidR="00AD0FC1">
        <w:t xml:space="preserve"> based on the evidence presented</w:t>
      </w:r>
      <w:r w:rsidR="00577BCD" w:rsidRPr="00A151DE">
        <w:t>.</w:t>
      </w:r>
    </w:p>
    <w:p w:rsidR="00595D7F" w:rsidRDefault="00595D7F" w:rsidP="00D06FD4">
      <w:pPr>
        <w:rPr>
          <w:szCs w:val="22"/>
        </w:rPr>
      </w:pPr>
    </w:p>
    <w:p w:rsidR="00A151DE" w:rsidRDefault="00A151DE" w:rsidP="00A151DE">
      <w:pPr>
        <w:pStyle w:val="ListParagraph"/>
        <w:ind w:left="709"/>
        <w:rPr>
          <w:i/>
          <w:szCs w:val="22"/>
        </w:rPr>
      </w:pPr>
      <w:r>
        <w:rPr>
          <w:i/>
          <w:szCs w:val="22"/>
        </w:rPr>
        <w:t>For more detail on PBAC’s view, see section 7 “PBAC outcome”</w:t>
      </w:r>
    </w:p>
    <w:p w:rsidR="00A151DE" w:rsidRDefault="00A151DE" w:rsidP="00A151DE">
      <w:pPr>
        <w:ind w:left="709"/>
        <w:rPr>
          <w:szCs w:val="22"/>
        </w:rPr>
      </w:pPr>
    </w:p>
    <w:p w:rsidR="00F138CC" w:rsidRDefault="00F138CC" w:rsidP="00A151DE">
      <w:pPr>
        <w:ind w:left="709"/>
        <w:rPr>
          <w:szCs w:val="22"/>
        </w:rPr>
      </w:pPr>
    </w:p>
    <w:p w:rsidR="00B60939" w:rsidRPr="00EF0F93" w:rsidRDefault="00B60939" w:rsidP="00EF0F93">
      <w:pPr>
        <w:rPr>
          <w:b/>
          <w:szCs w:val="22"/>
        </w:rPr>
      </w:pPr>
      <w:bookmarkStart w:id="11" w:name="_Toc398646924"/>
      <w:r w:rsidRPr="00EF0F93">
        <w:rPr>
          <w:b/>
          <w:szCs w:val="22"/>
        </w:rPr>
        <w:t>Comparative harms</w:t>
      </w:r>
      <w:bookmarkEnd w:id="11"/>
    </w:p>
    <w:p w:rsidR="00B60939" w:rsidRPr="00882085" w:rsidRDefault="00B60939" w:rsidP="00B60939">
      <w:pPr>
        <w:ind w:left="720" w:hanging="720"/>
        <w:rPr>
          <w:szCs w:val="22"/>
        </w:rPr>
      </w:pPr>
    </w:p>
    <w:p w:rsidR="001B1307" w:rsidRPr="009D4612" w:rsidRDefault="00C012CA" w:rsidP="001B1307">
      <w:pPr>
        <w:pStyle w:val="ListParagraph"/>
        <w:widowControl/>
        <w:numPr>
          <w:ilvl w:val="1"/>
          <w:numId w:val="2"/>
        </w:numPr>
        <w:ind w:left="709" w:hanging="709"/>
        <w:rPr>
          <w:szCs w:val="22"/>
        </w:rPr>
      </w:pPr>
      <w:r>
        <w:lastRenderedPageBreak/>
        <w:t>Similar adverse event rates were reported for the 30</w:t>
      </w:r>
      <w:r w:rsidR="00DA6171">
        <w:t xml:space="preserve"> </w:t>
      </w:r>
      <w:r>
        <w:t>U/kg and 60</w:t>
      </w:r>
      <w:r w:rsidR="00DA6171">
        <w:t xml:space="preserve"> </w:t>
      </w:r>
      <w:r>
        <w:t xml:space="preserve">U/kg </w:t>
      </w:r>
      <w:proofErr w:type="spellStart"/>
      <w:r>
        <w:t>taliglucerase</w:t>
      </w:r>
      <w:proofErr w:type="spellEnd"/>
      <w:r w:rsidR="00896815">
        <w:t xml:space="preserve"> alfa</w:t>
      </w:r>
      <w:r>
        <w:t xml:space="preserve"> treatment arms of the PB-06-001 trial. Across all the </w:t>
      </w:r>
      <w:proofErr w:type="spellStart"/>
      <w:r>
        <w:t>taliglucerase</w:t>
      </w:r>
      <w:proofErr w:type="spellEnd"/>
      <w:r>
        <w:t xml:space="preserve"> </w:t>
      </w:r>
      <w:r w:rsidR="00896815">
        <w:t xml:space="preserve">alfa </w:t>
      </w:r>
      <w:r>
        <w:t xml:space="preserve">studies the most frequently reported treatment related adverse events (&gt;2%) were headache (6.9%), infusion related reaction (6.0%), pruritus (6.0%), hypersensitivity (4.3%), nausea (3.4%), abdominal pain (2.6%), weight increased (2.6%), rhinorrhoea (2.6%), sneezing (2.6%), erythema (2.6%) and flushing (2.6%). Treatment related adverse events in the paediatric patients were gastrointestinal inflammation (6.3%), vomiting (6.3%), chest discomfort (6.3%), pain in extremity (6.3%), throat irritation (6.3%). One paediatric subject experienced a severe treatment-related </w:t>
      </w:r>
      <w:r w:rsidR="002504B0">
        <w:t>g</w:t>
      </w:r>
      <w:r>
        <w:t xml:space="preserve">astrointestinal </w:t>
      </w:r>
      <w:r w:rsidR="002504B0">
        <w:t>i</w:t>
      </w:r>
      <w:r>
        <w:t>nflammation, which led to hospitalisation.</w:t>
      </w:r>
      <w:r w:rsidR="00774467">
        <w:t xml:space="preserve"> </w:t>
      </w:r>
    </w:p>
    <w:p w:rsidR="00870EBB" w:rsidRPr="00A151DE" w:rsidRDefault="00870EBB" w:rsidP="001B1307">
      <w:pPr>
        <w:pStyle w:val="ListParagraph"/>
        <w:rPr>
          <w:szCs w:val="22"/>
        </w:rPr>
      </w:pPr>
    </w:p>
    <w:p w:rsidR="00870EBB" w:rsidRPr="00C722D5" w:rsidRDefault="00582A44" w:rsidP="00C32489">
      <w:pPr>
        <w:pStyle w:val="ListParagraph"/>
        <w:widowControl/>
        <w:numPr>
          <w:ilvl w:val="1"/>
          <w:numId w:val="2"/>
        </w:numPr>
        <w:ind w:left="709" w:hanging="709"/>
        <w:rPr>
          <w:szCs w:val="22"/>
        </w:rPr>
      </w:pPr>
      <w:r>
        <w:rPr>
          <w:szCs w:val="22"/>
        </w:rPr>
        <w:t>The re</w:t>
      </w:r>
      <w:r w:rsidR="00870EBB">
        <w:rPr>
          <w:szCs w:val="22"/>
        </w:rPr>
        <w:t>submission present</w:t>
      </w:r>
      <w:r w:rsidR="0006123C">
        <w:rPr>
          <w:szCs w:val="22"/>
        </w:rPr>
        <w:t>ed</w:t>
      </w:r>
      <w:r w:rsidR="00870EBB">
        <w:rPr>
          <w:szCs w:val="22"/>
        </w:rPr>
        <w:t xml:space="preserve"> immunogenicity data for 71 </w:t>
      </w:r>
      <w:proofErr w:type="spellStart"/>
      <w:r w:rsidR="00870EBB">
        <w:rPr>
          <w:szCs w:val="22"/>
        </w:rPr>
        <w:t>taliglucerase</w:t>
      </w:r>
      <w:proofErr w:type="spellEnd"/>
      <w:r w:rsidR="00896815">
        <w:rPr>
          <w:szCs w:val="22"/>
        </w:rPr>
        <w:t xml:space="preserve"> alfa</w:t>
      </w:r>
      <w:r w:rsidR="00870EBB">
        <w:rPr>
          <w:szCs w:val="22"/>
        </w:rPr>
        <w:t xml:space="preserve"> patients from the included trials. Anti-</w:t>
      </w:r>
      <w:proofErr w:type="spellStart"/>
      <w:r w:rsidR="00870EBB">
        <w:rPr>
          <w:szCs w:val="22"/>
        </w:rPr>
        <w:t>taliglucerase</w:t>
      </w:r>
      <w:proofErr w:type="spellEnd"/>
      <w:r w:rsidR="00870EBB">
        <w:rPr>
          <w:szCs w:val="22"/>
        </w:rPr>
        <w:t xml:space="preserve"> </w:t>
      </w:r>
      <w:r w:rsidR="00896815">
        <w:rPr>
          <w:szCs w:val="22"/>
        </w:rPr>
        <w:t xml:space="preserve">alfa </w:t>
      </w:r>
      <w:r w:rsidR="00870EBB">
        <w:rPr>
          <w:szCs w:val="22"/>
        </w:rPr>
        <w:t>antibodies were detect</w:t>
      </w:r>
      <w:r>
        <w:rPr>
          <w:szCs w:val="22"/>
        </w:rPr>
        <w:t>ed in 24 (34%) patients. The re</w:t>
      </w:r>
      <w:r w:rsidR="00870EBB">
        <w:rPr>
          <w:szCs w:val="22"/>
        </w:rPr>
        <w:t>submission note</w:t>
      </w:r>
      <w:r w:rsidR="0006123C">
        <w:rPr>
          <w:szCs w:val="22"/>
        </w:rPr>
        <w:t>d</w:t>
      </w:r>
      <w:r w:rsidR="00870EBB">
        <w:rPr>
          <w:szCs w:val="22"/>
        </w:rPr>
        <w:t xml:space="preserve"> an association between anti-</w:t>
      </w:r>
      <w:proofErr w:type="spellStart"/>
      <w:r w:rsidR="00870EBB">
        <w:rPr>
          <w:szCs w:val="22"/>
        </w:rPr>
        <w:t>taliglucerase</w:t>
      </w:r>
      <w:proofErr w:type="spellEnd"/>
      <w:r w:rsidR="00896815">
        <w:rPr>
          <w:szCs w:val="22"/>
        </w:rPr>
        <w:t xml:space="preserve"> alfa</w:t>
      </w:r>
      <w:r w:rsidR="00870EBB">
        <w:rPr>
          <w:szCs w:val="22"/>
        </w:rPr>
        <w:t xml:space="preserve"> antibodies and type 1 hypersensitivity events. </w:t>
      </w:r>
      <w:r w:rsidR="00317E00">
        <w:rPr>
          <w:szCs w:val="22"/>
        </w:rPr>
        <w:t>For comparison</w:t>
      </w:r>
      <w:r w:rsidR="00870EBB">
        <w:rPr>
          <w:szCs w:val="22"/>
        </w:rPr>
        <w:t xml:space="preserve">, no </w:t>
      </w:r>
      <w:proofErr w:type="spellStart"/>
      <w:r w:rsidR="00870EBB">
        <w:rPr>
          <w:szCs w:val="22"/>
        </w:rPr>
        <w:t>velaglucerase</w:t>
      </w:r>
      <w:proofErr w:type="spellEnd"/>
      <w:r w:rsidR="00870EBB">
        <w:rPr>
          <w:szCs w:val="22"/>
        </w:rPr>
        <w:t xml:space="preserve"> patients (n=17) and four </w:t>
      </w:r>
      <w:proofErr w:type="spellStart"/>
      <w:r w:rsidR="00870EBB">
        <w:rPr>
          <w:szCs w:val="22"/>
        </w:rPr>
        <w:t>imiglucerase</w:t>
      </w:r>
      <w:proofErr w:type="spellEnd"/>
      <w:r w:rsidR="00870EBB">
        <w:rPr>
          <w:szCs w:val="22"/>
        </w:rPr>
        <w:t xml:space="preserve"> patients (n=17; 24%) developed anti-drug antibodies</w:t>
      </w:r>
      <w:r w:rsidR="00317E00">
        <w:rPr>
          <w:szCs w:val="22"/>
        </w:rPr>
        <w:t xml:space="preserve"> in the HGT-039 trial</w:t>
      </w:r>
      <w:r w:rsidR="00870EBB">
        <w:rPr>
          <w:szCs w:val="22"/>
        </w:rPr>
        <w:t>. In Grabowski (1995), 3 of 15 patients (20%) developed anti</w:t>
      </w:r>
      <w:r w:rsidR="00DD5820">
        <w:rPr>
          <w:szCs w:val="22"/>
        </w:rPr>
        <w:t>bodies.</w:t>
      </w:r>
    </w:p>
    <w:p w:rsidR="00B60939" w:rsidRDefault="00B60939" w:rsidP="007F1017">
      <w:pPr>
        <w:pStyle w:val="ListParagraph"/>
        <w:ind w:left="0"/>
        <w:rPr>
          <w:szCs w:val="22"/>
        </w:rPr>
      </w:pPr>
    </w:p>
    <w:p w:rsidR="00A151DE" w:rsidRDefault="00A151DE" w:rsidP="00A151DE">
      <w:pPr>
        <w:pStyle w:val="ListParagraph"/>
        <w:ind w:left="709"/>
        <w:rPr>
          <w:i/>
          <w:szCs w:val="22"/>
        </w:rPr>
      </w:pPr>
      <w:r>
        <w:rPr>
          <w:i/>
          <w:szCs w:val="22"/>
        </w:rPr>
        <w:t>For more detail on PBAC’s view, see section 7 “PBAC outcome”</w:t>
      </w:r>
    </w:p>
    <w:p w:rsidR="00A151DE" w:rsidRDefault="00A151DE" w:rsidP="00A151DE">
      <w:pPr>
        <w:pStyle w:val="ListParagraph"/>
        <w:ind w:left="709"/>
        <w:rPr>
          <w:szCs w:val="22"/>
        </w:rPr>
      </w:pPr>
    </w:p>
    <w:p w:rsidR="007F1017" w:rsidRPr="00EF0F93" w:rsidRDefault="007F1017" w:rsidP="00EF0F93">
      <w:pPr>
        <w:rPr>
          <w:b/>
          <w:szCs w:val="22"/>
        </w:rPr>
      </w:pPr>
      <w:bookmarkStart w:id="12" w:name="_Toc398646925"/>
      <w:r w:rsidRPr="00EF0F93">
        <w:rPr>
          <w:b/>
          <w:szCs w:val="22"/>
        </w:rPr>
        <w:t>Benefits/harms</w:t>
      </w:r>
      <w:bookmarkEnd w:id="12"/>
    </w:p>
    <w:p w:rsidR="007F1017" w:rsidRPr="007F1017" w:rsidRDefault="007F1017" w:rsidP="007F1017">
      <w:pPr>
        <w:pStyle w:val="ListParagraph"/>
        <w:ind w:left="0"/>
        <w:rPr>
          <w:szCs w:val="22"/>
        </w:rPr>
      </w:pPr>
    </w:p>
    <w:p w:rsidR="007F1017" w:rsidRPr="00AC1B85" w:rsidRDefault="00317E00" w:rsidP="00C32489">
      <w:pPr>
        <w:pStyle w:val="ListParagraph"/>
        <w:widowControl/>
        <w:numPr>
          <w:ilvl w:val="1"/>
          <w:numId w:val="2"/>
        </w:numPr>
        <w:ind w:left="709" w:hanging="709"/>
        <w:rPr>
          <w:szCs w:val="22"/>
        </w:rPr>
      </w:pPr>
      <w:r>
        <w:t>C</w:t>
      </w:r>
      <w:r w:rsidR="00DD5820" w:rsidRPr="00DD5820">
        <w:t xml:space="preserve">omparative </w:t>
      </w:r>
      <w:r w:rsidR="00DD5820">
        <w:t xml:space="preserve">benefits </w:t>
      </w:r>
      <w:r w:rsidR="00DD5820" w:rsidRPr="00DD5820">
        <w:t xml:space="preserve">data </w:t>
      </w:r>
      <w:r>
        <w:t xml:space="preserve">for </w:t>
      </w:r>
      <w:proofErr w:type="spellStart"/>
      <w:r>
        <w:t>taliglucerase</w:t>
      </w:r>
      <w:proofErr w:type="spellEnd"/>
      <w:r>
        <w:t xml:space="preserve"> </w:t>
      </w:r>
      <w:r w:rsidR="00896815">
        <w:t xml:space="preserve">alfa </w:t>
      </w:r>
      <w:r w:rsidR="00DD5820" w:rsidRPr="00DD5820">
        <w:t xml:space="preserve">versus </w:t>
      </w:r>
      <w:proofErr w:type="spellStart"/>
      <w:r>
        <w:t>imiglucerase</w:t>
      </w:r>
      <w:proofErr w:type="spellEnd"/>
      <w:r>
        <w:t xml:space="preserve"> and </w:t>
      </w:r>
      <w:proofErr w:type="spellStart"/>
      <w:r>
        <w:t>velaglucerase</w:t>
      </w:r>
      <w:proofErr w:type="spellEnd"/>
      <w:r w:rsidR="00896815">
        <w:t xml:space="preserve"> alfa</w:t>
      </w:r>
      <w:r w:rsidR="00DD5820" w:rsidRPr="00DD5820">
        <w:t xml:space="preserve"> were </w:t>
      </w:r>
      <w:r>
        <w:t xml:space="preserve">limited to a naïve comparison of responder rates. </w:t>
      </w:r>
      <w:r w:rsidR="00414F45" w:rsidRPr="00AC1B85">
        <w:rPr>
          <w:iCs/>
        </w:rPr>
        <w:t>The</w:t>
      </w:r>
      <w:r w:rsidR="0006123C">
        <w:rPr>
          <w:iCs/>
        </w:rPr>
        <w:t xml:space="preserve"> evaluation observed that the</w:t>
      </w:r>
      <w:r w:rsidR="00414F45" w:rsidRPr="00AC1B85">
        <w:rPr>
          <w:iCs/>
        </w:rPr>
        <w:t xml:space="preserve">re </w:t>
      </w:r>
      <w:r w:rsidR="0006123C">
        <w:rPr>
          <w:iCs/>
        </w:rPr>
        <w:t>was</w:t>
      </w:r>
      <w:r w:rsidR="0006123C" w:rsidRPr="00AC1B85">
        <w:rPr>
          <w:iCs/>
        </w:rPr>
        <w:t xml:space="preserve"> </w:t>
      </w:r>
      <w:r w:rsidR="00414F45" w:rsidRPr="00AC1B85">
        <w:rPr>
          <w:iCs/>
        </w:rPr>
        <w:t>insufficient data to assess comparative harms.</w:t>
      </w:r>
      <w:r w:rsidRPr="00AC1B85">
        <w:t xml:space="preserve"> </w:t>
      </w:r>
    </w:p>
    <w:p w:rsidR="007F1017" w:rsidRDefault="007F1017" w:rsidP="007F1017">
      <w:pPr>
        <w:widowControl/>
        <w:ind w:left="709"/>
        <w:rPr>
          <w:szCs w:val="22"/>
        </w:rPr>
      </w:pPr>
    </w:p>
    <w:p w:rsidR="00B81941" w:rsidRDefault="00EC00C9" w:rsidP="00C32489">
      <w:pPr>
        <w:pStyle w:val="ListParagraph"/>
        <w:widowControl/>
        <w:numPr>
          <w:ilvl w:val="1"/>
          <w:numId w:val="2"/>
        </w:numPr>
        <w:ind w:left="709" w:hanging="709"/>
        <w:rPr>
          <w:szCs w:val="22"/>
        </w:rPr>
      </w:pPr>
      <w:r w:rsidRPr="00D06FD4">
        <w:rPr>
          <w:szCs w:val="22"/>
        </w:rPr>
        <w:t xml:space="preserve">A summary of the </w:t>
      </w:r>
      <w:r w:rsidR="00317E00">
        <w:rPr>
          <w:szCs w:val="22"/>
        </w:rPr>
        <w:t xml:space="preserve">comparative </w:t>
      </w:r>
      <w:r w:rsidRPr="00D06FD4">
        <w:rPr>
          <w:szCs w:val="22"/>
        </w:rPr>
        <w:t>benefits</w:t>
      </w:r>
      <w:r w:rsidR="004279F6">
        <w:rPr>
          <w:szCs w:val="22"/>
        </w:rPr>
        <w:t xml:space="preserve"> </w:t>
      </w:r>
      <w:r w:rsidR="00317E00">
        <w:rPr>
          <w:szCs w:val="22"/>
        </w:rPr>
        <w:t>i</w:t>
      </w:r>
      <w:r w:rsidRPr="00D06FD4">
        <w:rPr>
          <w:szCs w:val="22"/>
        </w:rPr>
        <w:t>s presented in the table below.</w:t>
      </w:r>
    </w:p>
    <w:p w:rsidR="00B81941" w:rsidRDefault="00B81941" w:rsidP="00B81941">
      <w:pPr>
        <w:pStyle w:val="ListParagraph"/>
        <w:widowControl/>
        <w:ind w:left="709"/>
        <w:rPr>
          <w:szCs w:val="22"/>
        </w:rPr>
      </w:pPr>
    </w:p>
    <w:p w:rsidR="00B81941" w:rsidRPr="00A578DC" w:rsidRDefault="00B81941" w:rsidP="00B81941">
      <w:pPr>
        <w:pStyle w:val="ListParagraph"/>
        <w:rPr>
          <w:rStyle w:val="CommentReference"/>
        </w:rPr>
      </w:pPr>
      <w:r w:rsidRPr="00A578DC">
        <w:rPr>
          <w:rStyle w:val="CommentReference"/>
        </w:rPr>
        <w:t xml:space="preserve">Summary of </w:t>
      </w:r>
      <w:r>
        <w:rPr>
          <w:rStyle w:val="CommentReference"/>
        </w:rPr>
        <w:t>comparative benefits and harms for 60</w:t>
      </w:r>
      <w:r w:rsidR="00571A7B">
        <w:rPr>
          <w:rStyle w:val="CommentReference"/>
        </w:rPr>
        <w:t xml:space="preserve"> </w:t>
      </w:r>
      <w:r>
        <w:rPr>
          <w:rStyle w:val="CommentReference"/>
        </w:rPr>
        <w:t>U/kg dose in key trials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7"/>
        <w:gridCol w:w="1418"/>
        <w:gridCol w:w="1559"/>
        <w:gridCol w:w="1559"/>
      </w:tblGrid>
      <w:tr w:rsidR="00B81941" w:rsidTr="00454ECC">
        <w:trPr>
          <w:tblHeader/>
        </w:trPr>
        <w:tc>
          <w:tcPr>
            <w:tcW w:w="2410" w:type="dxa"/>
            <w:vMerge w:val="restart"/>
            <w:vAlign w:val="center"/>
          </w:tcPr>
          <w:p w:rsidR="00B81941" w:rsidRPr="00E042FC" w:rsidRDefault="00B81941" w:rsidP="001148D2">
            <w:pPr>
              <w:keepNext/>
              <w:ind w:left="34"/>
              <w:jc w:val="center"/>
              <w:rPr>
                <w:rFonts w:ascii="Arial Narrow" w:hAnsi="Arial Narrow"/>
                <w:b/>
                <w:sz w:val="20"/>
              </w:rPr>
            </w:pPr>
            <w:r>
              <w:rPr>
                <w:rFonts w:ascii="Arial Narrow" w:hAnsi="Arial Narrow"/>
                <w:b/>
                <w:sz w:val="20"/>
              </w:rPr>
              <w:t>Measure</w:t>
            </w:r>
          </w:p>
        </w:tc>
        <w:tc>
          <w:tcPr>
            <w:tcW w:w="1417" w:type="dxa"/>
            <w:vAlign w:val="center"/>
          </w:tcPr>
          <w:p w:rsidR="00B81941" w:rsidRDefault="00B81941" w:rsidP="001148D2">
            <w:pPr>
              <w:keepNext/>
              <w:jc w:val="center"/>
              <w:rPr>
                <w:rFonts w:ascii="Arial Narrow" w:hAnsi="Arial Narrow"/>
                <w:b/>
                <w:sz w:val="20"/>
              </w:rPr>
            </w:pPr>
            <w:r>
              <w:rPr>
                <w:rFonts w:ascii="Arial Narrow" w:hAnsi="Arial Narrow"/>
                <w:b/>
                <w:sz w:val="20"/>
              </w:rPr>
              <w:t>Trial PB-06-001</w:t>
            </w:r>
          </w:p>
        </w:tc>
        <w:tc>
          <w:tcPr>
            <w:tcW w:w="2977" w:type="dxa"/>
            <w:gridSpan w:val="2"/>
            <w:vAlign w:val="center"/>
          </w:tcPr>
          <w:p w:rsidR="00B81941" w:rsidRDefault="00B81941" w:rsidP="001148D2">
            <w:pPr>
              <w:keepNext/>
              <w:jc w:val="center"/>
              <w:rPr>
                <w:rFonts w:ascii="Arial Narrow" w:hAnsi="Arial Narrow"/>
                <w:b/>
                <w:sz w:val="20"/>
              </w:rPr>
            </w:pPr>
            <w:r>
              <w:rPr>
                <w:rFonts w:ascii="Arial Narrow" w:hAnsi="Arial Narrow"/>
                <w:b/>
                <w:sz w:val="20"/>
              </w:rPr>
              <w:t>Trial HGT-039</w:t>
            </w:r>
          </w:p>
        </w:tc>
        <w:tc>
          <w:tcPr>
            <w:tcW w:w="1559" w:type="dxa"/>
          </w:tcPr>
          <w:p w:rsidR="00B81941" w:rsidRDefault="00B81941" w:rsidP="001148D2">
            <w:pPr>
              <w:keepNext/>
              <w:jc w:val="center"/>
              <w:rPr>
                <w:rFonts w:ascii="Arial Narrow" w:hAnsi="Arial Narrow"/>
                <w:b/>
                <w:sz w:val="20"/>
              </w:rPr>
            </w:pPr>
            <w:r>
              <w:rPr>
                <w:rFonts w:ascii="Arial Narrow" w:hAnsi="Arial Narrow"/>
                <w:b/>
                <w:sz w:val="20"/>
              </w:rPr>
              <w:t>Trial TKT-032</w:t>
            </w:r>
          </w:p>
        </w:tc>
      </w:tr>
      <w:tr w:rsidR="00B81941" w:rsidTr="00454ECC">
        <w:trPr>
          <w:tblHeader/>
        </w:trPr>
        <w:tc>
          <w:tcPr>
            <w:tcW w:w="2410" w:type="dxa"/>
            <w:vMerge/>
            <w:vAlign w:val="center"/>
          </w:tcPr>
          <w:p w:rsidR="00B81941" w:rsidRDefault="00B81941" w:rsidP="001148D2">
            <w:pPr>
              <w:ind w:left="34"/>
              <w:jc w:val="left"/>
              <w:rPr>
                <w:rFonts w:ascii="Arial Narrow" w:hAnsi="Arial Narrow"/>
                <w:sz w:val="20"/>
              </w:rPr>
            </w:pPr>
          </w:p>
        </w:tc>
        <w:tc>
          <w:tcPr>
            <w:tcW w:w="1417" w:type="dxa"/>
            <w:vAlign w:val="center"/>
          </w:tcPr>
          <w:p w:rsidR="00B81941" w:rsidRDefault="00B81941" w:rsidP="001148D2">
            <w:pPr>
              <w:jc w:val="center"/>
              <w:rPr>
                <w:rFonts w:ascii="Arial Narrow" w:hAnsi="Arial Narrow"/>
                <w:b/>
                <w:sz w:val="20"/>
              </w:rPr>
            </w:pPr>
            <w:proofErr w:type="spellStart"/>
            <w:r w:rsidRPr="00414F45">
              <w:rPr>
                <w:rFonts w:ascii="Arial Narrow" w:hAnsi="Arial Narrow"/>
                <w:b/>
                <w:sz w:val="20"/>
              </w:rPr>
              <w:t>Taliglucerase</w:t>
            </w:r>
            <w:proofErr w:type="spellEnd"/>
            <w:r w:rsidRPr="00414F45">
              <w:rPr>
                <w:rFonts w:ascii="Arial Narrow" w:hAnsi="Arial Narrow"/>
                <w:b/>
                <w:sz w:val="20"/>
              </w:rPr>
              <w:t xml:space="preserve">, </w:t>
            </w:r>
            <w:r>
              <w:rPr>
                <w:rFonts w:ascii="Arial Narrow" w:hAnsi="Arial Narrow"/>
                <w:b/>
                <w:sz w:val="20"/>
              </w:rPr>
              <w:t>n/</w:t>
            </w:r>
            <w:r w:rsidRPr="00414F45">
              <w:rPr>
                <w:rFonts w:ascii="Arial Narrow" w:hAnsi="Arial Narrow"/>
                <w:b/>
                <w:sz w:val="20"/>
              </w:rPr>
              <w:t>N</w:t>
            </w:r>
            <w:r>
              <w:rPr>
                <w:rFonts w:ascii="Arial Narrow" w:hAnsi="Arial Narrow"/>
                <w:b/>
                <w:sz w:val="20"/>
              </w:rPr>
              <w:t xml:space="preserve"> (e</w:t>
            </w:r>
            <w:r w:rsidRPr="00414F45">
              <w:rPr>
                <w:rFonts w:ascii="Arial Narrow" w:hAnsi="Arial Narrow"/>
                <w:b/>
                <w:sz w:val="20"/>
              </w:rPr>
              <w:t>vents</w:t>
            </w:r>
            <w:r>
              <w:rPr>
                <w:rFonts w:ascii="Arial Narrow" w:hAnsi="Arial Narrow"/>
                <w:b/>
                <w:sz w:val="20"/>
              </w:rPr>
              <w:t>/</w:t>
            </w:r>
          </w:p>
          <w:p w:rsidR="00B81941" w:rsidRPr="00414F45" w:rsidRDefault="00B81941" w:rsidP="001148D2">
            <w:pPr>
              <w:jc w:val="center"/>
              <w:rPr>
                <w:rFonts w:ascii="Arial Narrow" w:hAnsi="Arial Narrow"/>
                <w:b/>
                <w:sz w:val="20"/>
              </w:rPr>
            </w:pPr>
            <w:r w:rsidRPr="00414F45">
              <w:rPr>
                <w:rFonts w:ascii="Arial Narrow" w:hAnsi="Arial Narrow"/>
                <w:b/>
                <w:sz w:val="20"/>
              </w:rPr>
              <w:t>100 patients)</w:t>
            </w:r>
          </w:p>
        </w:tc>
        <w:tc>
          <w:tcPr>
            <w:tcW w:w="1418" w:type="dxa"/>
            <w:vAlign w:val="center"/>
          </w:tcPr>
          <w:p w:rsidR="00B81941" w:rsidRDefault="00B81941" w:rsidP="001148D2">
            <w:pPr>
              <w:jc w:val="center"/>
              <w:rPr>
                <w:rFonts w:ascii="Arial Narrow" w:hAnsi="Arial Narrow"/>
                <w:b/>
                <w:sz w:val="20"/>
              </w:rPr>
            </w:pPr>
            <w:proofErr w:type="spellStart"/>
            <w:r w:rsidRPr="00414F45">
              <w:rPr>
                <w:rFonts w:ascii="Arial Narrow" w:hAnsi="Arial Narrow"/>
                <w:b/>
                <w:sz w:val="20"/>
              </w:rPr>
              <w:t>Imiglucerase</w:t>
            </w:r>
            <w:proofErr w:type="spellEnd"/>
            <w:r w:rsidRPr="00414F45">
              <w:rPr>
                <w:rFonts w:ascii="Arial Narrow" w:hAnsi="Arial Narrow"/>
                <w:b/>
                <w:sz w:val="20"/>
              </w:rPr>
              <w:t xml:space="preserve">, </w:t>
            </w:r>
            <w:r>
              <w:rPr>
                <w:rFonts w:ascii="Arial Narrow" w:hAnsi="Arial Narrow"/>
                <w:b/>
                <w:sz w:val="20"/>
              </w:rPr>
              <w:t>n/</w:t>
            </w:r>
            <w:r w:rsidRPr="00414F45">
              <w:rPr>
                <w:rFonts w:ascii="Arial Narrow" w:hAnsi="Arial Narrow"/>
                <w:b/>
                <w:sz w:val="20"/>
              </w:rPr>
              <w:t>N (</w:t>
            </w:r>
            <w:r>
              <w:rPr>
                <w:rFonts w:ascii="Arial Narrow" w:hAnsi="Arial Narrow"/>
                <w:b/>
                <w:sz w:val="20"/>
              </w:rPr>
              <w:t>e</w:t>
            </w:r>
            <w:r w:rsidRPr="00414F45">
              <w:rPr>
                <w:rFonts w:ascii="Arial Narrow" w:hAnsi="Arial Narrow"/>
                <w:b/>
                <w:sz w:val="20"/>
              </w:rPr>
              <w:t>vents</w:t>
            </w:r>
            <w:r>
              <w:rPr>
                <w:rFonts w:ascii="Arial Narrow" w:hAnsi="Arial Narrow"/>
                <w:b/>
                <w:sz w:val="20"/>
              </w:rPr>
              <w:t>/</w:t>
            </w:r>
          </w:p>
          <w:p w:rsidR="00B81941" w:rsidRPr="00414F45" w:rsidRDefault="00B81941" w:rsidP="001148D2">
            <w:pPr>
              <w:jc w:val="center"/>
              <w:rPr>
                <w:rFonts w:ascii="Arial Narrow" w:hAnsi="Arial Narrow"/>
                <w:b/>
                <w:sz w:val="20"/>
              </w:rPr>
            </w:pPr>
            <w:r w:rsidRPr="00414F45">
              <w:rPr>
                <w:rFonts w:ascii="Arial Narrow" w:hAnsi="Arial Narrow"/>
                <w:b/>
                <w:sz w:val="20"/>
              </w:rPr>
              <w:t>100 patients)</w:t>
            </w:r>
          </w:p>
        </w:tc>
        <w:tc>
          <w:tcPr>
            <w:tcW w:w="1559" w:type="dxa"/>
            <w:vAlign w:val="center"/>
          </w:tcPr>
          <w:p w:rsidR="00B81941" w:rsidRDefault="00B81941" w:rsidP="001148D2">
            <w:pPr>
              <w:jc w:val="center"/>
              <w:rPr>
                <w:rFonts w:ascii="Arial Narrow" w:hAnsi="Arial Narrow"/>
                <w:b/>
                <w:sz w:val="20"/>
              </w:rPr>
            </w:pPr>
            <w:proofErr w:type="spellStart"/>
            <w:r w:rsidRPr="00414F45">
              <w:rPr>
                <w:rFonts w:ascii="Arial Narrow" w:hAnsi="Arial Narrow"/>
                <w:b/>
                <w:sz w:val="20"/>
              </w:rPr>
              <w:t>Velaglucerase</w:t>
            </w:r>
            <w:proofErr w:type="spellEnd"/>
            <w:r w:rsidRPr="00414F45">
              <w:rPr>
                <w:rFonts w:ascii="Arial Narrow" w:hAnsi="Arial Narrow"/>
                <w:b/>
                <w:sz w:val="20"/>
              </w:rPr>
              <w:t xml:space="preserve">, </w:t>
            </w:r>
            <w:r>
              <w:rPr>
                <w:rFonts w:ascii="Arial Narrow" w:hAnsi="Arial Narrow"/>
                <w:b/>
                <w:sz w:val="20"/>
              </w:rPr>
              <w:t>n/</w:t>
            </w:r>
            <w:r w:rsidRPr="00414F45">
              <w:rPr>
                <w:rFonts w:ascii="Arial Narrow" w:hAnsi="Arial Narrow"/>
                <w:b/>
                <w:sz w:val="20"/>
              </w:rPr>
              <w:t>N (</w:t>
            </w:r>
            <w:r>
              <w:rPr>
                <w:rFonts w:ascii="Arial Narrow" w:hAnsi="Arial Narrow"/>
                <w:b/>
                <w:sz w:val="20"/>
              </w:rPr>
              <w:t>e</w:t>
            </w:r>
            <w:r w:rsidRPr="00414F45">
              <w:rPr>
                <w:rFonts w:ascii="Arial Narrow" w:hAnsi="Arial Narrow"/>
                <w:b/>
                <w:sz w:val="20"/>
              </w:rPr>
              <w:t>vents</w:t>
            </w:r>
            <w:r>
              <w:rPr>
                <w:rFonts w:ascii="Arial Narrow" w:hAnsi="Arial Narrow"/>
                <w:b/>
                <w:sz w:val="20"/>
              </w:rPr>
              <w:t>/</w:t>
            </w:r>
          </w:p>
          <w:p w:rsidR="00B81941" w:rsidRPr="00414F45" w:rsidRDefault="00B81941" w:rsidP="001148D2">
            <w:pPr>
              <w:jc w:val="center"/>
              <w:rPr>
                <w:rFonts w:ascii="Arial Narrow" w:hAnsi="Arial Narrow"/>
                <w:b/>
                <w:sz w:val="20"/>
              </w:rPr>
            </w:pPr>
            <w:r w:rsidRPr="00414F45">
              <w:rPr>
                <w:rFonts w:ascii="Arial Narrow" w:hAnsi="Arial Narrow"/>
                <w:b/>
                <w:sz w:val="20"/>
              </w:rPr>
              <w:t>100 patients)</w:t>
            </w:r>
          </w:p>
        </w:tc>
        <w:tc>
          <w:tcPr>
            <w:tcW w:w="1559" w:type="dxa"/>
            <w:vAlign w:val="center"/>
          </w:tcPr>
          <w:p w:rsidR="00B81941" w:rsidRDefault="00B81941" w:rsidP="001148D2">
            <w:pPr>
              <w:jc w:val="center"/>
              <w:rPr>
                <w:rFonts w:ascii="Arial Narrow" w:hAnsi="Arial Narrow"/>
                <w:b/>
                <w:sz w:val="20"/>
              </w:rPr>
            </w:pPr>
            <w:proofErr w:type="spellStart"/>
            <w:r w:rsidRPr="00414F45">
              <w:rPr>
                <w:rFonts w:ascii="Arial Narrow" w:hAnsi="Arial Narrow"/>
                <w:b/>
                <w:sz w:val="20"/>
              </w:rPr>
              <w:t>Velaglucerase</w:t>
            </w:r>
            <w:proofErr w:type="spellEnd"/>
            <w:r w:rsidRPr="00414F45">
              <w:rPr>
                <w:rFonts w:ascii="Arial Narrow" w:hAnsi="Arial Narrow"/>
                <w:b/>
                <w:sz w:val="20"/>
              </w:rPr>
              <w:t>,</w:t>
            </w:r>
          </w:p>
          <w:p w:rsidR="00B81941" w:rsidRDefault="00B81941" w:rsidP="001148D2">
            <w:pPr>
              <w:jc w:val="center"/>
              <w:rPr>
                <w:rFonts w:ascii="Arial Narrow" w:hAnsi="Arial Narrow"/>
                <w:b/>
                <w:sz w:val="20"/>
              </w:rPr>
            </w:pPr>
            <w:r>
              <w:rPr>
                <w:rFonts w:ascii="Arial Narrow" w:hAnsi="Arial Narrow"/>
                <w:b/>
                <w:sz w:val="20"/>
              </w:rPr>
              <w:t>n/</w:t>
            </w:r>
            <w:r w:rsidRPr="00414F45">
              <w:rPr>
                <w:rFonts w:ascii="Arial Narrow" w:hAnsi="Arial Narrow"/>
                <w:b/>
                <w:sz w:val="20"/>
              </w:rPr>
              <w:t>N (</w:t>
            </w:r>
            <w:r>
              <w:rPr>
                <w:rFonts w:ascii="Arial Narrow" w:hAnsi="Arial Narrow"/>
                <w:b/>
                <w:sz w:val="20"/>
              </w:rPr>
              <w:t>e</w:t>
            </w:r>
            <w:r w:rsidRPr="00414F45">
              <w:rPr>
                <w:rFonts w:ascii="Arial Narrow" w:hAnsi="Arial Narrow"/>
                <w:b/>
                <w:sz w:val="20"/>
              </w:rPr>
              <w:t>vents</w:t>
            </w:r>
            <w:r>
              <w:rPr>
                <w:rFonts w:ascii="Arial Narrow" w:hAnsi="Arial Narrow"/>
                <w:b/>
                <w:sz w:val="20"/>
              </w:rPr>
              <w:t>/</w:t>
            </w:r>
          </w:p>
          <w:p w:rsidR="00B81941" w:rsidRPr="00414F45" w:rsidRDefault="00B81941" w:rsidP="001148D2">
            <w:pPr>
              <w:jc w:val="center"/>
              <w:rPr>
                <w:rFonts w:ascii="Arial Narrow" w:hAnsi="Arial Narrow"/>
                <w:b/>
                <w:sz w:val="20"/>
              </w:rPr>
            </w:pPr>
            <w:r w:rsidRPr="00414F45">
              <w:rPr>
                <w:rFonts w:ascii="Arial Narrow" w:hAnsi="Arial Narrow"/>
                <w:b/>
                <w:sz w:val="20"/>
              </w:rPr>
              <w:t>100 patients)</w:t>
            </w:r>
          </w:p>
        </w:tc>
      </w:tr>
      <w:tr w:rsidR="00B81941" w:rsidTr="00454ECC">
        <w:tc>
          <w:tcPr>
            <w:tcW w:w="8363" w:type="dxa"/>
            <w:gridSpan w:val="5"/>
          </w:tcPr>
          <w:p w:rsidR="00B81941" w:rsidRDefault="00B81941" w:rsidP="001148D2">
            <w:pPr>
              <w:jc w:val="left"/>
              <w:rPr>
                <w:rFonts w:ascii="Arial Narrow" w:hAnsi="Arial Narrow"/>
                <w:b/>
                <w:sz w:val="20"/>
              </w:rPr>
            </w:pPr>
            <w:r>
              <w:rPr>
                <w:rFonts w:ascii="Arial Narrow" w:hAnsi="Arial Narrow"/>
                <w:b/>
                <w:sz w:val="20"/>
              </w:rPr>
              <w:t>Benefits – Good or Moderate Response</w:t>
            </w:r>
          </w:p>
        </w:tc>
      </w:tr>
      <w:tr w:rsidR="00B81941" w:rsidTr="00454ECC">
        <w:tc>
          <w:tcPr>
            <w:tcW w:w="2410" w:type="dxa"/>
            <w:vAlign w:val="center"/>
          </w:tcPr>
          <w:p w:rsidR="00B81941" w:rsidRDefault="00B81941" w:rsidP="001148D2">
            <w:pPr>
              <w:ind w:left="34"/>
              <w:jc w:val="left"/>
              <w:rPr>
                <w:rFonts w:ascii="Arial Narrow" w:hAnsi="Arial Narrow"/>
                <w:sz w:val="20"/>
              </w:rPr>
            </w:pPr>
            <w:r>
              <w:rPr>
                <w:rFonts w:ascii="Arial Narrow" w:hAnsi="Arial Narrow"/>
                <w:sz w:val="20"/>
              </w:rPr>
              <w:t>Haemoglobin:</w:t>
            </w:r>
          </w:p>
          <w:p w:rsidR="00B81941" w:rsidRPr="00E042FC" w:rsidRDefault="00B81941" w:rsidP="001148D2">
            <w:pPr>
              <w:ind w:left="34"/>
              <w:jc w:val="left"/>
              <w:rPr>
                <w:rFonts w:ascii="Arial Narrow" w:hAnsi="Arial Narrow"/>
                <w:sz w:val="20"/>
              </w:rPr>
            </w:pPr>
            <w:r w:rsidRPr="00DB35B2">
              <w:rPr>
                <w:rFonts w:ascii="Arial Narrow" w:hAnsi="Arial Narrow"/>
                <w:sz w:val="20"/>
              </w:rPr>
              <w:t>Increase of &gt; 0.5</w:t>
            </w:r>
            <w:r>
              <w:rPr>
                <w:rFonts w:ascii="Arial Narrow" w:hAnsi="Arial Narrow"/>
                <w:sz w:val="20"/>
              </w:rPr>
              <w:t xml:space="preserve"> g/</w:t>
            </w:r>
            <w:proofErr w:type="spellStart"/>
            <w:r>
              <w:rPr>
                <w:rFonts w:ascii="Arial Narrow" w:hAnsi="Arial Narrow"/>
                <w:sz w:val="20"/>
              </w:rPr>
              <w:t>dL</w:t>
            </w:r>
            <w:proofErr w:type="spellEnd"/>
          </w:p>
        </w:tc>
        <w:tc>
          <w:tcPr>
            <w:tcW w:w="1417" w:type="dxa"/>
            <w:vAlign w:val="center"/>
          </w:tcPr>
          <w:p w:rsidR="00B81941" w:rsidRDefault="00B81941" w:rsidP="001148D2">
            <w:pPr>
              <w:ind w:left="33"/>
              <w:jc w:val="center"/>
              <w:rPr>
                <w:rFonts w:ascii="Arial Narrow" w:hAnsi="Arial Narrow"/>
                <w:sz w:val="20"/>
              </w:rPr>
            </w:pPr>
            <w:r>
              <w:rPr>
                <w:rFonts w:ascii="Arial Narrow" w:hAnsi="Arial Narrow"/>
                <w:sz w:val="20"/>
              </w:rPr>
              <w:t>16/16 (100)</w:t>
            </w:r>
          </w:p>
        </w:tc>
        <w:tc>
          <w:tcPr>
            <w:tcW w:w="1418" w:type="dxa"/>
            <w:vAlign w:val="center"/>
          </w:tcPr>
          <w:p w:rsidR="00B81941" w:rsidRDefault="00B81941" w:rsidP="001148D2">
            <w:pPr>
              <w:ind w:left="33"/>
              <w:jc w:val="center"/>
              <w:rPr>
                <w:rFonts w:ascii="Arial Narrow" w:hAnsi="Arial Narrow"/>
                <w:sz w:val="20"/>
              </w:rPr>
            </w:pPr>
            <w:r>
              <w:rPr>
                <w:rFonts w:ascii="Arial Narrow" w:hAnsi="Arial Narrow"/>
                <w:sz w:val="20"/>
              </w:rPr>
              <w:t>14/17 (82)</w:t>
            </w:r>
          </w:p>
        </w:tc>
        <w:tc>
          <w:tcPr>
            <w:tcW w:w="1559" w:type="dxa"/>
            <w:vAlign w:val="center"/>
          </w:tcPr>
          <w:p w:rsidR="00B81941" w:rsidRDefault="00B81941" w:rsidP="001148D2">
            <w:pPr>
              <w:ind w:left="33"/>
              <w:jc w:val="center"/>
              <w:rPr>
                <w:rFonts w:ascii="Arial Narrow" w:hAnsi="Arial Narrow"/>
                <w:sz w:val="20"/>
              </w:rPr>
            </w:pPr>
            <w:r>
              <w:rPr>
                <w:rFonts w:ascii="Arial Narrow" w:hAnsi="Arial Narrow"/>
                <w:sz w:val="20"/>
              </w:rPr>
              <w:t>15/17 (88)</w:t>
            </w:r>
          </w:p>
        </w:tc>
        <w:tc>
          <w:tcPr>
            <w:tcW w:w="1559" w:type="dxa"/>
            <w:vAlign w:val="center"/>
          </w:tcPr>
          <w:p w:rsidR="00B81941" w:rsidRPr="00FA3661" w:rsidRDefault="00B81941" w:rsidP="001148D2">
            <w:pPr>
              <w:ind w:left="33"/>
              <w:jc w:val="center"/>
              <w:rPr>
                <w:rFonts w:ascii="Arial Narrow" w:hAnsi="Arial Narrow"/>
                <w:sz w:val="20"/>
                <w:vertAlign w:val="superscript"/>
              </w:rPr>
            </w:pPr>
            <w:r>
              <w:rPr>
                <w:rFonts w:ascii="Arial Narrow" w:hAnsi="Arial Narrow"/>
                <w:sz w:val="20"/>
              </w:rPr>
              <w:t xml:space="preserve">12/12 (100) </w:t>
            </w:r>
            <w:r>
              <w:rPr>
                <w:rFonts w:ascii="Arial Narrow" w:hAnsi="Arial Narrow"/>
                <w:sz w:val="20"/>
                <w:vertAlign w:val="superscript"/>
              </w:rPr>
              <w:t>c</w:t>
            </w:r>
          </w:p>
        </w:tc>
      </w:tr>
      <w:tr w:rsidR="00B81941" w:rsidTr="00454ECC">
        <w:tc>
          <w:tcPr>
            <w:tcW w:w="2410" w:type="dxa"/>
            <w:vAlign w:val="center"/>
          </w:tcPr>
          <w:p w:rsidR="00B81941" w:rsidRDefault="00B81941" w:rsidP="001148D2">
            <w:pPr>
              <w:ind w:left="34"/>
              <w:jc w:val="left"/>
              <w:rPr>
                <w:rFonts w:ascii="Arial Narrow" w:hAnsi="Arial Narrow"/>
                <w:sz w:val="20"/>
              </w:rPr>
            </w:pPr>
            <w:r>
              <w:rPr>
                <w:rFonts w:ascii="Arial Narrow" w:hAnsi="Arial Narrow"/>
                <w:sz w:val="20"/>
              </w:rPr>
              <w:t>Platelets:</w:t>
            </w:r>
          </w:p>
          <w:p w:rsidR="00B81941" w:rsidRPr="00E042FC" w:rsidRDefault="00B81941" w:rsidP="001148D2">
            <w:pPr>
              <w:ind w:left="34"/>
              <w:jc w:val="left"/>
              <w:rPr>
                <w:rFonts w:ascii="Arial Narrow" w:hAnsi="Arial Narrow"/>
                <w:sz w:val="20"/>
              </w:rPr>
            </w:pPr>
            <w:r w:rsidRPr="00DB35B2">
              <w:rPr>
                <w:rFonts w:ascii="Arial Narrow" w:hAnsi="Arial Narrow"/>
                <w:sz w:val="20"/>
              </w:rPr>
              <w:t xml:space="preserve">Increase of &gt; 15x10 </w:t>
            </w:r>
            <w:r w:rsidRPr="00DB35B2">
              <w:rPr>
                <w:rFonts w:ascii="Arial Narrow" w:hAnsi="Arial Narrow"/>
                <w:sz w:val="20"/>
                <w:vertAlign w:val="superscript"/>
              </w:rPr>
              <w:t>9</w:t>
            </w:r>
            <w:r w:rsidRPr="00DB35B2">
              <w:rPr>
                <w:rFonts w:ascii="Arial Narrow" w:hAnsi="Arial Narrow"/>
                <w:sz w:val="20"/>
              </w:rPr>
              <w:t>/L</w:t>
            </w:r>
          </w:p>
        </w:tc>
        <w:tc>
          <w:tcPr>
            <w:tcW w:w="1417" w:type="dxa"/>
            <w:vAlign w:val="center"/>
          </w:tcPr>
          <w:p w:rsidR="00B81941" w:rsidRDefault="00B81941" w:rsidP="001148D2">
            <w:pPr>
              <w:ind w:left="33"/>
              <w:jc w:val="center"/>
              <w:rPr>
                <w:rFonts w:ascii="Arial Narrow" w:hAnsi="Arial Narrow"/>
                <w:sz w:val="20"/>
              </w:rPr>
            </w:pPr>
            <w:r>
              <w:rPr>
                <w:rFonts w:ascii="Arial Narrow" w:hAnsi="Arial Narrow"/>
                <w:sz w:val="20"/>
              </w:rPr>
              <w:t>10/16 (63)</w:t>
            </w:r>
          </w:p>
        </w:tc>
        <w:tc>
          <w:tcPr>
            <w:tcW w:w="1418" w:type="dxa"/>
            <w:vAlign w:val="center"/>
          </w:tcPr>
          <w:p w:rsidR="00B81941" w:rsidRPr="00FA3661" w:rsidRDefault="00B81941" w:rsidP="001148D2">
            <w:pPr>
              <w:ind w:left="33"/>
              <w:jc w:val="center"/>
              <w:rPr>
                <w:rFonts w:ascii="Arial Narrow" w:hAnsi="Arial Narrow"/>
                <w:sz w:val="20"/>
                <w:vertAlign w:val="superscript"/>
              </w:rPr>
            </w:pPr>
            <w:r>
              <w:rPr>
                <w:rFonts w:ascii="Arial Narrow" w:hAnsi="Arial Narrow"/>
                <w:sz w:val="20"/>
              </w:rPr>
              <w:t xml:space="preserve">7/7 (100) </w:t>
            </w:r>
            <w:r>
              <w:rPr>
                <w:rFonts w:ascii="Arial Narrow" w:hAnsi="Arial Narrow"/>
                <w:sz w:val="20"/>
                <w:vertAlign w:val="superscript"/>
              </w:rPr>
              <w:t>a</w:t>
            </w:r>
          </w:p>
        </w:tc>
        <w:tc>
          <w:tcPr>
            <w:tcW w:w="1559" w:type="dxa"/>
            <w:vAlign w:val="center"/>
          </w:tcPr>
          <w:p w:rsidR="00B81941" w:rsidRPr="00FA3661" w:rsidRDefault="00B81941" w:rsidP="001148D2">
            <w:pPr>
              <w:ind w:left="33"/>
              <w:jc w:val="center"/>
              <w:rPr>
                <w:rFonts w:ascii="Arial Narrow" w:hAnsi="Arial Narrow"/>
                <w:sz w:val="20"/>
                <w:vertAlign w:val="superscript"/>
              </w:rPr>
            </w:pPr>
            <w:r>
              <w:rPr>
                <w:rFonts w:ascii="Arial Narrow" w:hAnsi="Arial Narrow"/>
                <w:sz w:val="20"/>
              </w:rPr>
              <w:t xml:space="preserve">8/8 (100) </w:t>
            </w:r>
            <w:r>
              <w:rPr>
                <w:rFonts w:ascii="Arial Narrow" w:hAnsi="Arial Narrow"/>
                <w:sz w:val="20"/>
                <w:vertAlign w:val="superscript"/>
              </w:rPr>
              <w:t>a</w:t>
            </w:r>
          </w:p>
        </w:tc>
        <w:tc>
          <w:tcPr>
            <w:tcW w:w="1559" w:type="dxa"/>
            <w:vAlign w:val="center"/>
          </w:tcPr>
          <w:p w:rsidR="00B81941" w:rsidRDefault="00B81941" w:rsidP="001148D2">
            <w:pPr>
              <w:ind w:left="33"/>
              <w:jc w:val="center"/>
              <w:rPr>
                <w:rFonts w:ascii="Arial Narrow" w:hAnsi="Arial Narrow"/>
                <w:sz w:val="20"/>
              </w:rPr>
            </w:pPr>
            <w:r>
              <w:rPr>
                <w:rFonts w:ascii="Arial Narrow" w:hAnsi="Arial Narrow"/>
                <w:sz w:val="20"/>
              </w:rPr>
              <w:t xml:space="preserve">7/12 (58) </w:t>
            </w:r>
            <w:r>
              <w:rPr>
                <w:rFonts w:ascii="Arial Narrow" w:hAnsi="Arial Narrow"/>
                <w:sz w:val="20"/>
                <w:vertAlign w:val="superscript"/>
              </w:rPr>
              <w:t>c</w:t>
            </w:r>
          </w:p>
        </w:tc>
      </w:tr>
      <w:tr w:rsidR="00B81941" w:rsidTr="00454ECC">
        <w:tc>
          <w:tcPr>
            <w:tcW w:w="2410" w:type="dxa"/>
            <w:vAlign w:val="center"/>
          </w:tcPr>
          <w:p w:rsidR="00B81941" w:rsidRDefault="00B81941" w:rsidP="001148D2">
            <w:pPr>
              <w:ind w:left="34"/>
              <w:jc w:val="left"/>
              <w:rPr>
                <w:rFonts w:ascii="Arial Narrow" w:hAnsi="Arial Narrow"/>
                <w:sz w:val="20"/>
              </w:rPr>
            </w:pPr>
            <w:r>
              <w:rPr>
                <w:rFonts w:ascii="Arial Narrow" w:hAnsi="Arial Narrow"/>
                <w:sz w:val="20"/>
              </w:rPr>
              <w:t>Liver:</w:t>
            </w:r>
          </w:p>
          <w:p w:rsidR="00B81941" w:rsidRPr="00260435" w:rsidRDefault="00B81941" w:rsidP="001148D2">
            <w:pPr>
              <w:ind w:left="34"/>
              <w:jc w:val="left"/>
              <w:rPr>
                <w:rFonts w:ascii="Arial Narrow" w:hAnsi="Arial Narrow"/>
                <w:b/>
                <w:sz w:val="20"/>
              </w:rPr>
            </w:pPr>
            <w:r w:rsidRPr="00DB35B2">
              <w:rPr>
                <w:rFonts w:ascii="Arial Narrow" w:hAnsi="Arial Narrow"/>
                <w:sz w:val="20"/>
              </w:rPr>
              <w:t>Reduction of ≥</w:t>
            </w:r>
            <w:r>
              <w:rPr>
                <w:rFonts w:ascii="Arial Narrow" w:hAnsi="Arial Narrow"/>
                <w:sz w:val="20"/>
              </w:rPr>
              <w:t>10% volume</w:t>
            </w:r>
          </w:p>
        </w:tc>
        <w:tc>
          <w:tcPr>
            <w:tcW w:w="1417" w:type="dxa"/>
            <w:vAlign w:val="center"/>
          </w:tcPr>
          <w:p w:rsidR="00B81941" w:rsidRDefault="00B81941" w:rsidP="001148D2">
            <w:pPr>
              <w:ind w:left="33"/>
              <w:jc w:val="center"/>
              <w:rPr>
                <w:rFonts w:ascii="Arial Narrow" w:hAnsi="Arial Narrow"/>
                <w:sz w:val="20"/>
              </w:rPr>
            </w:pPr>
            <w:r>
              <w:rPr>
                <w:rFonts w:ascii="Arial Narrow" w:hAnsi="Arial Narrow"/>
                <w:sz w:val="20"/>
              </w:rPr>
              <w:t>13/16 (81)</w:t>
            </w:r>
          </w:p>
        </w:tc>
        <w:tc>
          <w:tcPr>
            <w:tcW w:w="1418" w:type="dxa"/>
            <w:vAlign w:val="center"/>
          </w:tcPr>
          <w:p w:rsidR="00B81941" w:rsidRDefault="00B81941" w:rsidP="001148D2">
            <w:pPr>
              <w:ind w:left="33"/>
              <w:jc w:val="center"/>
              <w:rPr>
                <w:rFonts w:ascii="Arial Narrow" w:hAnsi="Arial Narrow"/>
                <w:sz w:val="20"/>
              </w:rPr>
            </w:pPr>
            <w:r>
              <w:rPr>
                <w:rFonts w:ascii="Arial Narrow" w:hAnsi="Arial Narrow"/>
                <w:sz w:val="20"/>
              </w:rPr>
              <w:t>NR</w:t>
            </w:r>
          </w:p>
        </w:tc>
        <w:tc>
          <w:tcPr>
            <w:tcW w:w="1559" w:type="dxa"/>
            <w:vAlign w:val="center"/>
          </w:tcPr>
          <w:p w:rsidR="00B81941" w:rsidRDefault="00B81941" w:rsidP="001148D2">
            <w:pPr>
              <w:ind w:left="33"/>
              <w:jc w:val="center"/>
              <w:rPr>
                <w:rFonts w:ascii="Arial Narrow" w:hAnsi="Arial Narrow"/>
                <w:sz w:val="20"/>
              </w:rPr>
            </w:pPr>
            <w:r>
              <w:rPr>
                <w:rFonts w:ascii="Arial Narrow" w:hAnsi="Arial Narrow"/>
                <w:sz w:val="20"/>
              </w:rPr>
              <w:t>NR</w:t>
            </w:r>
          </w:p>
        </w:tc>
        <w:tc>
          <w:tcPr>
            <w:tcW w:w="1559" w:type="dxa"/>
            <w:vAlign w:val="center"/>
          </w:tcPr>
          <w:p w:rsidR="00B81941" w:rsidRDefault="00B81941" w:rsidP="001148D2">
            <w:pPr>
              <w:ind w:left="33"/>
              <w:jc w:val="center"/>
              <w:rPr>
                <w:rFonts w:ascii="Arial Narrow" w:hAnsi="Arial Narrow"/>
                <w:sz w:val="20"/>
              </w:rPr>
            </w:pPr>
            <w:r>
              <w:rPr>
                <w:rFonts w:ascii="Arial Narrow" w:hAnsi="Arial Narrow"/>
                <w:sz w:val="20"/>
              </w:rPr>
              <w:t>NR</w:t>
            </w:r>
          </w:p>
        </w:tc>
      </w:tr>
      <w:tr w:rsidR="00B81941" w:rsidTr="00454ECC">
        <w:tc>
          <w:tcPr>
            <w:tcW w:w="2410" w:type="dxa"/>
            <w:vAlign w:val="center"/>
          </w:tcPr>
          <w:p w:rsidR="00B81941" w:rsidRDefault="00B81941" w:rsidP="001148D2">
            <w:pPr>
              <w:ind w:left="34"/>
              <w:jc w:val="left"/>
              <w:rPr>
                <w:rFonts w:ascii="Arial Narrow" w:hAnsi="Arial Narrow"/>
                <w:sz w:val="20"/>
              </w:rPr>
            </w:pPr>
            <w:r>
              <w:rPr>
                <w:rFonts w:ascii="Arial Narrow" w:hAnsi="Arial Narrow"/>
                <w:sz w:val="20"/>
              </w:rPr>
              <w:t>Spleen:</w:t>
            </w:r>
          </w:p>
          <w:p w:rsidR="00B81941" w:rsidRPr="00260435" w:rsidRDefault="00B81941" w:rsidP="001148D2">
            <w:pPr>
              <w:ind w:left="34"/>
              <w:jc w:val="left"/>
              <w:rPr>
                <w:rFonts w:ascii="Arial Narrow" w:hAnsi="Arial Narrow"/>
                <w:b/>
                <w:sz w:val="20"/>
              </w:rPr>
            </w:pPr>
            <w:r w:rsidRPr="00DB35B2">
              <w:rPr>
                <w:rFonts w:ascii="Arial Narrow" w:hAnsi="Arial Narrow"/>
                <w:sz w:val="20"/>
              </w:rPr>
              <w:t>Reduction of ≥</w:t>
            </w:r>
            <w:r>
              <w:rPr>
                <w:rFonts w:ascii="Arial Narrow" w:hAnsi="Arial Narrow"/>
                <w:sz w:val="20"/>
              </w:rPr>
              <w:t>10% volume</w:t>
            </w:r>
          </w:p>
        </w:tc>
        <w:tc>
          <w:tcPr>
            <w:tcW w:w="1417" w:type="dxa"/>
            <w:vAlign w:val="center"/>
          </w:tcPr>
          <w:p w:rsidR="00B81941" w:rsidRDefault="00B81941" w:rsidP="001148D2">
            <w:pPr>
              <w:ind w:left="33"/>
              <w:jc w:val="center"/>
              <w:rPr>
                <w:rFonts w:ascii="Arial Narrow" w:hAnsi="Arial Narrow"/>
                <w:sz w:val="20"/>
              </w:rPr>
            </w:pPr>
            <w:r>
              <w:rPr>
                <w:rFonts w:ascii="Arial Narrow" w:hAnsi="Arial Narrow"/>
                <w:sz w:val="20"/>
              </w:rPr>
              <w:t>16/16 (100)</w:t>
            </w:r>
          </w:p>
        </w:tc>
        <w:tc>
          <w:tcPr>
            <w:tcW w:w="1418" w:type="dxa"/>
            <w:vAlign w:val="center"/>
          </w:tcPr>
          <w:p w:rsidR="00B81941" w:rsidRPr="00FA3661" w:rsidRDefault="00B81941" w:rsidP="001148D2">
            <w:pPr>
              <w:ind w:left="33"/>
              <w:jc w:val="center"/>
              <w:rPr>
                <w:rFonts w:ascii="Arial Narrow" w:hAnsi="Arial Narrow"/>
                <w:sz w:val="20"/>
                <w:vertAlign w:val="superscript"/>
              </w:rPr>
            </w:pPr>
            <w:r>
              <w:rPr>
                <w:rFonts w:ascii="Arial Narrow" w:hAnsi="Arial Narrow"/>
                <w:sz w:val="20"/>
              </w:rPr>
              <w:t xml:space="preserve">6/6 (100) </w:t>
            </w:r>
            <w:r>
              <w:rPr>
                <w:rFonts w:ascii="Arial Narrow" w:hAnsi="Arial Narrow"/>
                <w:sz w:val="20"/>
                <w:vertAlign w:val="superscript"/>
              </w:rPr>
              <w:t>b</w:t>
            </w:r>
          </w:p>
        </w:tc>
        <w:tc>
          <w:tcPr>
            <w:tcW w:w="1559" w:type="dxa"/>
            <w:vAlign w:val="center"/>
          </w:tcPr>
          <w:p w:rsidR="00B81941" w:rsidRPr="00FA3661" w:rsidRDefault="00B81941" w:rsidP="001148D2">
            <w:pPr>
              <w:ind w:left="33"/>
              <w:jc w:val="center"/>
              <w:rPr>
                <w:rFonts w:ascii="Arial Narrow" w:hAnsi="Arial Narrow"/>
                <w:sz w:val="20"/>
                <w:vertAlign w:val="superscript"/>
              </w:rPr>
            </w:pPr>
            <w:r>
              <w:rPr>
                <w:rFonts w:ascii="Arial Narrow" w:hAnsi="Arial Narrow"/>
                <w:sz w:val="20"/>
              </w:rPr>
              <w:t xml:space="preserve">7/7 (100) </w:t>
            </w:r>
            <w:r>
              <w:rPr>
                <w:rFonts w:ascii="Arial Narrow" w:hAnsi="Arial Narrow"/>
                <w:sz w:val="20"/>
                <w:vertAlign w:val="superscript"/>
              </w:rPr>
              <w:t>b</w:t>
            </w:r>
          </w:p>
        </w:tc>
        <w:tc>
          <w:tcPr>
            <w:tcW w:w="1559" w:type="dxa"/>
            <w:vAlign w:val="center"/>
          </w:tcPr>
          <w:p w:rsidR="00B81941" w:rsidRDefault="00B81941" w:rsidP="001148D2">
            <w:pPr>
              <w:ind w:left="33"/>
              <w:jc w:val="center"/>
              <w:rPr>
                <w:rFonts w:ascii="Arial Narrow" w:hAnsi="Arial Narrow"/>
                <w:sz w:val="20"/>
              </w:rPr>
            </w:pPr>
            <w:r>
              <w:rPr>
                <w:rFonts w:ascii="Arial Narrow" w:hAnsi="Arial Narrow"/>
                <w:sz w:val="20"/>
              </w:rPr>
              <w:t>NR</w:t>
            </w:r>
          </w:p>
        </w:tc>
      </w:tr>
      <w:tr w:rsidR="00B81941" w:rsidTr="00454ECC">
        <w:tc>
          <w:tcPr>
            <w:tcW w:w="8363" w:type="dxa"/>
            <w:gridSpan w:val="5"/>
            <w:vAlign w:val="center"/>
          </w:tcPr>
          <w:p w:rsidR="00B81941" w:rsidRPr="00617B5D" w:rsidRDefault="00B81941" w:rsidP="001148D2">
            <w:pPr>
              <w:ind w:left="33"/>
              <w:jc w:val="left"/>
              <w:rPr>
                <w:rFonts w:ascii="Arial Narrow" w:hAnsi="Arial Narrow"/>
                <w:b/>
                <w:sz w:val="20"/>
              </w:rPr>
            </w:pPr>
            <w:r w:rsidRPr="00617B5D">
              <w:rPr>
                <w:rFonts w:ascii="Arial Narrow" w:hAnsi="Arial Narrow"/>
                <w:b/>
                <w:sz w:val="20"/>
              </w:rPr>
              <w:t>Harms – adverse events reported in clinical trials</w:t>
            </w:r>
          </w:p>
        </w:tc>
      </w:tr>
      <w:tr w:rsidR="00B81941" w:rsidTr="00454ECC">
        <w:tc>
          <w:tcPr>
            <w:tcW w:w="8363" w:type="dxa"/>
            <w:gridSpan w:val="5"/>
            <w:vAlign w:val="center"/>
          </w:tcPr>
          <w:p w:rsidR="00B81941" w:rsidRPr="00617B5D" w:rsidRDefault="00B81941" w:rsidP="001148D2">
            <w:pPr>
              <w:ind w:left="33"/>
              <w:jc w:val="left"/>
              <w:rPr>
                <w:rFonts w:ascii="Arial Narrow" w:hAnsi="Arial Narrow"/>
                <w:sz w:val="20"/>
              </w:rPr>
            </w:pPr>
            <w:r>
              <w:rPr>
                <w:rFonts w:ascii="Arial Narrow" w:hAnsi="Arial Narrow"/>
                <w:sz w:val="20"/>
              </w:rPr>
              <w:t xml:space="preserve">There are insufficient data to assess comparative safety </w:t>
            </w:r>
          </w:p>
        </w:tc>
      </w:tr>
    </w:tbl>
    <w:p w:rsidR="00B81941" w:rsidRDefault="00B81941" w:rsidP="00B81941">
      <w:pPr>
        <w:keepNext/>
        <w:ind w:left="709"/>
        <w:rPr>
          <w:rStyle w:val="CommentReference"/>
          <w:b w:val="0"/>
          <w:sz w:val="18"/>
          <w:szCs w:val="18"/>
        </w:rPr>
      </w:pPr>
      <w:r>
        <w:rPr>
          <w:rStyle w:val="CommentReference"/>
          <w:b w:val="0"/>
          <w:sz w:val="18"/>
          <w:szCs w:val="18"/>
        </w:rPr>
        <w:lastRenderedPageBreak/>
        <w:t>Abbreviations: NR, not reported</w:t>
      </w:r>
    </w:p>
    <w:p w:rsidR="00B81941" w:rsidRDefault="00B81941" w:rsidP="00B81941">
      <w:pPr>
        <w:keepNext/>
        <w:ind w:left="709"/>
        <w:rPr>
          <w:rStyle w:val="CommentReference"/>
          <w:b w:val="0"/>
          <w:sz w:val="18"/>
          <w:szCs w:val="18"/>
        </w:rPr>
      </w:pPr>
      <w:r>
        <w:rPr>
          <w:rStyle w:val="CommentReference"/>
          <w:b w:val="0"/>
          <w:sz w:val="18"/>
          <w:szCs w:val="18"/>
        </w:rPr>
        <w:t>Note: The resubmission presented percentages only for Response categories for all outcomes. Raw numbers have been estimated in the evaluation.</w:t>
      </w:r>
    </w:p>
    <w:p w:rsidR="00B81941" w:rsidRDefault="00B81941" w:rsidP="00B81941">
      <w:pPr>
        <w:keepNext/>
        <w:ind w:left="709"/>
        <w:rPr>
          <w:rStyle w:val="CommentReference"/>
          <w:b w:val="0"/>
          <w:sz w:val="18"/>
          <w:szCs w:val="18"/>
        </w:rPr>
      </w:pPr>
      <w:r w:rsidRPr="00260435">
        <w:rPr>
          <w:rStyle w:val="CommentReference"/>
          <w:b w:val="0"/>
          <w:sz w:val="18"/>
          <w:szCs w:val="18"/>
        </w:rPr>
        <w:t xml:space="preserve">Note: </w:t>
      </w:r>
      <w:r>
        <w:rPr>
          <w:rStyle w:val="CommentReference"/>
          <w:b w:val="0"/>
          <w:sz w:val="18"/>
          <w:szCs w:val="18"/>
        </w:rPr>
        <w:t>Definitions of Good, Moderate and No response are presented in Table B.5.3 of the commentary</w:t>
      </w:r>
    </w:p>
    <w:p w:rsidR="00B81941" w:rsidRPr="00FA3661" w:rsidRDefault="00B81941" w:rsidP="00B81941">
      <w:pPr>
        <w:keepNext/>
        <w:ind w:left="709"/>
        <w:rPr>
          <w:rStyle w:val="CommentReference"/>
          <w:b w:val="0"/>
          <w:sz w:val="18"/>
          <w:szCs w:val="18"/>
        </w:rPr>
      </w:pPr>
      <w:proofErr w:type="spellStart"/>
      <w:proofErr w:type="gramStart"/>
      <w:r>
        <w:rPr>
          <w:rStyle w:val="CommentReference"/>
          <w:b w:val="0"/>
          <w:sz w:val="18"/>
          <w:szCs w:val="18"/>
          <w:vertAlign w:val="superscript"/>
        </w:rPr>
        <w:t>a</w:t>
      </w:r>
      <w:proofErr w:type="spellEnd"/>
      <w:proofErr w:type="gramEnd"/>
      <w:r>
        <w:rPr>
          <w:rStyle w:val="CommentReference"/>
          <w:b w:val="0"/>
          <w:sz w:val="18"/>
          <w:szCs w:val="18"/>
        </w:rPr>
        <w:t xml:space="preserve"> Only patients with platelet counts below normal at baseline were included</w:t>
      </w:r>
    </w:p>
    <w:p w:rsidR="00B81941" w:rsidRDefault="00B81941" w:rsidP="00B81941">
      <w:pPr>
        <w:keepNext/>
        <w:ind w:left="709"/>
        <w:rPr>
          <w:rStyle w:val="CommentReference"/>
          <w:b w:val="0"/>
          <w:sz w:val="18"/>
          <w:szCs w:val="18"/>
        </w:rPr>
      </w:pPr>
      <w:proofErr w:type="gramStart"/>
      <w:r>
        <w:rPr>
          <w:rStyle w:val="CommentReference"/>
          <w:b w:val="0"/>
          <w:sz w:val="18"/>
          <w:szCs w:val="18"/>
          <w:vertAlign w:val="superscript"/>
        </w:rPr>
        <w:t>b</w:t>
      </w:r>
      <w:proofErr w:type="gramEnd"/>
      <w:r w:rsidRPr="00FA3661">
        <w:rPr>
          <w:rStyle w:val="CommentReference"/>
          <w:b w:val="0"/>
          <w:sz w:val="18"/>
          <w:szCs w:val="18"/>
          <w:vertAlign w:val="superscript"/>
        </w:rPr>
        <w:t xml:space="preserve"> </w:t>
      </w:r>
      <w:r w:rsidRPr="00FA3661">
        <w:rPr>
          <w:rStyle w:val="CommentReference"/>
          <w:b w:val="0"/>
          <w:sz w:val="18"/>
          <w:szCs w:val="18"/>
        </w:rPr>
        <w:t>Excludes splenectomised patients</w:t>
      </w:r>
    </w:p>
    <w:p w:rsidR="00B81941" w:rsidRPr="00AC1B85" w:rsidRDefault="00B81941" w:rsidP="00B81941">
      <w:pPr>
        <w:keepNext/>
        <w:ind w:left="709"/>
        <w:rPr>
          <w:rStyle w:val="CommentReference"/>
          <w:b w:val="0"/>
          <w:sz w:val="18"/>
          <w:szCs w:val="18"/>
        </w:rPr>
      </w:pPr>
      <w:proofErr w:type="gramStart"/>
      <w:r w:rsidRPr="00AC1B85">
        <w:rPr>
          <w:rStyle w:val="CommentReference"/>
          <w:b w:val="0"/>
          <w:sz w:val="18"/>
          <w:szCs w:val="18"/>
          <w:vertAlign w:val="superscript"/>
        </w:rPr>
        <w:t>c</w:t>
      </w:r>
      <w:proofErr w:type="gramEnd"/>
      <w:r w:rsidRPr="00AC1B85">
        <w:rPr>
          <w:rStyle w:val="CommentReference"/>
          <w:b w:val="0"/>
          <w:sz w:val="18"/>
          <w:szCs w:val="18"/>
          <w:vertAlign w:val="superscript"/>
        </w:rPr>
        <w:t xml:space="preserve"> </w:t>
      </w:r>
      <w:r w:rsidRPr="00AC1B85">
        <w:rPr>
          <w:rStyle w:val="CommentReference"/>
          <w:b w:val="0"/>
          <w:sz w:val="18"/>
          <w:szCs w:val="18"/>
        </w:rPr>
        <w:t xml:space="preserve">The source for these responder rates could not be found during the evaluation, and the data could not be verified. Rates per 100 patients are estimated based on the total number of patients in the </w:t>
      </w:r>
      <w:proofErr w:type="spellStart"/>
      <w:r w:rsidRPr="00AC1B85">
        <w:rPr>
          <w:rStyle w:val="CommentReference"/>
          <w:b w:val="0"/>
          <w:sz w:val="18"/>
          <w:szCs w:val="18"/>
        </w:rPr>
        <w:t>velaglucerase</w:t>
      </w:r>
      <w:proofErr w:type="spellEnd"/>
      <w:r w:rsidRPr="00AC1B85">
        <w:rPr>
          <w:rStyle w:val="CommentReference"/>
          <w:b w:val="0"/>
          <w:sz w:val="18"/>
          <w:szCs w:val="18"/>
        </w:rPr>
        <w:t xml:space="preserve"> 60U/kg arm.</w:t>
      </w:r>
    </w:p>
    <w:p w:rsidR="00B81941" w:rsidRPr="00AC1B85" w:rsidRDefault="00B81941" w:rsidP="00B81941">
      <w:pPr>
        <w:keepNext/>
        <w:ind w:left="709"/>
        <w:rPr>
          <w:rStyle w:val="CommentReference"/>
          <w:b w:val="0"/>
          <w:sz w:val="18"/>
          <w:szCs w:val="18"/>
        </w:rPr>
      </w:pPr>
      <w:r w:rsidRPr="00AC1B85">
        <w:rPr>
          <w:rStyle w:val="CommentReference"/>
          <w:b w:val="0"/>
          <w:sz w:val="18"/>
          <w:szCs w:val="18"/>
        </w:rPr>
        <w:t>Source: compiled during the evaluation</w:t>
      </w:r>
    </w:p>
    <w:p w:rsidR="00B81941" w:rsidRPr="00C61DB8" w:rsidRDefault="00B81941" w:rsidP="00C61DB8">
      <w:pPr>
        <w:widowControl/>
        <w:rPr>
          <w:szCs w:val="22"/>
        </w:rPr>
      </w:pPr>
    </w:p>
    <w:p w:rsidR="00B81941" w:rsidRPr="00B81941" w:rsidRDefault="00B81941" w:rsidP="00C32489">
      <w:pPr>
        <w:pStyle w:val="ListParagraph"/>
        <w:widowControl/>
        <w:numPr>
          <w:ilvl w:val="1"/>
          <w:numId w:val="2"/>
        </w:numPr>
        <w:ind w:left="709" w:hanging="709"/>
        <w:rPr>
          <w:szCs w:val="22"/>
        </w:rPr>
      </w:pPr>
      <w:r w:rsidRPr="00B81941">
        <w:rPr>
          <w:szCs w:val="22"/>
        </w:rPr>
        <w:t xml:space="preserve">On the basis of evidence presented by the resubmission, for every 100 patients treated with </w:t>
      </w:r>
      <w:proofErr w:type="spellStart"/>
      <w:r w:rsidRPr="00B81941">
        <w:rPr>
          <w:szCs w:val="22"/>
        </w:rPr>
        <w:t>taliglucerase</w:t>
      </w:r>
      <w:proofErr w:type="spellEnd"/>
      <w:r w:rsidR="00896815">
        <w:rPr>
          <w:szCs w:val="22"/>
        </w:rPr>
        <w:t xml:space="preserve"> alfa</w:t>
      </w:r>
      <w:r w:rsidRPr="00B81941">
        <w:rPr>
          <w:szCs w:val="22"/>
        </w:rPr>
        <w:t xml:space="preserve"> </w:t>
      </w:r>
      <w:r w:rsidR="005D5D82">
        <w:rPr>
          <w:szCs w:val="22"/>
        </w:rPr>
        <w:t>:</w:t>
      </w:r>
    </w:p>
    <w:p w:rsidR="00B81941" w:rsidRPr="00B81941" w:rsidRDefault="005D5D82" w:rsidP="00C32489">
      <w:pPr>
        <w:pStyle w:val="ListParagraph"/>
        <w:widowControl/>
        <w:numPr>
          <w:ilvl w:val="0"/>
          <w:numId w:val="4"/>
        </w:numPr>
        <w:ind w:left="993" w:hanging="284"/>
        <w:rPr>
          <w:szCs w:val="22"/>
        </w:rPr>
      </w:pPr>
      <w:r w:rsidRPr="00B81941">
        <w:rPr>
          <w:szCs w:val="22"/>
        </w:rPr>
        <w:t>A</w:t>
      </w:r>
      <w:r>
        <w:rPr>
          <w:szCs w:val="22"/>
        </w:rPr>
        <w:t>ll 100</w:t>
      </w:r>
      <w:r w:rsidR="00B81941" w:rsidRPr="00B81941">
        <w:rPr>
          <w:szCs w:val="22"/>
        </w:rPr>
        <w:t xml:space="preserve"> patients would have a good or moderate improvement in haemoglobin levels;</w:t>
      </w:r>
    </w:p>
    <w:p w:rsidR="005D5D82" w:rsidRDefault="005D5D82" w:rsidP="00C32489">
      <w:pPr>
        <w:pStyle w:val="ListParagraph"/>
        <w:widowControl/>
        <w:numPr>
          <w:ilvl w:val="0"/>
          <w:numId w:val="4"/>
        </w:numPr>
        <w:ind w:left="993" w:hanging="284"/>
        <w:rPr>
          <w:szCs w:val="22"/>
        </w:rPr>
      </w:pPr>
      <w:r>
        <w:rPr>
          <w:szCs w:val="22"/>
        </w:rPr>
        <w:t>63</w:t>
      </w:r>
      <w:r w:rsidR="00B81941" w:rsidRPr="00B81941">
        <w:rPr>
          <w:szCs w:val="22"/>
        </w:rPr>
        <w:t xml:space="preserve"> patients would have a good or moderate improvement in platelet counts</w:t>
      </w:r>
      <w:r>
        <w:rPr>
          <w:szCs w:val="22"/>
        </w:rPr>
        <w:t>;</w:t>
      </w:r>
    </w:p>
    <w:p w:rsidR="00B81941" w:rsidRPr="00B81941" w:rsidRDefault="005D5D82" w:rsidP="00C32489">
      <w:pPr>
        <w:pStyle w:val="ListParagraph"/>
        <w:widowControl/>
        <w:numPr>
          <w:ilvl w:val="0"/>
          <w:numId w:val="4"/>
        </w:numPr>
        <w:ind w:left="993" w:hanging="284"/>
        <w:rPr>
          <w:szCs w:val="22"/>
        </w:rPr>
      </w:pPr>
      <w:r>
        <w:rPr>
          <w:szCs w:val="22"/>
        </w:rPr>
        <w:t>81 patients would have a good or moderate improvement in liver volume; and</w:t>
      </w:r>
    </w:p>
    <w:p w:rsidR="00B81941" w:rsidRDefault="005D5D82" w:rsidP="00C32489">
      <w:pPr>
        <w:pStyle w:val="ListParagraph"/>
        <w:widowControl/>
        <w:numPr>
          <w:ilvl w:val="0"/>
          <w:numId w:val="4"/>
        </w:numPr>
        <w:ind w:left="993" w:hanging="284"/>
        <w:rPr>
          <w:szCs w:val="22"/>
        </w:rPr>
      </w:pPr>
      <w:r>
        <w:rPr>
          <w:szCs w:val="22"/>
        </w:rPr>
        <w:t xml:space="preserve">All 100 </w:t>
      </w:r>
      <w:r w:rsidR="00571A7B">
        <w:rPr>
          <w:szCs w:val="22"/>
        </w:rPr>
        <w:t>patients</w:t>
      </w:r>
      <w:r w:rsidR="00B81941" w:rsidRPr="00B81941">
        <w:rPr>
          <w:szCs w:val="22"/>
        </w:rPr>
        <w:t xml:space="preserve"> would have a good or moderate improvement in spleen volume.</w:t>
      </w:r>
    </w:p>
    <w:p w:rsidR="00B81941" w:rsidRDefault="00B81941" w:rsidP="00454ECC">
      <w:pPr>
        <w:widowControl/>
        <w:rPr>
          <w:szCs w:val="22"/>
        </w:rPr>
      </w:pPr>
    </w:p>
    <w:p w:rsidR="00A151DE" w:rsidRDefault="00A151DE" w:rsidP="00A151DE">
      <w:pPr>
        <w:pStyle w:val="ListParagraph"/>
        <w:ind w:left="709"/>
        <w:rPr>
          <w:i/>
          <w:szCs w:val="22"/>
        </w:rPr>
      </w:pPr>
      <w:r>
        <w:rPr>
          <w:i/>
          <w:szCs w:val="22"/>
        </w:rPr>
        <w:t>For more detail on PBAC’s view, see section 7 “PBAC outcome”</w:t>
      </w:r>
    </w:p>
    <w:p w:rsidR="00A151DE" w:rsidRPr="00454ECC" w:rsidRDefault="00A151DE" w:rsidP="00A151DE">
      <w:pPr>
        <w:widowControl/>
        <w:ind w:left="709"/>
        <w:rPr>
          <w:szCs w:val="22"/>
        </w:rPr>
      </w:pPr>
    </w:p>
    <w:p w:rsidR="00B60939" w:rsidRPr="00EF0F93" w:rsidRDefault="00B60939" w:rsidP="00EF0F93">
      <w:pPr>
        <w:rPr>
          <w:b/>
          <w:szCs w:val="22"/>
        </w:rPr>
      </w:pPr>
      <w:bookmarkStart w:id="13" w:name="_Toc398646926"/>
      <w:r w:rsidRPr="00EF0F93">
        <w:rPr>
          <w:b/>
          <w:szCs w:val="22"/>
        </w:rPr>
        <w:t>Clinical claim</w:t>
      </w:r>
      <w:bookmarkEnd w:id="13"/>
    </w:p>
    <w:p w:rsidR="00B60939" w:rsidRPr="00882085" w:rsidRDefault="00B60939" w:rsidP="00D06FD4">
      <w:pPr>
        <w:pStyle w:val="BodyText"/>
      </w:pPr>
    </w:p>
    <w:p w:rsidR="0006123C" w:rsidRPr="0006123C" w:rsidRDefault="004504C6" w:rsidP="00C32489">
      <w:pPr>
        <w:pStyle w:val="ListParagraph"/>
        <w:widowControl/>
        <w:numPr>
          <w:ilvl w:val="1"/>
          <w:numId w:val="2"/>
        </w:numPr>
        <w:ind w:left="709" w:hanging="709"/>
        <w:rPr>
          <w:szCs w:val="22"/>
        </w:rPr>
      </w:pPr>
      <w:r>
        <w:t>The re</w:t>
      </w:r>
      <w:r w:rsidR="008214D3" w:rsidRPr="008214D3">
        <w:t>submission claim</w:t>
      </w:r>
      <w:r w:rsidR="0006123C">
        <w:t>ed</w:t>
      </w:r>
      <w:r w:rsidR="008214D3" w:rsidRPr="008214D3">
        <w:t xml:space="preserve"> that </w:t>
      </w:r>
      <w:proofErr w:type="spellStart"/>
      <w:r w:rsidR="008214D3" w:rsidRPr="008214D3">
        <w:t>taliglucerase</w:t>
      </w:r>
      <w:proofErr w:type="spellEnd"/>
      <w:r w:rsidR="008214D3" w:rsidRPr="008214D3">
        <w:t xml:space="preserve"> alfa achieves similar treatment efficacy outcomes to </w:t>
      </w:r>
      <w:proofErr w:type="spellStart"/>
      <w:r w:rsidR="008214D3" w:rsidRPr="008214D3">
        <w:t>velaglucerase</w:t>
      </w:r>
      <w:proofErr w:type="spellEnd"/>
      <w:r w:rsidR="008214D3" w:rsidRPr="008214D3">
        <w:t xml:space="preserve"> alfa and </w:t>
      </w:r>
      <w:proofErr w:type="spellStart"/>
      <w:r w:rsidR="008214D3" w:rsidRPr="008214D3">
        <w:t>imiglucerase</w:t>
      </w:r>
      <w:proofErr w:type="spellEnd"/>
      <w:r w:rsidR="008214D3" w:rsidRPr="008214D3">
        <w:t xml:space="preserve">, and has a non-inferior safety and tolerability profile. </w:t>
      </w:r>
      <w:r w:rsidR="008214D3" w:rsidRPr="00AC1B85">
        <w:t xml:space="preserve">The previous March 2012 </w:t>
      </w:r>
      <w:r w:rsidR="00D32EE7">
        <w:t xml:space="preserve">submission </w:t>
      </w:r>
      <w:r w:rsidR="008214D3" w:rsidRPr="00AC1B85">
        <w:t>made a similar claim regarding efficacy but made no claims regarding safety.</w:t>
      </w:r>
    </w:p>
    <w:p w:rsidR="0006123C" w:rsidRPr="0006123C" w:rsidRDefault="0006123C" w:rsidP="0006123C">
      <w:pPr>
        <w:pStyle w:val="ListParagraph"/>
        <w:widowControl/>
        <w:ind w:left="709"/>
        <w:rPr>
          <w:szCs w:val="22"/>
        </w:rPr>
      </w:pPr>
    </w:p>
    <w:p w:rsidR="00326E8E" w:rsidRPr="00A151DE" w:rsidRDefault="00DF1B16" w:rsidP="00C32489">
      <w:pPr>
        <w:pStyle w:val="ListParagraph"/>
        <w:widowControl/>
        <w:numPr>
          <w:ilvl w:val="1"/>
          <w:numId w:val="2"/>
        </w:numPr>
        <w:ind w:left="709" w:hanging="709"/>
        <w:rPr>
          <w:szCs w:val="22"/>
        </w:rPr>
      </w:pPr>
      <w:r w:rsidRPr="00A151DE">
        <w:t xml:space="preserve">Based on the evidence provided in the resubmission, the </w:t>
      </w:r>
      <w:r w:rsidR="00FB382C" w:rsidRPr="00A151DE">
        <w:t xml:space="preserve">ESC </w:t>
      </w:r>
      <w:r w:rsidR="0006123C">
        <w:t>advised</w:t>
      </w:r>
      <w:r w:rsidR="0006123C" w:rsidRPr="00A151DE">
        <w:t xml:space="preserve"> </w:t>
      </w:r>
      <w:r w:rsidR="00FB382C" w:rsidRPr="00A151DE">
        <w:t xml:space="preserve">that there is a trend in the results that </w:t>
      </w:r>
      <w:r w:rsidR="0006123C">
        <w:t>wa</w:t>
      </w:r>
      <w:r w:rsidR="00FB382C" w:rsidRPr="00A151DE">
        <w:t xml:space="preserve">s suggestive of non-inferiority in efficacy and safety but that the </w:t>
      </w:r>
      <w:r w:rsidRPr="00A151DE">
        <w:t xml:space="preserve">resubmission’s claim </w:t>
      </w:r>
      <w:r w:rsidR="0006123C">
        <w:t>wa</w:t>
      </w:r>
      <w:r w:rsidRPr="00A151DE">
        <w:t xml:space="preserve">s not </w:t>
      </w:r>
      <w:r w:rsidR="00FB382C" w:rsidRPr="00A151DE">
        <w:t>robustly supported by the</w:t>
      </w:r>
      <w:r w:rsidR="007F4340" w:rsidRPr="00A151DE">
        <w:t xml:space="preserve"> </w:t>
      </w:r>
      <w:r w:rsidR="00FB382C" w:rsidRPr="00A151DE">
        <w:t>evidence</w:t>
      </w:r>
      <w:r w:rsidR="007F4340" w:rsidRPr="00A151DE">
        <w:t xml:space="preserve"> presented</w:t>
      </w:r>
      <w:r w:rsidRPr="00A151DE">
        <w:t>.</w:t>
      </w:r>
    </w:p>
    <w:p w:rsidR="00B60939" w:rsidRDefault="00B60939" w:rsidP="00FB382C">
      <w:pPr>
        <w:rPr>
          <w:szCs w:val="22"/>
        </w:rPr>
      </w:pPr>
    </w:p>
    <w:p w:rsidR="00A151DE" w:rsidRDefault="00A151DE" w:rsidP="00A151DE">
      <w:pPr>
        <w:pStyle w:val="ListParagraph"/>
        <w:ind w:left="709"/>
        <w:rPr>
          <w:i/>
          <w:szCs w:val="22"/>
        </w:rPr>
      </w:pPr>
      <w:r>
        <w:rPr>
          <w:i/>
          <w:szCs w:val="22"/>
        </w:rPr>
        <w:t>For more detail on PBAC’s view, see section 7 “PBAC outcome”</w:t>
      </w:r>
    </w:p>
    <w:p w:rsidR="00A151DE" w:rsidRDefault="00A151DE" w:rsidP="00A151DE">
      <w:pPr>
        <w:ind w:left="709"/>
        <w:rPr>
          <w:szCs w:val="22"/>
        </w:rPr>
      </w:pPr>
    </w:p>
    <w:p w:rsidR="00B60939" w:rsidRPr="00EF0F93" w:rsidRDefault="00B60939" w:rsidP="00EF0F93">
      <w:pPr>
        <w:rPr>
          <w:b/>
          <w:szCs w:val="22"/>
        </w:rPr>
      </w:pPr>
      <w:bookmarkStart w:id="14" w:name="_Toc398646927"/>
      <w:r w:rsidRPr="00EF0F93">
        <w:rPr>
          <w:b/>
          <w:szCs w:val="22"/>
        </w:rPr>
        <w:t>Economic analysis</w:t>
      </w:r>
      <w:bookmarkEnd w:id="14"/>
      <w:r w:rsidR="00491B3A" w:rsidRPr="00EF0F93">
        <w:rPr>
          <w:b/>
          <w:szCs w:val="22"/>
        </w:rPr>
        <w:t xml:space="preserve"> </w:t>
      </w:r>
    </w:p>
    <w:p w:rsidR="00B60939" w:rsidRPr="00882085" w:rsidRDefault="00B60939" w:rsidP="00B60939">
      <w:pPr>
        <w:ind w:left="720" w:hanging="720"/>
        <w:rPr>
          <w:szCs w:val="22"/>
        </w:rPr>
      </w:pPr>
    </w:p>
    <w:p w:rsidR="0006123C" w:rsidRDefault="004504C6" w:rsidP="00A96C3A">
      <w:pPr>
        <w:pStyle w:val="ListParagraph"/>
        <w:numPr>
          <w:ilvl w:val="1"/>
          <w:numId w:val="2"/>
        </w:numPr>
        <w:ind w:left="709" w:hanging="709"/>
      </w:pPr>
      <w:r>
        <w:t>The re</w:t>
      </w:r>
      <w:r w:rsidR="009F1A97">
        <w:t>submission present</w:t>
      </w:r>
      <w:r w:rsidR="00D32EE7">
        <w:t>ed</w:t>
      </w:r>
      <w:r w:rsidR="009F1A97">
        <w:t xml:space="preserve"> a c</w:t>
      </w:r>
      <w:r w:rsidR="00A86E8B" w:rsidRPr="0065300D">
        <w:t>ost-minimisation</w:t>
      </w:r>
      <w:r w:rsidR="009F1A97">
        <w:t xml:space="preserve"> analysis</w:t>
      </w:r>
      <w:r w:rsidR="005801E9" w:rsidRPr="0065300D">
        <w:t>.</w:t>
      </w:r>
      <w:r w:rsidR="00CB3324">
        <w:t xml:space="preserve"> </w:t>
      </w:r>
    </w:p>
    <w:p w:rsidR="0006123C" w:rsidRDefault="0006123C" w:rsidP="0006123C">
      <w:pPr>
        <w:pStyle w:val="ListParagraph"/>
        <w:ind w:left="709"/>
      </w:pPr>
    </w:p>
    <w:p w:rsidR="00454ECC" w:rsidRDefault="00CB3324" w:rsidP="00A96C3A">
      <w:pPr>
        <w:pStyle w:val="ListParagraph"/>
        <w:numPr>
          <w:ilvl w:val="1"/>
          <w:numId w:val="2"/>
        </w:numPr>
        <w:ind w:left="709" w:hanging="709"/>
      </w:pPr>
      <w:r w:rsidRPr="00CB3324">
        <w:t>The</w:t>
      </w:r>
      <w:r>
        <w:t xml:space="preserve"> evaluation questioned </w:t>
      </w:r>
      <w:r w:rsidRPr="00CB3324">
        <w:t xml:space="preserve">whether it </w:t>
      </w:r>
      <w:r w:rsidR="0006123C">
        <w:t>wa</w:t>
      </w:r>
      <w:r w:rsidRPr="00CB3324">
        <w:t xml:space="preserve">s appropriate for </w:t>
      </w:r>
      <w:proofErr w:type="spellStart"/>
      <w:r w:rsidRPr="00CB3324">
        <w:t>taliglucerase</w:t>
      </w:r>
      <w:proofErr w:type="spellEnd"/>
      <w:r w:rsidRPr="00CB3324">
        <w:t xml:space="preserve"> </w:t>
      </w:r>
      <w:r w:rsidR="00896815">
        <w:t xml:space="preserve">alfa </w:t>
      </w:r>
      <w:r w:rsidRPr="00CB3324">
        <w:t xml:space="preserve">to be cost-minimised against products that have previously been considered non-cost-effective by the </w:t>
      </w:r>
      <w:r>
        <w:t>PBAC</w:t>
      </w:r>
      <w:r w:rsidRPr="00CB3324">
        <w:t xml:space="preserve"> (</w:t>
      </w:r>
      <w:proofErr w:type="spellStart"/>
      <w:r w:rsidRPr="00CB3324">
        <w:t>Velaglucerase</w:t>
      </w:r>
      <w:proofErr w:type="spellEnd"/>
      <w:r w:rsidRPr="00CB3324">
        <w:t xml:space="preserve"> alfa Public Summary Document, November 2011/addendum March 2012).</w:t>
      </w:r>
      <w:r>
        <w:t xml:space="preserve"> </w:t>
      </w:r>
    </w:p>
    <w:p w:rsidR="00261AC2" w:rsidRDefault="00261AC2" w:rsidP="00261AC2">
      <w:pPr>
        <w:pStyle w:val="ListParagraph"/>
        <w:ind w:left="862"/>
      </w:pPr>
    </w:p>
    <w:p w:rsidR="00216F4D" w:rsidRPr="00A151DE" w:rsidRDefault="00CB3324" w:rsidP="00A96C3A">
      <w:pPr>
        <w:pStyle w:val="ListParagraph"/>
        <w:numPr>
          <w:ilvl w:val="1"/>
          <w:numId w:val="2"/>
        </w:numPr>
        <w:ind w:left="709"/>
      </w:pPr>
      <w:r w:rsidRPr="00A151DE">
        <w:t xml:space="preserve">The ESC </w:t>
      </w:r>
      <w:r w:rsidR="0006123C">
        <w:t>advised</w:t>
      </w:r>
      <w:r w:rsidR="0006123C" w:rsidRPr="00A151DE">
        <w:t xml:space="preserve"> </w:t>
      </w:r>
      <w:r w:rsidR="00C51EF1" w:rsidRPr="00A151DE">
        <w:t xml:space="preserve">that a cost-minimisation approach </w:t>
      </w:r>
      <w:r w:rsidR="0006123C">
        <w:t>wa</w:t>
      </w:r>
      <w:r w:rsidR="00C51EF1" w:rsidRPr="00A151DE">
        <w:t xml:space="preserve">s in line with PBAC Guidelines on choice of comparator (i.e. the therapy most likely to be replaced) and the type of clinical claim made (i.e. non-inferiority). </w:t>
      </w:r>
    </w:p>
    <w:p w:rsidR="007F4340" w:rsidRPr="00216F4D" w:rsidRDefault="007F4340" w:rsidP="00216F4D">
      <w:pPr>
        <w:pStyle w:val="ListParagraph"/>
        <w:widowControl/>
        <w:ind w:left="709"/>
        <w:rPr>
          <w:szCs w:val="22"/>
        </w:rPr>
      </w:pPr>
    </w:p>
    <w:p w:rsidR="0006123C" w:rsidRPr="0006123C" w:rsidRDefault="00216F4D" w:rsidP="00A96C3A">
      <w:pPr>
        <w:pStyle w:val="ListParagraph"/>
        <w:widowControl/>
        <w:numPr>
          <w:ilvl w:val="1"/>
          <w:numId w:val="2"/>
        </w:numPr>
        <w:ind w:left="709"/>
        <w:rPr>
          <w:i/>
          <w:szCs w:val="22"/>
        </w:rPr>
      </w:pPr>
      <w:r w:rsidRPr="00216F4D">
        <w:rPr>
          <w:szCs w:val="22"/>
        </w:rPr>
        <w:t>The resubmission assume</w:t>
      </w:r>
      <w:r w:rsidR="0006123C">
        <w:rPr>
          <w:szCs w:val="22"/>
        </w:rPr>
        <w:t>d</w:t>
      </w:r>
      <w:r w:rsidRPr="00216F4D">
        <w:rPr>
          <w:szCs w:val="22"/>
        </w:rPr>
        <w:t xml:space="preserve"> a 1:1:</w:t>
      </w:r>
      <w:proofErr w:type="gramStart"/>
      <w:r w:rsidR="009D4612">
        <w:rPr>
          <w:szCs w:val="22"/>
        </w:rPr>
        <w:t xml:space="preserve">1 </w:t>
      </w:r>
      <w:r w:rsidRPr="00216F4D">
        <w:rPr>
          <w:szCs w:val="22"/>
        </w:rPr>
        <w:t>dose equivalence</w:t>
      </w:r>
      <w:proofErr w:type="gramEnd"/>
      <w:r w:rsidRPr="00216F4D">
        <w:rPr>
          <w:szCs w:val="22"/>
        </w:rPr>
        <w:t xml:space="preserve"> between </w:t>
      </w:r>
      <w:proofErr w:type="spellStart"/>
      <w:r w:rsidRPr="00216F4D">
        <w:rPr>
          <w:szCs w:val="22"/>
        </w:rPr>
        <w:t>taliglucerase</w:t>
      </w:r>
      <w:proofErr w:type="spellEnd"/>
      <w:r w:rsidR="00EB6319">
        <w:rPr>
          <w:szCs w:val="22"/>
        </w:rPr>
        <w:t xml:space="preserve"> alfa</w:t>
      </w:r>
      <w:r w:rsidRPr="00216F4D">
        <w:rPr>
          <w:szCs w:val="22"/>
        </w:rPr>
        <w:t xml:space="preserve">, </w:t>
      </w:r>
      <w:proofErr w:type="spellStart"/>
      <w:r w:rsidRPr="00216F4D">
        <w:rPr>
          <w:szCs w:val="22"/>
        </w:rPr>
        <w:t>imiglucerase</w:t>
      </w:r>
      <w:proofErr w:type="spellEnd"/>
      <w:r w:rsidRPr="00216F4D">
        <w:rPr>
          <w:szCs w:val="22"/>
        </w:rPr>
        <w:t xml:space="preserve"> and </w:t>
      </w:r>
      <w:proofErr w:type="spellStart"/>
      <w:r w:rsidRPr="00216F4D">
        <w:rPr>
          <w:szCs w:val="22"/>
        </w:rPr>
        <w:t>velaglucerase</w:t>
      </w:r>
      <w:proofErr w:type="spellEnd"/>
      <w:r w:rsidR="00EB6319">
        <w:rPr>
          <w:szCs w:val="22"/>
        </w:rPr>
        <w:t xml:space="preserve"> alfa</w:t>
      </w:r>
      <w:r w:rsidRPr="00216F4D">
        <w:rPr>
          <w:szCs w:val="22"/>
        </w:rPr>
        <w:t xml:space="preserve"> based on the clinical trials and the recommended doses in the Product Information (PI). </w:t>
      </w:r>
    </w:p>
    <w:p w:rsidR="0006123C" w:rsidRPr="0006123C" w:rsidRDefault="0006123C" w:rsidP="0006123C">
      <w:pPr>
        <w:pStyle w:val="ListParagraph"/>
        <w:rPr>
          <w:szCs w:val="22"/>
        </w:rPr>
      </w:pPr>
    </w:p>
    <w:p w:rsidR="0006123C" w:rsidRPr="0006123C" w:rsidRDefault="00216F4D" w:rsidP="00A96C3A">
      <w:pPr>
        <w:pStyle w:val="ListParagraph"/>
        <w:widowControl/>
        <w:numPr>
          <w:ilvl w:val="1"/>
          <w:numId w:val="2"/>
        </w:numPr>
        <w:ind w:left="709"/>
        <w:rPr>
          <w:i/>
          <w:szCs w:val="22"/>
        </w:rPr>
      </w:pPr>
      <w:r w:rsidRPr="00216F4D">
        <w:rPr>
          <w:szCs w:val="22"/>
        </w:rPr>
        <w:t xml:space="preserve">Dosing information </w:t>
      </w:r>
      <w:r w:rsidR="0006123C">
        <w:rPr>
          <w:szCs w:val="22"/>
        </w:rPr>
        <w:t>wa</w:t>
      </w:r>
      <w:r w:rsidRPr="00216F4D">
        <w:rPr>
          <w:szCs w:val="22"/>
        </w:rPr>
        <w:t xml:space="preserve">s not consistent across the </w:t>
      </w:r>
      <w:r w:rsidR="00C61DB8">
        <w:rPr>
          <w:szCs w:val="22"/>
        </w:rPr>
        <w:t>P</w:t>
      </w:r>
      <w:r w:rsidR="0006123C">
        <w:rPr>
          <w:szCs w:val="22"/>
        </w:rPr>
        <w:t xml:space="preserve">roduct </w:t>
      </w:r>
      <w:r w:rsidR="00C61DB8">
        <w:rPr>
          <w:szCs w:val="22"/>
        </w:rPr>
        <w:t>I</w:t>
      </w:r>
      <w:r w:rsidR="0006123C">
        <w:rPr>
          <w:szCs w:val="22"/>
        </w:rPr>
        <w:t>nformation (PI)</w:t>
      </w:r>
      <w:r w:rsidRPr="00216F4D">
        <w:rPr>
          <w:szCs w:val="22"/>
        </w:rPr>
        <w:t xml:space="preserve"> documents for the three therapies in regards to statements about switching therapies (e.g. </w:t>
      </w:r>
      <w:proofErr w:type="spellStart"/>
      <w:r w:rsidRPr="00216F4D">
        <w:rPr>
          <w:szCs w:val="22"/>
        </w:rPr>
        <w:lastRenderedPageBreak/>
        <w:t>taliglucerase</w:t>
      </w:r>
      <w:proofErr w:type="spellEnd"/>
      <w:r w:rsidR="00896815">
        <w:rPr>
          <w:szCs w:val="22"/>
        </w:rPr>
        <w:t xml:space="preserve"> </w:t>
      </w:r>
      <w:proofErr w:type="spellStart"/>
      <w:r w:rsidR="00896815">
        <w:rPr>
          <w:szCs w:val="22"/>
        </w:rPr>
        <w:t>alfa’s</w:t>
      </w:r>
      <w:proofErr w:type="spellEnd"/>
      <w:r w:rsidRPr="00216F4D">
        <w:rPr>
          <w:szCs w:val="22"/>
        </w:rPr>
        <w:t xml:space="preserve"> PI suggests starting at the same dose that a patient was previously treated with </w:t>
      </w:r>
      <w:proofErr w:type="spellStart"/>
      <w:r w:rsidRPr="00216F4D">
        <w:rPr>
          <w:szCs w:val="22"/>
        </w:rPr>
        <w:t>imiglucerase</w:t>
      </w:r>
      <w:proofErr w:type="spellEnd"/>
      <w:r w:rsidRPr="00216F4D">
        <w:rPr>
          <w:szCs w:val="22"/>
        </w:rPr>
        <w:t xml:space="preserve"> but does not mention </w:t>
      </w:r>
      <w:proofErr w:type="spellStart"/>
      <w:r w:rsidRPr="00216F4D">
        <w:rPr>
          <w:szCs w:val="22"/>
        </w:rPr>
        <w:t>velaglucerase</w:t>
      </w:r>
      <w:proofErr w:type="spellEnd"/>
      <w:r w:rsidRPr="00216F4D">
        <w:rPr>
          <w:szCs w:val="22"/>
        </w:rPr>
        <w:t xml:space="preserve"> patients switched to </w:t>
      </w:r>
      <w:proofErr w:type="spellStart"/>
      <w:r w:rsidRPr="00216F4D">
        <w:rPr>
          <w:szCs w:val="22"/>
        </w:rPr>
        <w:t>taliglucerase</w:t>
      </w:r>
      <w:proofErr w:type="spellEnd"/>
      <w:r w:rsidR="00896815">
        <w:rPr>
          <w:szCs w:val="22"/>
        </w:rPr>
        <w:t xml:space="preserve"> alfa</w:t>
      </w:r>
      <w:r w:rsidRPr="00216F4D">
        <w:rPr>
          <w:szCs w:val="22"/>
        </w:rPr>
        <w:t xml:space="preserve">; </w:t>
      </w:r>
      <w:proofErr w:type="spellStart"/>
      <w:r w:rsidRPr="00216F4D">
        <w:rPr>
          <w:szCs w:val="22"/>
        </w:rPr>
        <w:t>velaglucerase’s</w:t>
      </w:r>
      <w:proofErr w:type="spellEnd"/>
      <w:r w:rsidRPr="00216F4D">
        <w:rPr>
          <w:szCs w:val="22"/>
        </w:rPr>
        <w:t xml:space="preserve"> PI simply states ‘other enzyme replacement therapy’, </w:t>
      </w:r>
      <w:proofErr w:type="spellStart"/>
      <w:r w:rsidRPr="00216F4D">
        <w:rPr>
          <w:szCs w:val="22"/>
        </w:rPr>
        <w:t>imiglucerase’s</w:t>
      </w:r>
      <w:proofErr w:type="spellEnd"/>
      <w:r w:rsidRPr="00216F4D">
        <w:rPr>
          <w:szCs w:val="22"/>
        </w:rPr>
        <w:t xml:space="preserve"> PI remains silent on patients switched from </w:t>
      </w:r>
      <w:proofErr w:type="spellStart"/>
      <w:r w:rsidRPr="00216F4D">
        <w:rPr>
          <w:szCs w:val="22"/>
        </w:rPr>
        <w:t>taliglucerase</w:t>
      </w:r>
      <w:proofErr w:type="spellEnd"/>
      <w:r w:rsidR="00896815">
        <w:rPr>
          <w:szCs w:val="22"/>
        </w:rPr>
        <w:t xml:space="preserve"> alfa</w:t>
      </w:r>
      <w:r w:rsidRPr="00216F4D">
        <w:rPr>
          <w:szCs w:val="22"/>
        </w:rPr>
        <w:t xml:space="preserve"> or </w:t>
      </w:r>
      <w:proofErr w:type="spellStart"/>
      <w:r w:rsidRPr="00216F4D">
        <w:rPr>
          <w:szCs w:val="22"/>
        </w:rPr>
        <w:t>velaglucerase</w:t>
      </w:r>
      <w:proofErr w:type="spellEnd"/>
      <w:r w:rsidRPr="00216F4D">
        <w:rPr>
          <w:szCs w:val="22"/>
        </w:rPr>
        <w:t>). The</w:t>
      </w:r>
      <w:r w:rsidR="0006123C">
        <w:rPr>
          <w:szCs w:val="22"/>
        </w:rPr>
        <w:t xml:space="preserve"> evaluation noted that there</w:t>
      </w:r>
      <w:r w:rsidRPr="00216F4D">
        <w:rPr>
          <w:szCs w:val="22"/>
        </w:rPr>
        <w:t xml:space="preserve"> is very limited evidence to support the equivalence of </w:t>
      </w:r>
      <w:proofErr w:type="spellStart"/>
      <w:r w:rsidRPr="00216F4D">
        <w:rPr>
          <w:szCs w:val="22"/>
        </w:rPr>
        <w:t>taliglucerase</w:t>
      </w:r>
      <w:proofErr w:type="spellEnd"/>
      <w:r w:rsidR="00896815">
        <w:rPr>
          <w:szCs w:val="22"/>
        </w:rPr>
        <w:t xml:space="preserve"> alfa</w:t>
      </w:r>
      <w:r w:rsidRPr="00216F4D">
        <w:rPr>
          <w:szCs w:val="22"/>
        </w:rPr>
        <w:t xml:space="preserve"> vs </w:t>
      </w:r>
      <w:proofErr w:type="spellStart"/>
      <w:r w:rsidRPr="00216F4D">
        <w:rPr>
          <w:szCs w:val="22"/>
        </w:rPr>
        <w:t>imiglucerase</w:t>
      </w:r>
      <w:proofErr w:type="spellEnd"/>
      <w:r w:rsidRPr="00216F4D">
        <w:rPr>
          <w:szCs w:val="22"/>
        </w:rPr>
        <w:t>/</w:t>
      </w:r>
      <w:proofErr w:type="spellStart"/>
      <w:r w:rsidRPr="00216F4D">
        <w:rPr>
          <w:szCs w:val="22"/>
        </w:rPr>
        <w:t>velaglucerase</w:t>
      </w:r>
      <w:proofErr w:type="spellEnd"/>
      <w:r w:rsidRPr="00216F4D">
        <w:rPr>
          <w:szCs w:val="22"/>
        </w:rPr>
        <w:t xml:space="preserve"> at lower doses, particularly in treatment naïve patients. </w:t>
      </w:r>
    </w:p>
    <w:p w:rsidR="0006123C" w:rsidRPr="0006123C" w:rsidRDefault="0006123C" w:rsidP="0006123C">
      <w:pPr>
        <w:pStyle w:val="ListParagraph"/>
        <w:rPr>
          <w:szCs w:val="22"/>
        </w:rPr>
      </w:pPr>
    </w:p>
    <w:p w:rsidR="00216F4D" w:rsidRPr="001E63C3" w:rsidRDefault="00216F4D" w:rsidP="00A96C3A">
      <w:pPr>
        <w:pStyle w:val="ListParagraph"/>
        <w:widowControl/>
        <w:numPr>
          <w:ilvl w:val="1"/>
          <w:numId w:val="2"/>
        </w:numPr>
        <w:ind w:left="709"/>
        <w:rPr>
          <w:i/>
          <w:szCs w:val="22"/>
        </w:rPr>
      </w:pPr>
      <w:r w:rsidRPr="00A151DE">
        <w:rPr>
          <w:szCs w:val="22"/>
        </w:rPr>
        <w:t xml:space="preserve">The ESC </w:t>
      </w:r>
      <w:r w:rsidR="0006123C">
        <w:rPr>
          <w:szCs w:val="22"/>
        </w:rPr>
        <w:t xml:space="preserve">advised </w:t>
      </w:r>
      <w:r w:rsidRPr="00A151DE">
        <w:rPr>
          <w:szCs w:val="22"/>
        </w:rPr>
        <w:t xml:space="preserve">that while </w:t>
      </w:r>
      <w:r w:rsidR="001E63C3" w:rsidRPr="00A151DE">
        <w:rPr>
          <w:szCs w:val="22"/>
        </w:rPr>
        <w:t>the evidence show</w:t>
      </w:r>
      <w:r w:rsidR="0006123C">
        <w:rPr>
          <w:szCs w:val="22"/>
        </w:rPr>
        <w:t>ing</w:t>
      </w:r>
      <w:r w:rsidR="001E63C3" w:rsidRPr="00A151DE">
        <w:rPr>
          <w:szCs w:val="22"/>
        </w:rPr>
        <w:t xml:space="preserve"> that patients switched from alternative enzyme replacement </w:t>
      </w:r>
      <w:proofErr w:type="gramStart"/>
      <w:r w:rsidR="001E63C3" w:rsidRPr="00A151DE">
        <w:rPr>
          <w:szCs w:val="22"/>
        </w:rPr>
        <w:t>achieve</w:t>
      </w:r>
      <w:proofErr w:type="gramEnd"/>
      <w:r w:rsidR="001E63C3" w:rsidRPr="00A151DE">
        <w:rPr>
          <w:szCs w:val="22"/>
        </w:rPr>
        <w:t xml:space="preserve"> the same results when treated with </w:t>
      </w:r>
      <w:proofErr w:type="spellStart"/>
      <w:r w:rsidR="001E63C3" w:rsidRPr="00A151DE">
        <w:rPr>
          <w:szCs w:val="22"/>
        </w:rPr>
        <w:t>taliglucerase</w:t>
      </w:r>
      <w:proofErr w:type="spellEnd"/>
      <w:r w:rsidR="00EB6319">
        <w:rPr>
          <w:szCs w:val="22"/>
        </w:rPr>
        <w:t xml:space="preserve"> alfa</w:t>
      </w:r>
      <w:r w:rsidR="001E63C3" w:rsidRPr="00A151DE">
        <w:rPr>
          <w:szCs w:val="22"/>
        </w:rPr>
        <w:t xml:space="preserve"> is not conclusive</w:t>
      </w:r>
      <w:r w:rsidR="009D4612">
        <w:rPr>
          <w:szCs w:val="22"/>
        </w:rPr>
        <w:t>,</w:t>
      </w:r>
      <w:r w:rsidRPr="00A151DE">
        <w:rPr>
          <w:szCs w:val="22"/>
        </w:rPr>
        <w:t xml:space="preserve"> a 1:1:1 ratio probably appear</w:t>
      </w:r>
      <w:r w:rsidR="0006123C">
        <w:rPr>
          <w:szCs w:val="22"/>
        </w:rPr>
        <w:t>ed</w:t>
      </w:r>
      <w:r w:rsidRPr="00A151DE">
        <w:rPr>
          <w:szCs w:val="22"/>
        </w:rPr>
        <w:t xml:space="preserve"> reasonable given that all three therapies have been studied within the same range of 15 – 60 U/kg fortnightly. The ESC further noted that the PBAC has previously considered that </w:t>
      </w:r>
      <w:proofErr w:type="spellStart"/>
      <w:r w:rsidRPr="00A151DE">
        <w:rPr>
          <w:szCs w:val="22"/>
        </w:rPr>
        <w:t>velaglucerase</w:t>
      </w:r>
      <w:proofErr w:type="spellEnd"/>
      <w:r w:rsidRPr="00A151DE">
        <w:rPr>
          <w:szCs w:val="22"/>
        </w:rPr>
        <w:t xml:space="preserve"> and </w:t>
      </w:r>
      <w:proofErr w:type="spellStart"/>
      <w:r w:rsidRPr="00A151DE">
        <w:rPr>
          <w:szCs w:val="22"/>
        </w:rPr>
        <w:t>imiglucerase</w:t>
      </w:r>
      <w:proofErr w:type="spellEnd"/>
      <w:r w:rsidRPr="00A151DE">
        <w:rPr>
          <w:szCs w:val="22"/>
        </w:rPr>
        <w:t xml:space="preserve"> appear clinically equi-effective at a 1:1 dose ratio (November 2011 </w:t>
      </w:r>
      <w:proofErr w:type="spellStart"/>
      <w:r w:rsidRPr="00A151DE">
        <w:rPr>
          <w:szCs w:val="22"/>
        </w:rPr>
        <w:t>velaglucerase</w:t>
      </w:r>
      <w:proofErr w:type="spellEnd"/>
      <w:r w:rsidRPr="00A151DE">
        <w:rPr>
          <w:szCs w:val="22"/>
        </w:rPr>
        <w:t xml:space="preserve"> alfa Public Summary Document).</w:t>
      </w:r>
    </w:p>
    <w:p w:rsidR="00A86E8B" w:rsidRPr="00A86E8B" w:rsidRDefault="00A86E8B" w:rsidP="00A86E8B">
      <w:pPr>
        <w:widowControl/>
        <w:rPr>
          <w:szCs w:val="22"/>
        </w:rPr>
      </w:pPr>
    </w:p>
    <w:p w:rsidR="0006123C" w:rsidRPr="0006123C" w:rsidRDefault="00AA6777" w:rsidP="00577D82">
      <w:pPr>
        <w:pStyle w:val="ListParagraph"/>
        <w:widowControl/>
        <w:numPr>
          <w:ilvl w:val="1"/>
          <w:numId w:val="2"/>
        </w:numPr>
        <w:ind w:left="709" w:hanging="709"/>
        <w:rPr>
          <w:szCs w:val="22"/>
        </w:rPr>
      </w:pPr>
      <w:r w:rsidRPr="00607C7E">
        <w:t xml:space="preserve">The cost-minimisation analysis </w:t>
      </w:r>
      <w:r w:rsidR="0006123C">
        <w:t>wa</w:t>
      </w:r>
      <w:r w:rsidRPr="00607C7E">
        <w:t>s based on drug co</w:t>
      </w:r>
      <w:r w:rsidR="00414F45">
        <w:t xml:space="preserve">sts only. </w:t>
      </w:r>
      <w:r w:rsidR="0006123C">
        <w:t>T</w:t>
      </w:r>
      <w:r w:rsidR="0006123C" w:rsidRPr="00607C7E">
        <w:t>he</w:t>
      </w:r>
      <w:r w:rsidR="0006123C">
        <w:t xml:space="preserve"> re</w:t>
      </w:r>
      <w:r w:rsidR="0006123C" w:rsidRPr="00607C7E">
        <w:t xml:space="preserve">submission </w:t>
      </w:r>
      <w:r w:rsidR="009D4612" w:rsidRPr="00607C7E">
        <w:t>assumed</w:t>
      </w:r>
      <w:r w:rsidR="006B0F68">
        <w:t xml:space="preserve"> </w:t>
      </w:r>
      <w:r w:rsidR="0006123C" w:rsidRPr="00607C7E">
        <w:t xml:space="preserve">the ex-manufacturer cost of </w:t>
      </w:r>
      <w:proofErr w:type="spellStart"/>
      <w:r w:rsidR="0006123C" w:rsidRPr="00607C7E">
        <w:t>imiglucerase</w:t>
      </w:r>
      <w:proofErr w:type="spellEnd"/>
      <w:r w:rsidR="0006123C" w:rsidRPr="00607C7E">
        <w:t xml:space="preserve"> and </w:t>
      </w:r>
      <w:proofErr w:type="spellStart"/>
      <w:r w:rsidR="0006123C" w:rsidRPr="00607C7E">
        <w:t>velaglucerase</w:t>
      </w:r>
      <w:proofErr w:type="spellEnd"/>
      <w:r w:rsidR="0006123C" w:rsidRPr="00607C7E">
        <w:t xml:space="preserve"> </w:t>
      </w:r>
      <w:r w:rsidR="0006123C">
        <w:t>wa</w:t>
      </w:r>
      <w:r w:rsidR="0006123C" w:rsidRPr="00607C7E">
        <w:t xml:space="preserve">s </w:t>
      </w:r>
      <w:r w:rsidR="00E836B3">
        <w:rPr>
          <w:noProof/>
          <w:color w:val="000000"/>
          <w:highlight w:val="black"/>
        </w:rPr>
        <w:t>''''''''''''''''</w:t>
      </w:r>
      <w:r w:rsidR="009D4612">
        <w:t> </w:t>
      </w:r>
      <w:r w:rsidR="0006123C" w:rsidRPr="00607C7E">
        <w:t>per 200</w:t>
      </w:r>
      <w:r w:rsidR="0006123C">
        <w:t xml:space="preserve"> </w:t>
      </w:r>
      <w:r w:rsidR="0006123C" w:rsidRPr="00607C7E">
        <w:t xml:space="preserve">U vial. </w:t>
      </w:r>
    </w:p>
    <w:p w:rsidR="0006123C" w:rsidRDefault="0006123C" w:rsidP="0006123C">
      <w:pPr>
        <w:pStyle w:val="ListParagraph"/>
      </w:pPr>
    </w:p>
    <w:p w:rsidR="009F1A97" w:rsidRPr="009F1A97" w:rsidRDefault="00414F45" w:rsidP="00577D82">
      <w:pPr>
        <w:pStyle w:val="ListParagraph"/>
        <w:widowControl/>
        <w:numPr>
          <w:ilvl w:val="1"/>
          <w:numId w:val="2"/>
        </w:numPr>
        <w:ind w:left="709" w:hanging="709"/>
        <w:rPr>
          <w:szCs w:val="22"/>
        </w:rPr>
      </w:pPr>
      <w:r>
        <w:t xml:space="preserve">The </w:t>
      </w:r>
      <w:r w:rsidR="009D4612">
        <w:t xml:space="preserve">submission </w:t>
      </w:r>
      <w:r>
        <w:t>propose</w:t>
      </w:r>
      <w:r w:rsidR="0006123C">
        <w:t xml:space="preserve">d </w:t>
      </w:r>
      <w:r w:rsidR="00AA6777" w:rsidRPr="00607C7E">
        <w:t xml:space="preserve">volume-based pricing for </w:t>
      </w:r>
      <w:proofErr w:type="spellStart"/>
      <w:r w:rsidR="00AA6777" w:rsidRPr="00607C7E">
        <w:t>taliglucerase</w:t>
      </w:r>
      <w:proofErr w:type="spellEnd"/>
      <w:r w:rsidR="00EB6319">
        <w:t xml:space="preserve"> alfa</w:t>
      </w:r>
      <w:r w:rsidR="00AA6777" w:rsidRPr="00607C7E">
        <w:t xml:space="preserve">, with an ex-manufacturer cost of </w:t>
      </w:r>
      <w:r w:rsidR="00E836B3">
        <w:rPr>
          <w:noProof/>
          <w:color w:val="000000"/>
          <w:highlight w:val="black"/>
        </w:rPr>
        <w:t>'''''''''''''</w:t>
      </w:r>
      <w:r w:rsidR="00AA6777" w:rsidRPr="00607C7E">
        <w:t xml:space="preserve"> per 200</w:t>
      </w:r>
      <w:r w:rsidR="00675AE3">
        <w:t> </w:t>
      </w:r>
      <w:r w:rsidR="00AA6777" w:rsidRPr="00607C7E">
        <w:t xml:space="preserve">U vial for the first ten patients (patients currently receiving </w:t>
      </w:r>
      <w:proofErr w:type="spellStart"/>
      <w:r w:rsidR="00AA6777" w:rsidRPr="00607C7E">
        <w:t>taliglucerase</w:t>
      </w:r>
      <w:proofErr w:type="spellEnd"/>
      <w:r w:rsidR="00896815">
        <w:t xml:space="preserve"> alfa</w:t>
      </w:r>
      <w:r w:rsidR="00AA6777" w:rsidRPr="00607C7E">
        <w:t xml:space="preserve"> through a special access scheme), and </w:t>
      </w:r>
      <w:r w:rsidR="00E836B3">
        <w:rPr>
          <w:noProof/>
          <w:color w:val="000000"/>
          <w:highlight w:val="black"/>
        </w:rPr>
        <w:t>'''''''''''''</w:t>
      </w:r>
      <w:r w:rsidR="00AA6777" w:rsidRPr="00607C7E">
        <w:t xml:space="preserve"> per 200</w:t>
      </w:r>
      <w:r w:rsidR="00675AE3">
        <w:t xml:space="preserve"> </w:t>
      </w:r>
      <w:r w:rsidR="00AA6777" w:rsidRPr="00607C7E">
        <w:t xml:space="preserve">U vial </w:t>
      </w:r>
      <w:r w:rsidR="009F1A97">
        <w:t>per additional patient</w:t>
      </w:r>
      <w:r w:rsidR="00AA6777" w:rsidRPr="00607C7E">
        <w:t>.</w:t>
      </w:r>
      <w:r w:rsidR="00376C1D">
        <w:t xml:space="preserve"> This price </w:t>
      </w:r>
      <w:r w:rsidR="0006123C">
        <w:t>wa</w:t>
      </w:r>
      <w:r w:rsidR="00376C1D">
        <w:t xml:space="preserve">s lower than that </w:t>
      </w:r>
      <w:r w:rsidR="0006123C">
        <w:t xml:space="preserve">proposed </w:t>
      </w:r>
      <w:r w:rsidR="00376C1D">
        <w:t>in the 2012</w:t>
      </w:r>
      <w:r w:rsidR="009D4612">
        <w:t> </w:t>
      </w:r>
      <w:r w:rsidR="00376C1D">
        <w:t>submission.</w:t>
      </w:r>
      <w:r w:rsidR="00AE7FA0">
        <w:t xml:space="preserve"> </w:t>
      </w:r>
    </w:p>
    <w:p w:rsidR="009F1A97" w:rsidRPr="009F1A97" w:rsidRDefault="009F1A97" w:rsidP="009F1A97">
      <w:pPr>
        <w:widowControl/>
        <w:rPr>
          <w:szCs w:val="22"/>
        </w:rPr>
      </w:pPr>
    </w:p>
    <w:p w:rsidR="00607C7E" w:rsidRPr="009F1A97" w:rsidRDefault="004504C6" w:rsidP="00C32489">
      <w:pPr>
        <w:pStyle w:val="ListParagraph"/>
        <w:widowControl/>
        <w:numPr>
          <w:ilvl w:val="1"/>
          <w:numId w:val="2"/>
        </w:numPr>
        <w:ind w:left="709" w:hanging="709"/>
        <w:rPr>
          <w:szCs w:val="22"/>
        </w:rPr>
      </w:pPr>
      <w:r>
        <w:t>The re</w:t>
      </w:r>
      <w:r w:rsidR="00607C7E" w:rsidRPr="00607C7E">
        <w:t>submission assume</w:t>
      </w:r>
      <w:r w:rsidR="0006123C">
        <w:t>d</w:t>
      </w:r>
      <w:r w:rsidR="00607C7E" w:rsidRPr="00607C7E">
        <w:t xml:space="preserve"> that there is no difference in administration costs between treatments as all therapies are administered by intravenous infusion once every two weeks. </w:t>
      </w:r>
      <w:r w:rsidR="00607C7E" w:rsidRPr="00AC1B85">
        <w:t>Th</w:t>
      </w:r>
      <w:r w:rsidR="00582D38">
        <w:t>e evaluation noted that whilst this</w:t>
      </w:r>
      <w:r w:rsidR="00607C7E" w:rsidRPr="00AC1B85">
        <w:t xml:space="preserve"> may be reasonable</w:t>
      </w:r>
      <w:r w:rsidR="00582D38">
        <w:t xml:space="preserve"> at face value,</w:t>
      </w:r>
      <w:r w:rsidR="00607C7E" w:rsidRPr="00AC1B85">
        <w:t xml:space="preserve"> the impact of home infusion programs for </w:t>
      </w:r>
      <w:proofErr w:type="spellStart"/>
      <w:r w:rsidR="00607C7E" w:rsidRPr="00AC1B85">
        <w:t>taliglucerase</w:t>
      </w:r>
      <w:proofErr w:type="spellEnd"/>
      <w:r w:rsidR="00607C7E" w:rsidRPr="00AC1B85">
        <w:t xml:space="preserve"> </w:t>
      </w:r>
      <w:r w:rsidR="00EB6319">
        <w:t xml:space="preserve">alfa </w:t>
      </w:r>
      <w:r w:rsidR="00607C7E" w:rsidRPr="00AC1B85">
        <w:t xml:space="preserve">and </w:t>
      </w:r>
      <w:proofErr w:type="spellStart"/>
      <w:r w:rsidR="00607C7E" w:rsidRPr="00AC1B85">
        <w:t>velaglucerase</w:t>
      </w:r>
      <w:proofErr w:type="spellEnd"/>
      <w:r w:rsidR="00607C7E" w:rsidRPr="00AC1B85">
        <w:t xml:space="preserve"> </w:t>
      </w:r>
      <w:r w:rsidR="00582D38">
        <w:t>wa</w:t>
      </w:r>
      <w:r w:rsidR="00414F45" w:rsidRPr="00AC1B85">
        <w:t>s</w:t>
      </w:r>
      <w:r w:rsidR="00607C7E" w:rsidRPr="00AC1B85">
        <w:t xml:space="preserve"> unclear.</w:t>
      </w:r>
      <w:r w:rsidR="00607C7E" w:rsidRPr="009F1A97">
        <w:rPr>
          <w:i/>
        </w:rPr>
        <w:t xml:space="preserve"> </w:t>
      </w:r>
      <w:r w:rsidR="00675AE3" w:rsidRPr="00A151DE">
        <w:t>The ESC noted that t</w:t>
      </w:r>
      <w:r w:rsidR="00CD4134" w:rsidRPr="00A151DE">
        <w:t xml:space="preserve">he PSCR (p4) stated that in-home infusion services would be provided by the sponsor and would not be at a cost to Government. </w:t>
      </w:r>
    </w:p>
    <w:p w:rsidR="00607C7E" w:rsidRPr="00607C7E" w:rsidRDefault="00607C7E" w:rsidP="00607C7E">
      <w:pPr>
        <w:widowControl/>
        <w:ind w:left="709"/>
        <w:rPr>
          <w:szCs w:val="22"/>
        </w:rPr>
      </w:pPr>
    </w:p>
    <w:p w:rsidR="00607C7E" w:rsidRDefault="00607C7E" w:rsidP="00C32489">
      <w:pPr>
        <w:pStyle w:val="ListParagraph"/>
        <w:widowControl/>
        <w:numPr>
          <w:ilvl w:val="1"/>
          <w:numId w:val="2"/>
        </w:numPr>
        <w:ind w:left="709" w:hanging="709"/>
        <w:rPr>
          <w:i/>
        </w:rPr>
      </w:pPr>
      <w:r>
        <w:t>The resubmission assume</w:t>
      </w:r>
      <w:r w:rsidR="00582D38">
        <w:t>d</w:t>
      </w:r>
      <w:r>
        <w:t xml:space="preserve"> that there are no differences in the costs of managing adverse events between treatments as all treatments have comparable safety profiles. </w:t>
      </w:r>
      <w:r w:rsidRPr="00AC1B85">
        <w:t>Th</w:t>
      </w:r>
      <w:r w:rsidR="00582D38">
        <w:t>e evaluation noted that this</w:t>
      </w:r>
      <w:r w:rsidRPr="00AC1B85">
        <w:t xml:space="preserve"> assumption may not be reasonable given that there </w:t>
      </w:r>
      <w:r w:rsidR="00582D38">
        <w:t>we</w:t>
      </w:r>
      <w:r w:rsidRPr="00AC1B85">
        <w:t xml:space="preserve">re insufficient data reported in the included studies to compare the safety profiles of </w:t>
      </w:r>
      <w:proofErr w:type="spellStart"/>
      <w:r w:rsidRPr="00AC1B85">
        <w:t>taliglucerase</w:t>
      </w:r>
      <w:proofErr w:type="spellEnd"/>
      <w:r w:rsidR="00896815">
        <w:t xml:space="preserve"> alfa</w:t>
      </w:r>
      <w:r w:rsidRPr="00AC1B85">
        <w:t xml:space="preserve"> with other enzyme replacement therapies. However, </w:t>
      </w:r>
      <w:r w:rsidR="00582D38">
        <w:t xml:space="preserve">it was noted by the evaluation that </w:t>
      </w:r>
      <w:r w:rsidRPr="00AC1B85">
        <w:t xml:space="preserve">the costs of treating these adverse events are likely to be minimal relative to the actual </w:t>
      </w:r>
      <w:r w:rsidR="00582D38">
        <w:t xml:space="preserve">drug </w:t>
      </w:r>
      <w:r w:rsidRPr="00AC1B85">
        <w:t>treatment costs.</w:t>
      </w:r>
      <w:r>
        <w:rPr>
          <w:i/>
        </w:rPr>
        <w:t xml:space="preserve"> </w:t>
      </w:r>
    </w:p>
    <w:p w:rsidR="00C25D9C" w:rsidRDefault="00C25D9C" w:rsidP="00C25D9C">
      <w:pPr>
        <w:widowControl/>
        <w:rPr>
          <w:szCs w:val="22"/>
        </w:rPr>
      </w:pPr>
    </w:p>
    <w:p w:rsidR="00A151DE" w:rsidRDefault="00A151DE" w:rsidP="00A151DE">
      <w:pPr>
        <w:pStyle w:val="ListParagraph"/>
        <w:ind w:left="709"/>
        <w:rPr>
          <w:i/>
          <w:szCs w:val="22"/>
        </w:rPr>
      </w:pPr>
      <w:r>
        <w:rPr>
          <w:i/>
          <w:szCs w:val="22"/>
        </w:rPr>
        <w:t>For more detail on PBAC’s view, see section 7 “PBAC outcome”</w:t>
      </w:r>
    </w:p>
    <w:p w:rsidR="00A151DE" w:rsidRPr="00AC1B85" w:rsidRDefault="00A151DE" w:rsidP="00A151DE">
      <w:pPr>
        <w:widowControl/>
        <w:ind w:left="709"/>
        <w:rPr>
          <w:szCs w:val="22"/>
        </w:rPr>
      </w:pPr>
    </w:p>
    <w:p w:rsidR="00C25D9C" w:rsidRPr="00EF0F93" w:rsidRDefault="004A6987" w:rsidP="00EF0F93">
      <w:pPr>
        <w:rPr>
          <w:b/>
          <w:szCs w:val="22"/>
        </w:rPr>
      </w:pPr>
      <w:bookmarkStart w:id="15" w:name="_Toc398646928"/>
      <w:proofErr w:type="spellStart"/>
      <w:proofErr w:type="gramStart"/>
      <w:r w:rsidRPr="00EF0F93">
        <w:rPr>
          <w:b/>
          <w:szCs w:val="22"/>
        </w:rPr>
        <w:t>Taliglucerase</w:t>
      </w:r>
      <w:proofErr w:type="spellEnd"/>
      <w:r w:rsidRPr="00EF0F93">
        <w:rPr>
          <w:b/>
          <w:szCs w:val="22"/>
        </w:rPr>
        <w:t xml:space="preserve"> </w:t>
      </w:r>
      <w:r w:rsidR="00896815" w:rsidRPr="00EF0F93">
        <w:rPr>
          <w:b/>
          <w:szCs w:val="22"/>
        </w:rPr>
        <w:t xml:space="preserve">alfa </w:t>
      </w:r>
      <w:r w:rsidR="00C25D9C" w:rsidRPr="00EF0F93">
        <w:rPr>
          <w:b/>
          <w:szCs w:val="22"/>
        </w:rPr>
        <w:t>cost/patient/year:</w:t>
      </w:r>
      <w:r w:rsidRPr="00EF0F93">
        <w:rPr>
          <w:b/>
          <w:szCs w:val="22"/>
        </w:rPr>
        <w:t xml:space="preserve"> </w:t>
      </w:r>
      <w:r w:rsidR="00E836B3" w:rsidRPr="00EF0F93">
        <w:rPr>
          <w:b/>
          <w:szCs w:val="22"/>
          <w:highlight w:val="black"/>
        </w:rPr>
        <w:t>'''''''''''''''''''''' ''''''''''' ''''''' ''''''''''''''''''''' '''''''''''''''''''' ''''''''''''</w:t>
      </w:r>
      <w:proofErr w:type="gramEnd"/>
      <w:r w:rsidR="00E836B3" w:rsidRPr="00EF0F93">
        <w:rPr>
          <w:b/>
          <w:szCs w:val="22"/>
        </w:rPr>
        <w:t xml:space="preserve"> </w:t>
      </w:r>
      <w:bookmarkEnd w:id="15"/>
    </w:p>
    <w:p w:rsidR="00C25D9C" w:rsidRPr="00C25D9C" w:rsidRDefault="00C25D9C" w:rsidP="00C25D9C">
      <w:pPr>
        <w:widowControl/>
        <w:rPr>
          <w:szCs w:val="22"/>
        </w:rPr>
      </w:pPr>
    </w:p>
    <w:p w:rsidR="00F44BB3" w:rsidRPr="00F44BB3" w:rsidRDefault="004A6987" w:rsidP="00577D82">
      <w:pPr>
        <w:pStyle w:val="ListParagraph"/>
        <w:numPr>
          <w:ilvl w:val="1"/>
          <w:numId w:val="2"/>
        </w:numPr>
        <w:ind w:left="709" w:hanging="709"/>
        <w:rPr>
          <w:szCs w:val="22"/>
        </w:rPr>
      </w:pPr>
      <w:r w:rsidRPr="00F44BB3">
        <w:rPr>
          <w:szCs w:val="22"/>
        </w:rPr>
        <w:t xml:space="preserve">The cost/patient/year for </w:t>
      </w:r>
      <w:proofErr w:type="spellStart"/>
      <w:r w:rsidRPr="00F44BB3">
        <w:rPr>
          <w:szCs w:val="22"/>
        </w:rPr>
        <w:t>taliglucerase</w:t>
      </w:r>
      <w:proofErr w:type="spellEnd"/>
      <w:r w:rsidRPr="00F44BB3">
        <w:rPr>
          <w:szCs w:val="22"/>
        </w:rPr>
        <w:t xml:space="preserve"> </w:t>
      </w:r>
      <w:r w:rsidR="00EB6319">
        <w:rPr>
          <w:szCs w:val="22"/>
        </w:rPr>
        <w:t xml:space="preserve">alfa </w:t>
      </w:r>
      <w:r w:rsidR="00582D38">
        <w:rPr>
          <w:szCs w:val="22"/>
        </w:rPr>
        <w:t>wa</w:t>
      </w:r>
      <w:r w:rsidRPr="00F44BB3">
        <w:rPr>
          <w:szCs w:val="22"/>
        </w:rPr>
        <w:t xml:space="preserve">s calculated based on fortnightly infusions (26 infusions/year) with an average dose of 30.86 U/kg (from </w:t>
      </w:r>
      <w:proofErr w:type="spellStart"/>
      <w:r w:rsidRPr="00F44BB3">
        <w:rPr>
          <w:szCs w:val="22"/>
        </w:rPr>
        <w:t>Szer</w:t>
      </w:r>
      <w:proofErr w:type="spellEnd"/>
      <w:r w:rsidRPr="00F44BB3">
        <w:rPr>
          <w:szCs w:val="22"/>
        </w:rPr>
        <w:t xml:space="preserve"> 2014 – Australian sample) and average body weight of 68</w:t>
      </w:r>
      <w:r w:rsidR="00694353">
        <w:rPr>
          <w:szCs w:val="22"/>
        </w:rPr>
        <w:t xml:space="preserve"> </w:t>
      </w:r>
      <w:r w:rsidRPr="00F44BB3">
        <w:rPr>
          <w:szCs w:val="22"/>
        </w:rPr>
        <w:t>kg (from Trial PB-06-001). Actual costs per patient w</w:t>
      </w:r>
      <w:r w:rsidR="00582D38">
        <w:rPr>
          <w:szCs w:val="22"/>
        </w:rPr>
        <w:t>ould</w:t>
      </w:r>
      <w:r w:rsidRPr="00F44BB3">
        <w:rPr>
          <w:szCs w:val="22"/>
        </w:rPr>
        <w:t xml:space="preserve"> vary </w:t>
      </w:r>
      <w:r w:rsidR="00724C51" w:rsidRPr="00F44BB3">
        <w:rPr>
          <w:szCs w:val="22"/>
        </w:rPr>
        <w:t>as dosage is individualised to each patient</w:t>
      </w:r>
      <w:r w:rsidRPr="00F44BB3">
        <w:rPr>
          <w:szCs w:val="22"/>
        </w:rPr>
        <w:t xml:space="preserve">. Treatment is </w:t>
      </w:r>
      <w:r w:rsidRPr="00F44BB3">
        <w:rPr>
          <w:szCs w:val="22"/>
        </w:rPr>
        <w:lastRenderedPageBreak/>
        <w:t>ongoing.</w:t>
      </w:r>
      <w:r w:rsidR="00F44BB3" w:rsidRPr="00F44BB3">
        <w:rPr>
          <w:szCs w:val="22"/>
        </w:rPr>
        <w:t xml:space="preserve"> </w:t>
      </w:r>
      <w:r w:rsidR="00F44BB3" w:rsidRPr="00A151DE">
        <w:rPr>
          <w:szCs w:val="22"/>
        </w:rPr>
        <w:t>The ESC noted international literature</w:t>
      </w:r>
      <w:r w:rsidR="00376C1D">
        <w:rPr>
          <w:rStyle w:val="FootnoteReference"/>
          <w:szCs w:val="22"/>
        </w:rPr>
        <w:footnoteReference w:id="1"/>
      </w:r>
      <w:r w:rsidR="00376C1D" w:rsidRPr="00376C1D">
        <w:rPr>
          <w:sz w:val="16"/>
          <w:szCs w:val="16"/>
          <w:vertAlign w:val="superscript"/>
        </w:rPr>
        <w:t>,</w:t>
      </w:r>
      <w:r w:rsidR="00376C1D">
        <w:rPr>
          <w:rStyle w:val="FootnoteReference"/>
          <w:szCs w:val="22"/>
        </w:rPr>
        <w:footnoteReference w:id="2"/>
      </w:r>
      <w:r w:rsidR="00694353" w:rsidRPr="00A151DE">
        <w:rPr>
          <w:szCs w:val="22"/>
        </w:rPr>
        <w:t xml:space="preserve"> </w:t>
      </w:r>
      <w:r w:rsidR="00F44BB3" w:rsidRPr="00A151DE">
        <w:rPr>
          <w:szCs w:val="22"/>
        </w:rPr>
        <w:t>indicat</w:t>
      </w:r>
      <w:r w:rsidR="00694353" w:rsidRPr="00A151DE">
        <w:rPr>
          <w:szCs w:val="22"/>
        </w:rPr>
        <w:t>ing</w:t>
      </w:r>
      <w:r w:rsidR="00F44BB3" w:rsidRPr="00A151DE">
        <w:rPr>
          <w:szCs w:val="22"/>
        </w:rPr>
        <w:t xml:space="preserve"> lower starting doses (15</w:t>
      </w:r>
      <w:r w:rsidR="00694353" w:rsidRPr="00A151DE">
        <w:rPr>
          <w:szCs w:val="22"/>
        </w:rPr>
        <w:t xml:space="preserve"> </w:t>
      </w:r>
      <w:r w:rsidR="001C3891" w:rsidRPr="00A151DE">
        <w:rPr>
          <w:szCs w:val="22"/>
        </w:rPr>
        <w:t>U</w:t>
      </w:r>
      <w:r w:rsidR="00F44BB3" w:rsidRPr="00A151DE">
        <w:rPr>
          <w:szCs w:val="22"/>
        </w:rPr>
        <w:t>/kg e</w:t>
      </w:r>
      <w:r w:rsidR="001C3891" w:rsidRPr="00A151DE">
        <w:rPr>
          <w:szCs w:val="22"/>
        </w:rPr>
        <w:t>very two weeks in adults and 30</w:t>
      </w:r>
      <w:r w:rsidR="00694353" w:rsidRPr="00A151DE">
        <w:rPr>
          <w:szCs w:val="22"/>
        </w:rPr>
        <w:t xml:space="preserve"> </w:t>
      </w:r>
      <w:r w:rsidR="001C3891" w:rsidRPr="00A151DE">
        <w:rPr>
          <w:szCs w:val="22"/>
        </w:rPr>
        <w:t>U</w:t>
      </w:r>
      <w:r w:rsidR="00F44BB3" w:rsidRPr="00A151DE">
        <w:rPr>
          <w:szCs w:val="22"/>
        </w:rPr>
        <w:t>/kg every 2 weeks in children) can be used and appear equally effective. This</w:t>
      </w:r>
      <w:r w:rsidR="001C3891" w:rsidRPr="00A151DE">
        <w:rPr>
          <w:szCs w:val="22"/>
        </w:rPr>
        <w:t>, along with the likely higher average body weight of 75</w:t>
      </w:r>
      <w:r w:rsidR="00694353" w:rsidRPr="00A151DE">
        <w:rPr>
          <w:szCs w:val="22"/>
        </w:rPr>
        <w:t xml:space="preserve"> </w:t>
      </w:r>
      <w:r w:rsidR="001C3891" w:rsidRPr="00A151DE">
        <w:rPr>
          <w:szCs w:val="22"/>
        </w:rPr>
        <w:t>kg,</w:t>
      </w:r>
      <w:r w:rsidR="00F44BB3" w:rsidRPr="00A151DE">
        <w:rPr>
          <w:szCs w:val="22"/>
        </w:rPr>
        <w:t xml:space="preserve"> would impact </w:t>
      </w:r>
      <w:r w:rsidR="001C3891" w:rsidRPr="00A151DE">
        <w:rPr>
          <w:szCs w:val="22"/>
        </w:rPr>
        <w:t>cost</w:t>
      </w:r>
      <w:r w:rsidR="001C3891" w:rsidRPr="00694353">
        <w:rPr>
          <w:i/>
          <w:szCs w:val="22"/>
        </w:rPr>
        <w:t>.</w:t>
      </w:r>
      <w:r w:rsidR="001C3891">
        <w:rPr>
          <w:szCs w:val="22"/>
        </w:rPr>
        <w:t xml:space="preserve"> </w:t>
      </w:r>
      <w:r w:rsidR="00F44BB3" w:rsidRPr="00F44BB3">
        <w:rPr>
          <w:szCs w:val="22"/>
        </w:rPr>
        <w:t xml:space="preserve"> </w:t>
      </w:r>
    </w:p>
    <w:p w:rsidR="00B60939" w:rsidRDefault="00B60939" w:rsidP="001456B0">
      <w:pPr>
        <w:rPr>
          <w:szCs w:val="22"/>
        </w:rPr>
      </w:pPr>
    </w:p>
    <w:p w:rsidR="00B60939" w:rsidRPr="00EF0F93" w:rsidRDefault="00B60939" w:rsidP="00EF0F93">
      <w:pPr>
        <w:rPr>
          <w:b/>
          <w:szCs w:val="22"/>
        </w:rPr>
      </w:pPr>
      <w:bookmarkStart w:id="16" w:name="_Toc398646929"/>
      <w:r w:rsidRPr="00EF0F93">
        <w:rPr>
          <w:b/>
          <w:szCs w:val="22"/>
        </w:rPr>
        <w:t>Estimated PBS usage &amp; financial implications</w:t>
      </w:r>
      <w:bookmarkEnd w:id="16"/>
    </w:p>
    <w:p w:rsidR="00B60939" w:rsidRPr="00882085" w:rsidRDefault="00B60939" w:rsidP="00497F10"/>
    <w:p w:rsidR="0034314F" w:rsidRPr="0034314F" w:rsidRDefault="00C25D9C" w:rsidP="00C32489">
      <w:pPr>
        <w:pStyle w:val="ListParagraph"/>
        <w:widowControl/>
        <w:numPr>
          <w:ilvl w:val="1"/>
          <w:numId w:val="2"/>
        </w:numPr>
        <w:ind w:left="709" w:hanging="709"/>
        <w:rPr>
          <w:szCs w:val="22"/>
        </w:rPr>
      </w:pPr>
      <w:r w:rsidRPr="00740FF0">
        <w:t xml:space="preserve">This </w:t>
      </w:r>
      <w:r w:rsidR="0004231D" w:rsidRPr="00740FF0">
        <w:t>re</w:t>
      </w:r>
      <w:r w:rsidRPr="00740FF0">
        <w:t xml:space="preserve">submission </w:t>
      </w:r>
      <w:r w:rsidR="00AC1B85">
        <w:t>wa</w:t>
      </w:r>
      <w:r w:rsidRPr="00740FF0">
        <w:t>s not considered by DUSC</w:t>
      </w:r>
      <w:r w:rsidR="00740FF0">
        <w:t>.</w:t>
      </w:r>
      <w:r w:rsidR="00E172B0" w:rsidRPr="00E172B0">
        <w:t xml:space="preserve"> </w:t>
      </w:r>
    </w:p>
    <w:p w:rsidR="0034314F" w:rsidRPr="0034314F" w:rsidRDefault="0034314F" w:rsidP="0034314F">
      <w:pPr>
        <w:pStyle w:val="ListParagraph"/>
        <w:widowControl/>
        <w:ind w:left="709"/>
        <w:rPr>
          <w:szCs w:val="22"/>
        </w:rPr>
      </w:pPr>
    </w:p>
    <w:p w:rsidR="00E172B0" w:rsidRPr="00882605" w:rsidRDefault="000E7855" w:rsidP="00C32489">
      <w:pPr>
        <w:pStyle w:val="ListParagraph"/>
        <w:widowControl/>
        <w:numPr>
          <w:ilvl w:val="1"/>
          <w:numId w:val="2"/>
        </w:numPr>
        <w:ind w:left="709" w:hanging="709"/>
        <w:rPr>
          <w:i/>
          <w:szCs w:val="22"/>
        </w:rPr>
      </w:pPr>
      <w:r w:rsidRPr="000E7855">
        <w:t xml:space="preserve">A mixed market-share and epidemiological approach </w:t>
      </w:r>
      <w:r w:rsidR="00582D38">
        <w:t>wa</w:t>
      </w:r>
      <w:r w:rsidRPr="000E7855">
        <w:t>s taken</w:t>
      </w:r>
      <w:r w:rsidR="00740FF0">
        <w:t>.</w:t>
      </w:r>
      <w:r w:rsidR="00D15BD4">
        <w:rPr>
          <w:i/>
        </w:rPr>
        <w:t xml:space="preserve"> </w:t>
      </w:r>
      <w:r w:rsidR="00882605" w:rsidRPr="00A151DE">
        <w:t>The ESC noted that t</w:t>
      </w:r>
      <w:r w:rsidR="00F611F4" w:rsidRPr="00A151DE">
        <w:t>he PSCR (p3) explain</w:t>
      </w:r>
      <w:r w:rsidR="00582D38">
        <w:t>ed</w:t>
      </w:r>
      <w:r w:rsidR="00F611F4" w:rsidRPr="00A151DE">
        <w:t xml:space="preserve"> that the number treated with </w:t>
      </w:r>
      <w:proofErr w:type="spellStart"/>
      <w:r w:rsidR="00F611F4" w:rsidRPr="00A151DE">
        <w:t>taliglucerase</w:t>
      </w:r>
      <w:proofErr w:type="spellEnd"/>
      <w:r w:rsidR="00EB6319">
        <w:t xml:space="preserve"> alfa</w:t>
      </w:r>
      <w:r w:rsidR="00F611F4" w:rsidRPr="00A151DE">
        <w:t xml:space="preserve"> </w:t>
      </w:r>
      <w:r w:rsidR="00582D38">
        <w:t>wa</w:t>
      </w:r>
      <w:r w:rsidR="00F611F4" w:rsidRPr="00A151DE">
        <w:t xml:space="preserve">s based on the number of current Special Access Scheme patients on </w:t>
      </w:r>
      <w:proofErr w:type="spellStart"/>
      <w:r w:rsidR="00F611F4" w:rsidRPr="00A151DE">
        <w:t>taliglucerase</w:t>
      </w:r>
      <w:proofErr w:type="spellEnd"/>
      <w:r w:rsidR="00896815">
        <w:t xml:space="preserve"> alfa</w:t>
      </w:r>
      <w:r w:rsidR="00F611F4" w:rsidRPr="00A151DE">
        <w:t xml:space="preserve">, a proportion (20%) of the current </w:t>
      </w:r>
      <w:proofErr w:type="spellStart"/>
      <w:r w:rsidR="00F611F4" w:rsidRPr="00A151DE">
        <w:t>imiglucerase</w:t>
      </w:r>
      <w:proofErr w:type="spellEnd"/>
      <w:r w:rsidR="00F611F4" w:rsidRPr="00A151DE">
        <w:t xml:space="preserve"> and </w:t>
      </w:r>
      <w:proofErr w:type="spellStart"/>
      <w:r w:rsidR="00F611F4" w:rsidRPr="00A151DE">
        <w:t>velaglucerase</w:t>
      </w:r>
      <w:proofErr w:type="spellEnd"/>
      <w:r w:rsidR="00F611F4" w:rsidRPr="00A151DE">
        <w:t xml:space="preserve"> patients switching to </w:t>
      </w:r>
      <w:proofErr w:type="spellStart"/>
      <w:r w:rsidR="00F611F4" w:rsidRPr="00A151DE">
        <w:t>taliglucerase</w:t>
      </w:r>
      <w:proofErr w:type="spellEnd"/>
      <w:r w:rsidR="00F611F4" w:rsidRPr="00A151DE">
        <w:t xml:space="preserve"> </w:t>
      </w:r>
      <w:r w:rsidR="00896815">
        <w:t xml:space="preserve">alfa </w:t>
      </w:r>
      <w:r w:rsidR="00F611F4" w:rsidRPr="00A151DE">
        <w:t xml:space="preserve">and a single incident patient. </w:t>
      </w:r>
      <w:r w:rsidR="009806B8" w:rsidRPr="00A151DE">
        <w:t xml:space="preserve">An incidence of </w:t>
      </w:r>
      <w:proofErr w:type="spellStart"/>
      <w:proofErr w:type="gramStart"/>
      <w:r w:rsidR="009806B8" w:rsidRPr="00A151DE">
        <w:t>Gaucher</w:t>
      </w:r>
      <w:proofErr w:type="spellEnd"/>
      <w:proofErr w:type="gramEnd"/>
      <w:r w:rsidR="009806B8" w:rsidRPr="00A151DE">
        <w:t xml:space="preserve"> disease of </w:t>
      </w:r>
      <w:r w:rsidR="00882605" w:rsidRPr="00A151DE">
        <w:t>4.35 </w:t>
      </w:r>
      <w:r w:rsidR="009806B8" w:rsidRPr="00A151DE">
        <w:t xml:space="preserve">patients per year was estimated from </w:t>
      </w:r>
      <w:proofErr w:type="spellStart"/>
      <w:r w:rsidR="009806B8" w:rsidRPr="00A151DE">
        <w:t>Meikle</w:t>
      </w:r>
      <w:proofErr w:type="spellEnd"/>
      <w:r w:rsidR="009806B8" w:rsidRPr="00A151DE">
        <w:t xml:space="preserve"> et al. (1999). If Type 2 or 3</w:t>
      </w:r>
      <w:r w:rsidR="009D4612">
        <w:t> </w:t>
      </w:r>
      <w:proofErr w:type="spellStart"/>
      <w:proofErr w:type="gramStart"/>
      <w:r w:rsidR="009806B8" w:rsidRPr="00A151DE">
        <w:t>Gaucher</w:t>
      </w:r>
      <w:proofErr w:type="spellEnd"/>
      <w:proofErr w:type="gramEnd"/>
      <w:r w:rsidR="009806B8" w:rsidRPr="00A151DE">
        <w:t xml:space="preserve"> disease is taken into account, </w:t>
      </w:r>
      <w:r w:rsidR="00F611F4" w:rsidRPr="00A151DE">
        <w:t xml:space="preserve">this could equate to less than one patient per year being eligible for treatment with </w:t>
      </w:r>
      <w:proofErr w:type="spellStart"/>
      <w:r w:rsidR="00F611F4" w:rsidRPr="00A151DE">
        <w:t>taliglucerase</w:t>
      </w:r>
      <w:proofErr w:type="spellEnd"/>
      <w:r w:rsidR="00896815">
        <w:t xml:space="preserve"> alfa</w:t>
      </w:r>
      <w:r w:rsidR="00F611F4" w:rsidRPr="00A151DE">
        <w:t xml:space="preserve"> as the proposed listing limits treatment to Type 1 </w:t>
      </w:r>
      <w:proofErr w:type="spellStart"/>
      <w:r w:rsidR="00F611F4" w:rsidRPr="00A151DE">
        <w:t>Gaucher</w:t>
      </w:r>
      <w:proofErr w:type="spellEnd"/>
      <w:r w:rsidR="00F611F4" w:rsidRPr="00A151DE">
        <w:t xml:space="preserve"> disease.  The </w:t>
      </w:r>
      <w:r w:rsidR="00582D38" w:rsidRPr="00A151DE">
        <w:t>s</w:t>
      </w:r>
      <w:r w:rsidR="00582D38">
        <w:t xml:space="preserve">ubmission </w:t>
      </w:r>
      <w:r w:rsidR="00F611F4" w:rsidRPr="00A151DE">
        <w:t>assume</w:t>
      </w:r>
      <w:r w:rsidR="00582D38">
        <w:t>d</w:t>
      </w:r>
      <w:r w:rsidR="00F611F4" w:rsidRPr="00A151DE">
        <w:t xml:space="preserve"> that no more than 1 out of the 4 newly diagnosed </w:t>
      </w:r>
      <w:proofErr w:type="spellStart"/>
      <w:proofErr w:type="gramStart"/>
      <w:r w:rsidR="00F611F4" w:rsidRPr="00A151DE">
        <w:t>Gaucher</w:t>
      </w:r>
      <w:proofErr w:type="spellEnd"/>
      <w:proofErr w:type="gramEnd"/>
      <w:r w:rsidR="00F611F4" w:rsidRPr="00A151DE">
        <w:t xml:space="preserve"> disease patients per year would be treated with </w:t>
      </w:r>
      <w:proofErr w:type="spellStart"/>
      <w:r w:rsidR="00F611F4" w:rsidRPr="00A151DE">
        <w:t>taliglucerase</w:t>
      </w:r>
      <w:proofErr w:type="spellEnd"/>
      <w:r w:rsidR="00EB6319">
        <w:t xml:space="preserve"> alfa</w:t>
      </w:r>
      <w:r w:rsidR="00F611F4" w:rsidRPr="00A151DE">
        <w:t>, but acknowledge</w:t>
      </w:r>
      <w:r w:rsidR="00582D38">
        <w:t>d</w:t>
      </w:r>
      <w:r w:rsidR="00F611F4" w:rsidRPr="00A151DE">
        <w:t xml:space="preserve"> that there is no evidence to support this number.</w:t>
      </w:r>
      <w:r w:rsidR="00F611F4" w:rsidRPr="00882605">
        <w:rPr>
          <w:i/>
        </w:rPr>
        <w:t xml:space="preserve">  </w:t>
      </w:r>
      <w:r w:rsidR="00F611F4" w:rsidRPr="00882605">
        <w:t>The resubmissions estimates of use and financial implications are shown below.</w:t>
      </w:r>
    </w:p>
    <w:p w:rsidR="00C25D9C" w:rsidRDefault="00C25D9C" w:rsidP="00C25D9C">
      <w:pPr>
        <w:widowControl/>
        <w:rPr>
          <w:szCs w:val="22"/>
        </w:rPr>
      </w:pPr>
    </w:p>
    <w:p w:rsidR="0004231D" w:rsidRPr="001222FC" w:rsidRDefault="0004231D" w:rsidP="00B608CF">
      <w:pPr>
        <w:ind w:firstLine="709"/>
        <w:rPr>
          <w:rStyle w:val="CommentReference"/>
        </w:rPr>
      </w:pPr>
      <w:r w:rsidRPr="001222FC">
        <w:rPr>
          <w:rStyle w:val="CommentReference"/>
        </w:rPr>
        <w:t>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1140"/>
        <w:gridCol w:w="1133"/>
        <w:gridCol w:w="1133"/>
        <w:gridCol w:w="1135"/>
        <w:gridCol w:w="1252"/>
      </w:tblGrid>
      <w:tr w:rsidR="00B608CF" w:rsidRPr="00ED0F04" w:rsidTr="00B608CF">
        <w:trPr>
          <w:tblHeader/>
        </w:trPr>
        <w:tc>
          <w:tcPr>
            <w:tcW w:w="1529" w:type="pct"/>
            <w:shd w:val="clear" w:color="auto" w:fill="auto"/>
            <w:vAlign w:val="center"/>
          </w:tcPr>
          <w:p w:rsidR="0004231D" w:rsidRPr="00ED0F04" w:rsidRDefault="0004231D" w:rsidP="00577717">
            <w:pPr>
              <w:tabs>
                <w:tab w:val="left" w:pos="142"/>
              </w:tabs>
              <w:ind w:right="93"/>
              <w:jc w:val="left"/>
              <w:rPr>
                <w:rFonts w:ascii="Arial Narrow" w:hAnsi="Arial Narrow"/>
                <w:b/>
                <w:sz w:val="20"/>
              </w:rPr>
            </w:pPr>
          </w:p>
        </w:tc>
        <w:tc>
          <w:tcPr>
            <w:tcW w:w="683"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1</w:t>
            </w:r>
          </w:p>
        </w:tc>
        <w:tc>
          <w:tcPr>
            <w:tcW w:w="679"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2</w:t>
            </w:r>
          </w:p>
        </w:tc>
        <w:tc>
          <w:tcPr>
            <w:tcW w:w="679"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3</w:t>
            </w:r>
          </w:p>
        </w:tc>
        <w:tc>
          <w:tcPr>
            <w:tcW w:w="680"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4</w:t>
            </w:r>
          </w:p>
        </w:tc>
        <w:tc>
          <w:tcPr>
            <w:tcW w:w="750" w:type="pct"/>
            <w:shd w:val="clear" w:color="auto" w:fill="auto"/>
            <w:vAlign w:val="center"/>
          </w:tcPr>
          <w:p w:rsidR="0004231D" w:rsidRPr="00ED0F04" w:rsidRDefault="0004231D" w:rsidP="00577717">
            <w:pPr>
              <w:ind w:right="93"/>
              <w:jc w:val="center"/>
              <w:rPr>
                <w:rFonts w:ascii="Arial Narrow" w:hAnsi="Arial Narrow"/>
                <w:b/>
                <w:sz w:val="20"/>
              </w:rPr>
            </w:pPr>
            <w:r w:rsidRPr="00ED0F04">
              <w:rPr>
                <w:rFonts w:ascii="Arial Narrow" w:hAnsi="Arial Narrow"/>
                <w:b/>
                <w:sz w:val="20"/>
              </w:rPr>
              <w:t>Year 5</w:t>
            </w:r>
          </w:p>
        </w:tc>
      </w:tr>
      <w:tr w:rsidR="0004231D" w:rsidRPr="00ED0F04" w:rsidTr="00B608CF">
        <w:tc>
          <w:tcPr>
            <w:tcW w:w="5000" w:type="pct"/>
            <w:gridSpan w:val="6"/>
            <w:shd w:val="clear" w:color="auto" w:fill="auto"/>
            <w:vAlign w:val="center"/>
          </w:tcPr>
          <w:p w:rsidR="0004231D" w:rsidRPr="00ED0F04" w:rsidRDefault="0004231D" w:rsidP="00577717">
            <w:pPr>
              <w:ind w:right="93"/>
              <w:jc w:val="left"/>
              <w:rPr>
                <w:rFonts w:ascii="Arial Narrow" w:hAnsi="Arial Narrow"/>
                <w:b/>
                <w:bCs/>
                <w:color w:val="000000"/>
                <w:sz w:val="20"/>
              </w:rPr>
            </w:pPr>
            <w:r w:rsidRPr="00ED0F04">
              <w:rPr>
                <w:rFonts w:ascii="Arial Narrow" w:hAnsi="Arial Narrow"/>
                <w:b/>
                <w:bCs/>
                <w:color w:val="000000"/>
                <w:sz w:val="20"/>
              </w:rPr>
              <w:t>Estimated extent of use</w:t>
            </w:r>
          </w:p>
        </w:tc>
      </w:tr>
      <w:tr w:rsidR="00B608CF" w:rsidRPr="00ED0F04" w:rsidTr="00B608CF">
        <w:tc>
          <w:tcPr>
            <w:tcW w:w="1529" w:type="pct"/>
            <w:shd w:val="clear" w:color="auto" w:fill="auto"/>
            <w:vAlign w:val="center"/>
          </w:tcPr>
          <w:p w:rsidR="0004231D" w:rsidRPr="00ED0F04" w:rsidRDefault="0004231D" w:rsidP="00577717">
            <w:pPr>
              <w:tabs>
                <w:tab w:val="left" w:pos="142"/>
              </w:tabs>
              <w:ind w:right="93"/>
              <w:jc w:val="left"/>
              <w:rPr>
                <w:rFonts w:ascii="Arial Narrow" w:hAnsi="Arial Narrow"/>
                <w:sz w:val="20"/>
              </w:rPr>
            </w:pPr>
            <w:r w:rsidRPr="00ED0F04">
              <w:rPr>
                <w:rFonts w:ascii="Arial Narrow" w:hAnsi="Arial Narrow"/>
                <w:sz w:val="20"/>
              </w:rPr>
              <w:t>Number treated</w:t>
            </w:r>
          </w:p>
        </w:tc>
        <w:tc>
          <w:tcPr>
            <w:tcW w:w="683" w:type="pct"/>
            <w:shd w:val="clear" w:color="auto" w:fill="auto"/>
            <w:vAlign w:val="center"/>
          </w:tcPr>
          <w:p w:rsidR="0004231D" w:rsidRPr="00720FB9" w:rsidRDefault="00720FB9" w:rsidP="00577717">
            <w:pPr>
              <w:ind w:right="93"/>
              <w:jc w:val="center"/>
              <w:rPr>
                <w:rFonts w:ascii="Arial Narrow" w:hAnsi="Arial Narrow"/>
                <w:bCs/>
                <w:color w:val="000000"/>
                <w:sz w:val="20"/>
              </w:rPr>
            </w:pPr>
            <w:r w:rsidRPr="00720FB9">
              <w:rPr>
                <w:rFonts w:ascii="Arial Narrow" w:hAnsi="Arial Narrow"/>
                <w:bCs/>
                <w:color w:val="000000"/>
                <w:sz w:val="20"/>
              </w:rPr>
              <w:t>20</w:t>
            </w:r>
          </w:p>
        </w:tc>
        <w:tc>
          <w:tcPr>
            <w:tcW w:w="679" w:type="pct"/>
            <w:shd w:val="clear" w:color="auto" w:fill="auto"/>
            <w:vAlign w:val="center"/>
          </w:tcPr>
          <w:p w:rsidR="0004231D" w:rsidRPr="00720FB9" w:rsidRDefault="00720FB9" w:rsidP="00577717">
            <w:pPr>
              <w:ind w:right="93"/>
              <w:jc w:val="center"/>
              <w:rPr>
                <w:rFonts w:ascii="Arial Narrow" w:hAnsi="Arial Narrow"/>
                <w:bCs/>
                <w:color w:val="000000"/>
                <w:sz w:val="20"/>
              </w:rPr>
            </w:pPr>
            <w:r w:rsidRPr="00720FB9">
              <w:rPr>
                <w:rFonts w:ascii="Arial Narrow" w:hAnsi="Arial Narrow"/>
                <w:bCs/>
                <w:color w:val="000000"/>
                <w:sz w:val="20"/>
              </w:rPr>
              <w:t>21</w:t>
            </w:r>
          </w:p>
        </w:tc>
        <w:tc>
          <w:tcPr>
            <w:tcW w:w="679" w:type="pct"/>
            <w:shd w:val="clear" w:color="auto" w:fill="auto"/>
            <w:vAlign w:val="center"/>
          </w:tcPr>
          <w:p w:rsidR="0004231D" w:rsidRPr="00720FB9" w:rsidRDefault="00720FB9" w:rsidP="00577717">
            <w:pPr>
              <w:ind w:right="93"/>
              <w:jc w:val="center"/>
              <w:rPr>
                <w:rFonts w:ascii="Arial Narrow" w:hAnsi="Arial Narrow"/>
                <w:bCs/>
                <w:color w:val="000000"/>
                <w:sz w:val="20"/>
              </w:rPr>
            </w:pPr>
            <w:r w:rsidRPr="00720FB9">
              <w:rPr>
                <w:rFonts w:ascii="Arial Narrow" w:hAnsi="Arial Narrow"/>
                <w:bCs/>
                <w:color w:val="000000"/>
                <w:sz w:val="20"/>
              </w:rPr>
              <w:t>22</w:t>
            </w:r>
          </w:p>
        </w:tc>
        <w:tc>
          <w:tcPr>
            <w:tcW w:w="680" w:type="pct"/>
            <w:shd w:val="clear" w:color="auto" w:fill="auto"/>
            <w:vAlign w:val="center"/>
          </w:tcPr>
          <w:p w:rsidR="0004231D" w:rsidRPr="00720FB9" w:rsidRDefault="00720FB9" w:rsidP="00577717">
            <w:pPr>
              <w:ind w:right="93"/>
              <w:jc w:val="center"/>
              <w:rPr>
                <w:rFonts w:ascii="Arial Narrow" w:hAnsi="Arial Narrow"/>
                <w:bCs/>
                <w:color w:val="000000"/>
                <w:sz w:val="20"/>
              </w:rPr>
            </w:pPr>
            <w:r w:rsidRPr="00720FB9">
              <w:rPr>
                <w:rFonts w:ascii="Arial Narrow" w:hAnsi="Arial Narrow"/>
                <w:bCs/>
                <w:color w:val="000000"/>
                <w:sz w:val="20"/>
              </w:rPr>
              <w:t>23</w:t>
            </w:r>
          </w:p>
        </w:tc>
        <w:tc>
          <w:tcPr>
            <w:tcW w:w="750" w:type="pct"/>
            <w:shd w:val="clear" w:color="auto" w:fill="auto"/>
            <w:vAlign w:val="center"/>
          </w:tcPr>
          <w:p w:rsidR="0004231D" w:rsidRPr="00720FB9" w:rsidRDefault="00720FB9" w:rsidP="00577717">
            <w:pPr>
              <w:ind w:right="93"/>
              <w:jc w:val="center"/>
              <w:rPr>
                <w:rFonts w:ascii="Arial Narrow" w:hAnsi="Arial Narrow"/>
                <w:bCs/>
                <w:color w:val="000000"/>
                <w:sz w:val="20"/>
              </w:rPr>
            </w:pPr>
            <w:r w:rsidRPr="00720FB9">
              <w:rPr>
                <w:rFonts w:ascii="Arial Narrow" w:hAnsi="Arial Narrow"/>
                <w:bCs/>
                <w:color w:val="000000"/>
                <w:sz w:val="20"/>
              </w:rPr>
              <w:t>24</w:t>
            </w:r>
          </w:p>
        </w:tc>
      </w:tr>
      <w:tr w:rsidR="00B608CF" w:rsidRPr="0004231D" w:rsidTr="00B608CF">
        <w:tc>
          <w:tcPr>
            <w:tcW w:w="1529" w:type="pct"/>
            <w:shd w:val="clear" w:color="auto" w:fill="auto"/>
            <w:vAlign w:val="center"/>
          </w:tcPr>
          <w:p w:rsidR="0004231D" w:rsidRPr="00066B0F" w:rsidRDefault="0004231D" w:rsidP="00720FB9">
            <w:pPr>
              <w:tabs>
                <w:tab w:val="left" w:pos="142"/>
              </w:tabs>
              <w:ind w:right="93"/>
              <w:jc w:val="left"/>
              <w:rPr>
                <w:rFonts w:ascii="Arial Narrow" w:hAnsi="Arial Narrow"/>
                <w:sz w:val="20"/>
              </w:rPr>
            </w:pPr>
            <w:r w:rsidRPr="00066B0F">
              <w:rPr>
                <w:rFonts w:ascii="Arial Narrow" w:hAnsi="Arial Narrow"/>
                <w:sz w:val="20"/>
              </w:rPr>
              <w:t xml:space="preserve">Number treated </w:t>
            </w:r>
            <w:r w:rsidR="00720FB9" w:rsidRPr="00066B0F">
              <w:rPr>
                <w:rFonts w:ascii="Arial Narrow" w:hAnsi="Arial Narrow"/>
                <w:sz w:val="20"/>
              </w:rPr>
              <w:t>–</w:t>
            </w:r>
            <w:r w:rsidRPr="00066B0F">
              <w:rPr>
                <w:rFonts w:ascii="Arial Narrow" w:hAnsi="Arial Narrow"/>
                <w:sz w:val="20"/>
              </w:rPr>
              <w:t xml:space="preserve"> </w:t>
            </w:r>
            <w:r w:rsidR="00720FB9" w:rsidRPr="00066B0F">
              <w:rPr>
                <w:rFonts w:ascii="Arial Narrow" w:hAnsi="Arial Narrow"/>
                <w:sz w:val="20"/>
              </w:rPr>
              <w:t>March 2012</w:t>
            </w:r>
          </w:p>
        </w:tc>
        <w:tc>
          <w:tcPr>
            <w:tcW w:w="683" w:type="pct"/>
            <w:shd w:val="clear" w:color="auto" w:fill="auto"/>
            <w:vAlign w:val="center"/>
          </w:tcPr>
          <w:p w:rsidR="0004231D" w:rsidRPr="00066B0F" w:rsidRDefault="00720FB9" w:rsidP="00577717">
            <w:pPr>
              <w:ind w:right="93"/>
              <w:jc w:val="center"/>
              <w:rPr>
                <w:rFonts w:ascii="Arial Narrow" w:hAnsi="Arial Narrow"/>
                <w:bCs/>
                <w:sz w:val="20"/>
              </w:rPr>
            </w:pPr>
            <w:r w:rsidRPr="00066B0F">
              <w:rPr>
                <w:rFonts w:ascii="Arial Narrow" w:eastAsia="SimSun" w:hAnsi="Arial Narrow"/>
                <w:bCs/>
                <w:sz w:val="20"/>
                <w:lang w:eastAsia="en-AU"/>
              </w:rPr>
              <w:t>14</w:t>
            </w:r>
          </w:p>
        </w:tc>
        <w:tc>
          <w:tcPr>
            <w:tcW w:w="679" w:type="pct"/>
            <w:shd w:val="clear" w:color="auto" w:fill="auto"/>
            <w:vAlign w:val="center"/>
          </w:tcPr>
          <w:p w:rsidR="0004231D" w:rsidRPr="00066B0F" w:rsidRDefault="00720FB9" w:rsidP="00577717">
            <w:pPr>
              <w:ind w:right="93"/>
              <w:jc w:val="center"/>
              <w:rPr>
                <w:rFonts w:ascii="Arial Narrow" w:hAnsi="Arial Narrow"/>
                <w:bCs/>
                <w:sz w:val="20"/>
              </w:rPr>
            </w:pPr>
            <w:r w:rsidRPr="00066B0F">
              <w:rPr>
                <w:rFonts w:ascii="Arial Narrow" w:eastAsia="SimSun" w:hAnsi="Arial Narrow"/>
                <w:bCs/>
                <w:sz w:val="20"/>
                <w:lang w:eastAsia="en-AU"/>
              </w:rPr>
              <w:t>15</w:t>
            </w:r>
          </w:p>
        </w:tc>
        <w:tc>
          <w:tcPr>
            <w:tcW w:w="679" w:type="pct"/>
            <w:shd w:val="clear" w:color="auto" w:fill="auto"/>
            <w:vAlign w:val="center"/>
          </w:tcPr>
          <w:p w:rsidR="0004231D" w:rsidRPr="00066B0F" w:rsidRDefault="00720FB9" w:rsidP="00577717">
            <w:pPr>
              <w:ind w:right="93"/>
              <w:jc w:val="center"/>
              <w:rPr>
                <w:rFonts w:ascii="Arial Narrow" w:hAnsi="Arial Narrow"/>
                <w:bCs/>
                <w:sz w:val="20"/>
              </w:rPr>
            </w:pPr>
            <w:r w:rsidRPr="00066B0F">
              <w:rPr>
                <w:rFonts w:ascii="Arial Narrow" w:eastAsia="SimSun" w:hAnsi="Arial Narrow"/>
                <w:bCs/>
                <w:sz w:val="20"/>
                <w:lang w:eastAsia="en-AU"/>
              </w:rPr>
              <w:t>16</w:t>
            </w:r>
          </w:p>
        </w:tc>
        <w:tc>
          <w:tcPr>
            <w:tcW w:w="680" w:type="pct"/>
            <w:shd w:val="clear" w:color="auto" w:fill="auto"/>
            <w:vAlign w:val="center"/>
          </w:tcPr>
          <w:p w:rsidR="0004231D" w:rsidRPr="00066B0F" w:rsidRDefault="00720FB9" w:rsidP="00577717">
            <w:pPr>
              <w:ind w:right="93"/>
              <w:jc w:val="center"/>
              <w:rPr>
                <w:rFonts w:ascii="Arial Narrow" w:hAnsi="Arial Narrow"/>
                <w:bCs/>
                <w:sz w:val="20"/>
              </w:rPr>
            </w:pPr>
            <w:r w:rsidRPr="00066B0F">
              <w:rPr>
                <w:rFonts w:ascii="Arial Narrow" w:eastAsia="SimSun" w:hAnsi="Arial Narrow"/>
                <w:bCs/>
                <w:sz w:val="20"/>
                <w:lang w:eastAsia="en-AU"/>
              </w:rPr>
              <w:t>17</w:t>
            </w:r>
          </w:p>
        </w:tc>
        <w:tc>
          <w:tcPr>
            <w:tcW w:w="750" w:type="pct"/>
            <w:shd w:val="clear" w:color="auto" w:fill="auto"/>
            <w:vAlign w:val="center"/>
          </w:tcPr>
          <w:p w:rsidR="0004231D" w:rsidRPr="00066B0F" w:rsidRDefault="00720FB9" w:rsidP="00577717">
            <w:pPr>
              <w:ind w:right="93"/>
              <w:jc w:val="center"/>
              <w:rPr>
                <w:rFonts w:ascii="Arial Narrow" w:hAnsi="Arial Narrow"/>
                <w:bCs/>
                <w:sz w:val="20"/>
              </w:rPr>
            </w:pPr>
            <w:r w:rsidRPr="00066B0F">
              <w:rPr>
                <w:rFonts w:ascii="Arial Narrow" w:eastAsia="SimSun" w:hAnsi="Arial Narrow"/>
                <w:bCs/>
                <w:sz w:val="20"/>
                <w:lang w:eastAsia="en-AU"/>
              </w:rPr>
              <w:t>18</w:t>
            </w:r>
          </w:p>
        </w:tc>
      </w:tr>
      <w:tr w:rsidR="00720FB9" w:rsidRPr="00ED0F04" w:rsidTr="00481F8D">
        <w:tc>
          <w:tcPr>
            <w:tcW w:w="1529" w:type="pct"/>
            <w:shd w:val="clear" w:color="auto" w:fill="auto"/>
            <w:vAlign w:val="center"/>
          </w:tcPr>
          <w:p w:rsidR="00720FB9" w:rsidRDefault="00720FB9" w:rsidP="00577717">
            <w:pPr>
              <w:tabs>
                <w:tab w:val="left" w:pos="142"/>
              </w:tabs>
              <w:ind w:right="93"/>
              <w:jc w:val="left"/>
              <w:rPr>
                <w:rFonts w:ascii="Arial Narrow" w:hAnsi="Arial Narrow"/>
                <w:sz w:val="20"/>
              </w:rPr>
            </w:pPr>
            <w:r>
              <w:rPr>
                <w:rFonts w:ascii="Arial Narrow" w:hAnsi="Arial Narrow"/>
                <w:sz w:val="20"/>
              </w:rPr>
              <w:t>Uptake rate</w:t>
            </w:r>
          </w:p>
        </w:tc>
        <w:tc>
          <w:tcPr>
            <w:tcW w:w="683" w:type="pct"/>
            <w:shd w:val="clear" w:color="auto" w:fill="auto"/>
            <w:vAlign w:val="center"/>
          </w:tcPr>
          <w:p w:rsidR="00720FB9" w:rsidRPr="00720FB9" w:rsidRDefault="00720FB9" w:rsidP="00577717">
            <w:pPr>
              <w:ind w:right="93"/>
              <w:jc w:val="center"/>
              <w:rPr>
                <w:rFonts w:ascii="Arial Narrow" w:hAnsi="Arial Narrow"/>
                <w:sz w:val="20"/>
              </w:rPr>
            </w:pPr>
            <w:r w:rsidRPr="00720FB9">
              <w:rPr>
                <w:rFonts w:ascii="Arial Narrow" w:hAnsi="Arial Narrow"/>
                <w:sz w:val="20"/>
              </w:rPr>
              <w:t>20.71%</w:t>
            </w:r>
          </w:p>
        </w:tc>
        <w:tc>
          <w:tcPr>
            <w:tcW w:w="679" w:type="pct"/>
            <w:shd w:val="clear" w:color="auto" w:fill="auto"/>
          </w:tcPr>
          <w:p w:rsidR="00720FB9" w:rsidRPr="00720FB9" w:rsidRDefault="00720FB9" w:rsidP="00577717">
            <w:pPr>
              <w:ind w:right="93"/>
              <w:jc w:val="center"/>
              <w:rPr>
                <w:rFonts w:ascii="Arial Narrow" w:hAnsi="Arial Narrow"/>
                <w:sz w:val="20"/>
              </w:rPr>
            </w:pPr>
            <w:r w:rsidRPr="00720FB9">
              <w:rPr>
                <w:rFonts w:ascii="Arial Narrow" w:hAnsi="Arial Narrow"/>
                <w:sz w:val="20"/>
              </w:rPr>
              <w:t>20.71%</w:t>
            </w:r>
          </w:p>
        </w:tc>
        <w:tc>
          <w:tcPr>
            <w:tcW w:w="679" w:type="pct"/>
            <w:shd w:val="clear" w:color="auto" w:fill="auto"/>
          </w:tcPr>
          <w:p w:rsidR="00720FB9" w:rsidRPr="00720FB9" w:rsidRDefault="00720FB9" w:rsidP="00577717">
            <w:pPr>
              <w:ind w:right="93"/>
              <w:jc w:val="center"/>
              <w:rPr>
                <w:rFonts w:ascii="Arial Narrow" w:hAnsi="Arial Narrow"/>
                <w:sz w:val="20"/>
              </w:rPr>
            </w:pPr>
            <w:r w:rsidRPr="00720FB9">
              <w:rPr>
                <w:rFonts w:ascii="Arial Narrow" w:hAnsi="Arial Narrow"/>
                <w:sz w:val="20"/>
              </w:rPr>
              <w:t>20.71%</w:t>
            </w:r>
          </w:p>
        </w:tc>
        <w:tc>
          <w:tcPr>
            <w:tcW w:w="680" w:type="pct"/>
            <w:shd w:val="clear" w:color="auto" w:fill="auto"/>
          </w:tcPr>
          <w:p w:rsidR="00720FB9" w:rsidRPr="00720FB9" w:rsidRDefault="00720FB9" w:rsidP="00577717">
            <w:pPr>
              <w:ind w:right="93"/>
              <w:jc w:val="center"/>
              <w:rPr>
                <w:rFonts w:ascii="Arial Narrow" w:hAnsi="Arial Narrow"/>
                <w:sz w:val="20"/>
              </w:rPr>
            </w:pPr>
            <w:r w:rsidRPr="00720FB9">
              <w:rPr>
                <w:rFonts w:ascii="Arial Narrow" w:hAnsi="Arial Narrow"/>
                <w:sz w:val="20"/>
              </w:rPr>
              <w:t>20.71%</w:t>
            </w:r>
          </w:p>
        </w:tc>
        <w:tc>
          <w:tcPr>
            <w:tcW w:w="750" w:type="pct"/>
            <w:shd w:val="clear" w:color="auto" w:fill="auto"/>
          </w:tcPr>
          <w:p w:rsidR="00720FB9" w:rsidRPr="00720FB9" w:rsidRDefault="00720FB9" w:rsidP="00577717">
            <w:pPr>
              <w:ind w:right="93"/>
              <w:jc w:val="center"/>
              <w:rPr>
                <w:rFonts w:ascii="Arial Narrow" w:hAnsi="Arial Narrow"/>
                <w:sz w:val="20"/>
              </w:rPr>
            </w:pPr>
            <w:r w:rsidRPr="00720FB9">
              <w:rPr>
                <w:rFonts w:ascii="Arial Narrow" w:hAnsi="Arial Narrow"/>
                <w:sz w:val="20"/>
              </w:rPr>
              <w:t>20.71%</w:t>
            </w:r>
          </w:p>
        </w:tc>
      </w:tr>
      <w:tr w:rsidR="00720FB9" w:rsidRPr="0004231D" w:rsidTr="00481F8D">
        <w:tc>
          <w:tcPr>
            <w:tcW w:w="1529" w:type="pct"/>
            <w:shd w:val="clear" w:color="auto" w:fill="auto"/>
            <w:vAlign w:val="center"/>
          </w:tcPr>
          <w:p w:rsidR="00720FB9" w:rsidRPr="00066B0F" w:rsidRDefault="00720FB9" w:rsidP="00720FB9">
            <w:pPr>
              <w:tabs>
                <w:tab w:val="left" w:pos="142"/>
              </w:tabs>
              <w:ind w:right="93"/>
              <w:jc w:val="left"/>
              <w:rPr>
                <w:rFonts w:ascii="Arial Narrow" w:hAnsi="Arial Narrow"/>
                <w:sz w:val="20"/>
              </w:rPr>
            </w:pPr>
            <w:r w:rsidRPr="00066B0F">
              <w:rPr>
                <w:rFonts w:ascii="Arial Narrow" w:hAnsi="Arial Narrow"/>
                <w:sz w:val="20"/>
              </w:rPr>
              <w:t>Uptake rate – March 2012</w:t>
            </w:r>
          </w:p>
        </w:tc>
        <w:tc>
          <w:tcPr>
            <w:tcW w:w="683" w:type="pct"/>
            <w:shd w:val="clear" w:color="auto" w:fill="auto"/>
            <w:vAlign w:val="center"/>
          </w:tcPr>
          <w:p w:rsidR="00720FB9" w:rsidRPr="00066B0F" w:rsidRDefault="00720FB9" w:rsidP="00577717">
            <w:pPr>
              <w:ind w:right="93"/>
              <w:jc w:val="center"/>
              <w:rPr>
                <w:rFonts w:ascii="Arial Narrow" w:hAnsi="Arial Narrow"/>
                <w:sz w:val="20"/>
              </w:rPr>
            </w:pPr>
            <w:r w:rsidRPr="00066B0F">
              <w:rPr>
                <w:rFonts w:ascii="Arial Narrow" w:hAnsi="Arial Narrow"/>
                <w:sz w:val="20"/>
              </w:rPr>
              <w:t>20%</w:t>
            </w:r>
          </w:p>
        </w:tc>
        <w:tc>
          <w:tcPr>
            <w:tcW w:w="679" w:type="pct"/>
            <w:shd w:val="clear" w:color="auto" w:fill="auto"/>
          </w:tcPr>
          <w:p w:rsidR="00720FB9" w:rsidRPr="00066B0F" w:rsidRDefault="00720FB9" w:rsidP="00577717">
            <w:pPr>
              <w:ind w:right="93"/>
              <w:jc w:val="center"/>
              <w:rPr>
                <w:rFonts w:ascii="Arial Narrow" w:hAnsi="Arial Narrow"/>
                <w:sz w:val="20"/>
              </w:rPr>
            </w:pPr>
            <w:r w:rsidRPr="00066B0F">
              <w:rPr>
                <w:rFonts w:ascii="Arial Narrow" w:hAnsi="Arial Narrow"/>
                <w:sz w:val="20"/>
              </w:rPr>
              <w:t>20%</w:t>
            </w:r>
          </w:p>
        </w:tc>
        <w:tc>
          <w:tcPr>
            <w:tcW w:w="679" w:type="pct"/>
            <w:shd w:val="clear" w:color="auto" w:fill="auto"/>
          </w:tcPr>
          <w:p w:rsidR="00720FB9" w:rsidRPr="00066B0F" w:rsidRDefault="00720FB9" w:rsidP="00577717">
            <w:pPr>
              <w:ind w:right="93"/>
              <w:jc w:val="center"/>
              <w:rPr>
                <w:rFonts w:ascii="Arial Narrow" w:hAnsi="Arial Narrow"/>
                <w:sz w:val="20"/>
              </w:rPr>
            </w:pPr>
            <w:r w:rsidRPr="00066B0F">
              <w:rPr>
                <w:rFonts w:ascii="Arial Narrow" w:hAnsi="Arial Narrow"/>
                <w:sz w:val="20"/>
              </w:rPr>
              <w:t>20%</w:t>
            </w:r>
          </w:p>
        </w:tc>
        <w:tc>
          <w:tcPr>
            <w:tcW w:w="680" w:type="pct"/>
            <w:shd w:val="clear" w:color="auto" w:fill="auto"/>
          </w:tcPr>
          <w:p w:rsidR="00720FB9" w:rsidRPr="00066B0F" w:rsidRDefault="00720FB9" w:rsidP="00577717">
            <w:pPr>
              <w:ind w:right="93"/>
              <w:jc w:val="center"/>
              <w:rPr>
                <w:rFonts w:ascii="Arial Narrow" w:hAnsi="Arial Narrow"/>
                <w:sz w:val="20"/>
              </w:rPr>
            </w:pPr>
            <w:r w:rsidRPr="00066B0F">
              <w:rPr>
                <w:rFonts w:ascii="Arial Narrow" w:hAnsi="Arial Narrow"/>
                <w:sz w:val="20"/>
              </w:rPr>
              <w:t>20%</w:t>
            </w:r>
          </w:p>
        </w:tc>
        <w:tc>
          <w:tcPr>
            <w:tcW w:w="750" w:type="pct"/>
            <w:shd w:val="clear" w:color="auto" w:fill="auto"/>
          </w:tcPr>
          <w:p w:rsidR="00720FB9" w:rsidRPr="00066B0F" w:rsidRDefault="00720FB9" w:rsidP="00577717">
            <w:pPr>
              <w:ind w:right="93"/>
              <w:jc w:val="center"/>
              <w:rPr>
                <w:rFonts w:ascii="Arial Narrow" w:hAnsi="Arial Narrow"/>
                <w:sz w:val="20"/>
              </w:rPr>
            </w:pPr>
            <w:r w:rsidRPr="00066B0F">
              <w:rPr>
                <w:rFonts w:ascii="Arial Narrow" w:hAnsi="Arial Narrow"/>
                <w:sz w:val="20"/>
              </w:rPr>
              <w:t>20%</w:t>
            </w:r>
          </w:p>
        </w:tc>
      </w:tr>
      <w:tr w:rsidR="00015182" w:rsidRPr="00ED0F04" w:rsidTr="00481F8D">
        <w:tc>
          <w:tcPr>
            <w:tcW w:w="1529" w:type="pct"/>
            <w:shd w:val="clear" w:color="auto" w:fill="auto"/>
            <w:vAlign w:val="center"/>
          </w:tcPr>
          <w:p w:rsidR="00015182" w:rsidRPr="00ED0F04" w:rsidRDefault="00015182" w:rsidP="00A01A10">
            <w:pPr>
              <w:tabs>
                <w:tab w:val="left" w:pos="142"/>
              </w:tabs>
              <w:ind w:right="93"/>
              <w:jc w:val="left"/>
              <w:rPr>
                <w:rFonts w:ascii="Arial Narrow" w:hAnsi="Arial Narrow"/>
                <w:sz w:val="20"/>
              </w:rPr>
            </w:pPr>
            <w:r>
              <w:rPr>
                <w:rFonts w:ascii="Arial Narrow" w:hAnsi="Arial Narrow"/>
                <w:sz w:val="20"/>
              </w:rPr>
              <w:t>Vials dispensed</w:t>
            </w:r>
          </w:p>
        </w:tc>
        <w:tc>
          <w:tcPr>
            <w:tcW w:w="683" w:type="pct"/>
            <w:shd w:val="clear" w:color="auto" w:fill="auto"/>
          </w:tcPr>
          <w:p w:rsidR="00015182" w:rsidRPr="00015182" w:rsidRDefault="00015182" w:rsidP="00577717">
            <w:pPr>
              <w:ind w:right="93"/>
              <w:jc w:val="center"/>
              <w:rPr>
                <w:rFonts w:ascii="Arial Narrow" w:hAnsi="Arial Narrow"/>
                <w:bCs/>
                <w:color w:val="000000"/>
                <w:sz w:val="20"/>
                <w:highlight w:val="yellow"/>
              </w:rPr>
            </w:pPr>
            <w:r w:rsidRPr="00015182">
              <w:rPr>
                <w:rFonts w:ascii="Arial Narrow" w:hAnsi="Arial Narrow"/>
                <w:sz w:val="20"/>
              </w:rPr>
              <w:t>6160</w:t>
            </w:r>
          </w:p>
        </w:tc>
        <w:tc>
          <w:tcPr>
            <w:tcW w:w="679" w:type="pct"/>
            <w:shd w:val="clear" w:color="auto" w:fill="auto"/>
          </w:tcPr>
          <w:p w:rsidR="00015182" w:rsidRPr="00015182" w:rsidRDefault="00015182" w:rsidP="00577717">
            <w:pPr>
              <w:ind w:right="93"/>
              <w:jc w:val="center"/>
              <w:rPr>
                <w:rFonts w:ascii="Arial Narrow" w:hAnsi="Arial Narrow"/>
                <w:bCs/>
                <w:color w:val="000000"/>
                <w:sz w:val="20"/>
                <w:highlight w:val="yellow"/>
              </w:rPr>
            </w:pPr>
            <w:r w:rsidRPr="00015182">
              <w:rPr>
                <w:rFonts w:ascii="Arial Narrow" w:hAnsi="Arial Narrow"/>
                <w:sz w:val="20"/>
              </w:rPr>
              <w:t>6475</w:t>
            </w:r>
          </w:p>
        </w:tc>
        <w:tc>
          <w:tcPr>
            <w:tcW w:w="679" w:type="pct"/>
            <w:shd w:val="clear" w:color="auto" w:fill="auto"/>
          </w:tcPr>
          <w:p w:rsidR="00015182" w:rsidRPr="00015182" w:rsidRDefault="00015182" w:rsidP="00577717">
            <w:pPr>
              <w:ind w:right="93"/>
              <w:jc w:val="center"/>
              <w:rPr>
                <w:rFonts w:ascii="Arial Narrow" w:hAnsi="Arial Narrow"/>
                <w:bCs/>
                <w:color w:val="000000"/>
                <w:sz w:val="20"/>
                <w:highlight w:val="yellow"/>
              </w:rPr>
            </w:pPr>
            <w:r w:rsidRPr="00015182">
              <w:rPr>
                <w:rFonts w:ascii="Arial Narrow" w:hAnsi="Arial Narrow"/>
                <w:sz w:val="20"/>
              </w:rPr>
              <w:t>6791</w:t>
            </w:r>
          </w:p>
        </w:tc>
        <w:tc>
          <w:tcPr>
            <w:tcW w:w="680" w:type="pct"/>
            <w:shd w:val="clear" w:color="auto" w:fill="auto"/>
          </w:tcPr>
          <w:p w:rsidR="00015182" w:rsidRPr="00015182" w:rsidRDefault="00015182" w:rsidP="00577717">
            <w:pPr>
              <w:ind w:right="93"/>
              <w:jc w:val="center"/>
              <w:rPr>
                <w:rFonts w:ascii="Arial Narrow" w:hAnsi="Arial Narrow"/>
                <w:bCs/>
                <w:color w:val="000000"/>
                <w:sz w:val="20"/>
                <w:highlight w:val="yellow"/>
              </w:rPr>
            </w:pPr>
            <w:r w:rsidRPr="00015182">
              <w:rPr>
                <w:rFonts w:ascii="Arial Narrow" w:hAnsi="Arial Narrow"/>
                <w:sz w:val="20"/>
              </w:rPr>
              <w:t>7107</w:t>
            </w:r>
          </w:p>
        </w:tc>
        <w:tc>
          <w:tcPr>
            <w:tcW w:w="750" w:type="pct"/>
            <w:shd w:val="clear" w:color="auto" w:fill="auto"/>
          </w:tcPr>
          <w:p w:rsidR="00015182" w:rsidRPr="00015182" w:rsidRDefault="00015182" w:rsidP="00577717">
            <w:pPr>
              <w:ind w:right="93"/>
              <w:jc w:val="center"/>
              <w:rPr>
                <w:rFonts w:ascii="Arial Narrow" w:hAnsi="Arial Narrow"/>
                <w:bCs/>
                <w:color w:val="000000"/>
                <w:sz w:val="20"/>
                <w:highlight w:val="yellow"/>
              </w:rPr>
            </w:pPr>
            <w:r w:rsidRPr="00015182">
              <w:rPr>
                <w:rFonts w:ascii="Arial Narrow" w:hAnsi="Arial Narrow"/>
                <w:sz w:val="20"/>
              </w:rPr>
              <w:t>7422</w:t>
            </w:r>
          </w:p>
        </w:tc>
      </w:tr>
      <w:tr w:rsidR="00B608CF" w:rsidRPr="0004231D" w:rsidTr="00B608CF">
        <w:tc>
          <w:tcPr>
            <w:tcW w:w="1529" w:type="pct"/>
            <w:shd w:val="clear" w:color="auto" w:fill="auto"/>
            <w:vAlign w:val="center"/>
          </w:tcPr>
          <w:p w:rsidR="0004231D" w:rsidRPr="00066B0F" w:rsidRDefault="00A01A10" w:rsidP="00720FB9">
            <w:pPr>
              <w:tabs>
                <w:tab w:val="left" w:pos="142"/>
              </w:tabs>
              <w:ind w:right="93"/>
              <w:jc w:val="left"/>
              <w:rPr>
                <w:rFonts w:ascii="Arial Narrow" w:hAnsi="Arial Narrow"/>
                <w:sz w:val="20"/>
              </w:rPr>
            </w:pPr>
            <w:r w:rsidRPr="00066B0F">
              <w:rPr>
                <w:rFonts w:ascii="Arial Narrow" w:hAnsi="Arial Narrow"/>
                <w:sz w:val="20"/>
              </w:rPr>
              <w:t>Vials dispensed</w:t>
            </w:r>
            <w:r w:rsidR="0004231D" w:rsidRPr="00066B0F">
              <w:rPr>
                <w:rFonts w:ascii="Arial Narrow" w:hAnsi="Arial Narrow"/>
                <w:sz w:val="20"/>
              </w:rPr>
              <w:t xml:space="preserve"> </w:t>
            </w:r>
            <w:r w:rsidR="00720FB9" w:rsidRPr="00066B0F">
              <w:rPr>
                <w:rFonts w:ascii="Arial Narrow" w:hAnsi="Arial Narrow"/>
                <w:sz w:val="20"/>
              </w:rPr>
              <w:t>–</w:t>
            </w:r>
            <w:r w:rsidR="0004231D" w:rsidRPr="00066B0F">
              <w:rPr>
                <w:rFonts w:ascii="Arial Narrow" w:hAnsi="Arial Narrow"/>
                <w:sz w:val="20"/>
              </w:rPr>
              <w:t xml:space="preserve"> </w:t>
            </w:r>
            <w:r w:rsidR="00720FB9" w:rsidRPr="00066B0F">
              <w:rPr>
                <w:rFonts w:ascii="Arial Narrow" w:hAnsi="Arial Narrow"/>
                <w:sz w:val="20"/>
              </w:rPr>
              <w:t>March 2012</w:t>
            </w:r>
          </w:p>
        </w:tc>
        <w:tc>
          <w:tcPr>
            <w:tcW w:w="683" w:type="pct"/>
            <w:shd w:val="clear" w:color="auto" w:fill="auto"/>
            <w:vAlign w:val="center"/>
          </w:tcPr>
          <w:p w:rsidR="0004231D" w:rsidRPr="00066B0F" w:rsidRDefault="00A01A10" w:rsidP="00577717">
            <w:pPr>
              <w:ind w:right="93"/>
              <w:jc w:val="center"/>
              <w:rPr>
                <w:rFonts w:ascii="Arial Narrow" w:hAnsi="Arial Narrow"/>
                <w:bCs/>
                <w:sz w:val="20"/>
              </w:rPr>
            </w:pPr>
            <w:r w:rsidRPr="00066B0F">
              <w:rPr>
                <w:rFonts w:ascii="Arial Narrow" w:hAnsi="Arial Narrow"/>
                <w:bCs/>
                <w:sz w:val="20"/>
              </w:rPr>
              <w:t>6728</w:t>
            </w:r>
          </w:p>
        </w:tc>
        <w:tc>
          <w:tcPr>
            <w:tcW w:w="679" w:type="pct"/>
            <w:shd w:val="clear" w:color="auto" w:fill="auto"/>
            <w:vAlign w:val="center"/>
          </w:tcPr>
          <w:p w:rsidR="0004231D" w:rsidRPr="00066B0F" w:rsidRDefault="00A01A10" w:rsidP="00577717">
            <w:pPr>
              <w:ind w:right="93"/>
              <w:jc w:val="center"/>
              <w:rPr>
                <w:rFonts w:ascii="Arial Narrow" w:hAnsi="Arial Narrow"/>
                <w:bCs/>
                <w:sz w:val="20"/>
              </w:rPr>
            </w:pPr>
            <w:r w:rsidRPr="00066B0F">
              <w:rPr>
                <w:rFonts w:ascii="Arial Narrow" w:hAnsi="Arial Narrow"/>
                <w:bCs/>
                <w:sz w:val="20"/>
              </w:rPr>
              <w:t>7166</w:t>
            </w:r>
          </w:p>
        </w:tc>
        <w:tc>
          <w:tcPr>
            <w:tcW w:w="679" w:type="pct"/>
            <w:shd w:val="clear" w:color="auto" w:fill="auto"/>
            <w:vAlign w:val="center"/>
          </w:tcPr>
          <w:p w:rsidR="0004231D" w:rsidRPr="00066B0F" w:rsidRDefault="00A01A10" w:rsidP="00577717">
            <w:pPr>
              <w:ind w:right="93"/>
              <w:jc w:val="center"/>
              <w:rPr>
                <w:rFonts w:ascii="Arial Narrow" w:hAnsi="Arial Narrow"/>
                <w:bCs/>
                <w:sz w:val="20"/>
              </w:rPr>
            </w:pPr>
            <w:r w:rsidRPr="00066B0F">
              <w:rPr>
                <w:rFonts w:ascii="Arial Narrow" w:hAnsi="Arial Narrow"/>
                <w:bCs/>
                <w:sz w:val="20"/>
              </w:rPr>
              <w:t>7166</w:t>
            </w:r>
          </w:p>
        </w:tc>
        <w:tc>
          <w:tcPr>
            <w:tcW w:w="680" w:type="pct"/>
            <w:shd w:val="clear" w:color="auto" w:fill="auto"/>
            <w:vAlign w:val="center"/>
          </w:tcPr>
          <w:p w:rsidR="0004231D" w:rsidRPr="00066B0F" w:rsidRDefault="00A01A10" w:rsidP="00577717">
            <w:pPr>
              <w:ind w:right="93"/>
              <w:jc w:val="center"/>
              <w:rPr>
                <w:rFonts w:ascii="Arial Narrow" w:hAnsi="Arial Narrow"/>
                <w:bCs/>
                <w:sz w:val="20"/>
              </w:rPr>
            </w:pPr>
            <w:r w:rsidRPr="00066B0F">
              <w:rPr>
                <w:rFonts w:ascii="Arial Narrow" w:hAnsi="Arial Narrow"/>
                <w:bCs/>
                <w:sz w:val="20"/>
              </w:rPr>
              <w:t>7751</w:t>
            </w:r>
          </w:p>
        </w:tc>
        <w:tc>
          <w:tcPr>
            <w:tcW w:w="750" w:type="pct"/>
            <w:shd w:val="clear" w:color="auto" w:fill="auto"/>
            <w:vAlign w:val="center"/>
          </w:tcPr>
          <w:p w:rsidR="0004231D" w:rsidRPr="00066B0F" w:rsidRDefault="00A01A10" w:rsidP="00577717">
            <w:pPr>
              <w:ind w:right="93"/>
              <w:jc w:val="center"/>
              <w:rPr>
                <w:rFonts w:ascii="Arial Narrow" w:hAnsi="Arial Narrow"/>
                <w:bCs/>
                <w:sz w:val="20"/>
              </w:rPr>
            </w:pPr>
            <w:r w:rsidRPr="00066B0F">
              <w:rPr>
                <w:rFonts w:ascii="Arial Narrow" w:hAnsi="Arial Narrow"/>
                <w:bCs/>
                <w:sz w:val="20"/>
              </w:rPr>
              <w:t>8336</w:t>
            </w:r>
          </w:p>
        </w:tc>
      </w:tr>
      <w:tr w:rsidR="00740FF0" w:rsidRPr="0004231D" w:rsidTr="00740FF0">
        <w:tc>
          <w:tcPr>
            <w:tcW w:w="5000" w:type="pct"/>
            <w:gridSpan w:val="6"/>
            <w:shd w:val="clear" w:color="auto" w:fill="auto"/>
            <w:vAlign w:val="center"/>
          </w:tcPr>
          <w:p w:rsidR="00740FF0" w:rsidRPr="00740FF0" w:rsidRDefault="00740FF0" w:rsidP="00740FF0">
            <w:pPr>
              <w:ind w:right="93"/>
              <w:jc w:val="left"/>
              <w:rPr>
                <w:rFonts w:ascii="Arial Narrow" w:hAnsi="Arial Narrow"/>
                <w:b/>
                <w:bCs/>
                <w:sz w:val="20"/>
              </w:rPr>
            </w:pPr>
            <w:r>
              <w:rPr>
                <w:rFonts w:ascii="Arial Narrow" w:hAnsi="Arial Narrow"/>
                <w:b/>
                <w:sz w:val="20"/>
              </w:rPr>
              <w:t>Estimated n</w:t>
            </w:r>
            <w:r w:rsidRPr="00740FF0">
              <w:rPr>
                <w:rFonts w:ascii="Arial Narrow" w:hAnsi="Arial Narrow"/>
                <w:b/>
                <w:sz w:val="20"/>
              </w:rPr>
              <w:t>et cost to PBS</w:t>
            </w:r>
            <w:r>
              <w:rPr>
                <w:rFonts w:ascii="Arial Narrow" w:hAnsi="Arial Narrow"/>
                <w:b/>
                <w:sz w:val="20"/>
              </w:rPr>
              <w:t xml:space="preserve"> (ex-manufacturer)</w:t>
            </w:r>
          </w:p>
        </w:tc>
      </w:tr>
      <w:tr w:rsidR="00740FF0" w:rsidRPr="00740FF0" w:rsidTr="002867F3">
        <w:tc>
          <w:tcPr>
            <w:tcW w:w="1529" w:type="pct"/>
            <w:shd w:val="clear" w:color="auto" w:fill="auto"/>
            <w:vAlign w:val="center"/>
          </w:tcPr>
          <w:p w:rsidR="00740FF0" w:rsidRPr="00740FF0" w:rsidRDefault="00740FF0" w:rsidP="00720FB9">
            <w:pPr>
              <w:tabs>
                <w:tab w:val="left" w:pos="142"/>
              </w:tabs>
              <w:ind w:right="93"/>
              <w:jc w:val="left"/>
              <w:rPr>
                <w:rFonts w:ascii="Arial Narrow" w:hAnsi="Arial Narrow"/>
                <w:sz w:val="20"/>
              </w:rPr>
            </w:pPr>
            <w:r>
              <w:rPr>
                <w:rFonts w:ascii="Arial Narrow" w:hAnsi="Arial Narrow"/>
                <w:sz w:val="20"/>
              </w:rPr>
              <w:t>Net cost to PBS</w:t>
            </w:r>
          </w:p>
        </w:tc>
        <w:tc>
          <w:tcPr>
            <w:tcW w:w="683" w:type="pct"/>
            <w:shd w:val="clear" w:color="auto" w:fill="auto"/>
          </w:tcPr>
          <w:p w:rsidR="00740FF0" w:rsidRPr="00E836B3" w:rsidRDefault="00E836B3" w:rsidP="00577717">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tcPr>
          <w:p w:rsidR="00740FF0" w:rsidRPr="00E836B3" w:rsidRDefault="00E836B3" w:rsidP="00577717">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tcPr>
          <w:p w:rsidR="00740FF0" w:rsidRPr="00E836B3" w:rsidRDefault="00E836B3" w:rsidP="00577717">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tcPr>
          <w:p w:rsidR="00740FF0" w:rsidRPr="00E836B3" w:rsidRDefault="00E836B3" w:rsidP="00577717">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0" w:type="pct"/>
            <w:shd w:val="clear" w:color="auto" w:fill="auto"/>
          </w:tcPr>
          <w:p w:rsidR="00740FF0" w:rsidRPr="00E836B3" w:rsidRDefault="00E836B3" w:rsidP="00577717">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740FF0" w:rsidRPr="0004231D" w:rsidTr="00B608CF">
        <w:tc>
          <w:tcPr>
            <w:tcW w:w="1529" w:type="pct"/>
            <w:shd w:val="clear" w:color="auto" w:fill="auto"/>
            <w:vAlign w:val="center"/>
          </w:tcPr>
          <w:p w:rsidR="00740FF0" w:rsidRPr="00066B0F" w:rsidRDefault="00740FF0" w:rsidP="00720FB9">
            <w:pPr>
              <w:tabs>
                <w:tab w:val="left" w:pos="142"/>
              </w:tabs>
              <w:ind w:right="93"/>
              <w:jc w:val="left"/>
              <w:rPr>
                <w:rFonts w:ascii="Arial Narrow" w:hAnsi="Arial Narrow"/>
                <w:sz w:val="20"/>
              </w:rPr>
            </w:pPr>
            <w:r w:rsidRPr="00066B0F">
              <w:rPr>
                <w:rFonts w:ascii="Arial Narrow" w:hAnsi="Arial Narrow"/>
                <w:sz w:val="20"/>
              </w:rPr>
              <w:t>Net cost to PBS March 2012</w:t>
            </w:r>
          </w:p>
        </w:tc>
        <w:tc>
          <w:tcPr>
            <w:tcW w:w="683" w:type="pct"/>
            <w:shd w:val="clear" w:color="auto" w:fill="auto"/>
            <w:vAlign w:val="center"/>
          </w:tcPr>
          <w:p w:rsidR="00740FF0" w:rsidRPr="00E836B3" w:rsidRDefault="00E836B3" w:rsidP="00577717">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740FF0" w:rsidRPr="00E836B3" w:rsidRDefault="00E836B3" w:rsidP="00577717">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740FF0" w:rsidRPr="00E836B3" w:rsidRDefault="00E836B3" w:rsidP="00577717">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80" w:type="pct"/>
            <w:shd w:val="clear" w:color="auto" w:fill="auto"/>
            <w:vAlign w:val="center"/>
          </w:tcPr>
          <w:p w:rsidR="00740FF0" w:rsidRPr="00E836B3" w:rsidRDefault="00E836B3" w:rsidP="00577717">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750" w:type="pct"/>
            <w:shd w:val="clear" w:color="auto" w:fill="auto"/>
            <w:vAlign w:val="center"/>
          </w:tcPr>
          <w:p w:rsidR="00740FF0" w:rsidRPr="00E836B3" w:rsidRDefault="00E836B3" w:rsidP="00577717">
            <w:pPr>
              <w:ind w:right="93"/>
              <w:jc w:val="center"/>
              <w:rPr>
                <w:rFonts w:ascii="Arial Narrow" w:hAnsi="Arial Narrow"/>
                <w:bCs/>
                <w:sz w:val="20"/>
                <w:highlight w:val="black"/>
              </w:rPr>
            </w:pPr>
            <w:r>
              <w:rPr>
                <w:rFonts w:ascii="Arial Narrow" w:hAnsi="Arial Narrow"/>
                <w:bCs/>
                <w:noProof/>
                <w:color w:val="000000"/>
                <w:sz w:val="20"/>
                <w:highlight w:val="black"/>
              </w:rPr>
              <w:t>''''''''''''''''''''''''</w:t>
            </w:r>
          </w:p>
        </w:tc>
      </w:tr>
      <w:tr w:rsidR="0004231D" w:rsidRPr="00ED0F04" w:rsidTr="00B608CF">
        <w:tc>
          <w:tcPr>
            <w:tcW w:w="5000" w:type="pct"/>
            <w:gridSpan w:val="6"/>
            <w:shd w:val="clear" w:color="auto" w:fill="auto"/>
            <w:vAlign w:val="center"/>
          </w:tcPr>
          <w:p w:rsidR="0004231D" w:rsidRPr="00ED0F04" w:rsidRDefault="0004231D" w:rsidP="00D15BD4">
            <w:pPr>
              <w:ind w:right="93"/>
              <w:jc w:val="left"/>
              <w:rPr>
                <w:rFonts w:ascii="Arial Narrow" w:hAnsi="Arial Narrow"/>
                <w:b/>
                <w:bCs/>
                <w:color w:val="000000"/>
                <w:sz w:val="20"/>
              </w:rPr>
            </w:pPr>
            <w:r w:rsidRPr="00ED0F04">
              <w:rPr>
                <w:rFonts w:ascii="Arial Narrow" w:hAnsi="Arial Narrow"/>
                <w:b/>
                <w:bCs/>
                <w:color w:val="000000"/>
                <w:sz w:val="20"/>
              </w:rPr>
              <w:t>Es</w:t>
            </w:r>
            <w:r>
              <w:rPr>
                <w:rFonts w:ascii="Arial Narrow" w:hAnsi="Arial Narrow"/>
                <w:b/>
                <w:bCs/>
                <w:color w:val="000000"/>
                <w:sz w:val="20"/>
              </w:rPr>
              <w:t xml:space="preserve">timated net cost to </w:t>
            </w:r>
            <w:r w:rsidR="00D15BD4">
              <w:rPr>
                <w:rFonts w:ascii="Arial Narrow" w:hAnsi="Arial Narrow"/>
                <w:b/>
                <w:bCs/>
                <w:color w:val="000000"/>
                <w:sz w:val="20"/>
              </w:rPr>
              <w:t>Government</w:t>
            </w:r>
          </w:p>
        </w:tc>
      </w:tr>
      <w:tr w:rsidR="00720FB9" w:rsidRPr="00ED0F04" w:rsidTr="00481F8D">
        <w:tc>
          <w:tcPr>
            <w:tcW w:w="1529" w:type="pct"/>
            <w:shd w:val="clear" w:color="auto" w:fill="auto"/>
            <w:vAlign w:val="center"/>
          </w:tcPr>
          <w:p w:rsidR="00720FB9" w:rsidRPr="00ED0F04" w:rsidRDefault="00720FB9" w:rsidP="00720FB9">
            <w:pPr>
              <w:tabs>
                <w:tab w:val="left" w:pos="142"/>
              </w:tabs>
              <w:ind w:right="93"/>
              <w:jc w:val="left"/>
              <w:rPr>
                <w:rFonts w:ascii="Arial Narrow" w:hAnsi="Arial Narrow"/>
                <w:sz w:val="20"/>
              </w:rPr>
            </w:pPr>
            <w:r w:rsidRPr="00ED0F04">
              <w:rPr>
                <w:rFonts w:ascii="Arial Narrow" w:hAnsi="Arial Narrow"/>
                <w:sz w:val="20"/>
              </w:rPr>
              <w:t xml:space="preserve">Net cost to </w:t>
            </w:r>
            <w:r>
              <w:rPr>
                <w:rFonts w:ascii="Arial Narrow" w:hAnsi="Arial Narrow"/>
                <w:sz w:val="20"/>
              </w:rPr>
              <w:t>Gov’t</w:t>
            </w:r>
          </w:p>
        </w:tc>
        <w:tc>
          <w:tcPr>
            <w:tcW w:w="683" w:type="pct"/>
            <w:shd w:val="clear" w:color="auto" w:fill="auto"/>
          </w:tcPr>
          <w:p w:rsidR="00720FB9" w:rsidRPr="00E836B3" w:rsidRDefault="00E836B3"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720FB9" w:rsidRPr="00E836B3" w:rsidRDefault="00E836B3"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720FB9" w:rsidRPr="00E836B3" w:rsidRDefault="00E836B3"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tcPr>
          <w:p w:rsidR="00720FB9" w:rsidRPr="00E836B3" w:rsidRDefault="00E836B3"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750" w:type="pct"/>
            <w:shd w:val="clear" w:color="auto" w:fill="auto"/>
          </w:tcPr>
          <w:p w:rsidR="00720FB9" w:rsidRPr="00E836B3" w:rsidRDefault="00E836B3" w:rsidP="00577717">
            <w:pPr>
              <w:ind w:right="93"/>
              <w:jc w:val="center"/>
              <w:rPr>
                <w:rFonts w:ascii="Arial Narrow" w:hAnsi="Arial Narrow"/>
                <w:sz w:val="20"/>
                <w:highlight w:val="black"/>
              </w:rPr>
            </w:pPr>
            <w:r>
              <w:rPr>
                <w:rFonts w:ascii="Arial Narrow" w:hAnsi="Arial Narrow"/>
                <w:noProof/>
                <w:color w:val="000000"/>
                <w:sz w:val="20"/>
                <w:highlight w:val="black"/>
              </w:rPr>
              <w:t>'''''''''''''''''''''''''''''''</w:t>
            </w:r>
          </w:p>
        </w:tc>
      </w:tr>
      <w:tr w:rsidR="00B608CF" w:rsidRPr="0004231D" w:rsidTr="00B608CF">
        <w:tc>
          <w:tcPr>
            <w:tcW w:w="1529" w:type="pct"/>
            <w:shd w:val="clear" w:color="auto" w:fill="auto"/>
            <w:vAlign w:val="center"/>
          </w:tcPr>
          <w:p w:rsidR="0004231D" w:rsidRPr="00066B0F" w:rsidRDefault="0004231D" w:rsidP="00720FB9">
            <w:pPr>
              <w:tabs>
                <w:tab w:val="left" w:pos="142"/>
              </w:tabs>
              <w:ind w:right="93"/>
              <w:jc w:val="left"/>
              <w:rPr>
                <w:rFonts w:ascii="Arial Narrow" w:hAnsi="Arial Narrow"/>
                <w:sz w:val="20"/>
              </w:rPr>
            </w:pPr>
            <w:r w:rsidRPr="00066B0F">
              <w:rPr>
                <w:rFonts w:ascii="Arial Narrow" w:hAnsi="Arial Narrow"/>
                <w:sz w:val="20"/>
              </w:rPr>
              <w:t xml:space="preserve">Net cost to </w:t>
            </w:r>
            <w:r w:rsidR="00720FB9" w:rsidRPr="00066B0F">
              <w:rPr>
                <w:rFonts w:ascii="Arial Narrow" w:hAnsi="Arial Narrow"/>
                <w:sz w:val="20"/>
              </w:rPr>
              <w:t>Gov’t March 2012</w:t>
            </w:r>
          </w:p>
        </w:tc>
        <w:tc>
          <w:tcPr>
            <w:tcW w:w="683" w:type="pct"/>
            <w:shd w:val="clear" w:color="auto" w:fill="auto"/>
            <w:vAlign w:val="center"/>
          </w:tcPr>
          <w:p w:rsidR="0004231D" w:rsidRPr="00E836B3" w:rsidRDefault="00E836B3" w:rsidP="00720FB9">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04231D" w:rsidRPr="00E836B3" w:rsidRDefault="00E836B3" w:rsidP="00720FB9">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04231D" w:rsidRPr="00E836B3" w:rsidRDefault="00E836B3" w:rsidP="00577717">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vAlign w:val="center"/>
          </w:tcPr>
          <w:p w:rsidR="0004231D" w:rsidRPr="00E836B3" w:rsidRDefault="00E836B3" w:rsidP="00720FB9">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0" w:type="pct"/>
            <w:shd w:val="clear" w:color="auto" w:fill="auto"/>
            <w:vAlign w:val="center"/>
          </w:tcPr>
          <w:p w:rsidR="0004231D" w:rsidRPr="00E836B3" w:rsidRDefault="00E836B3" w:rsidP="00577717">
            <w:pPr>
              <w:ind w:right="93"/>
              <w:jc w:val="center"/>
              <w:rPr>
                <w:rFonts w:ascii="Arial Narrow" w:hAnsi="Arial Narrow"/>
                <w:bCs/>
                <w:sz w:val="20"/>
                <w:highlight w:val="black"/>
              </w:rPr>
            </w:pPr>
            <w:r>
              <w:rPr>
                <w:rFonts w:ascii="Arial Narrow" w:hAnsi="Arial Narrow"/>
                <w:noProof/>
                <w:color w:val="000000"/>
                <w:sz w:val="20"/>
                <w:highlight w:val="black"/>
              </w:rPr>
              <w:t>''''''''''''''''''''''''''''</w:t>
            </w:r>
          </w:p>
        </w:tc>
      </w:tr>
    </w:tbl>
    <w:p w:rsidR="0004231D" w:rsidRDefault="0004231D" w:rsidP="00B608CF">
      <w:pPr>
        <w:pStyle w:val="TableFooter"/>
        <w:ind w:firstLine="709"/>
      </w:pPr>
      <w:r w:rsidRPr="00EB690C">
        <w:t xml:space="preserve">Source: </w:t>
      </w:r>
      <w:r>
        <w:t>Compiled during the evaluation</w:t>
      </w:r>
    </w:p>
    <w:p w:rsidR="00015182" w:rsidRDefault="00015182" w:rsidP="00015182">
      <w:pPr>
        <w:pStyle w:val="TableFooter"/>
        <w:ind w:left="709"/>
        <w:rPr>
          <w:szCs w:val="22"/>
        </w:rPr>
      </w:pPr>
      <w:r>
        <w:t xml:space="preserve">Note: Estimates of vials dispensed are lower in the current </w:t>
      </w:r>
      <w:r w:rsidR="00035FBE">
        <w:t>resubmission</w:t>
      </w:r>
      <w:r>
        <w:t xml:space="preserve"> due to a lower average dose (30.86U/kg vs m</w:t>
      </w:r>
      <w:r w:rsidR="00D033A1">
        <w:t>ix of 34.3% at 30U/kg and 65.7% 60U/kg)</w:t>
      </w:r>
      <w:r>
        <w:t xml:space="preserve"> and body weight </w:t>
      </w:r>
      <w:r w:rsidR="00D033A1">
        <w:t xml:space="preserve">(68kg vs 75kg) </w:t>
      </w:r>
      <w:r>
        <w:t>used compared to the March 2012 submission</w:t>
      </w:r>
    </w:p>
    <w:p w:rsidR="00C25D9C" w:rsidRPr="00C25D9C" w:rsidRDefault="00C25D9C" w:rsidP="00C25D9C">
      <w:pPr>
        <w:widowControl/>
        <w:rPr>
          <w:szCs w:val="22"/>
        </w:rPr>
      </w:pPr>
    </w:p>
    <w:p w:rsidR="000A35D1" w:rsidRPr="00167A12" w:rsidRDefault="00F44BB3" w:rsidP="00167A12">
      <w:pPr>
        <w:pStyle w:val="ListParagraph"/>
        <w:widowControl/>
        <w:numPr>
          <w:ilvl w:val="1"/>
          <w:numId w:val="2"/>
        </w:numPr>
        <w:ind w:left="709" w:hanging="709"/>
        <w:rPr>
          <w:szCs w:val="22"/>
        </w:rPr>
      </w:pPr>
      <w:r>
        <w:rPr>
          <w:szCs w:val="22"/>
        </w:rPr>
        <w:t xml:space="preserve">The PSCR (p4) acknowledged that the weighted average price used in Section E of the resubmission </w:t>
      </w:r>
      <w:r w:rsidR="00582D38">
        <w:rPr>
          <w:szCs w:val="22"/>
        </w:rPr>
        <w:t>wa</w:t>
      </w:r>
      <w:r>
        <w:rPr>
          <w:szCs w:val="22"/>
        </w:rPr>
        <w:t xml:space="preserve">s incorrect </w:t>
      </w:r>
      <w:r w:rsidR="000A35D1">
        <w:rPr>
          <w:szCs w:val="22"/>
        </w:rPr>
        <w:t>and should</w:t>
      </w:r>
      <w:r w:rsidR="00582D38">
        <w:rPr>
          <w:szCs w:val="22"/>
        </w:rPr>
        <w:t xml:space="preserve"> have</w:t>
      </w:r>
      <w:r w:rsidR="000A35D1">
        <w:rPr>
          <w:szCs w:val="22"/>
        </w:rPr>
        <w:t xml:space="preserve"> be</w:t>
      </w:r>
      <w:r w:rsidR="00582D38">
        <w:rPr>
          <w:szCs w:val="22"/>
        </w:rPr>
        <w:t>en</w:t>
      </w:r>
      <w:r w:rsidR="000A35D1">
        <w:rPr>
          <w:szCs w:val="22"/>
        </w:rPr>
        <w:t xml:space="preserve"> </w:t>
      </w:r>
      <w:r w:rsidR="00E836B3">
        <w:rPr>
          <w:noProof/>
          <w:color w:val="000000"/>
          <w:szCs w:val="22"/>
          <w:highlight w:val="black"/>
        </w:rPr>
        <w:t>''''''''''''</w:t>
      </w:r>
      <w:r w:rsidR="000A35D1">
        <w:rPr>
          <w:szCs w:val="22"/>
        </w:rPr>
        <w:t xml:space="preserve"> as in Section D of the resubmission. </w:t>
      </w:r>
    </w:p>
    <w:p w:rsidR="00105EB6" w:rsidRDefault="00105EB6" w:rsidP="00576972">
      <w:pPr>
        <w:widowControl/>
        <w:rPr>
          <w:szCs w:val="22"/>
        </w:rPr>
      </w:pPr>
    </w:p>
    <w:p w:rsidR="00A151DE" w:rsidRDefault="00A151DE" w:rsidP="00A151DE">
      <w:pPr>
        <w:pStyle w:val="ListParagraph"/>
        <w:ind w:left="709"/>
        <w:rPr>
          <w:i/>
          <w:szCs w:val="22"/>
        </w:rPr>
      </w:pPr>
      <w:r>
        <w:rPr>
          <w:i/>
          <w:szCs w:val="22"/>
        </w:rPr>
        <w:t>For more detail on PBAC’s view, see section 7 “PBAC outcome”</w:t>
      </w:r>
    </w:p>
    <w:p w:rsidR="00A151DE" w:rsidRDefault="00A151DE" w:rsidP="00A151DE">
      <w:pPr>
        <w:widowControl/>
        <w:ind w:left="709"/>
        <w:rPr>
          <w:szCs w:val="22"/>
        </w:rPr>
      </w:pPr>
    </w:p>
    <w:p w:rsidR="00576972" w:rsidRPr="00EF0F93" w:rsidRDefault="00576972" w:rsidP="00EF0F93">
      <w:pPr>
        <w:rPr>
          <w:b/>
          <w:szCs w:val="22"/>
        </w:rPr>
      </w:pPr>
      <w:bookmarkStart w:id="17" w:name="_Toc398646930"/>
      <w:r w:rsidRPr="00EF0F93">
        <w:rPr>
          <w:b/>
          <w:szCs w:val="22"/>
        </w:rPr>
        <w:lastRenderedPageBreak/>
        <w:t>Quality Use of Medicines</w:t>
      </w:r>
      <w:bookmarkEnd w:id="17"/>
    </w:p>
    <w:p w:rsidR="00576972" w:rsidRPr="00576972" w:rsidRDefault="00576972" w:rsidP="00576972">
      <w:pPr>
        <w:widowControl/>
        <w:rPr>
          <w:szCs w:val="22"/>
        </w:rPr>
      </w:pPr>
    </w:p>
    <w:p w:rsidR="00576972" w:rsidRPr="000A35D1" w:rsidRDefault="007314C0" w:rsidP="00C32489">
      <w:pPr>
        <w:pStyle w:val="ListParagraph"/>
        <w:widowControl/>
        <w:numPr>
          <w:ilvl w:val="1"/>
          <w:numId w:val="2"/>
        </w:numPr>
        <w:ind w:left="709" w:hanging="709"/>
        <w:rPr>
          <w:szCs w:val="22"/>
        </w:rPr>
      </w:pPr>
      <w:r w:rsidRPr="007314C0">
        <w:t>The resubmission propose</w:t>
      </w:r>
      <w:r w:rsidR="00582D38">
        <w:t>d</w:t>
      </w:r>
      <w:r w:rsidRPr="007314C0">
        <w:t xml:space="preserve"> the development and provision of educational material to patients and health professionals; provision of an in-home infusion service to patients whose infusions are well-tolerated (performed under the direction of treating clinicians), the implementation of a risk management plan for post-marketing product surveillance, and the entry of Australian </w:t>
      </w:r>
      <w:proofErr w:type="spellStart"/>
      <w:r w:rsidRPr="007314C0">
        <w:t>taliglucerase</w:t>
      </w:r>
      <w:proofErr w:type="spellEnd"/>
      <w:r w:rsidR="00EB6319">
        <w:t xml:space="preserve"> alfa</w:t>
      </w:r>
      <w:r w:rsidRPr="007314C0">
        <w:t xml:space="preserve">-treated patients into the international </w:t>
      </w:r>
      <w:proofErr w:type="spellStart"/>
      <w:r w:rsidRPr="007314C0">
        <w:t>taliglucerase</w:t>
      </w:r>
      <w:proofErr w:type="spellEnd"/>
      <w:r w:rsidRPr="007314C0">
        <w:t xml:space="preserve"> alfa registry.</w:t>
      </w:r>
    </w:p>
    <w:p w:rsidR="000A35D1" w:rsidRPr="000A35D1" w:rsidRDefault="000A35D1" w:rsidP="000A35D1">
      <w:pPr>
        <w:pStyle w:val="ListParagraph"/>
        <w:widowControl/>
        <w:ind w:left="709"/>
        <w:rPr>
          <w:szCs w:val="22"/>
        </w:rPr>
      </w:pPr>
    </w:p>
    <w:p w:rsidR="000A35D1" w:rsidRPr="00A151DE" w:rsidRDefault="000A35D1" w:rsidP="00C32489">
      <w:pPr>
        <w:pStyle w:val="ListParagraph"/>
        <w:widowControl/>
        <w:numPr>
          <w:ilvl w:val="1"/>
          <w:numId w:val="2"/>
        </w:numPr>
        <w:ind w:left="709" w:hanging="709"/>
        <w:rPr>
          <w:szCs w:val="22"/>
        </w:rPr>
      </w:pPr>
      <w:r w:rsidRPr="00A151DE">
        <w:rPr>
          <w:szCs w:val="22"/>
        </w:rPr>
        <w:t xml:space="preserve">The ESC considered it </w:t>
      </w:r>
      <w:r w:rsidR="00882605" w:rsidRPr="00A151DE">
        <w:rPr>
          <w:szCs w:val="22"/>
        </w:rPr>
        <w:t>preferable</w:t>
      </w:r>
      <w:r w:rsidRPr="00A151DE">
        <w:rPr>
          <w:szCs w:val="22"/>
        </w:rPr>
        <w:t xml:space="preserve"> to ha</w:t>
      </w:r>
      <w:r w:rsidR="00105EB6" w:rsidRPr="00A151DE">
        <w:rPr>
          <w:szCs w:val="22"/>
        </w:rPr>
        <w:t>ve more than one</w:t>
      </w:r>
      <w:r w:rsidRPr="00A151DE">
        <w:rPr>
          <w:szCs w:val="22"/>
        </w:rPr>
        <w:t xml:space="preserve"> enzyme replacement therapy for </w:t>
      </w:r>
      <w:proofErr w:type="spellStart"/>
      <w:proofErr w:type="gramStart"/>
      <w:r w:rsidRPr="00A151DE">
        <w:rPr>
          <w:szCs w:val="22"/>
        </w:rPr>
        <w:t>Gaucher</w:t>
      </w:r>
      <w:proofErr w:type="spellEnd"/>
      <w:proofErr w:type="gramEnd"/>
      <w:r w:rsidRPr="00A151DE">
        <w:rPr>
          <w:szCs w:val="22"/>
        </w:rPr>
        <w:t xml:space="preserve"> disease available for Australian patients to manage potential cases of hypersensitivity or stock shortages with any individual product. </w:t>
      </w:r>
    </w:p>
    <w:p w:rsidR="00576972" w:rsidRDefault="00576972" w:rsidP="00576972">
      <w:pPr>
        <w:widowControl/>
        <w:rPr>
          <w:szCs w:val="22"/>
        </w:rPr>
      </w:pPr>
      <w:bookmarkStart w:id="18" w:name="_GoBack"/>
      <w:bookmarkEnd w:id="18"/>
    </w:p>
    <w:p w:rsidR="00A151DE" w:rsidRDefault="00A151DE" w:rsidP="00A151DE">
      <w:pPr>
        <w:pStyle w:val="ListParagraph"/>
        <w:ind w:left="709"/>
        <w:rPr>
          <w:i/>
          <w:szCs w:val="22"/>
        </w:rPr>
      </w:pPr>
      <w:r>
        <w:rPr>
          <w:i/>
          <w:szCs w:val="22"/>
        </w:rPr>
        <w:t>For more detail on PBAC’s view, see section 7 “PBAC outcome”</w:t>
      </w:r>
    </w:p>
    <w:p w:rsidR="00B608CF" w:rsidRPr="00577D82" w:rsidRDefault="00B608CF" w:rsidP="00A151DE">
      <w:pPr>
        <w:rPr>
          <w:u w:val="single"/>
        </w:rPr>
      </w:pPr>
    </w:p>
    <w:p w:rsidR="00E16372" w:rsidRPr="00577D82" w:rsidRDefault="00E16372" w:rsidP="00AC1B85">
      <w:pPr>
        <w:widowControl/>
        <w:rPr>
          <w:i/>
        </w:rPr>
      </w:pPr>
    </w:p>
    <w:p w:rsidR="007E5DF5" w:rsidRDefault="007E5DF5" w:rsidP="007235AA">
      <w:pPr>
        <w:pStyle w:val="ListParagraph"/>
        <w:widowControl/>
        <w:numPr>
          <w:ilvl w:val="0"/>
          <w:numId w:val="2"/>
        </w:numPr>
        <w:rPr>
          <w:b/>
        </w:rPr>
      </w:pPr>
      <w:r w:rsidRPr="00882085">
        <w:rPr>
          <w:b/>
        </w:rPr>
        <w:t xml:space="preserve">PBAC Outcome </w:t>
      </w:r>
    </w:p>
    <w:p w:rsidR="007235AA" w:rsidRPr="00882085" w:rsidRDefault="007235AA" w:rsidP="007235AA">
      <w:pPr>
        <w:pStyle w:val="ListParagraph"/>
        <w:widowControl/>
        <w:rPr>
          <w:b/>
        </w:rPr>
      </w:pPr>
    </w:p>
    <w:p w:rsidR="00110E0F" w:rsidRPr="00110E0F" w:rsidRDefault="00110E0F" w:rsidP="00DA1F17">
      <w:pPr>
        <w:pStyle w:val="ListParagraph"/>
        <w:widowControl/>
        <w:numPr>
          <w:ilvl w:val="1"/>
          <w:numId w:val="2"/>
        </w:numPr>
        <w:ind w:left="709" w:hanging="709"/>
        <w:rPr>
          <w:szCs w:val="22"/>
        </w:rPr>
      </w:pPr>
      <w:r>
        <w:rPr>
          <w:szCs w:val="22"/>
        </w:rPr>
        <w:t xml:space="preserve">The PBAC rejected the submission </w:t>
      </w:r>
      <w:r w:rsidR="00582D38">
        <w:rPr>
          <w:szCs w:val="22"/>
        </w:rPr>
        <w:t xml:space="preserve">to list </w:t>
      </w:r>
      <w:proofErr w:type="spellStart"/>
      <w:r>
        <w:rPr>
          <w:szCs w:val="22"/>
        </w:rPr>
        <w:t>taliglucerase</w:t>
      </w:r>
      <w:proofErr w:type="spellEnd"/>
      <w:r w:rsidR="00A96C3A">
        <w:rPr>
          <w:szCs w:val="22"/>
        </w:rPr>
        <w:t xml:space="preserve"> alfa</w:t>
      </w:r>
      <w:r w:rsidR="00A72F56">
        <w:rPr>
          <w:szCs w:val="22"/>
        </w:rPr>
        <w:t xml:space="preserve"> </w:t>
      </w:r>
      <w:r w:rsidR="00582D38">
        <w:rPr>
          <w:szCs w:val="22"/>
        </w:rPr>
        <w:t>on the PBS on the basis that equivalent comparative</w:t>
      </w:r>
      <w:r w:rsidR="00644DD6">
        <w:rPr>
          <w:szCs w:val="22"/>
        </w:rPr>
        <w:t xml:space="preserve"> efficacy and</w:t>
      </w:r>
      <w:r w:rsidR="00582D38">
        <w:rPr>
          <w:szCs w:val="22"/>
        </w:rPr>
        <w:t xml:space="preserve"> safety</w:t>
      </w:r>
      <w:r w:rsidR="00644DD6">
        <w:rPr>
          <w:szCs w:val="22"/>
        </w:rPr>
        <w:t xml:space="preserve"> </w:t>
      </w:r>
      <w:r w:rsidR="003A42C7">
        <w:rPr>
          <w:szCs w:val="22"/>
        </w:rPr>
        <w:t xml:space="preserve">to </w:t>
      </w:r>
      <w:proofErr w:type="spellStart"/>
      <w:r w:rsidR="003A42C7">
        <w:rPr>
          <w:szCs w:val="22"/>
        </w:rPr>
        <w:t>imiglucerase</w:t>
      </w:r>
      <w:proofErr w:type="spellEnd"/>
      <w:r w:rsidR="003A42C7">
        <w:rPr>
          <w:szCs w:val="22"/>
        </w:rPr>
        <w:t xml:space="preserve"> and </w:t>
      </w:r>
      <w:proofErr w:type="spellStart"/>
      <w:r w:rsidR="003A42C7">
        <w:rPr>
          <w:szCs w:val="22"/>
        </w:rPr>
        <w:t>velaglucerase</w:t>
      </w:r>
      <w:proofErr w:type="spellEnd"/>
      <w:r w:rsidR="003A42C7">
        <w:rPr>
          <w:szCs w:val="22"/>
        </w:rPr>
        <w:t xml:space="preserve"> alfa </w:t>
      </w:r>
      <w:r w:rsidR="00644DD6">
        <w:rPr>
          <w:szCs w:val="22"/>
        </w:rPr>
        <w:t>were</w:t>
      </w:r>
      <w:r w:rsidR="00582D38">
        <w:rPr>
          <w:szCs w:val="22"/>
        </w:rPr>
        <w:t xml:space="preserve"> not established</w:t>
      </w:r>
      <w:r w:rsidR="00DE7A25">
        <w:rPr>
          <w:szCs w:val="22"/>
        </w:rPr>
        <w:t>.</w:t>
      </w:r>
      <w:r w:rsidR="005D57ED">
        <w:rPr>
          <w:szCs w:val="22"/>
        </w:rPr>
        <w:t xml:space="preserve"> </w:t>
      </w:r>
      <w:r w:rsidR="003A42C7">
        <w:rPr>
          <w:szCs w:val="22"/>
        </w:rPr>
        <w:t xml:space="preserve">Although the PBAC accepted that </w:t>
      </w:r>
      <w:proofErr w:type="spellStart"/>
      <w:r w:rsidR="003A42C7">
        <w:rPr>
          <w:szCs w:val="22"/>
        </w:rPr>
        <w:t>taliglucerase</w:t>
      </w:r>
      <w:proofErr w:type="spellEnd"/>
      <w:r w:rsidR="003A42C7">
        <w:rPr>
          <w:szCs w:val="22"/>
        </w:rPr>
        <w:t xml:space="preserve"> alfa provides a clinical benefit to patients, t</w:t>
      </w:r>
      <w:r w:rsidR="005D57ED">
        <w:rPr>
          <w:szCs w:val="22"/>
        </w:rPr>
        <w:t xml:space="preserve">he clinical claim that </w:t>
      </w:r>
      <w:proofErr w:type="spellStart"/>
      <w:r w:rsidR="005D57ED">
        <w:rPr>
          <w:szCs w:val="22"/>
        </w:rPr>
        <w:t>taliglucerase</w:t>
      </w:r>
      <w:proofErr w:type="spellEnd"/>
      <w:r w:rsidR="005D57ED">
        <w:rPr>
          <w:szCs w:val="22"/>
        </w:rPr>
        <w:t xml:space="preserve"> alfa provides equivalent health outcomes to </w:t>
      </w:r>
      <w:proofErr w:type="spellStart"/>
      <w:r w:rsidR="005D57ED">
        <w:rPr>
          <w:szCs w:val="22"/>
        </w:rPr>
        <w:t>imiglucerase</w:t>
      </w:r>
      <w:proofErr w:type="spellEnd"/>
      <w:r w:rsidR="005D57ED">
        <w:rPr>
          <w:szCs w:val="22"/>
        </w:rPr>
        <w:t xml:space="preserve"> and </w:t>
      </w:r>
      <w:proofErr w:type="spellStart"/>
      <w:r w:rsidR="005D57ED">
        <w:rPr>
          <w:szCs w:val="22"/>
        </w:rPr>
        <w:t>velaglucerase</w:t>
      </w:r>
      <w:proofErr w:type="spellEnd"/>
      <w:r w:rsidR="005D57ED">
        <w:rPr>
          <w:szCs w:val="22"/>
        </w:rPr>
        <w:t xml:space="preserve"> alfa was not accepted</w:t>
      </w:r>
      <w:r w:rsidR="00644DD6">
        <w:rPr>
          <w:szCs w:val="22"/>
        </w:rPr>
        <w:t xml:space="preserve"> </w:t>
      </w:r>
      <w:r w:rsidR="003A42C7">
        <w:rPr>
          <w:szCs w:val="22"/>
        </w:rPr>
        <w:t xml:space="preserve">as </w:t>
      </w:r>
      <w:r w:rsidR="003A42C7" w:rsidRPr="003A42C7">
        <w:rPr>
          <w:szCs w:val="22"/>
        </w:rPr>
        <w:t xml:space="preserve">the comparability of </w:t>
      </w:r>
      <w:r w:rsidR="003A42C7">
        <w:rPr>
          <w:szCs w:val="22"/>
        </w:rPr>
        <w:t xml:space="preserve">the </w:t>
      </w:r>
      <w:r w:rsidR="003A42C7" w:rsidRPr="003A42C7">
        <w:rPr>
          <w:szCs w:val="22"/>
        </w:rPr>
        <w:t xml:space="preserve">results between the trials </w:t>
      </w:r>
      <w:r w:rsidR="003A42C7">
        <w:rPr>
          <w:szCs w:val="22"/>
        </w:rPr>
        <w:t xml:space="preserve">was limited. </w:t>
      </w:r>
      <w:r w:rsidR="00644DD6">
        <w:rPr>
          <w:szCs w:val="22"/>
        </w:rPr>
        <w:t xml:space="preserve"> </w:t>
      </w:r>
      <w:r w:rsidR="003A42C7">
        <w:rPr>
          <w:szCs w:val="22"/>
        </w:rPr>
        <w:t>T</w:t>
      </w:r>
      <w:r w:rsidR="00167A12">
        <w:rPr>
          <w:szCs w:val="22"/>
        </w:rPr>
        <w:t>herefore the cost-minimisation analysis was not accepted</w:t>
      </w:r>
      <w:r w:rsidR="005D57ED">
        <w:rPr>
          <w:szCs w:val="22"/>
        </w:rPr>
        <w:t>.</w:t>
      </w:r>
      <w:r>
        <w:rPr>
          <w:szCs w:val="22"/>
        </w:rPr>
        <w:t xml:space="preserve"> </w:t>
      </w:r>
    </w:p>
    <w:p w:rsidR="007E5DF5" w:rsidRPr="00BB7EC3" w:rsidRDefault="007E5DF5" w:rsidP="00952868"/>
    <w:p w:rsidR="007E5DF5" w:rsidRDefault="005155F7" w:rsidP="007E5DF5">
      <w:pPr>
        <w:pStyle w:val="ListParagraph"/>
        <w:widowControl/>
        <w:numPr>
          <w:ilvl w:val="1"/>
          <w:numId w:val="2"/>
        </w:numPr>
        <w:ind w:left="709" w:hanging="709"/>
        <w:rPr>
          <w:szCs w:val="22"/>
        </w:rPr>
      </w:pPr>
      <w:r>
        <w:rPr>
          <w:szCs w:val="22"/>
        </w:rPr>
        <w:t xml:space="preserve">The PBAC </w:t>
      </w:r>
      <w:r w:rsidR="00E64581">
        <w:rPr>
          <w:szCs w:val="22"/>
        </w:rPr>
        <w:t>recognised</w:t>
      </w:r>
      <w:r w:rsidR="00952868">
        <w:rPr>
          <w:szCs w:val="22"/>
        </w:rPr>
        <w:t xml:space="preserve"> that </w:t>
      </w:r>
      <w:proofErr w:type="spellStart"/>
      <w:r>
        <w:rPr>
          <w:szCs w:val="22"/>
        </w:rPr>
        <w:t>imiglucerase</w:t>
      </w:r>
      <w:proofErr w:type="spellEnd"/>
      <w:r>
        <w:rPr>
          <w:szCs w:val="22"/>
        </w:rPr>
        <w:t xml:space="preserve"> and </w:t>
      </w:r>
      <w:proofErr w:type="spellStart"/>
      <w:r>
        <w:rPr>
          <w:szCs w:val="22"/>
        </w:rPr>
        <w:t>velaglucerase</w:t>
      </w:r>
      <w:proofErr w:type="spellEnd"/>
      <w:r>
        <w:rPr>
          <w:szCs w:val="22"/>
        </w:rPr>
        <w:t xml:space="preserve"> </w:t>
      </w:r>
      <w:r w:rsidR="00952868">
        <w:rPr>
          <w:szCs w:val="22"/>
        </w:rPr>
        <w:t>alfa are not listed on the PBS and have not been considered to be cost-effective for listing on the PBS but agreed that these two treatmen</w:t>
      </w:r>
      <w:r w:rsidR="00EB6319">
        <w:rPr>
          <w:szCs w:val="22"/>
        </w:rPr>
        <w:t>t</w:t>
      </w:r>
      <w:r w:rsidR="00952868">
        <w:rPr>
          <w:szCs w:val="22"/>
        </w:rPr>
        <w:t>s were the</w:t>
      </w:r>
      <w:r>
        <w:rPr>
          <w:szCs w:val="22"/>
        </w:rPr>
        <w:t xml:space="preserve"> appropriate comparators</w:t>
      </w:r>
      <w:r w:rsidR="00952868">
        <w:rPr>
          <w:szCs w:val="22"/>
        </w:rPr>
        <w:t xml:space="preserve"> for the reasons outlined by the ESC.</w:t>
      </w:r>
      <w:r w:rsidR="00E64581">
        <w:rPr>
          <w:szCs w:val="22"/>
        </w:rPr>
        <w:t xml:space="preserve"> As </w:t>
      </w:r>
      <w:proofErr w:type="spellStart"/>
      <w:r w:rsidR="00E64581">
        <w:rPr>
          <w:szCs w:val="22"/>
        </w:rPr>
        <w:t>velaglucerase</w:t>
      </w:r>
      <w:proofErr w:type="spellEnd"/>
      <w:r w:rsidR="00E64581">
        <w:rPr>
          <w:szCs w:val="22"/>
        </w:rPr>
        <w:t xml:space="preserve"> alfa was now considered to be an appropriate </w:t>
      </w:r>
      <w:r w:rsidR="00D9331A">
        <w:rPr>
          <w:szCs w:val="22"/>
        </w:rPr>
        <w:t xml:space="preserve">additional </w:t>
      </w:r>
      <w:r w:rsidR="00E64581">
        <w:rPr>
          <w:szCs w:val="22"/>
        </w:rPr>
        <w:t>comparator</w:t>
      </w:r>
      <w:r w:rsidR="00D9331A">
        <w:rPr>
          <w:szCs w:val="22"/>
        </w:rPr>
        <w:t>, it was noted that the resubmission presented clinical evidence reflecting this.</w:t>
      </w:r>
    </w:p>
    <w:p w:rsidR="007E5DF5" w:rsidRPr="00BB7EC3" w:rsidRDefault="007E5DF5" w:rsidP="007E5DF5">
      <w:pPr>
        <w:pStyle w:val="ListParagraph"/>
        <w:rPr>
          <w:szCs w:val="22"/>
        </w:rPr>
      </w:pPr>
    </w:p>
    <w:p w:rsidR="000450FA" w:rsidRPr="000450FA" w:rsidRDefault="00E64581" w:rsidP="000450FA">
      <w:pPr>
        <w:pStyle w:val="ListParagraph"/>
        <w:widowControl/>
        <w:numPr>
          <w:ilvl w:val="1"/>
          <w:numId w:val="2"/>
        </w:numPr>
        <w:ind w:left="709" w:hanging="709"/>
        <w:rPr>
          <w:szCs w:val="22"/>
        </w:rPr>
      </w:pPr>
      <w:r>
        <w:rPr>
          <w:szCs w:val="22"/>
        </w:rPr>
        <w:t xml:space="preserve">The PBAC noted that the clinical evidence presented in the resubmission continued to lack head-to-head direct randomised trial control data but that the resubmission had presented all </w:t>
      </w:r>
      <w:r w:rsidRPr="00E64581">
        <w:rPr>
          <w:szCs w:val="22"/>
        </w:rPr>
        <w:t xml:space="preserve">previous studies with updated data were available, plus one new non-randomised Australian study, and five randomised and non-randomised </w:t>
      </w:r>
      <w:proofErr w:type="spellStart"/>
      <w:r w:rsidRPr="00E64581">
        <w:rPr>
          <w:szCs w:val="22"/>
        </w:rPr>
        <w:t>velaglucerase</w:t>
      </w:r>
      <w:proofErr w:type="spellEnd"/>
      <w:r w:rsidRPr="00E64581">
        <w:rPr>
          <w:szCs w:val="22"/>
        </w:rPr>
        <w:t xml:space="preserve"> alfa studies.</w:t>
      </w:r>
      <w:r w:rsidR="000450FA">
        <w:rPr>
          <w:szCs w:val="22"/>
        </w:rPr>
        <w:t xml:space="preserve"> </w:t>
      </w:r>
    </w:p>
    <w:p w:rsidR="000450FA" w:rsidRPr="004D0DD2" w:rsidRDefault="000450FA" w:rsidP="004D0DD2">
      <w:pPr>
        <w:widowControl/>
        <w:rPr>
          <w:szCs w:val="22"/>
        </w:rPr>
      </w:pPr>
    </w:p>
    <w:p w:rsidR="000450FA" w:rsidRDefault="00FD564E" w:rsidP="00E64581">
      <w:pPr>
        <w:pStyle w:val="ListParagraph"/>
        <w:widowControl/>
        <w:numPr>
          <w:ilvl w:val="1"/>
          <w:numId w:val="2"/>
        </w:numPr>
        <w:ind w:left="709" w:hanging="709"/>
      </w:pPr>
      <w:r w:rsidRPr="00A151DE">
        <w:t xml:space="preserve">The </w:t>
      </w:r>
      <w:r>
        <w:t xml:space="preserve">PBAC </w:t>
      </w:r>
      <w:r w:rsidR="00E64581">
        <w:t>observed</w:t>
      </w:r>
      <w:r w:rsidRPr="00A151DE">
        <w:t xml:space="preserve"> that the </w:t>
      </w:r>
      <w:r>
        <w:t xml:space="preserve">comparative efficacy </w:t>
      </w:r>
      <w:r w:rsidRPr="00A151DE">
        <w:t>results suggest</w:t>
      </w:r>
      <w:r>
        <w:t>ed</w:t>
      </w:r>
      <w:r w:rsidRPr="00A151DE">
        <w:t xml:space="preserve"> that all treatments are associated with improvements in key outcomes. </w:t>
      </w:r>
      <w:r>
        <w:t xml:space="preserve"> </w:t>
      </w:r>
      <w:r w:rsidRPr="00A151DE">
        <w:t xml:space="preserve">Similar results were seen with </w:t>
      </w:r>
      <w:proofErr w:type="spellStart"/>
      <w:r w:rsidRPr="00A151DE">
        <w:t>taliglucerase</w:t>
      </w:r>
      <w:proofErr w:type="spellEnd"/>
      <w:r w:rsidR="00896815">
        <w:t xml:space="preserve"> alfa</w:t>
      </w:r>
      <w:r w:rsidRPr="00A151DE">
        <w:t xml:space="preserve"> for both children and adults, after switching from </w:t>
      </w:r>
      <w:proofErr w:type="spellStart"/>
      <w:r w:rsidRPr="00A151DE">
        <w:t>imiglucerase</w:t>
      </w:r>
      <w:proofErr w:type="spellEnd"/>
      <w:r w:rsidRPr="00A151DE">
        <w:t xml:space="preserve">, and improvements were maintained over the longer term. However, the </w:t>
      </w:r>
      <w:r>
        <w:t xml:space="preserve">PBAC agreed with </w:t>
      </w:r>
      <w:r w:rsidR="00E64581">
        <w:t xml:space="preserve">the </w:t>
      </w:r>
      <w:r w:rsidRPr="00A151DE">
        <w:t>ESC advi</w:t>
      </w:r>
      <w:r>
        <w:t>ce</w:t>
      </w:r>
      <w:r w:rsidRPr="00A151DE">
        <w:t xml:space="preserve"> that differences in baseline values, outcome measurements and methods of measurement of organ volume limit</w:t>
      </w:r>
      <w:r>
        <w:t>ed the</w:t>
      </w:r>
      <w:r w:rsidRPr="00A151DE">
        <w:t xml:space="preserve"> comparability of results between the trials and ma</w:t>
      </w:r>
      <w:r>
        <w:t>d</w:t>
      </w:r>
      <w:r w:rsidRPr="00A151DE">
        <w:t>e it difficult to determine</w:t>
      </w:r>
      <w:r w:rsidR="003A42C7">
        <w:t xml:space="preserve"> with an adequate level of certainty</w:t>
      </w:r>
      <w:r w:rsidRPr="00A151DE">
        <w:t xml:space="preserve"> whether </w:t>
      </w:r>
      <w:proofErr w:type="spellStart"/>
      <w:r w:rsidRPr="00A151DE">
        <w:t>taliglucerase</w:t>
      </w:r>
      <w:proofErr w:type="spellEnd"/>
      <w:r w:rsidRPr="00A151DE">
        <w:t xml:space="preserve"> alfa is non-inferior to </w:t>
      </w:r>
      <w:proofErr w:type="spellStart"/>
      <w:r w:rsidRPr="00A151DE">
        <w:t>imiglucerase</w:t>
      </w:r>
      <w:proofErr w:type="spellEnd"/>
      <w:r w:rsidRPr="00A151DE">
        <w:t xml:space="preserve"> and </w:t>
      </w:r>
      <w:proofErr w:type="spellStart"/>
      <w:r w:rsidRPr="00A151DE">
        <w:t>velaglucerase</w:t>
      </w:r>
      <w:proofErr w:type="spellEnd"/>
      <w:r w:rsidR="003A42C7">
        <w:t xml:space="preserve"> alfa</w:t>
      </w:r>
      <w:r w:rsidRPr="00A151DE">
        <w:t>.</w:t>
      </w:r>
      <w:r w:rsidRPr="00AD0FC1">
        <w:t xml:space="preserve"> </w:t>
      </w:r>
    </w:p>
    <w:p w:rsidR="000450FA" w:rsidRDefault="000450FA" w:rsidP="000450FA">
      <w:pPr>
        <w:pStyle w:val="ListParagraph"/>
        <w:widowControl/>
        <w:ind w:left="709"/>
        <w:rPr>
          <w:szCs w:val="22"/>
        </w:rPr>
      </w:pPr>
    </w:p>
    <w:p w:rsidR="00756B8C" w:rsidRDefault="001B1307" w:rsidP="007E5DF5">
      <w:pPr>
        <w:pStyle w:val="ListParagraph"/>
        <w:widowControl/>
        <w:numPr>
          <w:ilvl w:val="1"/>
          <w:numId w:val="2"/>
        </w:numPr>
        <w:ind w:left="709" w:hanging="709"/>
        <w:rPr>
          <w:szCs w:val="22"/>
        </w:rPr>
      </w:pPr>
      <w:r>
        <w:rPr>
          <w:szCs w:val="22"/>
        </w:rPr>
        <w:t>In terms of comparative safety,</w:t>
      </w:r>
      <w:r w:rsidR="005254F8" w:rsidRPr="005254F8">
        <w:rPr>
          <w:szCs w:val="22"/>
        </w:rPr>
        <w:t xml:space="preserve"> </w:t>
      </w:r>
      <w:r>
        <w:t xml:space="preserve">the </w:t>
      </w:r>
      <w:proofErr w:type="gramStart"/>
      <w:r>
        <w:t>PBAC</w:t>
      </w:r>
      <w:r w:rsidRPr="00A151DE">
        <w:t>,</w:t>
      </w:r>
      <w:proofErr w:type="gramEnd"/>
      <w:r w:rsidRPr="00A151DE">
        <w:t xml:space="preserve"> noted that adverse events reported in the </w:t>
      </w:r>
      <w:proofErr w:type="spellStart"/>
      <w:r w:rsidRPr="00A151DE">
        <w:t>imiglucerase</w:t>
      </w:r>
      <w:proofErr w:type="spellEnd"/>
      <w:r w:rsidRPr="00A151DE">
        <w:t xml:space="preserve"> and </w:t>
      </w:r>
      <w:proofErr w:type="spellStart"/>
      <w:r w:rsidRPr="00A151DE">
        <w:t>velaglucerase</w:t>
      </w:r>
      <w:proofErr w:type="spellEnd"/>
      <w:r w:rsidRPr="00A151DE">
        <w:t xml:space="preserve"> studies were similar to those in the </w:t>
      </w:r>
      <w:proofErr w:type="spellStart"/>
      <w:r w:rsidRPr="00A151DE">
        <w:t>taliglucerase</w:t>
      </w:r>
      <w:proofErr w:type="spellEnd"/>
      <w:r w:rsidRPr="00A151DE">
        <w:t xml:space="preserve"> </w:t>
      </w:r>
      <w:r w:rsidR="00896815">
        <w:t xml:space="preserve">alfa </w:t>
      </w:r>
      <w:r w:rsidRPr="00A151DE">
        <w:lastRenderedPageBreak/>
        <w:t>studies.</w:t>
      </w:r>
      <w:r w:rsidRPr="001B1307">
        <w:t xml:space="preserve"> </w:t>
      </w:r>
      <w:r>
        <w:t>However,</w:t>
      </w:r>
      <w:r w:rsidRPr="001B1307">
        <w:t xml:space="preserve"> </w:t>
      </w:r>
      <w:r>
        <w:t>as</w:t>
      </w:r>
      <w:r w:rsidRPr="00A151DE">
        <w:t xml:space="preserve"> there were insufficient data available to allow for </w:t>
      </w:r>
      <w:r>
        <w:t xml:space="preserve">a </w:t>
      </w:r>
      <w:r w:rsidRPr="00A151DE">
        <w:t xml:space="preserve">formal comparison of safety profiles of </w:t>
      </w:r>
      <w:proofErr w:type="spellStart"/>
      <w:r w:rsidRPr="00A151DE">
        <w:t>taliglucerase</w:t>
      </w:r>
      <w:proofErr w:type="spellEnd"/>
      <w:r>
        <w:t xml:space="preserve"> alfa</w:t>
      </w:r>
      <w:r w:rsidRPr="00A151DE">
        <w:t xml:space="preserve">, </w:t>
      </w:r>
      <w:proofErr w:type="spellStart"/>
      <w:r w:rsidRPr="00A151DE">
        <w:t>imiglucerase</w:t>
      </w:r>
      <w:proofErr w:type="spellEnd"/>
      <w:r w:rsidRPr="00A151DE">
        <w:t xml:space="preserve"> and </w:t>
      </w:r>
      <w:proofErr w:type="spellStart"/>
      <w:r w:rsidRPr="00A151DE">
        <w:t>velaglucerase</w:t>
      </w:r>
      <w:proofErr w:type="spellEnd"/>
      <w:r w:rsidRPr="00A151DE">
        <w:t xml:space="preserve"> alfa</w:t>
      </w:r>
      <w:r>
        <w:t xml:space="preserve">, the PBAC could not be </w:t>
      </w:r>
      <w:r w:rsidR="00896815">
        <w:t xml:space="preserve">sufficiently </w:t>
      </w:r>
      <w:r>
        <w:t xml:space="preserve">certain that </w:t>
      </w:r>
      <w:proofErr w:type="spellStart"/>
      <w:r>
        <w:t>taliglucerase</w:t>
      </w:r>
      <w:proofErr w:type="spellEnd"/>
      <w:r>
        <w:t xml:space="preserve"> alfa has a non-inferior safety profile compared to the other two treatments.</w:t>
      </w:r>
    </w:p>
    <w:p w:rsidR="00756B8C" w:rsidRPr="00756B8C" w:rsidRDefault="00756B8C" w:rsidP="00756B8C">
      <w:pPr>
        <w:pStyle w:val="ListParagraph"/>
        <w:rPr>
          <w:szCs w:val="22"/>
        </w:rPr>
      </w:pPr>
    </w:p>
    <w:p w:rsidR="00756B8C" w:rsidRDefault="00FC5BFC" w:rsidP="007E5DF5">
      <w:pPr>
        <w:pStyle w:val="ListParagraph"/>
        <w:widowControl/>
        <w:numPr>
          <w:ilvl w:val="1"/>
          <w:numId w:val="2"/>
        </w:numPr>
        <w:ind w:left="709" w:hanging="709"/>
        <w:rPr>
          <w:szCs w:val="22"/>
        </w:rPr>
      </w:pPr>
      <w:r>
        <w:rPr>
          <w:szCs w:val="22"/>
        </w:rPr>
        <w:t xml:space="preserve">Therefore, the </w:t>
      </w:r>
      <w:proofErr w:type="gramStart"/>
      <w:r>
        <w:rPr>
          <w:szCs w:val="22"/>
        </w:rPr>
        <w:t>resubmission’s</w:t>
      </w:r>
      <w:proofErr w:type="gramEnd"/>
      <w:r>
        <w:rPr>
          <w:szCs w:val="22"/>
        </w:rPr>
        <w:t xml:space="preserve"> clinical claim </w:t>
      </w:r>
      <w:r w:rsidRPr="008214D3">
        <w:t xml:space="preserve">that </w:t>
      </w:r>
      <w:proofErr w:type="spellStart"/>
      <w:r w:rsidRPr="008214D3">
        <w:t>taliglucerase</w:t>
      </w:r>
      <w:proofErr w:type="spellEnd"/>
      <w:r w:rsidRPr="008214D3">
        <w:t xml:space="preserve"> alfa achieves similar treatment efficacy outcomes to </w:t>
      </w:r>
      <w:proofErr w:type="spellStart"/>
      <w:r w:rsidRPr="008214D3">
        <w:t>vela</w:t>
      </w:r>
      <w:r>
        <w:t>glucerase</w:t>
      </w:r>
      <w:proofErr w:type="spellEnd"/>
      <w:r>
        <w:t xml:space="preserve"> alfa and </w:t>
      </w:r>
      <w:proofErr w:type="spellStart"/>
      <w:r>
        <w:t>imiglucerase</w:t>
      </w:r>
      <w:proofErr w:type="spellEnd"/>
      <w:r w:rsidRPr="008214D3">
        <w:t xml:space="preserve"> and has a non-inferior safety and tolerability profile</w:t>
      </w:r>
      <w:r>
        <w:t xml:space="preserve"> was </w:t>
      </w:r>
      <w:r w:rsidR="00DE7A25">
        <w:t xml:space="preserve">not </w:t>
      </w:r>
      <w:r>
        <w:t>accepted by the PBAC</w:t>
      </w:r>
      <w:r w:rsidRPr="008214D3">
        <w:t xml:space="preserve">. </w:t>
      </w:r>
      <w:r>
        <w:t>This had implications for the economic analysis.</w:t>
      </w:r>
    </w:p>
    <w:p w:rsidR="007E5DF5" w:rsidRPr="00756B8C" w:rsidRDefault="007E5DF5" w:rsidP="00756B8C">
      <w:pPr>
        <w:tabs>
          <w:tab w:val="left" w:pos="1276"/>
        </w:tabs>
        <w:rPr>
          <w:szCs w:val="22"/>
        </w:rPr>
      </w:pPr>
    </w:p>
    <w:p w:rsidR="007E5DF5" w:rsidRDefault="00756B8C" w:rsidP="007E5DF5">
      <w:pPr>
        <w:pStyle w:val="ListParagraph"/>
        <w:widowControl/>
        <w:numPr>
          <w:ilvl w:val="1"/>
          <w:numId w:val="2"/>
        </w:numPr>
        <w:ind w:left="709" w:hanging="709"/>
        <w:rPr>
          <w:szCs w:val="22"/>
        </w:rPr>
      </w:pPr>
      <w:r>
        <w:rPr>
          <w:szCs w:val="22"/>
        </w:rPr>
        <w:t>The PBAC considered a cost-minimisation</w:t>
      </w:r>
      <w:r w:rsidR="00FC5BFC">
        <w:rPr>
          <w:szCs w:val="22"/>
        </w:rPr>
        <w:t xml:space="preserve"> analysis</w:t>
      </w:r>
      <w:r>
        <w:rPr>
          <w:szCs w:val="22"/>
        </w:rPr>
        <w:t xml:space="preserve"> to be </w:t>
      </w:r>
      <w:r w:rsidR="000450FA">
        <w:rPr>
          <w:szCs w:val="22"/>
        </w:rPr>
        <w:t xml:space="preserve">an </w:t>
      </w:r>
      <w:r>
        <w:rPr>
          <w:szCs w:val="22"/>
        </w:rPr>
        <w:t>appropriate</w:t>
      </w:r>
      <w:r w:rsidR="000450FA">
        <w:rPr>
          <w:szCs w:val="22"/>
        </w:rPr>
        <w:t xml:space="preserve"> approach</w:t>
      </w:r>
      <w:r w:rsidR="00FC5BFC">
        <w:rPr>
          <w:szCs w:val="22"/>
        </w:rPr>
        <w:t xml:space="preserve"> to the economic comparison based on the resubmission’s clinical claim of non-inferiority.</w:t>
      </w:r>
      <w:r>
        <w:rPr>
          <w:szCs w:val="22"/>
        </w:rPr>
        <w:t xml:space="preserve"> </w:t>
      </w:r>
      <w:r w:rsidR="00FC5BFC">
        <w:rPr>
          <w:szCs w:val="22"/>
        </w:rPr>
        <w:t xml:space="preserve">However, as noted above, the PBAC </w:t>
      </w:r>
      <w:r w:rsidR="00DE7A25">
        <w:rPr>
          <w:szCs w:val="22"/>
        </w:rPr>
        <w:t xml:space="preserve">did not accept </w:t>
      </w:r>
      <w:r w:rsidR="00FC5BFC">
        <w:rPr>
          <w:szCs w:val="22"/>
        </w:rPr>
        <w:t>the submission’s clinical claim of non-inferiority and therefore the basis for a cost-minimisation analysis was</w:t>
      </w:r>
      <w:r w:rsidR="00DE7A25">
        <w:rPr>
          <w:szCs w:val="22"/>
        </w:rPr>
        <w:t xml:space="preserve"> inadequate</w:t>
      </w:r>
      <w:r w:rsidR="00FC5BFC">
        <w:rPr>
          <w:szCs w:val="22"/>
        </w:rPr>
        <w:t>.</w:t>
      </w:r>
      <w:r w:rsidR="00167A12">
        <w:rPr>
          <w:szCs w:val="22"/>
        </w:rPr>
        <w:t xml:space="preserve"> Given that the PBAC had previously considered the comparators not adequately cost-effective to allow listing on the </w:t>
      </w:r>
      <w:proofErr w:type="gramStart"/>
      <w:r w:rsidR="00167A12">
        <w:rPr>
          <w:szCs w:val="22"/>
        </w:rPr>
        <w:t>PBS,</w:t>
      </w:r>
      <w:proofErr w:type="gramEnd"/>
      <w:r w:rsidR="00167A12">
        <w:rPr>
          <w:szCs w:val="22"/>
        </w:rPr>
        <w:t xml:space="preserve"> the PBAC considered that </w:t>
      </w:r>
      <w:proofErr w:type="spellStart"/>
      <w:r w:rsidR="00167A12">
        <w:rPr>
          <w:szCs w:val="22"/>
        </w:rPr>
        <w:t>taliglucerase</w:t>
      </w:r>
      <w:proofErr w:type="spellEnd"/>
      <w:r w:rsidR="00167A12">
        <w:rPr>
          <w:szCs w:val="22"/>
        </w:rPr>
        <w:t xml:space="preserve"> alfa would also not be adequately cost-effective to recommend listing on the PBS based on the evidence presented thus far. </w:t>
      </w:r>
    </w:p>
    <w:p w:rsidR="00167A12" w:rsidRPr="00167A12" w:rsidRDefault="00167A12" w:rsidP="00167A12">
      <w:pPr>
        <w:pStyle w:val="ListParagraph"/>
        <w:rPr>
          <w:szCs w:val="22"/>
        </w:rPr>
      </w:pPr>
    </w:p>
    <w:p w:rsidR="00167A12" w:rsidRDefault="00167A12" w:rsidP="006B0BED">
      <w:pPr>
        <w:pStyle w:val="ListParagraph"/>
        <w:widowControl/>
        <w:numPr>
          <w:ilvl w:val="1"/>
          <w:numId w:val="2"/>
        </w:numPr>
        <w:ind w:left="709" w:hanging="709"/>
        <w:rPr>
          <w:szCs w:val="22"/>
        </w:rPr>
      </w:pPr>
      <w:r>
        <w:rPr>
          <w:szCs w:val="22"/>
        </w:rPr>
        <w:t xml:space="preserve">With respect to the resubmission’s estimated PBS usage and financial implications, the PBAC noted the ESC’s </w:t>
      </w:r>
      <w:r w:rsidRPr="00A151DE">
        <w:rPr>
          <w:szCs w:val="22"/>
        </w:rPr>
        <w:t xml:space="preserve">concerns regarding the change in body weight used in the current submission compared to the March 2012 submission. </w:t>
      </w:r>
      <w:r>
        <w:rPr>
          <w:szCs w:val="22"/>
        </w:rPr>
        <w:t xml:space="preserve">ESC had </w:t>
      </w:r>
      <w:r w:rsidRPr="00A151DE">
        <w:rPr>
          <w:szCs w:val="22"/>
        </w:rPr>
        <w:t>considered that an average patient weight of 75 kg (as opposed to 68 kg) is more reasonable and supported by trial evidence (trial PB-06-004 had an average patient weight of 74.9 kg)</w:t>
      </w:r>
      <w:r>
        <w:rPr>
          <w:szCs w:val="22"/>
        </w:rPr>
        <w:t>,</w:t>
      </w:r>
      <w:r w:rsidRPr="00A151DE">
        <w:rPr>
          <w:szCs w:val="22"/>
        </w:rPr>
        <w:t xml:space="preserve"> and considered that as a result, the number of vials dispensed </w:t>
      </w:r>
      <w:r>
        <w:rPr>
          <w:szCs w:val="22"/>
        </w:rPr>
        <w:t>wa</w:t>
      </w:r>
      <w:r w:rsidRPr="00A151DE">
        <w:rPr>
          <w:szCs w:val="22"/>
        </w:rPr>
        <w:t xml:space="preserve">s likely to </w:t>
      </w:r>
      <w:r>
        <w:rPr>
          <w:szCs w:val="22"/>
        </w:rPr>
        <w:t>have been</w:t>
      </w:r>
      <w:r w:rsidRPr="00A151DE">
        <w:rPr>
          <w:szCs w:val="22"/>
        </w:rPr>
        <w:t xml:space="preserve"> an underestimate</w:t>
      </w:r>
      <w:r>
        <w:rPr>
          <w:szCs w:val="22"/>
        </w:rPr>
        <w:t>d</w:t>
      </w:r>
      <w:r w:rsidRPr="00A151DE">
        <w:rPr>
          <w:szCs w:val="22"/>
        </w:rPr>
        <w:t xml:space="preserve">. The </w:t>
      </w:r>
      <w:r>
        <w:rPr>
          <w:szCs w:val="22"/>
        </w:rPr>
        <w:t>PBAC considered that</w:t>
      </w:r>
      <w:r w:rsidRPr="00A151DE">
        <w:rPr>
          <w:szCs w:val="22"/>
        </w:rPr>
        <w:t xml:space="preserve"> an analysis of existing Australian patients currently on </w:t>
      </w:r>
      <w:proofErr w:type="spellStart"/>
      <w:r w:rsidRPr="00A151DE">
        <w:rPr>
          <w:szCs w:val="22"/>
        </w:rPr>
        <w:t>imiglucerase</w:t>
      </w:r>
      <w:proofErr w:type="spellEnd"/>
      <w:r w:rsidRPr="00A151DE">
        <w:rPr>
          <w:szCs w:val="22"/>
        </w:rPr>
        <w:t xml:space="preserve"> and </w:t>
      </w:r>
      <w:proofErr w:type="spellStart"/>
      <w:r w:rsidRPr="00A151DE">
        <w:rPr>
          <w:szCs w:val="22"/>
        </w:rPr>
        <w:t>velaglucerase</w:t>
      </w:r>
      <w:proofErr w:type="spellEnd"/>
      <w:r w:rsidRPr="00A151DE">
        <w:rPr>
          <w:szCs w:val="22"/>
        </w:rPr>
        <w:t xml:space="preserve"> </w:t>
      </w:r>
      <w:r w:rsidR="00997FF2">
        <w:rPr>
          <w:szCs w:val="22"/>
        </w:rPr>
        <w:t xml:space="preserve">alfa </w:t>
      </w:r>
      <w:r w:rsidRPr="00A151DE">
        <w:rPr>
          <w:szCs w:val="22"/>
        </w:rPr>
        <w:t xml:space="preserve">would aid in determining the likely weight of </w:t>
      </w:r>
      <w:proofErr w:type="spellStart"/>
      <w:r w:rsidRPr="00A151DE">
        <w:rPr>
          <w:szCs w:val="22"/>
        </w:rPr>
        <w:t>taliglucerase</w:t>
      </w:r>
      <w:proofErr w:type="spellEnd"/>
      <w:r w:rsidRPr="00A151DE">
        <w:rPr>
          <w:szCs w:val="22"/>
        </w:rPr>
        <w:t xml:space="preserve"> alfa patients.</w:t>
      </w:r>
      <w:r>
        <w:rPr>
          <w:szCs w:val="22"/>
        </w:rPr>
        <w:t xml:space="preserve"> The PBAC further noted that </w:t>
      </w:r>
      <w:r w:rsidRPr="00A151DE">
        <w:t xml:space="preserve">despite the price offered </w:t>
      </w:r>
      <w:r>
        <w:t xml:space="preserve">in the resubmission </w:t>
      </w:r>
      <w:r w:rsidRPr="00A151DE">
        <w:t>being lower t</w:t>
      </w:r>
      <w:r>
        <w:t xml:space="preserve">han in the previous submission, </w:t>
      </w:r>
      <w:r w:rsidRPr="00A151DE">
        <w:t>the</w:t>
      </w:r>
      <w:r>
        <w:t>re</w:t>
      </w:r>
      <w:r w:rsidRPr="00A151DE">
        <w:t xml:space="preserve"> </w:t>
      </w:r>
      <w:proofErr w:type="gramStart"/>
      <w:r>
        <w:t>were</w:t>
      </w:r>
      <w:proofErr w:type="gramEnd"/>
      <w:r w:rsidR="009D4612">
        <w:t xml:space="preserve"> </w:t>
      </w:r>
      <w:r w:rsidRPr="00A151DE">
        <w:t xml:space="preserve">smaller </w:t>
      </w:r>
      <w:r>
        <w:t xml:space="preserve">cost </w:t>
      </w:r>
      <w:r w:rsidRPr="00A151DE">
        <w:t>saving</w:t>
      </w:r>
      <w:r>
        <w:t>s</w:t>
      </w:r>
      <w:r w:rsidRPr="00A151DE">
        <w:t xml:space="preserve"> to Government </w:t>
      </w:r>
      <w:r>
        <w:t xml:space="preserve">estimated </w:t>
      </w:r>
      <w:r w:rsidRPr="00A151DE">
        <w:t>in the resubmission than in the 2012 submission</w:t>
      </w:r>
      <w:r>
        <w:t>.</w:t>
      </w:r>
      <w:r w:rsidR="006B0BED">
        <w:t xml:space="preserve"> This </w:t>
      </w:r>
      <w:r>
        <w:t>wa</w:t>
      </w:r>
      <w:r w:rsidRPr="00A151DE">
        <w:t xml:space="preserve">s due to </w:t>
      </w:r>
      <w:r w:rsidR="006B0BED">
        <w:t>an increased estimate in</w:t>
      </w:r>
      <w:r w:rsidRPr="00A151DE">
        <w:t xml:space="preserve"> patient numbers and number of vials dispensed</w:t>
      </w:r>
      <w:r w:rsidR="006B0BED">
        <w:rPr>
          <w:szCs w:val="22"/>
        </w:rPr>
        <w:t>. The PBAC considered this increase in the estimate to reflect the uncertainty associated with defining the eligible patient population.</w:t>
      </w:r>
    </w:p>
    <w:p w:rsidR="00997FF2" w:rsidRPr="006B0BED" w:rsidRDefault="00997FF2" w:rsidP="00997FF2">
      <w:pPr>
        <w:pStyle w:val="ListParagraph"/>
        <w:widowControl/>
        <w:ind w:left="709"/>
        <w:rPr>
          <w:szCs w:val="22"/>
        </w:rPr>
      </w:pPr>
    </w:p>
    <w:p w:rsidR="00756B8C" w:rsidRPr="006B0F68" w:rsidRDefault="00997FF2" w:rsidP="006B0F68">
      <w:pPr>
        <w:pStyle w:val="ListParagraph"/>
        <w:widowControl/>
        <w:numPr>
          <w:ilvl w:val="1"/>
          <w:numId w:val="2"/>
        </w:numPr>
        <w:ind w:left="709" w:hanging="709"/>
        <w:rPr>
          <w:szCs w:val="22"/>
        </w:rPr>
      </w:pPr>
      <w:r>
        <w:rPr>
          <w:szCs w:val="22"/>
        </w:rPr>
        <w:t xml:space="preserve">The PBAC considered that in any future resubmission to list </w:t>
      </w:r>
      <w:proofErr w:type="spellStart"/>
      <w:r>
        <w:rPr>
          <w:szCs w:val="22"/>
        </w:rPr>
        <w:t>taliglucerase</w:t>
      </w:r>
      <w:proofErr w:type="spellEnd"/>
      <w:r>
        <w:rPr>
          <w:szCs w:val="22"/>
        </w:rPr>
        <w:t xml:space="preserve"> alfa on the PBS, </w:t>
      </w:r>
      <w:r w:rsidR="00DE7A25">
        <w:rPr>
          <w:szCs w:val="22"/>
        </w:rPr>
        <w:t xml:space="preserve">the evidence </w:t>
      </w:r>
      <w:r>
        <w:rPr>
          <w:szCs w:val="22"/>
        </w:rPr>
        <w:t xml:space="preserve">would need to provide further certainty that </w:t>
      </w:r>
      <w:proofErr w:type="spellStart"/>
      <w:r>
        <w:rPr>
          <w:szCs w:val="22"/>
        </w:rPr>
        <w:t>taliglucerase</w:t>
      </w:r>
      <w:proofErr w:type="spellEnd"/>
      <w:r>
        <w:rPr>
          <w:szCs w:val="22"/>
        </w:rPr>
        <w:t xml:space="preserve"> alfa provides equivalent benefits compared to </w:t>
      </w:r>
      <w:proofErr w:type="spellStart"/>
      <w:r>
        <w:rPr>
          <w:szCs w:val="22"/>
        </w:rPr>
        <w:t>imiglucerase</w:t>
      </w:r>
      <w:proofErr w:type="spellEnd"/>
      <w:r>
        <w:rPr>
          <w:szCs w:val="22"/>
        </w:rPr>
        <w:t xml:space="preserve"> and </w:t>
      </w:r>
      <w:proofErr w:type="spellStart"/>
      <w:r>
        <w:rPr>
          <w:szCs w:val="22"/>
        </w:rPr>
        <w:t>velaglucerase</w:t>
      </w:r>
      <w:proofErr w:type="spellEnd"/>
      <w:r>
        <w:rPr>
          <w:szCs w:val="22"/>
        </w:rPr>
        <w:t xml:space="preserve"> alfa and for provid</w:t>
      </w:r>
      <w:r w:rsidR="00DE7A25">
        <w:rPr>
          <w:szCs w:val="22"/>
        </w:rPr>
        <w:t>e</w:t>
      </w:r>
      <w:r>
        <w:rPr>
          <w:szCs w:val="22"/>
        </w:rPr>
        <w:t xml:space="preserve"> a formal comparison of comparative safety.</w:t>
      </w:r>
      <w:r w:rsidR="006B0F68">
        <w:rPr>
          <w:szCs w:val="22"/>
        </w:rPr>
        <w:t xml:space="preserve"> Although briefly addressed in the pre-PBAC response, the PBAC considered that any resubmission should also address any evidence suggesting that </w:t>
      </w:r>
      <w:proofErr w:type="spellStart"/>
      <w:r w:rsidR="006B0F68">
        <w:rPr>
          <w:szCs w:val="22"/>
        </w:rPr>
        <w:t>taliglucerase</w:t>
      </w:r>
      <w:proofErr w:type="spellEnd"/>
      <w:r w:rsidR="006B0F68">
        <w:rPr>
          <w:szCs w:val="22"/>
        </w:rPr>
        <w:t xml:space="preserve"> alfa could be used at a lower dose than that proposed in the submission yet still provide an equivalent treatment effect</w:t>
      </w:r>
      <w:r w:rsidR="00DE7A25">
        <w:rPr>
          <w:szCs w:val="22"/>
        </w:rPr>
        <w:t xml:space="preserve"> especially noting the high proposed price per mg of drug</w:t>
      </w:r>
      <w:r w:rsidR="006B0F68">
        <w:rPr>
          <w:szCs w:val="22"/>
        </w:rPr>
        <w:t xml:space="preserve">. Finally, the PBAC considered that </w:t>
      </w:r>
      <w:r w:rsidR="006B0F68" w:rsidRPr="00A151DE">
        <w:rPr>
          <w:szCs w:val="22"/>
        </w:rPr>
        <w:t xml:space="preserve">an analysis of existing Australian patients currently on </w:t>
      </w:r>
      <w:proofErr w:type="spellStart"/>
      <w:r w:rsidR="006B0F68" w:rsidRPr="00A151DE">
        <w:rPr>
          <w:szCs w:val="22"/>
        </w:rPr>
        <w:t>imiglucerase</w:t>
      </w:r>
      <w:proofErr w:type="spellEnd"/>
      <w:r w:rsidR="006B0F68" w:rsidRPr="00A151DE">
        <w:rPr>
          <w:szCs w:val="22"/>
        </w:rPr>
        <w:t xml:space="preserve"> and </w:t>
      </w:r>
      <w:proofErr w:type="spellStart"/>
      <w:r w:rsidR="006B0F68" w:rsidRPr="00A151DE">
        <w:rPr>
          <w:szCs w:val="22"/>
        </w:rPr>
        <w:t>velaglucerase</w:t>
      </w:r>
      <w:proofErr w:type="spellEnd"/>
      <w:r w:rsidR="006B0F68" w:rsidRPr="00A151DE">
        <w:rPr>
          <w:szCs w:val="22"/>
        </w:rPr>
        <w:t xml:space="preserve"> </w:t>
      </w:r>
      <w:r w:rsidR="006B0F68">
        <w:rPr>
          <w:szCs w:val="22"/>
        </w:rPr>
        <w:t>alfa may</w:t>
      </w:r>
      <w:r w:rsidR="006B0F68" w:rsidRPr="00A151DE">
        <w:rPr>
          <w:szCs w:val="22"/>
        </w:rPr>
        <w:t xml:space="preserve"> </w:t>
      </w:r>
      <w:r w:rsidR="006B0F68">
        <w:rPr>
          <w:szCs w:val="22"/>
        </w:rPr>
        <w:t xml:space="preserve">also </w:t>
      </w:r>
      <w:r w:rsidR="006B0F68" w:rsidRPr="00A151DE">
        <w:rPr>
          <w:szCs w:val="22"/>
        </w:rPr>
        <w:t xml:space="preserve">aid in determining the likely weight of </w:t>
      </w:r>
      <w:proofErr w:type="spellStart"/>
      <w:r w:rsidR="006B0F68" w:rsidRPr="00A151DE">
        <w:rPr>
          <w:szCs w:val="22"/>
        </w:rPr>
        <w:t>taliglucerase</w:t>
      </w:r>
      <w:proofErr w:type="spellEnd"/>
      <w:r w:rsidR="006B0F68" w:rsidRPr="00A151DE">
        <w:rPr>
          <w:szCs w:val="22"/>
        </w:rPr>
        <w:t xml:space="preserve"> alfa patients</w:t>
      </w:r>
      <w:r w:rsidR="006B0F68">
        <w:rPr>
          <w:szCs w:val="22"/>
        </w:rPr>
        <w:t xml:space="preserve"> and the financial implications for Government of subsidising </w:t>
      </w:r>
      <w:proofErr w:type="spellStart"/>
      <w:r w:rsidR="006B0F68">
        <w:rPr>
          <w:szCs w:val="22"/>
        </w:rPr>
        <w:t>taliglucerase</w:t>
      </w:r>
      <w:proofErr w:type="spellEnd"/>
      <w:r w:rsidR="006B0F68">
        <w:rPr>
          <w:szCs w:val="22"/>
        </w:rPr>
        <w:t xml:space="preserve"> alfa.</w:t>
      </w:r>
    </w:p>
    <w:p w:rsidR="00F138CC" w:rsidRDefault="00F138CC">
      <w:pPr>
        <w:widowControl/>
        <w:jc w:val="left"/>
      </w:pPr>
      <w:r>
        <w:br w:type="page"/>
      </w:r>
    </w:p>
    <w:p w:rsidR="007E5DF5" w:rsidRPr="00882085" w:rsidRDefault="007E5DF5" w:rsidP="00110E0F">
      <w:pPr>
        <w:pStyle w:val="ListParagraph"/>
        <w:widowControl/>
        <w:numPr>
          <w:ilvl w:val="1"/>
          <w:numId w:val="2"/>
        </w:numPr>
        <w:ind w:left="709" w:hanging="709"/>
        <w:rPr>
          <w:szCs w:val="22"/>
        </w:rPr>
      </w:pPr>
      <w:r>
        <w:rPr>
          <w:szCs w:val="22"/>
        </w:rPr>
        <w:lastRenderedPageBreak/>
        <w:t xml:space="preserve">The PBAC noted that this submission is </w:t>
      </w:r>
      <w:r w:rsidRPr="00882085">
        <w:rPr>
          <w:szCs w:val="22"/>
        </w:rPr>
        <w:t>eligibl</w:t>
      </w:r>
      <w:r>
        <w:rPr>
          <w:szCs w:val="22"/>
        </w:rPr>
        <w:t>e</w:t>
      </w:r>
      <w:r w:rsidRPr="00882085">
        <w:rPr>
          <w:szCs w:val="22"/>
        </w:rPr>
        <w:t xml:space="preserve"> for </w:t>
      </w:r>
      <w:r>
        <w:rPr>
          <w:szCs w:val="22"/>
        </w:rPr>
        <w:t xml:space="preserve">an </w:t>
      </w:r>
      <w:r w:rsidRPr="00882085">
        <w:rPr>
          <w:szCs w:val="22"/>
        </w:rPr>
        <w:t>Independent Review.</w:t>
      </w:r>
      <w:r>
        <w:rPr>
          <w:szCs w:val="22"/>
        </w:rPr>
        <w:t xml:space="preserve"> </w:t>
      </w:r>
    </w:p>
    <w:p w:rsidR="00110E0F" w:rsidRDefault="00110E0F" w:rsidP="007E5DF5">
      <w:pPr>
        <w:rPr>
          <w:b/>
          <w:szCs w:val="22"/>
        </w:rPr>
      </w:pPr>
    </w:p>
    <w:p w:rsidR="00577D82" w:rsidRDefault="00577D82" w:rsidP="007E5DF5">
      <w:pPr>
        <w:rPr>
          <w:b/>
          <w:szCs w:val="22"/>
        </w:rPr>
      </w:pPr>
    </w:p>
    <w:p w:rsidR="007E5DF5" w:rsidRPr="00882085" w:rsidRDefault="007E5DF5" w:rsidP="007E5DF5">
      <w:pPr>
        <w:rPr>
          <w:b/>
          <w:szCs w:val="22"/>
        </w:rPr>
      </w:pPr>
      <w:r w:rsidRPr="00882085">
        <w:rPr>
          <w:b/>
          <w:szCs w:val="22"/>
        </w:rPr>
        <w:t>Outcome:</w:t>
      </w:r>
    </w:p>
    <w:p w:rsidR="007E5DF5" w:rsidRPr="00BB7EC3" w:rsidRDefault="00110E0F" w:rsidP="00110E0F">
      <w:r>
        <w:t>Rejected</w:t>
      </w:r>
    </w:p>
    <w:p w:rsidR="007E5DF5" w:rsidRDefault="007E5DF5" w:rsidP="007E5DF5">
      <w:pPr>
        <w:rPr>
          <w:i/>
          <w:szCs w:val="22"/>
        </w:rPr>
      </w:pPr>
    </w:p>
    <w:p w:rsidR="00F93441" w:rsidRDefault="00F93441" w:rsidP="007E5DF5">
      <w:pPr>
        <w:rPr>
          <w:i/>
          <w:szCs w:val="22"/>
        </w:rPr>
      </w:pPr>
    </w:p>
    <w:p w:rsidR="007D6E80" w:rsidRDefault="007D6E80" w:rsidP="007D6E80">
      <w:pPr>
        <w:pStyle w:val="ListParagraph"/>
        <w:widowControl/>
        <w:numPr>
          <w:ilvl w:val="0"/>
          <w:numId w:val="2"/>
        </w:numPr>
        <w:rPr>
          <w:b/>
        </w:rPr>
      </w:pPr>
      <w:r w:rsidRPr="00D4420F">
        <w:rPr>
          <w:b/>
        </w:rPr>
        <w:t>Context for Decision</w:t>
      </w:r>
    </w:p>
    <w:p w:rsidR="007D6E80" w:rsidRPr="00D4420F" w:rsidRDefault="007D6E80" w:rsidP="007D6E80">
      <w:pPr>
        <w:pStyle w:val="ListParagraph"/>
        <w:rPr>
          <w:b/>
        </w:rPr>
      </w:pPr>
    </w:p>
    <w:p w:rsidR="007D6E80" w:rsidRPr="00D4420F" w:rsidRDefault="007D6E80" w:rsidP="007D6E80">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D6E80" w:rsidRDefault="007D6E80" w:rsidP="007D6E80"/>
    <w:p w:rsidR="00F93441" w:rsidRPr="00D4420F" w:rsidRDefault="00F93441" w:rsidP="007D6E80"/>
    <w:p w:rsidR="007D6E80" w:rsidRDefault="007D6E80" w:rsidP="007D6E80">
      <w:pPr>
        <w:pStyle w:val="ListParagraph"/>
        <w:widowControl/>
        <w:numPr>
          <w:ilvl w:val="0"/>
          <w:numId w:val="2"/>
        </w:numPr>
        <w:rPr>
          <w:b/>
        </w:rPr>
      </w:pPr>
      <w:r w:rsidRPr="00D4420F">
        <w:rPr>
          <w:b/>
        </w:rPr>
        <w:t>Sponsor’s Comment</w:t>
      </w:r>
    </w:p>
    <w:p w:rsidR="007D6E80" w:rsidRDefault="007D6E80" w:rsidP="00F93441">
      <w:pPr>
        <w:ind w:left="720"/>
        <w:rPr>
          <w:i/>
          <w:szCs w:val="22"/>
        </w:rPr>
      </w:pPr>
    </w:p>
    <w:p w:rsidR="00F93441" w:rsidRPr="00F93441" w:rsidRDefault="00F93441" w:rsidP="00F93441">
      <w:pPr>
        <w:ind w:left="720"/>
      </w:pPr>
      <w:r w:rsidRPr="00F93441">
        <w:t xml:space="preserve">Pfizer Australia looks forward to working with the LSDP to obtain listing of </w:t>
      </w:r>
      <w:proofErr w:type="spellStart"/>
      <w:r w:rsidRPr="00F93441">
        <w:t>Elelyso</w:t>
      </w:r>
      <w:proofErr w:type="spellEnd"/>
      <w:r w:rsidRPr="00F93441">
        <w:t xml:space="preserve"> for the treatment of Australian patients with </w:t>
      </w:r>
      <w:proofErr w:type="spellStart"/>
      <w:r w:rsidRPr="00F93441">
        <w:t>Gaucher</w:t>
      </w:r>
      <w:proofErr w:type="spellEnd"/>
      <w:r w:rsidRPr="00F93441">
        <w:t xml:space="preserve"> Disease </w:t>
      </w:r>
    </w:p>
    <w:p w:rsidR="00F93441" w:rsidRDefault="00F93441" w:rsidP="00F93441">
      <w:pPr>
        <w:ind w:left="720"/>
        <w:rPr>
          <w:i/>
          <w:szCs w:val="22"/>
        </w:rPr>
      </w:pPr>
    </w:p>
    <w:sectPr w:rsidR="00F93441" w:rsidSect="00AC1B85">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B3" w:rsidRDefault="00E836B3" w:rsidP="00124A51">
      <w:r>
        <w:separator/>
      </w:r>
    </w:p>
  </w:endnote>
  <w:endnote w:type="continuationSeparator" w:id="0">
    <w:p w:rsidR="00E836B3" w:rsidRDefault="00E836B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82" w:rsidRDefault="008914C9" w:rsidP="00577D82">
    <w:pPr>
      <w:pStyle w:val="Footer"/>
      <w:jc w:val="center"/>
    </w:pPr>
    <w:sdt>
      <w:sdtPr>
        <w:id w:val="865401113"/>
        <w:docPartObj>
          <w:docPartGallery w:val="Page Numbers (Bottom of Page)"/>
          <w:docPartUnique/>
        </w:docPartObj>
      </w:sdtPr>
      <w:sdtEndPr>
        <w:rPr>
          <w:noProof/>
        </w:rPr>
      </w:sdtEndPr>
      <w:sdtContent>
        <w:r w:rsidR="00577D82">
          <w:br/>
        </w:r>
        <w:r w:rsidR="00577D82">
          <w:fldChar w:fldCharType="begin"/>
        </w:r>
        <w:r w:rsidR="00577D82">
          <w:instrText xml:space="preserve"> PAGE   \* MERGEFORMAT </w:instrText>
        </w:r>
        <w:r w:rsidR="00577D82">
          <w:fldChar w:fldCharType="separate"/>
        </w:r>
        <w:r>
          <w:rPr>
            <w:noProof/>
          </w:rPr>
          <w:t>15</w:t>
        </w:r>
        <w:r w:rsidR="00577D8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B3" w:rsidRDefault="00E836B3" w:rsidP="00124A51">
      <w:r>
        <w:separator/>
      </w:r>
    </w:p>
  </w:footnote>
  <w:footnote w:type="continuationSeparator" w:id="0">
    <w:p w:rsidR="00E836B3" w:rsidRDefault="00E836B3" w:rsidP="00124A51">
      <w:r>
        <w:continuationSeparator/>
      </w:r>
    </w:p>
  </w:footnote>
  <w:footnote w:id="1">
    <w:p w:rsidR="00577D82" w:rsidRPr="00376C1D" w:rsidRDefault="00577D82" w:rsidP="00376C1D">
      <w:pPr>
        <w:pStyle w:val="FootnoteText"/>
        <w:rPr>
          <w:sz w:val="18"/>
        </w:rPr>
      </w:pPr>
      <w:r w:rsidRPr="00CF4681">
        <w:rPr>
          <w:rStyle w:val="FootnoteReference"/>
          <w:sz w:val="18"/>
        </w:rPr>
        <w:footnoteRef/>
      </w:r>
      <w:proofErr w:type="spellStart"/>
      <w:proofErr w:type="gramStart"/>
      <w:r w:rsidRPr="00CF4681">
        <w:rPr>
          <w:sz w:val="18"/>
        </w:rPr>
        <w:t>Zimran</w:t>
      </w:r>
      <w:proofErr w:type="spellEnd"/>
      <w:r w:rsidRPr="00CF4681">
        <w:rPr>
          <w:sz w:val="18"/>
        </w:rPr>
        <w:t>, A.</w:t>
      </w:r>
      <w:proofErr w:type="gramEnd"/>
      <w:r w:rsidRPr="00CF4681">
        <w:rPr>
          <w:sz w:val="18"/>
        </w:rPr>
        <w:t xml:space="preserve">  How I treat </w:t>
      </w:r>
      <w:proofErr w:type="spellStart"/>
      <w:r w:rsidRPr="00CF4681">
        <w:rPr>
          <w:sz w:val="18"/>
        </w:rPr>
        <w:t>Gaucher</w:t>
      </w:r>
      <w:proofErr w:type="spellEnd"/>
      <w:r w:rsidRPr="00CF4681">
        <w:rPr>
          <w:sz w:val="18"/>
        </w:rPr>
        <w:t xml:space="preserve"> Disease. August 2011; Blood</w:t>
      </w:r>
      <w:proofErr w:type="gramStart"/>
      <w:r w:rsidRPr="00CF4681">
        <w:rPr>
          <w:sz w:val="18"/>
        </w:rPr>
        <w:t>:118</w:t>
      </w:r>
      <w:proofErr w:type="gramEnd"/>
      <w:r w:rsidRPr="00CF4681">
        <w:rPr>
          <w:sz w:val="18"/>
        </w:rPr>
        <w:t>(6).</w:t>
      </w:r>
    </w:p>
  </w:footnote>
  <w:footnote w:id="2">
    <w:p w:rsidR="00577D82" w:rsidRDefault="00577D82">
      <w:pPr>
        <w:pStyle w:val="FootnoteText"/>
      </w:pPr>
      <w:r>
        <w:rPr>
          <w:rStyle w:val="FootnoteReference"/>
        </w:rPr>
        <w:footnoteRef/>
      </w:r>
      <w:r>
        <w:t xml:space="preserve"> </w:t>
      </w:r>
      <w:proofErr w:type="spellStart"/>
      <w:r w:rsidRPr="00CF4681">
        <w:rPr>
          <w:sz w:val="18"/>
        </w:rPr>
        <w:t>Tukan</w:t>
      </w:r>
      <w:proofErr w:type="spellEnd"/>
      <w:r w:rsidRPr="00CF4681">
        <w:rPr>
          <w:sz w:val="18"/>
        </w:rPr>
        <w:t xml:space="preserve"> et al. Achievement of Therapeutic Goals with Low-Dose </w:t>
      </w:r>
      <w:proofErr w:type="spellStart"/>
      <w:r w:rsidRPr="00CF4681">
        <w:rPr>
          <w:sz w:val="18"/>
        </w:rPr>
        <w:t>Imiglucerase</w:t>
      </w:r>
      <w:proofErr w:type="spellEnd"/>
      <w:r w:rsidRPr="00CF4681">
        <w:rPr>
          <w:sz w:val="18"/>
        </w:rPr>
        <w:t xml:space="preserve"> in </w:t>
      </w:r>
      <w:proofErr w:type="spellStart"/>
      <w:r w:rsidRPr="00CF4681">
        <w:rPr>
          <w:sz w:val="18"/>
        </w:rPr>
        <w:t>Gaucher</w:t>
      </w:r>
      <w:proofErr w:type="spellEnd"/>
      <w:r w:rsidRPr="00CF4681">
        <w:rPr>
          <w:sz w:val="18"/>
        </w:rPr>
        <w:t xml:space="preserve"> Disease: A single-centre experience. 2013: Advances in Haematology.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82" w:rsidRPr="00DF217D" w:rsidRDefault="00575DA8" w:rsidP="00A151DE">
    <w:pPr>
      <w:pStyle w:val="Header"/>
      <w:ind w:left="360"/>
      <w:jc w:val="center"/>
      <w:rPr>
        <w:i/>
        <w:color w:val="808080"/>
      </w:rPr>
    </w:pPr>
    <w:r>
      <w:rPr>
        <w:i/>
        <w:color w:val="808080"/>
      </w:rPr>
      <w:t>Public Summary Document</w:t>
    </w:r>
    <w:r w:rsidR="00577D82">
      <w:rPr>
        <w:i/>
        <w:color w:val="808080"/>
      </w:rPr>
      <w:t xml:space="preserve"> </w:t>
    </w:r>
    <w:r w:rsidR="00577D82" w:rsidRPr="00DF217D">
      <w:rPr>
        <w:i/>
        <w:color w:val="808080"/>
      </w:rPr>
      <w:t xml:space="preserve">– </w:t>
    </w:r>
    <w:r w:rsidR="00577D82">
      <w:rPr>
        <w:i/>
        <w:color w:val="808080"/>
      </w:rPr>
      <w:t xml:space="preserve">November 2014 </w:t>
    </w:r>
    <w:r w:rsidR="00577D82" w:rsidRPr="00DF217D">
      <w:rPr>
        <w:i/>
        <w:color w:val="808080"/>
      </w:rPr>
      <w:t>PBAC</w:t>
    </w:r>
    <w:r w:rsidR="00577D82">
      <w:rPr>
        <w:i/>
        <w:color w:val="808080"/>
      </w:rPr>
      <w:t xml:space="preserve"> </w:t>
    </w:r>
    <w:r w:rsidR="00577D82" w:rsidRPr="00DF217D">
      <w:rPr>
        <w:i/>
        <w:color w:val="808080"/>
      </w:rPr>
      <w:t>Meeting</w:t>
    </w:r>
  </w:p>
  <w:p w:rsidR="00577D82" w:rsidRPr="008C7ECB" w:rsidRDefault="00577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45A"/>
    <w:multiLevelType w:val="hybridMultilevel"/>
    <w:tmpl w:val="8124B46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
    <w:nsid w:val="285041AE"/>
    <w:multiLevelType w:val="hybridMultilevel"/>
    <w:tmpl w:val="993E4E18"/>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351"/>
        </w:tabs>
        <w:ind w:left="1351" w:hanging="360"/>
      </w:pPr>
      <w:rPr>
        <w:rFonts w:ascii="Courier New" w:hAnsi="Courier New" w:cs="Courier New" w:hint="default"/>
      </w:rPr>
    </w:lvl>
    <w:lvl w:ilvl="2" w:tplc="04090005" w:tentative="1">
      <w:start w:val="1"/>
      <w:numFmt w:val="bullet"/>
      <w:lvlText w:val=""/>
      <w:lvlJc w:val="left"/>
      <w:pPr>
        <w:tabs>
          <w:tab w:val="num" w:pos="2071"/>
        </w:tabs>
        <w:ind w:left="2071" w:hanging="360"/>
      </w:pPr>
      <w:rPr>
        <w:rFonts w:ascii="Wingdings" w:hAnsi="Wingdings" w:hint="default"/>
      </w:rPr>
    </w:lvl>
    <w:lvl w:ilvl="3" w:tplc="04090001" w:tentative="1">
      <w:start w:val="1"/>
      <w:numFmt w:val="bullet"/>
      <w:lvlText w:val=""/>
      <w:lvlJc w:val="left"/>
      <w:pPr>
        <w:tabs>
          <w:tab w:val="num" w:pos="2791"/>
        </w:tabs>
        <w:ind w:left="2791" w:hanging="360"/>
      </w:pPr>
      <w:rPr>
        <w:rFonts w:ascii="Symbol" w:hAnsi="Symbol" w:hint="default"/>
      </w:rPr>
    </w:lvl>
    <w:lvl w:ilvl="4" w:tplc="04090003" w:tentative="1">
      <w:start w:val="1"/>
      <w:numFmt w:val="bullet"/>
      <w:lvlText w:val="o"/>
      <w:lvlJc w:val="left"/>
      <w:pPr>
        <w:tabs>
          <w:tab w:val="num" w:pos="3511"/>
        </w:tabs>
        <w:ind w:left="3511" w:hanging="360"/>
      </w:pPr>
      <w:rPr>
        <w:rFonts w:ascii="Courier New" w:hAnsi="Courier New" w:cs="Courier New" w:hint="default"/>
      </w:rPr>
    </w:lvl>
    <w:lvl w:ilvl="5" w:tplc="04090005" w:tentative="1">
      <w:start w:val="1"/>
      <w:numFmt w:val="bullet"/>
      <w:lvlText w:val=""/>
      <w:lvlJc w:val="left"/>
      <w:pPr>
        <w:tabs>
          <w:tab w:val="num" w:pos="4231"/>
        </w:tabs>
        <w:ind w:left="4231" w:hanging="360"/>
      </w:pPr>
      <w:rPr>
        <w:rFonts w:ascii="Wingdings" w:hAnsi="Wingdings" w:hint="default"/>
      </w:rPr>
    </w:lvl>
    <w:lvl w:ilvl="6" w:tplc="04090001" w:tentative="1">
      <w:start w:val="1"/>
      <w:numFmt w:val="bullet"/>
      <w:lvlText w:val=""/>
      <w:lvlJc w:val="left"/>
      <w:pPr>
        <w:tabs>
          <w:tab w:val="num" w:pos="4951"/>
        </w:tabs>
        <w:ind w:left="4951" w:hanging="360"/>
      </w:pPr>
      <w:rPr>
        <w:rFonts w:ascii="Symbol" w:hAnsi="Symbol" w:hint="default"/>
      </w:rPr>
    </w:lvl>
    <w:lvl w:ilvl="7" w:tplc="04090003" w:tentative="1">
      <w:start w:val="1"/>
      <w:numFmt w:val="bullet"/>
      <w:lvlText w:val="o"/>
      <w:lvlJc w:val="left"/>
      <w:pPr>
        <w:tabs>
          <w:tab w:val="num" w:pos="5671"/>
        </w:tabs>
        <w:ind w:left="5671" w:hanging="360"/>
      </w:pPr>
      <w:rPr>
        <w:rFonts w:ascii="Courier New" w:hAnsi="Courier New" w:cs="Courier New" w:hint="default"/>
      </w:rPr>
    </w:lvl>
    <w:lvl w:ilvl="8" w:tplc="04090005" w:tentative="1">
      <w:start w:val="1"/>
      <w:numFmt w:val="bullet"/>
      <w:lvlText w:val=""/>
      <w:lvlJc w:val="left"/>
      <w:pPr>
        <w:tabs>
          <w:tab w:val="num" w:pos="6391"/>
        </w:tabs>
        <w:ind w:left="6391" w:hanging="360"/>
      </w:pPr>
      <w:rPr>
        <w:rFonts w:ascii="Wingdings" w:hAnsi="Wingdings" w:hint="default"/>
      </w:rPr>
    </w:lvl>
  </w:abstractNum>
  <w:abstractNum w:abstractNumId="3">
    <w:nsid w:val="2925344C"/>
    <w:multiLevelType w:val="hybridMultilevel"/>
    <w:tmpl w:val="098CBF4A"/>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3CE3160A"/>
    <w:multiLevelType w:val="hybridMultilevel"/>
    <w:tmpl w:val="7E9EFB3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46E513D4"/>
    <w:multiLevelType w:val="hybridMultilevel"/>
    <w:tmpl w:val="42947E64"/>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4A1F5B36"/>
    <w:multiLevelType w:val="hybridMultilevel"/>
    <w:tmpl w:val="D3EA7A02"/>
    <w:lvl w:ilvl="0" w:tplc="916A2D22">
      <w:start w:val="20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784D033C"/>
    <w:multiLevelType w:val="multilevel"/>
    <w:tmpl w:val="0EFAF2D2"/>
    <w:lvl w:ilvl="0">
      <w:start w:val="1"/>
      <w:numFmt w:val="decimal"/>
      <w:pStyle w:val="PBACheading1"/>
      <w:lvlText w:val="%1"/>
      <w:lvlJc w:val="left"/>
      <w:pPr>
        <w:ind w:left="720" w:hanging="720"/>
      </w:pPr>
      <w:rPr>
        <w:rFonts w:hint="default"/>
        <w:b/>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
  </w:num>
  <w:num w:numId="2">
    <w:abstractNumId w:val="10"/>
  </w:num>
  <w:num w:numId="3">
    <w:abstractNumId w:val="6"/>
  </w:num>
  <w:num w:numId="4">
    <w:abstractNumId w:val="4"/>
  </w:num>
  <w:num w:numId="5">
    <w:abstractNumId w:val="0"/>
  </w:num>
  <w:num w:numId="6">
    <w:abstractNumId w:val="3"/>
  </w:num>
  <w:num w:numId="7">
    <w:abstractNumId w:val="5"/>
  </w:num>
  <w:num w:numId="8">
    <w:abstractNumId w:val="8"/>
  </w:num>
  <w:num w:numId="9">
    <w:abstractNumId w:val="7"/>
  </w:num>
  <w:num w:numId="10">
    <w:abstractNumId w:val="9"/>
  </w:num>
  <w:num w:numId="11">
    <w:abstractNumId w:val="11"/>
  </w:num>
  <w:num w:numId="12">
    <w:abstractNumId w:val="1"/>
  </w:num>
  <w:num w:numId="13">
    <w:abstractNumId w:val="10"/>
  </w:num>
  <w:num w:numId="14">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BA">
    <w15:presenceInfo w15:providerId="None" w15:userId="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4D3D"/>
    <w:rsid w:val="000131E2"/>
    <w:rsid w:val="00013247"/>
    <w:rsid w:val="00014BAA"/>
    <w:rsid w:val="00015182"/>
    <w:rsid w:val="0001577B"/>
    <w:rsid w:val="00015886"/>
    <w:rsid w:val="000162EF"/>
    <w:rsid w:val="00016DDC"/>
    <w:rsid w:val="00020104"/>
    <w:rsid w:val="00020B56"/>
    <w:rsid w:val="0002225F"/>
    <w:rsid w:val="00023763"/>
    <w:rsid w:val="00023EE3"/>
    <w:rsid w:val="0002562F"/>
    <w:rsid w:val="00025CAD"/>
    <w:rsid w:val="00027522"/>
    <w:rsid w:val="00030D9B"/>
    <w:rsid w:val="000322F0"/>
    <w:rsid w:val="00035BE3"/>
    <w:rsid w:val="00035FBE"/>
    <w:rsid w:val="0003769D"/>
    <w:rsid w:val="0004021D"/>
    <w:rsid w:val="00040895"/>
    <w:rsid w:val="0004231D"/>
    <w:rsid w:val="00043C37"/>
    <w:rsid w:val="0004477F"/>
    <w:rsid w:val="00044A05"/>
    <w:rsid w:val="000450FA"/>
    <w:rsid w:val="00047ED2"/>
    <w:rsid w:val="000527B6"/>
    <w:rsid w:val="00052F95"/>
    <w:rsid w:val="000536C2"/>
    <w:rsid w:val="00054667"/>
    <w:rsid w:val="000546D7"/>
    <w:rsid w:val="0005528C"/>
    <w:rsid w:val="00057CF5"/>
    <w:rsid w:val="00060180"/>
    <w:rsid w:val="0006123C"/>
    <w:rsid w:val="00061644"/>
    <w:rsid w:val="00066B0F"/>
    <w:rsid w:val="00066B5E"/>
    <w:rsid w:val="00071248"/>
    <w:rsid w:val="000720B9"/>
    <w:rsid w:val="000748A9"/>
    <w:rsid w:val="00074A60"/>
    <w:rsid w:val="00077D30"/>
    <w:rsid w:val="0008100D"/>
    <w:rsid w:val="000812CA"/>
    <w:rsid w:val="00081772"/>
    <w:rsid w:val="00081CAE"/>
    <w:rsid w:val="00086D28"/>
    <w:rsid w:val="0008783B"/>
    <w:rsid w:val="00087912"/>
    <w:rsid w:val="00090C7E"/>
    <w:rsid w:val="0009218B"/>
    <w:rsid w:val="00093A5A"/>
    <w:rsid w:val="00093DEE"/>
    <w:rsid w:val="00095497"/>
    <w:rsid w:val="000955F4"/>
    <w:rsid w:val="000A0CC0"/>
    <w:rsid w:val="000A2F23"/>
    <w:rsid w:val="000A35D1"/>
    <w:rsid w:val="000A4A9A"/>
    <w:rsid w:val="000A5B41"/>
    <w:rsid w:val="000A70B8"/>
    <w:rsid w:val="000A7635"/>
    <w:rsid w:val="000A7649"/>
    <w:rsid w:val="000B03E3"/>
    <w:rsid w:val="000B2BBA"/>
    <w:rsid w:val="000B36BD"/>
    <w:rsid w:val="000B5006"/>
    <w:rsid w:val="000B7221"/>
    <w:rsid w:val="000C3107"/>
    <w:rsid w:val="000C4B48"/>
    <w:rsid w:val="000C599C"/>
    <w:rsid w:val="000D011C"/>
    <w:rsid w:val="000D1911"/>
    <w:rsid w:val="000D1BFC"/>
    <w:rsid w:val="000D37EA"/>
    <w:rsid w:val="000D46E1"/>
    <w:rsid w:val="000D4CEA"/>
    <w:rsid w:val="000D54E8"/>
    <w:rsid w:val="000D60A5"/>
    <w:rsid w:val="000D7AF9"/>
    <w:rsid w:val="000D7C11"/>
    <w:rsid w:val="000E2EA2"/>
    <w:rsid w:val="000E4F54"/>
    <w:rsid w:val="000E697F"/>
    <w:rsid w:val="000E7855"/>
    <w:rsid w:val="000F2CA7"/>
    <w:rsid w:val="000F5E24"/>
    <w:rsid w:val="000F7C86"/>
    <w:rsid w:val="00100F8A"/>
    <w:rsid w:val="001036C3"/>
    <w:rsid w:val="0010489B"/>
    <w:rsid w:val="00105EB6"/>
    <w:rsid w:val="0011032E"/>
    <w:rsid w:val="00110E0F"/>
    <w:rsid w:val="00110E3D"/>
    <w:rsid w:val="00111C2E"/>
    <w:rsid w:val="001139EE"/>
    <w:rsid w:val="001148D2"/>
    <w:rsid w:val="0011744B"/>
    <w:rsid w:val="001175AB"/>
    <w:rsid w:val="00121799"/>
    <w:rsid w:val="001222FC"/>
    <w:rsid w:val="001240C5"/>
    <w:rsid w:val="00124A51"/>
    <w:rsid w:val="0012608A"/>
    <w:rsid w:val="00126621"/>
    <w:rsid w:val="00126905"/>
    <w:rsid w:val="001301E9"/>
    <w:rsid w:val="00130741"/>
    <w:rsid w:val="00132ED2"/>
    <w:rsid w:val="00134782"/>
    <w:rsid w:val="00137645"/>
    <w:rsid w:val="0014015A"/>
    <w:rsid w:val="00140E99"/>
    <w:rsid w:val="001413E4"/>
    <w:rsid w:val="00141509"/>
    <w:rsid w:val="001436DB"/>
    <w:rsid w:val="00144B91"/>
    <w:rsid w:val="001456B0"/>
    <w:rsid w:val="00150AF4"/>
    <w:rsid w:val="00150E71"/>
    <w:rsid w:val="00151B19"/>
    <w:rsid w:val="00152F61"/>
    <w:rsid w:val="001538C8"/>
    <w:rsid w:val="00153A1A"/>
    <w:rsid w:val="00157130"/>
    <w:rsid w:val="001613F7"/>
    <w:rsid w:val="00162913"/>
    <w:rsid w:val="00162AB0"/>
    <w:rsid w:val="00163EFF"/>
    <w:rsid w:val="001648BE"/>
    <w:rsid w:val="001661FB"/>
    <w:rsid w:val="00167A12"/>
    <w:rsid w:val="00173E0F"/>
    <w:rsid w:val="00176762"/>
    <w:rsid w:val="0017727C"/>
    <w:rsid w:val="00182F7D"/>
    <w:rsid w:val="001843ED"/>
    <w:rsid w:val="00184B6C"/>
    <w:rsid w:val="00185078"/>
    <w:rsid w:val="00191440"/>
    <w:rsid w:val="001915C2"/>
    <w:rsid w:val="00193F06"/>
    <w:rsid w:val="00195222"/>
    <w:rsid w:val="001953A0"/>
    <w:rsid w:val="001971A6"/>
    <w:rsid w:val="001975D8"/>
    <w:rsid w:val="001A223F"/>
    <w:rsid w:val="001A3EAA"/>
    <w:rsid w:val="001A4EB9"/>
    <w:rsid w:val="001A6774"/>
    <w:rsid w:val="001A6A28"/>
    <w:rsid w:val="001A6ECF"/>
    <w:rsid w:val="001A7E50"/>
    <w:rsid w:val="001B1307"/>
    <w:rsid w:val="001B2D68"/>
    <w:rsid w:val="001B3443"/>
    <w:rsid w:val="001B34ED"/>
    <w:rsid w:val="001B3D46"/>
    <w:rsid w:val="001B6188"/>
    <w:rsid w:val="001C1030"/>
    <w:rsid w:val="001C3432"/>
    <w:rsid w:val="001C3891"/>
    <w:rsid w:val="001C4F3B"/>
    <w:rsid w:val="001C594D"/>
    <w:rsid w:val="001C6E66"/>
    <w:rsid w:val="001C7A46"/>
    <w:rsid w:val="001C7E30"/>
    <w:rsid w:val="001D112E"/>
    <w:rsid w:val="001D2FB2"/>
    <w:rsid w:val="001D378A"/>
    <w:rsid w:val="001D3AEB"/>
    <w:rsid w:val="001D4305"/>
    <w:rsid w:val="001D45C2"/>
    <w:rsid w:val="001D55C5"/>
    <w:rsid w:val="001E238E"/>
    <w:rsid w:val="001E52EB"/>
    <w:rsid w:val="001E6271"/>
    <w:rsid w:val="001E63C3"/>
    <w:rsid w:val="001E740C"/>
    <w:rsid w:val="001F11BB"/>
    <w:rsid w:val="001F1235"/>
    <w:rsid w:val="001F1CB3"/>
    <w:rsid w:val="001F2650"/>
    <w:rsid w:val="001F6795"/>
    <w:rsid w:val="001F7361"/>
    <w:rsid w:val="002025FE"/>
    <w:rsid w:val="002037B7"/>
    <w:rsid w:val="002037D6"/>
    <w:rsid w:val="002041A8"/>
    <w:rsid w:val="00205BD5"/>
    <w:rsid w:val="00206442"/>
    <w:rsid w:val="002105C1"/>
    <w:rsid w:val="00211E51"/>
    <w:rsid w:val="002140DD"/>
    <w:rsid w:val="00214689"/>
    <w:rsid w:val="00216F4D"/>
    <w:rsid w:val="00217A82"/>
    <w:rsid w:val="0022089B"/>
    <w:rsid w:val="00220B32"/>
    <w:rsid w:val="00222103"/>
    <w:rsid w:val="00223AD6"/>
    <w:rsid w:val="00223B49"/>
    <w:rsid w:val="002242DC"/>
    <w:rsid w:val="00224D12"/>
    <w:rsid w:val="00224DD4"/>
    <w:rsid w:val="002309CC"/>
    <w:rsid w:val="00231A64"/>
    <w:rsid w:val="00233F42"/>
    <w:rsid w:val="00235739"/>
    <w:rsid w:val="0024099F"/>
    <w:rsid w:val="002425D7"/>
    <w:rsid w:val="0024415B"/>
    <w:rsid w:val="0024677A"/>
    <w:rsid w:val="00246907"/>
    <w:rsid w:val="0024709C"/>
    <w:rsid w:val="00247D7C"/>
    <w:rsid w:val="002504B0"/>
    <w:rsid w:val="00253935"/>
    <w:rsid w:val="002546E4"/>
    <w:rsid w:val="0025534B"/>
    <w:rsid w:val="002558A8"/>
    <w:rsid w:val="00255BB7"/>
    <w:rsid w:val="002570C5"/>
    <w:rsid w:val="00260435"/>
    <w:rsid w:val="002613EB"/>
    <w:rsid w:val="00261AC2"/>
    <w:rsid w:val="00262A87"/>
    <w:rsid w:val="0026311E"/>
    <w:rsid w:val="002649CA"/>
    <w:rsid w:val="00265EB3"/>
    <w:rsid w:val="00272C3B"/>
    <w:rsid w:val="00275C5A"/>
    <w:rsid w:val="002765CB"/>
    <w:rsid w:val="00276676"/>
    <w:rsid w:val="0027724B"/>
    <w:rsid w:val="00277DC0"/>
    <w:rsid w:val="00284AC1"/>
    <w:rsid w:val="002864D4"/>
    <w:rsid w:val="002867F3"/>
    <w:rsid w:val="00287090"/>
    <w:rsid w:val="0029285C"/>
    <w:rsid w:val="00293B1D"/>
    <w:rsid w:val="00296FB7"/>
    <w:rsid w:val="002A14AB"/>
    <w:rsid w:val="002A77D5"/>
    <w:rsid w:val="002A79A2"/>
    <w:rsid w:val="002B008F"/>
    <w:rsid w:val="002B07A9"/>
    <w:rsid w:val="002B116C"/>
    <w:rsid w:val="002B18D9"/>
    <w:rsid w:val="002B1C1F"/>
    <w:rsid w:val="002B29AB"/>
    <w:rsid w:val="002B31AE"/>
    <w:rsid w:val="002B37E2"/>
    <w:rsid w:val="002B432F"/>
    <w:rsid w:val="002B468A"/>
    <w:rsid w:val="002B6CCE"/>
    <w:rsid w:val="002C27C1"/>
    <w:rsid w:val="002C2C6F"/>
    <w:rsid w:val="002C4BF4"/>
    <w:rsid w:val="002C5076"/>
    <w:rsid w:val="002C5B52"/>
    <w:rsid w:val="002C66BA"/>
    <w:rsid w:val="002D3C6B"/>
    <w:rsid w:val="002D7145"/>
    <w:rsid w:val="002E0EC0"/>
    <w:rsid w:val="002E18C6"/>
    <w:rsid w:val="002E42E5"/>
    <w:rsid w:val="002E4940"/>
    <w:rsid w:val="002E665F"/>
    <w:rsid w:val="002E668B"/>
    <w:rsid w:val="002F0B70"/>
    <w:rsid w:val="002F2044"/>
    <w:rsid w:val="002F4A50"/>
    <w:rsid w:val="002F533B"/>
    <w:rsid w:val="00301017"/>
    <w:rsid w:val="0030262C"/>
    <w:rsid w:val="00302DE2"/>
    <w:rsid w:val="0030786C"/>
    <w:rsid w:val="0031031A"/>
    <w:rsid w:val="003110A5"/>
    <w:rsid w:val="003113E8"/>
    <w:rsid w:val="00313A6B"/>
    <w:rsid w:val="00315404"/>
    <w:rsid w:val="00315498"/>
    <w:rsid w:val="00316559"/>
    <w:rsid w:val="00316CF8"/>
    <w:rsid w:val="00317E00"/>
    <w:rsid w:val="00321C73"/>
    <w:rsid w:val="00323130"/>
    <w:rsid w:val="00323CAA"/>
    <w:rsid w:val="003247A8"/>
    <w:rsid w:val="00326E43"/>
    <w:rsid w:val="00326E8E"/>
    <w:rsid w:val="00326F7E"/>
    <w:rsid w:val="00330457"/>
    <w:rsid w:val="0033050B"/>
    <w:rsid w:val="0033296D"/>
    <w:rsid w:val="00335DB2"/>
    <w:rsid w:val="00335F13"/>
    <w:rsid w:val="003366C9"/>
    <w:rsid w:val="00337DA8"/>
    <w:rsid w:val="003404B1"/>
    <w:rsid w:val="003419F7"/>
    <w:rsid w:val="0034314F"/>
    <w:rsid w:val="00345784"/>
    <w:rsid w:val="00345FFD"/>
    <w:rsid w:val="00352183"/>
    <w:rsid w:val="00352E8D"/>
    <w:rsid w:val="00354712"/>
    <w:rsid w:val="0035561E"/>
    <w:rsid w:val="0035620E"/>
    <w:rsid w:val="00356E15"/>
    <w:rsid w:val="0036175A"/>
    <w:rsid w:val="00363B01"/>
    <w:rsid w:val="00365ABA"/>
    <w:rsid w:val="00365B48"/>
    <w:rsid w:val="00367BE2"/>
    <w:rsid w:val="00367D5B"/>
    <w:rsid w:val="003715D3"/>
    <w:rsid w:val="00371C70"/>
    <w:rsid w:val="003723A1"/>
    <w:rsid w:val="00372825"/>
    <w:rsid w:val="00373753"/>
    <w:rsid w:val="00376251"/>
    <w:rsid w:val="00376C1D"/>
    <w:rsid w:val="003801E2"/>
    <w:rsid w:val="003807F2"/>
    <w:rsid w:val="0038365C"/>
    <w:rsid w:val="00385482"/>
    <w:rsid w:val="00387E87"/>
    <w:rsid w:val="0039040B"/>
    <w:rsid w:val="00393856"/>
    <w:rsid w:val="00393F75"/>
    <w:rsid w:val="00394BC6"/>
    <w:rsid w:val="00395325"/>
    <w:rsid w:val="00396355"/>
    <w:rsid w:val="00396FD0"/>
    <w:rsid w:val="003A097A"/>
    <w:rsid w:val="003A1A7A"/>
    <w:rsid w:val="003A2C74"/>
    <w:rsid w:val="003A42C7"/>
    <w:rsid w:val="003A71B6"/>
    <w:rsid w:val="003B48DB"/>
    <w:rsid w:val="003B4C10"/>
    <w:rsid w:val="003B6173"/>
    <w:rsid w:val="003B7F7B"/>
    <w:rsid w:val="003C110A"/>
    <w:rsid w:val="003C46B9"/>
    <w:rsid w:val="003C4DE8"/>
    <w:rsid w:val="003C55E8"/>
    <w:rsid w:val="003C6AC3"/>
    <w:rsid w:val="003D13E8"/>
    <w:rsid w:val="003D1828"/>
    <w:rsid w:val="003D2422"/>
    <w:rsid w:val="003D34D8"/>
    <w:rsid w:val="003D5E25"/>
    <w:rsid w:val="003D77BC"/>
    <w:rsid w:val="003E01D0"/>
    <w:rsid w:val="003E2600"/>
    <w:rsid w:val="003E269E"/>
    <w:rsid w:val="003E5D03"/>
    <w:rsid w:val="003F04C0"/>
    <w:rsid w:val="003F1046"/>
    <w:rsid w:val="003F2A61"/>
    <w:rsid w:val="003F334B"/>
    <w:rsid w:val="003F4156"/>
    <w:rsid w:val="003F4519"/>
    <w:rsid w:val="003F460D"/>
    <w:rsid w:val="003F4ACF"/>
    <w:rsid w:val="003F6965"/>
    <w:rsid w:val="003F7BF8"/>
    <w:rsid w:val="0040085F"/>
    <w:rsid w:val="004014A3"/>
    <w:rsid w:val="00403438"/>
    <w:rsid w:val="004058C7"/>
    <w:rsid w:val="004059F4"/>
    <w:rsid w:val="00405BD7"/>
    <w:rsid w:val="004102AF"/>
    <w:rsid w:val="0041061E"/>
    <w:rsid w:val="004107EF"/>
    <w:rsid w:val="00410EC7"/>
    <w:rsid w:val="004121AC"/>
    <w:rsid w:val="00414349"/>
    <w:rsid w:val="00414476"/>
    <w:rsid w:val="00414F45"/>
    <w:rsid w:val="00415017"/>
    <w:rsid w:val="004167B3"/>
    <w:rsid w:val="004200CE"/>
    <w:rsid w:val="00420B9F"/>
    <w:rsid w:val="00420CFF"/>
    <w:rsid w:val="00421AE2"/>
    <w:rsid w:val="00424FE0"/>
    <w:rsid w:val="00425CB2"/>
    <w:rsid w:val="004279F6"/>
    <w:rsid w:val="004319F8"/>
    <w:rsid w:val="00434E57"/>
    <w:rsid w:val="00437630"/>
    <w:rsid w:val="00441014"/>
    <w:rsid w:val="0044188C"/>
    <w:rsid w:val="0044303C"/>
    <w:rsid w:val="004443A7"/>
    <w:rsid w:val="004448E4"/>
    <w:rsid w:val="004464EB"/>
    <w:rsid w:val="004504C6"/>
    <w:rsid w:val="00450788"/>
    <w:rsid w:val="00451637"/>
    <w:rsid w:val="004517EA"/>
    <w:rsid w:val="004522C0"/>
    <w:rsid w:val="00453C28"/>
    <w:rsid w:val="00454ECC"/>
    <w:rsid w:val="0045512E"/>
    <w:rsid w:val="00455D45"/>
    <w:rsid w:val="00457990"/>
    <w:rsid w:val="00461380"/>
    <w:rsid w:val="00461875"/>
    <w:rsid w:val="00461EBF"/>
    <w:rsid w:val="00462218"/>
    <w:rsid w:val="0046307A"/>
    <w:rsid w:val="0046340F"/>
    <w:rsid w:val="00464595"/>
    <w:rsid w:val="00472359"/>
    <w:rsid w:val="00472463"/>
    <w:rsid w:val="00473386"/>
    <w:rsid w:val="0047456A"/>
    <w:rsid w:val="004778FE"/>
    <w:rsid w:val="0048020E"/>
    <w:rsid w:val="00481F8D"/>
    <w:rsid w:val="00485334"/>
    <w:rsid w:val="004867E2"/>
    <w:rsid w:val="00491B3A"/>
    <w:rsid w:val="00491E1F"/>
    <w:rsid w:val="004920F1"/>
    <w:rsid w:val="004963EA"/>
    <w:rsid w:val="00497F10"/>
    <w:rsid w:val="004A0DA1"/>
    <w:rsid w:val="004A3432"/>
    <w:rsid w:val="004A4B1F"/>
    <w:rsid w:val="004A6597"/>
    <w:rsid w:val="004A6987"/>
    <w:rsid w:val="004A6B73"/>
    <w:rsid w:val="004A7338"/>
    <w:rsid w:val="004B00D5"/>
    <w:rsid w:val="004B2F18"/>
    <w:rsid w:val="004B3DDB"/>
    <w:rsid w:val="004B44FD"/>
    <w:rsid w:val="004B4F67"/>
    <w:rsid w:val="004B5CFC"/>
    <w:rsid w:val="004B735E"/>
    <w:rsid w:val="004B7F4D"/>
    <w:rsid w:val="004C2982"/>
    <w:rsid w:val="004C3E12"/>
    <w:rsid w:val="004C4587"/>
    <w:rsid w:val="004C4AED"/>
    <w:rsid w:val="004C54DB"/>
    <w:rsid w:val="004C60D2"/>
    <w:rsid w:val="004D0DD2"/>
    <w:rsid w:val="004D0DD7"/>
    <w:rsid w:val="004D3605"/>
    <w:rsid w:val="004D5BD9"/>
    <w:rsid w:val="004D5E29"/>
    <w:rsid w:val="004D5FFB"/>
    <w:rsid w:val="004E0EB8"/>
    <w:rsid w:val="004E2ADC"/>
    <w:rsid w:val="004E2FE9"/>
    <w:rsid w:val="004E6386"/>
    <w:rsid w:val="004F0C0D"/>
    <w:rsid w:val="004F1D02"/>
    <w:rsid w:val="004F2679"/>
    <w:rsid w:val="004F7A06"/>
    <w:rsid w:val="0050017C"/>
    <w:rsid w:val="00505D6D"/>
    <w:rsid w:val="00505ECA"/>
    <w:rsid w:val="00506E16"/>
    <w:rsid w:val="00507AEB"/>
    <w:rsid w:val="0051083F"/>
    <w:rsid w:val="00510D99"/>
    <w:rsid w:val="0051130B"/>
    <w:rsid w:val="0051436C"/>
    <w:rsid w:val="0051492D"/>
    <w:rsid w:val="005152B5"/>
    <w:rsid w:val="005155F7"/>
    <w:rsid w:val="005176C1"/>
    <w:rsid w:val="00517A4B"/>
    <w:rsid w:val="00521319"/>
    <w:rsid w:val="00522510"/>
    <w:rsid w:val="005227FE"/>
    <w:rsid w:val="00523C28"/>
    <w:rsid w:val="005254F8"/>
    <w:rsid w:val="00531BD2"/>
    <w:rsid w:val="00532E2A"/>
    <w:rsid w:val="00535166"/>
    <w:rsid w:val="005359C0"/>
    <w:rsid w:val="005405B1"/>
    <w:rsid w:val="00540B11"/>
    <w:rsid w:val="00541563"/>
    <w:rsid w:val="00543AD7"/>
    <w:rsid w:val="005447C6"/>
    <w:rsid w:val="0054710F"/>
    <w:rsid w:val="005474F1"/>
    <w:rsid w:val="005475DC"/>
    <w:rsid w:val="00555109"/>
    <w:rsid w:val="0055527C"/>
    <w:rsid w:val="00555D12"/>
    <w:rsid w:val="00556E7C"/>
    <w:rsid w:val="00562473"/>
    <w:rsid w:val="0056276A"/>
    <w:rsid w:val="0056696F"/>
    <w:rsid w:val="005672E4"/>
    <w:rsid w:val="0057105B"/>
    <w:rsid w:val="00571940"/>
    <w:rsid w:val="00571A7B"/>
    <w:rsid w:val="00575DA8"/>
    <w:rsid w:val="005762E6"/>
    <w:rsid w:val="005762E7"/>
    <w:rsid w:val="005765A6"/>
    <w:rsid w:val="00576972"/>
    <w:rsid w:val="00576D42"/>
    <w:rsid w:val="00577717"/>
    <w:rsid w:val="00577BCD"/>
    <w:rsid w:val="00577D82"/>
    <w:rsid w:val="005801E9"/>
    <w:rsid w:val="00582A44"/>
    <w:rsid w:val="00582D38"/>
    <w:rsid w:val="00583699"/>
    <w:rsid w:val="00584970"/>
    <w:rsid w:val="005862DF"/>
    <w:rsid w:val="0058718E"/>
    <w:rsid w:val="0058756E"/>
    <w:rsid w:val="00595D7F"/>
    <w:rsid w:val="00596887"/>
    <w:rsid w:val="0059688C"/>
    <w:rsid w:val="005978BC"/>
    <w:rsid w:val="00597C58"/>
    <w:rsid w:val="005A474A"/>
    <w:rsid w:val="005A4C68"/>
    <w:rsid w:val="005A6AFD"/>
    <w:rsid w:val="005B0850"/>
    <w:rsid w:val="005B1E99"/>
    <w:rsid w:val="005B20B8"/>
    <w:rsid w:val="005B3081"/>
    <w:rsid w:val="005B4D16"/>
    <w:rsid w:val="005B5857"/>
    <w:rsid w:val="005B5B88"/>
    <w:rsid w:val="005B79CC"/>
    <w:rsid w:val="005C1B83"/>
    <w:rsid w:val="005C209C"/>
    <w:rsid w:val="005C346B"/>
    <w:rsid w:val="005C5106"/>
    <w:rsid w:val="005C60F7"/>
    <w:rsid w:val="005D004D"/>
    <w:rsid w:val="005D18AD"/>
    <w:rsid w:val="005D1E42"/>
    <w:rsid w:val="005D2736"/>
    <w:rsid w:val="005D38CA"/>
    <w:rsid w:val="005D4557"/>
    <w:rsid w:val="005D57ED"/>
    <w:rsid w:val="005D5D82"/>
    <w:rsid w:val="005D7005"/>
    <w:rsid w:val="005D7E3E"/>
    <w:rsid w:val="005E016C"/>
    <w:rsid w:val="005F212D"/>
    <w:rsid w:val="005F2706"/>
    <w:rsid w:val="005F3B21"/>
    <w:rsid w:val="005F4A09"/>
    <w:rsid w:val="005F6A8F"/>
    <w:rsid w:val="005F7E4D"/>
    <w:rsid w:val="006028A5"/>
    <w:rsid w:val="00604066"/>
    <w:rsid w:val="006048A2"/>
    <w:rsid w:val="00606D63"/>
    <w:rsid w:val="00607669"/>
    <w:rsid w:val="00607C7E"/>
    <w:rsid w:val="006100FE"/>
    <w:rsid w:val="00612C86"/>
    <w:rsid w:val="00612F97"/>
    <w:rsid w:val="00616802"/>
    <w:rsid w:val="00617B5D"/>
    <w:rsid w:val="00617E12"/>
    <w:rsid w:val="00621477"/>
    <w:rsid w:val="006263EC"/>
    <w:rsid w:val="00626FF3"/>
    <w:rsid w:val="006308B8"/>
    <w:rsid w:val="00631D6B"/>
    <w:rsid w:val="00632036"/>
    <w:rsid w:val="0063479F"/>
    <w:rsid w:val="00634EBF"/>
    <w:rsid w:val="00635CDA"/>
    <w:rsid w:val="006364A1"/>
    <w:rsid w:val="00637BFD"/>
    <w:rsid w:val="0064117F"/>
    <w:rsid w:val="00641337"/>
    <w:rsid w:val="006413B2"/>
    <w:rsid w:val="00642588"/>
    <w:rsid w:val="00644DD6"/>
    <w:rsid w:val="00645E78"/>
    <w:rsid w:val="006471CC"/>
    <w:rsid w:val="0065035F"/>
    <w:rsid w:val="0065079F"/>
    <w:rsid w:val="0065300D"/>
    <w:rsid w:val="00653850"/>
    <w:rsid w:val="00654B21"/>
    <w:rsid w:val="0065503B"/>
    <w:rsid w:val="00656290"/>
    <w:rsid w:val="00656A68"/>
    <w:rsid w:val="0065727A"/>
    <w:rsid w:val="00660009"/>
    <w:rsid w:val="00665B0B"/>
    <w:rsid w:val="00666DDB"/>
    <w:rsid w:val="006679E3"/>
    <w:rsid w:val="00671CC0"/>
    <w:rsid w:val="006746CE"/>
    <w:rsid w:val="006748FD"/>
    <w:rsid w:val="00674E42"/>
    <w:rsid w:val="00674FF6"/>
    <w:rsid w:val="00675AE3"/>
    <w:rsid w:val="00675E86"/>
    <w:rsid w:val="006809D4"/>
    <w:rsid w:val="00680BC2"/>
    <w:rsid w:val="00681337"/>
    <w:rsid w:val="00682112"/>
    <w:rsid w:val="00683055"/>
    <w:rsid w:val="00685CAF"/>
    <w:rsid w:val="006861AE"/>
    <w:rsid w:val="0068663F"/>
    <w:rsid w:val="00687D10"/>
    <w:rsid w:val="00693C13"/>
    <w:rsid w:val="00693CFB"/>
    <w:rsid w:val="00694353"/>
    <w:rsid w:val="00694F44"/>
    <w:rsid w:val="00695AC7"/>
    <w:rsid w:val="006963FB"/>
    <w:rsid w:val="00696D7A"/>
    <w:rsid w:val="006A281B"/>
    <w:rsid w:val="006A41E4"/>
    <w:rsid w:val="006A739D"/>
    <w:rsid w:val="006B0519"/>
    <w:rsid w:val="006B0BED"/>
    <w:rsid w:val="006B0F68"/>
    <w:rsid w:val="006B420E"/>
    <w:rsid w:val="006B4899"/>
    <w:rsid w:val="006B5D92"/>
    <w:rsid w:val="006C2A8E"/>
    <w:rsid w:val="006C683B"/>
    <w:rsid w:val="006D04F1"/>
    <w:rsid w:val="006D055A"/>
    <w:rsid w:val="006D13F6"/>
    <w:rsid w:val="006D3C7D"/>
    <w:rsid w:val="006D67AD"/>
    <w:rsid w:val="006D6865"/>
    <w:rsid w:val="006D75A6"/>
    <w:rsid w:val="006E74D8"/>
    <w:rsid w:val="006F0F8A"/>
    <w:rsid w:val="006F2EBE"/>
    <w:rsid w:val="006F4065"/>
    <w:rsid w:val="006F4351"/>
    <w:rsid w:val="006F63A5"/>
    <w:rsid w:val="0070276E"/>
    <w:rsid w:val="007057BE"/>
    <w:rsid w:val="0070613D"/>
    <w:rsid w:val="007108F6"/>
    <w:rsid w:val="00711A36"/>
    <w:rsid w:val="0071209E"/>
    <w:rsid w:val="00716C84"/>
    <w:rsid w:val="007172AD"/>
    <w:rsid w:val="007172D6"/>
    <w:rsid w:val="007178A1"/>
    <w:rsid w:val="00720854"/>
    <w:rsid w:val="00720FB9"/>
    <w:rsid w:val="00721125"/>
    <w:rsid w:val="007218AC"/>
    <w:rsid w:val="007235AA"/>
    <w:rsid w:val="00724283"/>
    <w:rsid w:val="00724C51"/>
    <w:rsid w:val="007265FB"/>
    <w:rsid w:val="00726E11"/>
    <w:rsid w:val="007314C0"/>
    <w:rsid w:val="00732F0B"/>
    <w:rsid w:val="00735060"/>
    <w:rsid w:val="00735328"/>
    <w:rsid w:val="00736344"/>
    <w:rsid w:val="0073685B"/>
    <w:rsid w:val="00740032"/>
    <w:rsid w:val="00740234"/>
    <w:rsid w:val="00740FF0"/>
    <w:rsid w:val="00744CDA"/>
    <w:rsid w:val="007458B5"/>
    <w:rsid w:val="00746ACD"/>
    <w:rsid w:val="007474AD"/>
    <w:rsid w:val="00747B80"/>
    <w:rsid w:val="00753A72"/>
    <w:rsid w:val="0075522A"/>
    <w:rsid w:val="00755859"/>
    <w:rsid w:val="00756B8C"/>
    <w:rsid w:val="00757510"/>
    <w:rsid w:val="00771140"/>
    <w:rsid w:val="007718FA"/>
    <w:rsid w:val="007719D2"/>
    <w:rsid w:val="00774467"/>
    <w:rsid w:val="007768DF"/>
    <w:rsid w:val="007774F5"/>
    <w:rsid w:val="00780ED4"/>
    <w:rsid w:val="00784437"/>
    <w:rsid w:val="0078476A"/>
    <w:rsid w:val="0078606C"/>
    <w:rsid w:val="00791437"/>
    <w:rsid w:val="00791AC8"/>
    <w:rsid w:val="00797BCB"/>
    <w:rsid w:val="007A0E08"/>
    <w:rsid w:val="007A30D5"/>
    <w:rsid w:val="007A7809"/>
    <w:rsid w:val="007A7DDB"/>
    <w:rsid w:val="007B0CC8"/>
    <w:rsid w:val="007B0EB7"/>
    <w:rsid w:val="007B1ECE"/>
    <w:rsid w:val="007B2292"/>
    <w:rsid w:val="007B251D"/>
    <w:rsid w:val="007B25EC"/>
    <w:rsid w:val="007B77D1"/>
    <w:rsid w:val="007C0A77"/>
    <w:rsid w:val="007C3806"/>
    <w:rsid w:val="007C4C9D"/>
    <w:rsid w:val="007C58BD"/>
    <w:rsid w:val="007C626A"/>
    <w:rsid w:val="007D0B38"/>
    <w:rsid w:val="007D6E80"/>
    <w:rsid w:val="007D7418"/>
    <w:rsid w:val="007E2E5F"/>
    <w:rsid w:val="007E578B"/>
    <w:rsid w:val="007E5A6B"/>
    <w:rsid w:val="007E5DF5"/>
    <w:rsid w:val="007E61A3"/>
    <w:rsid w:val="007F0310"/>
    <w:rsid w:val="007F1017"/>
    <w:rsid w:val="007F2053"/>
    <w:rsid w:val="007F3FC7"/>
    <w:rsid w:val="007F4340"/>
    <w:rsid w:val="007F4532"/>
    <w:rsid w:val="007F4A3F"/>
    <w:rsid w:val="007F59EF"/>
    <w:rsid w:val="007F5C5B"/>
    <w:rsid w:val="0080165D"/>
    <w:rsid w:val="00804E23"/>
    <w:rsid w:val="00805142"/>
    <w:rsid w:val="00806A37"/>
    <w:rsid w:val="00807A8B"/>
    <w:rsid w:val="00812149"/>
    <w:rsid w:val="00813761"/>
    <w:rsid w:val="008166EF"/>
    <w:rsid w:val="008214D3"/>
    <w:rsid w:val="008235B2"/>
    <w:rsid w:val="008264EB"/>
    <w:rsid w:val="008269FB"/>
    <w:rsid w:val="00827555"/>
    <w:rsid w:val="00827694"/>
    <w:rsid w:val="0083014E"/>
    <w:rsid w:val="00831B2F"/>
    <w:rsid w:val="008321DE"/>
    <w:rsid w:val="0083329C"/>
    <w:rsid w:val="00833FCF"/>
    <w:rsid w:val="008355AB"/>
    <w:rsid w:val="00840113"/>
    <w:rsid w:val="00840CA2"/>
    <w:rsid w:val="00842BF5"/>
    <w:rsid w:val="00845249"/>
    <w:rsid w:val="00845A41"/>
    <w:rsid w:val="00847AD8"/>
    <w:rsid w:val="0085204F"/>
    <w:rsid w:val="008537E7"/>
    <w:rsid w:val="00856E9A"/>
    <w:rsid w:val="008577A0"/>
    <w:rsid w:val="008579BB"/>
    <w:rsid w:val="00857E45"/>
    <w:rsid w:val="00860143"/>
    <w:rsid w:val="00860F98"/>
    <w:rsid w:val="00861E49"/>
    <w:rsid w:val="00862343"/>
    <w:rsid w:val="00863189"/>
    <w:rsid w:val="0086347E"/>
    <w:rsid w:val="00863607"/>
    <w:rsid w:val="00865EBB"/>
    <w:rsid w:val="0086601A"/>
    <w:rsid w:val="008674B7"/>
    <w:rsid w:val="00870EBB"/>
    <w:rsid w:val="0087174B"/>
    <w:rsid w:val="00872E8C"/>
    <w:rsid w:val="00873EDC"/>
    <w:rsid w:val="00876135"/>
    <w:rsid w:val="008803DA"/>
    <w:rsid w:val="0088167D"/>
    <w:rsid w:val="00882605"/>
    <w:rsid w:val="00882874"/>
    <w:rsid w:val="00882994"/>
    <w:rsid w:val="00883787"/>
    <w:rsid w:val="008846FB"/>
    <w:rsid w:val="00885280"/>
    <w:rsid w:val="008873D0"/>
    <w:rsid w:val="008914C9"/>
    <w:rsid w:val="008917A2"/>
    <w:rsid w:val="008927E9"/>
    <w:rsid w:val="0089395B"/>
    <w:rsid w:val="008954AA"/>
    <w:rsid w:val="00895B0E"/>
    <w:rsid w:val="008963A5"/>
    <w:rsid w:val="00896815"/>
    <w:rsid w:val="008A3C3E"/>
    <w:rsid w:val="008A4EA7"/>
    <w:rsid w:val="008A7158"/>
    <w:rsid w:val="008A7886"/>
    <w:rsid w:val="008A79DE"/>
    <w:rsid w:val="008B0693"/>
    <w:rsid w:val="008B0D25"/>
    <w:rsid w:val="008B2C0B"/>
    <w:rsid w:val="008B4388"/>
    <w:rsid w:val="008B5DD8"/>
    <w:rsid w:val="008B74E0"/>
    <w:rsid w:val="008B7D7E"/>
    <w:rsid w:val="008C482E"/>
    <w:rsid w:val="008C66DC"/>
    <w:rsid w:val="008C7ECB"/>
    <w:rsid w:val="008D001A"/>
    <w:rsid w:val="008D086B"/>
    <w:rsid w:val="008D1CBE"/>
    <w:rsid w:val="008D48B6"/>
    <w:rsid w:val="008E03AD"/>
    <w:rsid w:val="008E0B85"/>
    <w:rsid w:val="008E14CC"/>
    <w:rsid w:val="008E1B9E"/>
    <w:rsid w:val="008E3883"/>
    <w:rsid w:val="008E50D7"/>
    <w:rsid w:val="008E62B6"/>
    <w:rsid w:val="008E697F"/>
    <w:rsid w:val="008E7EF8"/>
    <w:rsid w:val="008F278B"/>
    <w:rsid w:val="008F34FB"/>
    <w:rsid w:val="008F3EBA"/>
    <w:rsid w:val="008F48EB"/>
    <w:rsid w:val="008F4F0B"/>
    <w:rsid w:val="008F5AE0"/>
    <w:rsid w:val="00900DC8"/>
    <w:rsid w:val="009033F8"/>
    <w:rsid w:val="0090476F"/>
    <w:rsid w:val="009062A5"/>
    <w:rsid w:val="00911272"/>
    <w:rsid w:val="0091156F"/>
    <w:rsid w:val="00914F16"/>
    <w:rsid w:val="00916AC4"/>
    <w:rsid w:val="0092379B"/>
    <w:rsid w:val="00923B8F"/>
    <w:rsid w:val="00931F93"/>
    <w:rsid w:val="009353D9"/>
    <w:rsid w:val="00940B26"/>
    <w:rsid w:val="00941F1B"/>
    <w:rsid w:val="00945C33"/>
    <w:rsid w:val="00952868"/>
    <w:rsid w:val="00957029"/>
    <w:rsid w:val="00961AF9"/>
    <w:rsid w:val="00962987"/>
    <w:rsid w:val="00962CB9"/>
    <w:rsid w:val="00962D15"/>
    <w:rsid w:val="009636B5"/>
    <w:rsid w:val="00963E5C"/>
    <w:rsid w:val="00964312"/>
    <w:rsid w:val="00965877"/>
    <w:rsid w:val="00966EF0"/>
    <w:rsid w:val="00967276"/>
    <w:rsid w:val="00970C61"/>
    <w:rsid w:val="009710A3"/>
    <w:rsid w:val="00971689"/>
    <w:rsid w:val="0097216A"/>
    <w:rsid w:val="009727D4"/>
    <w:rsid w:val="00972893"/>
    <w:rsid w:val="00976367"/>
    <w:rsid w:val="009778A2"/>
    <w:rsid w:val="0098002F"/>
    <w:rsid w:val="009806B8"/>
    <w:rsid w:val="00981793"/>
    <w:rsid w:val="009821AB"/>
    <w:rsid w:val="00983C0C"/>
    <w:rsid w:val="00983E57"/>
    <w:rsid w:val="00986378"/>
    <w:rsid w:val="0098709F"/>
    <w:rsid w:val="00991A9A"/>
    <w:rsid w:val="00992F79"/>
    <w:rsid w:val="00994ADD"/>
    <w:rsid w:val="00996B1A"/>
    <w:rsid w:val="00997154"/>
    <w:rsid w:val="00997FF2"/>
    <w:rsid w:val="009A1C95"/>
    <w:rsid w:val="009A45A1"/>
    <w:rsid w:val="009A57B2"/>
    <w:rsid w:val="009A580A"/>
    <w:rsid w:val="009B19E2"/>
    <w:rsid w:val="009B1A71"/>
    <w:rsid w:val="009B3E26"/>
    <w:rsid w:val="009B4A8A"/>
    <w:rsid w:val="009B55B5"/>
    <w:rsid w:val="009B7452"/>
    <w:rsid w:val="009C4FB4"/>
    <w:rsid w:val="009D0CC4"/>
    <w:rsid w:val="009D4612"/>
    <w:rsid w:val="009D5B91"/>
    <w:rsid w:val="009D7FC8"/>
    <w:rsid w:val="009E0369"/>
    <w:rsid w:val="009E3FAD"/>
    <w:rsid w:val="009E4C07"/>
    <w:rsid w:val="009E51D0"/>
    <w:rsid w:val="009F1787"/>
    <w:rsid w:val="009F1A97"/>
    <w:rsid w:val="009F2B9B"/>
    <w:rsid w:val="009F3FDF"/>
    <w:rsid w:val="009F41CD"/>
    <w:rsid w:val="00A0062F"/>
    <w:rsid w:val="00A01722"/>
    <w:rsid w:val="00A01A10"/>
    <w:rsid w:val="00A031CB"/>
    <w:rsid w:val="00A03D43"/>
    <w:rsid w:val="00A04053"/>
    <w:rsid w:val="00A04380"/>
    <w:rsid w:val="00A056E1"/>
    <w:rsid w:val="00A13948"/>
    <w:rsid w:val="00A151DE"/>
    <w:rsid w:val="00A20004"/>
    <w:rsid w:val="00A203DD"/>
    <w:rsid w:val="00A205E8"/>
    <w:rsid w:val="00A20F15"/>
    <w:rsid w:val="00A24844"/>
    <w:rsid w:val="00A256D5"/>
    <w:rsid w:val="00A25756"/>
    <w:rsid w:val="00A2751B"/>
    <w:rsid w:val="00A27AEC"/>
    <w:rsid w:val="00A27DF4"/>
    <w:rsid w:val="00A30B2F"/>
    <w:rsid w:val="00A31E30"/>
    <w:rsid w:val="00A32356"/>
    <w:rsid w:val="00A35C76"/>
    <w:rsid w:val="00A35D16"/>
    <w:rsid w:val="00A43C59"/>
    <w:rsid w:val="00A47719"/>
    <w:rsid w:val="00A50B13"/>
    <w:rsid w:val="00A50ECD"/>
    <w:rsid w:val="00A51AB3"/>
    <w:rsid w:val="00A52729"/>
    <w:rsid w:val="00A52F7F"/>
    <w:rsid w:val="00A53675"/>
    <w:rsid w:val="00A5372E"/>
    <w:rsid w:val="00A56B6A"/>
    <w:rsid w:val="00A56F75"/>
    <w:rsid w:val="00A578DC"/>
    <w:rsid w:val="00A60090"/>
    <w:rsid w:val="00A602DD"/>
    <w:rsid w:val="00A63DB5"/>
    <w:rsid w:val="00A64C13"/>
    <w:rsid w:val="00A6725B"/>
    <w:rsid w:val="00A67A05"/>
    <w:rsid w:val="00A72F56"/>
    <w:rsid w:val="00A73B0F"/>
    <w:rsid w:val="00A74C6E"/>
    <w:rsid w:val="00A765B6"/>
    <w:rsid w:val="00A80060"/>
    <w:rsid w:val="00A81C5B"/>
    <w:rsid w:val="00A85247"/>
    <w:rsid w:val="00A85337"/>
    <w:rsid w:val="00A86608"/>
    <w:rsid w:val="00A86E8B"/>
    <w:rsid w:val="00A86FD6"/>
    <w:rsid w:val="00A87A8A"/>
    <w:rsid w:val="00A92AAB"/>
    <w:rsid w:val="00A93072"/>
    <w:rsid w:val="00A93C26"/>
    <w:rsid w:val="00A95DBC"/>
    <w:rsid w:val="00A96C3A"/>
    <w:rsid w:val="00AA00C0"/>
    <w:rsid w:val="00AA0A07"/>
    <w:rsid w:val="00AA1ED2"/>
    <w:rsid w:val="00AA26E2"/>
    <w:rsid w:val="00AA6777"/>
    <w:rsid w:val="00AA69CC"/>
    <w:rsid w:val="00AA6FEB"/>
    <w:rsid w:val="00AB042A"/>
    <w:rsid w:val="00AB1137"/>
    <w:rsid w:val="00AB240A"/>
    <w:rsid w:val="00AB24F8"/>
    <w:rsid w:val="00AB2981"/>
    <w:rsid w:val="00AB3430"/>
    <w:rsid w:val="00AB565A"/>
    <w:rsid w:val="00AB76BC"/>
    <w:rsid w:val="00AB7CFA"/>
    <w:rsid w:val="00AC08ED"/>
    <w:rsid w:val="00AC1B85"/>
    <w:rsid w:val="00AD0FC1"/>
    <w:rsid w:val="00AD5D26"/>
    <w:rsid w:val="00AE32EA"/>
    <w:rsid w:val="00AE5D44"/>
    <w:rsid w:val="00AE71F9"/>
    <w:rsid w:val="00AE7FA0"/>
    <w:rsid w:val="00AF1D59"/>
    <w:rsid w:val="00AF4DDF"/>
    <w:rsid w:val="00AF6DE1"/>
    <w:rsid w:val="00B00CD8"/>
    <w:rsid w:val="00B04BED"/>
    <w:rsid w:val="00B04DA9"/>
    <w:rsid w:val="00B13EC6"/>
    <w:rsid w:val="00B170C6"/>
    <w:rsid w:val="00B2087B"/>
    <w:rsid w:val="00B20AE2"/>
    <w:rsid w:val="00B22793"/>
    <w:rsid w:val="00B259BF"/>
    <w:rsid w:val="00B31818"/>
    <w:rsid w:val="00B32989"/>
    <w:rsid w:val="00B358E3"/>
    <w:rsid w:val="00B3731A"/>
    <w:rsid w:val="00B373FD"/>
    <w:rsid w:val="00B375FC"/>
    <w:rsid w:val="00B42851"/>
    <w:rsid w:val="00B44A9A"/>
    <w:rsid w:val="00B46362"/>
    <w:rsid w:val="00B46BA3"/>
    <w:rsid w:val="00B4737C"/>
    <w:rsid w:val="00B51DD2"/>
    <w:rsid w:val="00B52ECA"/>
    <w:rsid w:val="00B53BEB"/>
    <w:rsid w:val="00B54B5B"/>
    <w:rsid w:val="00B5562E"/>
    <w:rsid w:val="00B561FC"/>
    <w:rsid w:val="00B57000"/>
    <w:rsid w:val="00B608CF"/>
    <w:rsid w:val="00B60939"/>
    <w:rsid w:val="00B60AFD"/>
    <w:rsid w:val="00B6131A"/>
    <w:rsid w:val="00B6157C"/>
    <w:rsid w:val="00B62715"/>
    <w:rsid w:val="00B633A0"/>
    <w:rsid w:val="00B67C18"/>
    <w:rsid w:val="00B704B9"/>
    <w:rsid w:val="00B7157C"/>
    <w:rsid w:val="00B71D0C"/>
    <w:rsid w:val="00B732BE"/>
    <w:rsid w:val="00B74858"/>
    <w:rsid w:val="00B77A3A"/>
    <w:rsid w:val="00B818A4"/>
    <w:rsid w:val="00B81941"/>
    <w:rsid w:val="00B830C3"/>
    <w:rsid w:val="00B8428A"/>
    <w:rsid w:val="00B85D87"/>
    <w:rsid w:val="00B8649C"/>
    <w:rsid w:val="00B92D0B"/>
    <w:rsid w:val="00B941FE"/>
    <w:rsid w:val="00B94945"/>
    <w:rsid w:val="00B950A9"/>
    <w:rsid w:val="00BA26BB"/>
    <w:rsid w:val="00BA2A23"/>
    <w:rsid w:val="00BA6EE8"/>
    <w:rsid w:val="00BA7E44"/>
    <w:rsid w:val="00BA7ED2"/>
    <w:rsid w:val="00BB38A3"/>
    <w:rsid w:val="00BB3FB8"/>
    <w:rsid w:val="00BB4D6E"/>
    <w:rsid w:val="00BB52B9"/>
    <w:rsid w:val="00BB5912"/>
    <w:rsid w:val="00BB76E6"/>
    <w:rsid w:val="00BC2C8D"/>
    <w:rsid w:val="00BC592E"/>
    <w:rsid w:val="00BC63D1"/>
    <w:rsid w:val="00BD0BDC"/>
    <w:rsid w:val="00BD2B41"/>
    <w:rsid w:val="00BD5102"/>
    <w:rsid w:val="00BD5831"/>
    <w:rsid w:val="00BE14CF"/>
    <w:rsid w:val="00BE17BC"/>
    <w:rsid w:val="00BE2180"/>
    <w:rsid w:val="00BE33DA"/>
    <w:rsid w:val="00BE3DD5"/>
    <w:rsid w:val="00BE4275"/>
    <w:rsid w:val="00BE7753"/>
    <w:rsid w:val="00BF23ED"/>
    <w:rsid w:val="00BF2433"/>
    <w:rsid w:val="00BF4CC3"/>
    <w:rsid w:val="00BF5776"/>
    <w:rsid w:val="00BF61C9"/>
    <w:rsid w:val="00BF7473"/>
    <w:rsid w:val="00BF757D"/>
    <w:rsid w:val="00C00A48"/>
    <w:rsid w:val="00C012CA"/>
    <w:rsid w:val="00C01631"/>
    <w:rsid w:val="00C020CC"/>
    <w:rsid w:val="00C029DE"/>
    <w:rsid w:val="00C02E0C"/>
    <w:rsid w:val="00C13C62"/>
    <w:rsid w:val="00C14BCB"/>
    <w:rsid w:val="00C201A2"/>
    <w:rsid w:val="00C20C3B"/>
    <w:rsid w:val="00C22EB6"/>
    <w:rsid w:val="00C235CD"/>
    <w:rsid w:val="00C25418"/>
    <w:rsid w:val="00C25D9C"/>
    <w:rsid w:val="00C26344"/>
    <w:rsid w:val="00C31649"/>
    <w:rsid w:val="00C32489"/>
    <w:rsid w:val="00C34701"/>
    <w:rsid w:val="00C35E17"/>
    <w:rsid w:val="00C36E6B"/>
    <w:rsid w:val="00C37736"/>
    <w:rsid w:val="00C40385"/>
    <w:rsid w:val="00C4195A"/>
    <w:rsid w:val="00C426C5"/>
    <w:rsid w:val="00C42C2D"/>
    <w:rsid w:val="00C44F4C"/>
    <w:rsid w:val="00C4546B"/>
    <w:rsid w:val="00C46CF3"/>
    <w:rsid w:val="00C47CE8"/>
    <w:rsid w:val="00C51145"/>
    <w:rsid w:val="00C51EF1"/>
    <w:rsid w:val="00C55D8D"/>
    <w:rsid w:val="00C60F41"/>
    <w:rsid w:val="00C61DB8"/>
    <w:rsid w:val="00C620AA"/>
    <w:rsid w:val="00C65576"/>
    <w:rsid w:val="00C66165"/>
    <w:rsid w:val="00C66C70"/>
    <w:rsid w:val="00C6773E"/>
    <w:rsid w:val="00C701B1"/>
    <w:rsid w:val="00C70683"/>
    <w:rsid w:val="00C722D5"/>
    <w:rsid w:val="00C739EC"/>
    <w:rsid w:val="00C808E5"/>
    <w:rsid w:val="00C8213F"/>
    <w:rsid w:val="00C85D6C"/>
    <w:rsid w:val="00C8783E"/>
    <w:rsid w:val="00C878C4"/>
    <w:rsid w:val="00C8797A"/>
    <w:rsid w:val="00C90B05"/>
    <w:rsid w:val="00C92BB6"/>
    <w:rsid w:val="00C933C6"/>
    <w:rsid w:val="00C938CF"/>
    <w:rsid w:val="00C93A29"/>
    <w:rsid w:val="00C93FE5"/>
    <w:rsid w:val="00C95C6A"/>
    <w:rsid w:val="00CA01F3"/>
    <w:rsid w:val="00CA5245"/>
    <w:rsid w:val="00CA7B09"/>
    <w:rsid w:val="00CB3324"/>
    <w:rsid w:val="00CB3614"/>
    <w:rsid w:val="00CB3BDD"/>
    <w:rsid w:val="00CB4879"/>
    <w:rsid w:val="00CB5B1A"/>
    <w:rsid w:val="00CC238E"/>
    <w:rsid w:val="00CC4BE4"/>
    <w:rsid w:val="00CC6D69"/>
    <w:rsid w:val="00CC7657"/>
    <w:rsid w:val="00CD0DA4"/>
    <w:rsid w:val="00CD2573"/>
    <w:rsid w:val="00CD36C9"/>
    <w:rsid w:val="00CD4134"/>
    <w:rsid w:val="00CD436C"/>
    <w:rsid w:val="00CD6892"/>
    <w:rsid w:val="00CD6ADC"/>
    <w:rsid w:val="00CD7008"/>
    <w:rsid w:val="00CD7A19"/>
    <w:rsid w:val="00CE0CA9"/>
    <w:rsid w:val="00CE23B1"/>
    <w:rsid w:val="00CE25B5"/>
    <w:rsid w:val="00CE4FF2"/>
    <w:rsid w:val="00CE5C73"/>
    <w:rsid w:val="00CE6089"/>
    <w:rsid w:val="00CE6274"/>
    <w:rsid w:val="00CF2B1D"/>
    <w:rsid w:val="00CF301F"/>
    <w:rsid w:val="00CF31C8"/>
    <w:rsid w:val="00CF456B"/>
    <w:rsid w:val="00CF4681"/>
    <w:rsid w:val="00CF5A22"/>
    <w:rsid w:val="00CF6E05"/>
    <w:rsid w:val="00D0061B"/>
    <w:rsid w:val="00D00B6F"/>
    <w:rsid w:val="00D01AA5"/>
    <w:rsid w:val="00D0262E"/>
    <w:rsid w:val="00D02A45"/>
    <w:rsid w:val="00D03172"/>
    <w:rsid w:val="00D03341"/>
    <w:rsid w:val="00D033A1"/>
    <w:rsid w:val="00D04C42"/>
    <w:rsid w:val="00D06FD4"/>
    <w:rsid w:val="00D07F4B"/>
    <w:rsid w:val="00D103B8"/>
    <w:rsid w:val="00D110BD"/>
    <w:rsid w:val="00D1196D"/>
    <w:rsid w:val="00D11EC1"/>
    <w:rsid w:val="00D1283D"/>
    <w:rsid w:val="00D12AF5"/>
    <w:rsid w:val="00D1408A"/>
    <w:rsid w:val="00D14E28"/>
    <w:rsid w:val="00D15BD4"/>
    <w:rsid w:val="00D17D6C"/>
    <w:rsid w:val="00D20197"/>
    <w:rsid w:val="00D204E3"/>
    <w:rsid w:val="00D24620"/>
    <w:rsid w:val="00D27494"/>
    <w:rsid w:val="00D30909"/>
    <w:rsid w:val="00D32175"/>
    <w:rsid w:val="00D32A3A"/>
    <w:rsid w:val="00D32EE7"/>
    <w:rsid w:val="00D35AD2"/>
    <w:rsid w:val="00D44BF0"/>
    <w:rsid w:val="00D517D9"/>
    <w:rsid w:val="00D52DDF"/>
    <w:rsid w:val="00D54D99"/>
    <w:rsid w:val="00D60E30"/>
    <w:rsid w:val="00D61BBF"/>
    <w:rsid w:val="00D62E28"/>
    <w:rsid w:val="00D62FA3"/>
    <w:rsid w:val="00D661C8"/>
    <w:rsid w:val="00D71535"/>
    <w:rsid w:val="00D72392"/>
    <w:rsid w:val="00D73A55"/>
    <w:rsid w:val="00D743D7"/>
    <w:rsid w:val="00D74C1F"/>
    <w:rsid w:val="00D758A4"/>
    <w:rsid w:val="00D76A44"/>
    <w:rsid w:val="00D80899"/>
    <w:rsid w:val="00D82926"/>
    <w:rsid w:val="00D83906"/>
    <w:rsid w:val="00D86B4B"/>
    <w:rsid w:val="00D92F1C"/>
    <w:rsid w:val="00D9331A"/>
    <w:rsid w:val="00D93753"/>
    <w:rsid w:val="00D93893"/>
    <w:rsid w:val="00D95A99"/>
    <w:rsid w:val="00D97738"/>
    <w:rsid w:val="00D97C44"/>
    <w:rsid w:val="00D97D5F"/>
    <w:rsid w:val="00DA1F17"/>
    <w:rsid w:val="00DA2B05"/>
    <w:rsid w:val="00DA6171"/>
    <w:rsid w:val="00DA6AA9"/>
    <w:rsid w:val="00DA6B2D"/>
    <w:rsid w:val="00DA77A5"/>
    <w:rsid w:val="00DA7BA5"/>
    <w:rsid w:val="00DB1308"/>
    <w:rsid w:val="00DB2107"/>
    <w:rsid w:val="00DB35B2"/>
    <w:rsid w:val="00DB3BCB"/>
    <w:rsid w:val="00DB56A9"/>
    <w:rsid w:val="00DB58DC"/>
    <w:rsid w:val="00DC0CFE"/>
    <w:rsid w:val="00DC1C8C"/>
    <w:rsid w:val="00DC3B06"/>
    <w:rsid w:val="00DC4066"/>
    <w:rsid w:val="00DC5501"/>
    <w:rsid w:val="00DC676F"/>
    <w:rsid w:val="00DC7588"/>
    <w:rsid w:val="00DD16FC"/>
    <w:rsid w:val="00DD2072"/>
    <w:rsid w:val="00DD3231"/>
    <w:rsid w:val="00DD3F28"/>
    <w:rsid w:val="00DD4537"/>
    <w:rsid w:val="00DD4E15"/>
    <w:rsid w:val="00DD5820"/>
    <w:rsid w:val="00DD5937"/>
    <w:rsid w:val="00DE1082"/>
    <w:rsid w:val="00DE2F0C"/>
    <w:rsid w:val="00DE3D42"/>
    <w:rsid w:val="00DE3EAD"/>
    <w:rsid w:val="00DE4392"/>
    <w:rsid w:val="00DE4FA1"/>
    <w:rsid w:val="00DE4FCB"/>
    <w:rsid w:val="00DE6B8F"/>
    <w:rsid w:val="00DE7A25"/>
    <w:rsid w:val="00DE7F2B"/>
    <w:rsid w:val="00DF1B16"/>
    <w:rsid w:val="00DF2904"/>
    <w:rsid w:val="00DF7329"/>
    <w:rsid w:val="00E013C9"/>
    <w:rsid w:val="00E01720"/>
    <w:rsid w:val="00E05E77"/>
    <w:rsid w:val="00E07240"/>
    <w:rsid w:val="00E073B8"/>
    <w:rsid w:val="00E10149"/>
    <w:rsid w:val="00E148B7"/>
    <w:rsid w:val="00E16372"/>
    <w:rsid w:val="00E172B0"/>
    <w:rsid w:val="00E173DF"/>
    <w:rsid w:val="00E20ED6"/>
    <w:rsid w:val="00E21358"/>
    <w:rsid w:val="00E22349"/>
    <w:rsid w:val="00E2249B"/>
    <w:rsid w:val="00E2541D"/>
    <w:rsid w:val="00E275C6"/>
    <w:rsid w:val="00E2771E"/>
    <w:rsid w:val="00E314E2"/>
    <w:rsid w:val="00E33715"/>
    <w:rsid w:val="00E35783"/>
    <w:rsid w:val="00E3661D"/>
    <w:rsid w:val="00E36C41"/>
    <w:rsid w:val="00E37569"/>
    <w:rsid w:val="00E403CF"/>
    <w:rsid w:val="00E405CC"/>
    <w:rsid w:val="00E41E30"/>
    <w:rsid w:val="00E42A80"/>
    <w:rsid w:val="00E42B6D"/>
    <w:rsid w:val="00E4381F"/>
    <w:rsid w:val="00E44BA8"/>
    <w:rsid w:val="00E45063"/>
    <w:rsid w:val="00E45F2A"/>
    <w:rsid w:val="00E469F4"/>
    <w:rsid w:val="00E47B2C"/>
    <w:rsid w:val="00E54D9F"/>
    <w:rsid w:val="00E553BB"/>
    <w:rsid w:val="00E55424"/>
    <w:rsid w:val="00E555D5"/>
    <w:rsid w:val="00E607AE"/>
    <w:rsid w:val="00E60AA5"/>
    <w:rsid w:val="00E60F48"/>
    <w:rsid w:val="00E615CC"/>
    <w:rsid w:val="00E64440"/>
    <w:rsid w:val="00E64581"/>
    <w:rsid w:val="00E65499"/>
    <w:rsid w:val="00E65E79"/>
    <w:rsid w:val="00E67416"/>
    <w:rsid w:val="00E70DF3"/>
    <w:rsid w:val="00E718B6"/>
    <w:rsid w:val="00E72209"/>
    <w:rsid w:val="00E7319A"/>
    <w:rsid w:val="00E73581"/>
    <w:rsid w:val="00E7635B"/>
    <w:rsid w:val="00E76AAE"/>
    <w:rsid w:val="00E8164B"/>
    <w:rsid w:val="00E82899"/>
    <w:rsid w:val="00E836B3"/>
    <w:rsid w:val="00E83BDF"/>
    <w:rsid w:val="00E8490C"/>
    <w:rsid w:val="00E8566C"/>
    <w:rsid w:val="00E856F4"/>
    <w:rsid w:val="00E91EE5"/>
    <w:rsid w:val="00E92116"/>
    <w:rsid w:val="00E936AA"/>
    <w:rsid w:val="00E940B0"/>
    <w:rsid w:val="00E95C8E"/>
    <w:rsid w:val="00E97227"/>
    <w:rsid w:val="00EA24F2"/>
    <w:rsid w:val="00EA3864"/>
    <w:rsid w:val="00EA564D"/>
    <w:rsid w:val="00EA7604"/>
    <w:rsid w:val="00EB25FB"/>
    <w:rsid w:val="00EB2805"/>
    <w:rsid w:val="00EB47E1"/>
    <w:rsid w:val="00EB6319"/>
    <w:rsid w:val="00EB7202"/>
    <w:rsid w:val="00EC00C9"/>
    <w:rsid w:val="00EC251E"/>
    <w:rsid w:val="00EC4462"/>
    <w:rsid w:val="00EC7157"/>
    <w:rsid w:val="00ED64E0"/>
    <w:rsid w:val="00ED68FF"/>
    <w:rsid w:val="00ED6CBF"/>
    <w:rsid w:val="00ED7595"/>
    <w:rsid w:val="00EE07D3"/>
    <w:rsid w:val="00EE0FCF"/>
    <w:rsid w:val="00EE1CDE"/>
    <w:rsid w:val="00EF0F93"/>
    <w:rsid w:val="00EF19F5"/>
    <w:rsid w:val="00EF2512"/>
    <w:rsid w:val="00EF4961"/>
    <w:rsid w:val="00EF5E84"/>
    <w:rsid w:val="00F022E1"/>
    <w:rsid w:val="00F058C9"/>
    <w:rsid w:val="00F067A2"/>
    <w:rsid w:val="00F077C6"/>
    <w:rsid w:val="00F07AF8"/>
    <w:rsid w:val="00F11D49"/>
    <w:rsid w:val="00F13685"/>
    <w:rsid w:val="00F138CC"/>
    <w:rsid w:val="00F177AC"/>
    <w:rsid w:val="00F17A74"/>
    <w:rsid w:val="00F205B4"/>
    <w:rsid w:val="00F20D48"/>
    <w:rsid w:val="00F24803"/>
    <w:rsid w:val="00F24837"/>
    <w:rsid w:val="00F24E04"/>
    <w:rsid w:val="00F2575F"/>
    <w:rsid w:val="00F278AF"/>
    <w:rsid w:val="00F338FF"/>
    <w:rsid w:val="00F33DE9"/>
    <w:rsid w:val="00F34D1E"/>
    <w:rsid w:val="00F3619A"/>
    <w:rsid w:val="00F36DD5"/>
    <w:rsid w:val="00F37D97"/>
    <w:rsid w:val="00F40862"/>
    <w:rsid w:val="00F42C00"/>
    <w:rsid w:val="00F448BE"/>
    <w:rsid w:val="00F44943"/>
    <w:rsid w:val="00F44BB3"/>
    <w:rsid w:val="00F46CB6"/>
    <w:rsid w:val="00F50EBE"/>
    <w:rsid w:val="00F51C32"/>
    <w:rsid w:val="00F546C3"/>
    <w:rsid w:val="00F54F50"/>
    <w:rsid w:val="00F5543F"/>
    <w:rsid w:val="00F55E73"/>
    <w:rsid w:val="00F57E8E"/>
    <w:rsid w:val="00F611F4"/>
    <w:rsid w:val="00F626EA"/>
    <w:rsid w:val="00F629EA"/>
    <w:rsid w:val="00F70DA8"/>
    <w:rsid w:val="00F76343"/>
    <w:rsid w:val="00F80E5D"/>
    <w:rsid w:val="00F83586"/>
    <w:rsid w:val="00F851CE"/>
    <w:rsid w:val="00F914BA"/>
    <w:rsid w:val="00F92D84"/>
    <w:rsid w:val="00F93441"/>
    <w:rsid w:val="00F93F91"/>
    <w:rsid w:val="00F958D2"/>
    <w:rsid w:val="00F95A54"/>
    <w:rsid w:val="00F9718B"/>
    <w:rsid w:val="00F97A78"/>
    <w:rsid w:val="00FA0390"/>
    <w:rsid w:val="00FA3661"/>
    <w:rsid w:val="00FA5C27"/>
    <w:rsid w:val="00FB1D1B"/>
    <w:rsid w:val="00FB2F68"/>
    <w:rsid w:val="00FB2FCB"/>
    <w:rsid w:val="00FB382C"/>
    <w:rsid w:val="00FB4097"/>
    <w:rsid w:val="00FB6B74"/>
    <w:rsid w:val="00FC1074"/>
    <w:rsid w:val="00FC146B"/>
    <w:rsid w:val="00FC1884"/>
    <w:rsid w:val="00FC40C2"/>
    <w:rsid w:val="00FC5BFC"/>
    <w:rsid w:val="00FD032D"/>
    <w:rsid w:val="00FD2100"/>
    <w:rsid w:val="00FD446D"/>
    <w:rsid w:val="00FD4927"/>
    <w:rsid w:val="00FD54E7"/>
    <w:rsid w:val="00FD564E"/>
    <w:rsid w:val="00FD5FDF"/>
    <w:rsid w:val="00FD628B"/>
    <w:rsid w:val="00FD7777"/>
    <w:rsid w:val="00FE0535"/>
    <w:rsid w:val="00FE10B8"/>
    <w:rsid w:val="00FE1D76"/>
    <w:rsid w:val="00FE2FF8"/>
    <w:rsid w:val="00FE47FA"/>
    <w:rsid w:val="00FE66F0"/>
    <w:rsid w:val="00FE70B2"/>
    <w:rsid w:val="00FF13CF"/>
    <w:rsid w:val="00FF3D5C"/>
    <w:rsid w:val="00FF3DCF"/>
    <w:rsid w:val="00FF5AA3"/>
    <w:rsid w:val="00FF6C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0113"/>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2"/>
      </w:numPr>
    </w:pPr>
    <w:rPr>
      <w:rFonts w:ascii="Arial" w:hAnsi="Arial" w:cs="Arial"/>
      <w:snapToGrid w:val="0"/>
      <w:sz w:val="22"/>
      <w:szCs w:val="22"/>
      <w:lang w:eastAsia="en-US"/>
    </w:rPr>
  </w:style>
  <w:style w:type="paragraph" w:customStyle="1" w:styleId="MainBodyText">
    <w:name w:val="Main Body Text"/>
    <w:basedOn w:val="Normal"/>
    <w:link w:val="MainBodyTextChar"/>
    <w:rsid w:val="00020104"/>
    <w:pPr>
      <w:widowControl/>
      <w:spacing w:after="240" w:line="276" w:lineRule="auto"/>
    </w:pPr>
    <w:rPr>
      <w:rFonts w:cs="Times New Roman"/>
      <w:snapToGrid/>
      <w:szCs w:val="22"/>
      <w:lang w:eastAsia="en-AU"/>
    </w:rPr>
  </w:style>
  <w:style w:type="paragraph" w:customStyle="1" w:styleId="TextUnderFigure">
    <w:name w:val="Text Under Figure"/>
    <w:basedOn w:val="Normal"/>
    <w:next w:val="MainBodyText"/>
    <w:rsid w:val="00020104"/>
    <w:pPr>
      <w:widowControl/>
      <w:spacing w:before="60" w:after="120"/>
      <w:contextualSpacing/>
      <w:jc w:val="left"/>
    </w:pPr>
    <w:rPr>
      <w:rFonts w:cs="Times New Roman"/>
      <w:i/>
      <w:snapToGrid/>
      <w:sz w:val="16"/>
      <w:szCs w:val="22"/>
      <w:lang w:eastAsia="en-AU"/>
    </w:rPr>
  </w:style>
  <w:style w:type="character" w:customStyle="1" w:styleId="MainBodyTextChar">
    <w:name w:val="Main Body Text Char"/>
    <w:link w:val="MainBodyText"/>
    <w:locked/>
    <w:rsid w:val="00020104"/>
    <w:rPr>
      <w:rFonts w:ascii="Arial" w:hAnsi="Arial"/>
      <w:sz w:val="22"/>
      <w:szCs w:val="22"/>
    </w:rPr>
  </w:style>
  <w:style w:type="character" w:styleId="PlaceholderText">
    <w:name w:val="Placeholder Text"/>
    <w:basedOn w:val="DefaultParagraphFont"/>
    <w:uiPriority w:val="99"/>
    <w:semiHidden/>
    <w:rsid w:val="00316559"/>
    <w:rPr>
      <w:color w:val="808080"/>
    </w:rPr>
  </w:style>
  <w:style w:type="paragraph" w:customStyle="1" w:styleId="TableText1">
    <w:name w:val="Table Text"/>
    <w:basedOn w:val="Normal"/>
    <w:rsid w:val="002558A8"/>
    <w:pPr>
      <w:widowControl/>
      <w:spacing w:before="60" w:after="60"/>
      <w:jc w:val="left"/>
    </w:pPr>
    <w:rPr>
      <w:rFonts w:cs="Times New Roman"/>
      <w:snapToGrid/>
      <w:sz w:val="18"/>
      <w:lang w:eastAsia="en-AU"/>
    </w:rPr>
  </w:style>
  <w:style w:type="paragraph" w:customStyle="1" w:styleId="COMtbl-textCentred">
    <w:name w:val="COMtbl-text Centred"/>
    <w:basedOn w:val="Normal"/>
    <w:qFormat/>
    <w:rsid w:val="00D74C1F"/>
    <w:pPr>
      <w:tabs>
        <w:tab w:val="left" w:pos="720"/>
      </w:tabs>
      <w:jc w:val="center"/>
    </w:pPr>
    <w:rPr>
      <w:rFonts w:ascii="Arial Narrow" w:hAnsi="Arial Narrow"/>
      <w:sz w:val="20"/>
    </w:rPr>
  </w:style>
  <w:style w:type="paragraph" w:customStyle="1" w:styleId="COMTbl-foot">
    <w:name w:val="COMTbl-foot"/>
    <w:basedOn w:val="TableFooter"/>
    <w:link w:val="COMTbl-footChar"/>
    <w:qFormat/>
    <w:rsid w:val="007178A1"/>
  </w:style>
  <w:style w:type="character" w:customStyle="1" w:styleId="COMTbl-footChar">
    <w:name w:val="COMTbl-foot Char"/>
    <w:basedOn w:val="DefaultParagraphFont"/>
    <w:link w:val="COMTbl-foot"/>
    <w:rsid w:val="007178A1"/>
    <w:rPr>
      <w:rFonts w:ascii="Arial Narrow" w:hAnsi="Arial Narrow" w:cs="Arial"/>
      <w:snapToGrid w:val="0"/>
      <w:sz w:val="18"/>
      <w:lang w:eastAsia="en-US"/>
    </w:rPr>
  </w:style>
  <w:style w:type="paragraph" w:customStyle="1" w:styleId="COMBody">
    <w:name w:val="COMBody"/>
    <w:basedOn w:val="Normal"/>
    <w:link w:val="COMBodyChar"/>
    <w:qFormat/>
    <w:rsid w:val="00AE71F9"/>
  </w:style>
  <w:style w:type="character" w:customStyle="1" w:styleId="COMBodyChar">
    <w:name w:val="COMBody Char"/>
    <w:basedOn w:val="DefaultParagraphFont"/>
    <w:link w:val="COMBody"/>
    <w:rsid w:val="00AE71F9"/>
    <w:rPr>
      <w:rFonts w:ascii="Arial" w:hAnsi="Arial" w:cs="Arial"/>
      <w:snapToGrid w:val="0"/>
      <w:sz w:val="22"/>
      <w:lang w:eastAsia="en-US"/>
    </w:rPr>
  </w:style>
  <w:style w:type="paragraph" w:customStyle="1" w:styleId="COMtbl-HEADLeftAligned">
    <w:name w:val="COMtbl-HEAD Left Aligned"/>
    <w:basedOn w:val="Normal"/>
    <w:qFormat/>
    <w:rsid w:val="00965877"/>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2A79A2"/>
    <w:pPr>
      <w:jc w:val="center"/>
    </w:pPr>
  </w:style>
  <w:style w:type="paragraph" w:customStyle="1" w:styleId="COMtbl-textLeftAligned">
    <w:name w:val="COMtbl-text Left Aligned"/>
    <w:basedOn w:val="COMtbl-HEADLeftAligned"/>
    <w:qFormat/>
    <w:rsid w:val="002A79A2"/>
    <w:rPr>
      <w:b w:val="0"/>
    </w:rPr>
  </w:style>
  <w:style w:type="character" w:customStyle="1" w:styleId="CommentTextChar1">
    <w:name w:val="Comment Text Char1"/>
    <w:semiHidden/>
    <w:rsid w:val="005B20B8"/>
    <w:rPr>
      <w:rFonts w:ascii="Times New Roman" w:eastAsia="Times New Roman" w:hAnsi="Times New Roman" w:cs="Times New Roman"/>
      <w:snapToGrid w:val="0"/>
      <w:sz w:val="20"/>
      <w:szCs w:val="20"/>
      <w:lang w:val="x-none"/>
    </w:rPr>
  </w:style>
  <w:style w:type="paragraph" w:customStyle="1" w:styleId="TextUnderTable">
    <w:name w:val="Text Under Table"/>
    <w:basedOn w:val="Normal"/>
    <w:rsid w:val="006A281B"/>
    <w:pPr>
      <w:widowControl/>
      <w:spacing w:before="60" w:after="120"/>
      <w:contextualSpacing/>
      <w:jc w:val="left"/>
    </w:pPr>
    <w:rPr>
      <w:rFonts w:cs="Times New Roman"/>
      <w:i/>
      <w:snapToGrid/>
      <w:sz w:val="16"/>
      <w:szCs w:val="22"/>
      <w:lang w:eastAsia="en-AU"/>
    </w:rPr>
  </w:style>
  <w:style w:type="paragraph" w:customStyle="1" w:styleId="TableTextHeading">
    <w:name w:val="Table Text Heading"/>
    <w:basedOn w:val="Normal"/>
    <w:rsid w:val="006A281B"/>
    <w:pPr>
      <w:widowControl/>
      <w:spacing w:before="60" w:after="60"/>
      <w:jc w:val="center"/>
    </w:pPr>
    <w:rPr>
      <w:rFonts w:ascii="Arial Bold" w:hAnsi="Arial Bold" w:cs="Times New Roman"/>
      <w:b/>
      <w:snapToGrid/>
      <w:sz w:val="18"/>
      <w:lang w:eastAsia="en-AU"/>
    </w:rPr>
  </w:style>
  <w:style w:type="paragraph" w:customStyle="1" w:styleId="Paragraph">
    <w:name w:val="Paragraph"/>
    <w:link w:val="ParagraphChar"/>
    <w:rsid w:val="006A281B"/>
    <w:pPr>
      <w:spacing w:after="240"/>
    </w:pPr>
    <w:rPr>
      <w:sz w:val="24"/>
      <w:szCs w:val="24"/>
      <w:lang w:val="en-US" w:eastAsia="en-US"/>
    </w:rPr>
  </w:style>
  <w:style w:type="character" w:customStyle="1" w:styleId="ParagraphChar">
    <w:name w:val="Paragraph Char"/>
    <w:link w:val="Paragraph"/>
    <w:locked/>
    <w:rsid w:val="006A281B"/>
    <w:rPr>
      <w:sz w:val="24"/>
      <w:szCs w:val="24"/>
      <w:lang w:val="en-US" w:eastAsia="en-US"/>
    </w:rPr>
  </w:style>
  <w:style w:type="paragraph" w:customStyle="1" w:styleId="Default">
    <w:name w:val="Default"/>
    <w:rsid w:val="006A281B"/>
    <w:pPr>
      <w:autoSpaceDE w:val="0"/>
      <w:autoSpaceDN w:val="0"/>
      <w:adjustRightInd w:val="0"/>
    </w:pPr>
    <w:rPr>
      <w:color w:val="000000"/>
      <w:sz w:val="24"/>
      <w:szCs w:val="24"/>
    </w:rPr>
  </w:style>
  <w:style w:type="character" w:customStyle="1" w:styleId="TableText9">
    <w:name w:val="TableText 9"/>
    <w:rsid w:val="006A281B"/>
    <w:rPr>
      <w:rFonts w:ascii="Times New Roman" w:hAnsi="Times New Roman"/>
      <w:sz w:val="18"/>
    </w:rPr>
  </w:style>
  <w:style w:type="character" w:customStyle="1" w:styleId="BlueText">
    <w:name w:val="Blue Text"/>
    <w:rsid w:val="006A281B"/>
    <w:rPr>
      <w:color w:val="0000FF"/>
    </w:rPr>
  </w:style>
  <w:style w:type="paragraph" w:customStyle="1" w:styleId="TableTextCentered">
    <w:name w:val="TableText Centered"/>
    <w:rsid w:val="006A281B"/>
    <w:pPr>
      <w:jc w:val="center"/>
    </w:pPr>
    <w:rPr>
      <w:lang w:val="en-US" w:eastAsia="en-US"/>
    </w:rPr>
  </w:style>
  <w:style w:type="paragraph" w:customStyle="1" w:styleId="TableTextFootnote">
    <w:name w:val="TableText Footnote"/>
    <w:rsid w:val="006A281B"/>
    <w:pPr>
      <w:tabs>
        <w:tab w:val="left" w:pos="360"/>
      </w:tabs>
    </w:pPr>
    <w:rPr>
      <w:lang w:val="en-US" w:eastAsia="en-US"/>
    </w:rPr>
  </w:style>
  <w:style w:type="paragraph" w:styleId="FootnoteText">
    <w:name w:val="footnote text"/>
    <w:basedOn w:val="Normal"/>
    <w:link w:val="FootnoteTextChar"/>
    <w:unhideWhenUsed/>
    <w:rsid w:val="001A6774"/>
    <w:rPr>
      <w:sz w:val="20"/>
    </w:rPr>
  </w:style>
  <w:style w:type="character" w:customStyle="1" w:styleId="FootnoteTextChar">
    <w:name w:val="Footnote Text Char"/>
    <w:basedOn w:val="DefaultParagraphFont"/>
    <w:link w:val="FootnoteText"/>
    <w:rsid w:val="001A6774"/>
    <w:rPr>
      <w:rFonts w:ascii="Arial" w:hAnsi="Arial" w:cs="Arial"/>
      <w:snapToGrid w:val="0"/>
      <w:lang w:eastAsia="en-US"/>
    </w:rPr>
  </w:style>
  <w:style w:type="character" w:styleId="FootnoteReference">
    <w:name w:val="footnote reference"/>
    <w:basedOn w:val="DefaultParagraphFont"/>
    <w:semiHidden/>
    <w:unhideWhenUsed/>
    <w:rsid w:val="001A6774"/>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02A45"/>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7D6E80"/>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0113"/>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2"/>
      </w:numPr>
    </w:pPr>
    <w:rPr>
      <w:rFonts w:ascii="Arial" w:hAnsi="Arial" w:cs="Arial"/>
      <w:snapToGrid w:val="0"/>
      <w:sz w:val="22"/>
      <w:szCs w:val="22"/>
      <w:lang w:eastAsia="en-US"/>
    </w:rPr>
  </w:style>
  <w:style w:type="paragraph" w:customStyle="1" w:styleId="MainBodyText">
    <w:name w:val="Main Body Text"/>
    <w:basedOn w:val="Normal"/>
    <w:link w:val="MainBodyTextChar"/>
    <w:rsid w:val="00020104"/>
    <w:pPr>
      <w:widowControl/>
      <w:spacing w:after="240" w:line="276" w:lineRule="auto"/>
    </w:pPr>
    <w:rPr>
      <w:rFonts w:cs="Times New Roman"/>
      <w:snapToGrid/>
      <w:szCs w:val="22"/>
      <w:lang w:eastAsia="en-AU"/>
    </w:rPr>
  </w:style>
  <w:style w:type="paragraph" w:customStyle="1" w:styleId="TextUnderFigure">
    <w:name w:val="Text Under Figure"/>
    <w:basedOn w:val="Normal"/>
    <w:next w:val="MainBodyText"/>
    <w:rsid w:val="00020104"/>
    <w:pPr>
      <w:widowControl/>
      <w:spacing w:before="60" w:after="120"/>
      <w:contextualSpacing/>
      <w:jc w:val="left"/>
    </w:pPr>
    <w:rPr>
      <w:rFonts w:cs="Times New Roman"/>
      <w:i/>
      <w:snapToGrid/>
      <w:sz w:val="16"/>
      <w:szCs w:val="22"/>
      <w:lang w:eastAsia="en-AU"/>
    </w:rPr>
  </w:style>
  <w:style w:type="character" w:customStyle="1" w:styleId="MainBodyTextChar">
    <w:name w:val="Main Body Text Char"/>
    <w:link w:val="MainBodyText"/>
    <w:locked/>
    <w:rsid w:val="00020104"/>
    <w:rPr>
      <w:rFonts w:ascii="Arial" w:hAnsi="Arial"/>
      <w:sz w:val="22"/>
      <w:szCs w:val="22"/>
    </w:rPr>
  </w:style>
  <w:style w:type="character" w:styleId="PlaceholderText">
    <w:name w:val="Placeholder Text"/>
    <w:basedOn w:val="DefaultParagraphFont"/>
    <w:uiPriority w:val="99"/>
    <w:semiHidden/>
    <w:rsid w:val="00316559"/>
    <w:rPr>
      <w:color w:val="808080"/>
    </w:rPr>
  </w:style>
  <w:style w:type="paragraph" w:customStyle="1" w:styleId="TableText1">
    <w:name w:val="Table Text"/>
    <w:basedOn w:val="Normal"/>
    <w:rsid w:val="002558A8"/>
    <w:pPr>
      <w:widowControl/>
      <w:spacing w:before="60" w:after="60"/>
      <w:jc w:val="left"/>
    </w:pPr>
    <w:rPr>
      <w:rFonts w:cs="Times New Roman"/>
      <w:snapToGrid/>
      <w:sz w:val="18"/>
      <w:lang w:eastAsia="en-AU"/>
    </w:rPr>
  </w:style>
  <w:style w:type="paragraph" w:customStyle="1" w:styleId="COMtbl-textCentred">
    <w:name w:val="COMtbl-text Centred"/>
    <w:basedOn w:val="Normal"/>
    <w:qFormat/>
    <w:rsid w:val="00D74C1F"/>
    <w:pPr>
      <w:tabs>
        <w:tab w:val="left" w:pos="720"/>
      </w:tabs>
      <w:jc w:val="center"/>
    </w:pPr>
    <w:rPr>
      <w:rFonts w:ascii="Arial Narrow" w:hAnsi="Arial Narrow"/>
      <w:sz w:val="20"/>
    </w:rPr>
  </w:style>
  <w:style w:type="paragraph" w:customStyle="1" w:styleId="COMTbl-foot">
    <w:name w:val="COMTbl-foot"/>
    <w:basedOn w:val="TableFooter"/>
    <w:link w:val="COMTbl-footChar"/>
    <w:qFormat/>
    <w:rsid w:val="007178A1"/>
  </w:style>
  <w:style w:type="character" w:customStyle="1" w:styleId="COMTbl-footChar">
    <w:name w:val="COMTbl-foot Char"/>
    <w:basedOn w:val="DefaultParagraphFont"/>
    <w:link w:val="COMTbl-foot"/>
    <w:rsid w:val="007178A1"/>
    <w:rPr>
      <w:rFonts w:ascii="Arial Narrow" w:hAnsi="Arial Narrow" w:cs="Arial"/>
      <w:snapToGrid w:val="0"/>
      <w:sz w:val="18"/>
      <w:lang w:eastAsia="en-US"/>
    </w:rPr>
  </w:style>
  <w:style w:type="paragraph" w:customStyle="1" w:styleId="COMBody">
    <w:name w:val="COMBody"/>
    <w:basedOn w:val="Normal"/>
    <w:link w:val="COMBodyChar"/>
    <w:qFormat/>
    <w:rsid w:val="00AE71F9"/>
  </w:style>
  <w:style w:type="character" w:customStyle="1" w:styleId="COMBodyChar">
    <w:name w:val="COMBody Char"/>
    <w:basedOn w:val="DefaultParagraphFont"/>
    <w:link w:val="COMBody"/>
    <w:rsid w:val="00AE71F9"/>
    <w:rPr>
      <w:rFonts w:ascii="Arial" w:hAnsi="Arial" w:cs="Arial"/>
      <w:snapToGrid w:val="0"/>
      <w:sz w:val="22"/>
      <w:lang w:eastAsia="en-US"/>
    </w:rPr>
  </w:style>
  <w:style w:type="paragraph" w:customStyle="1" w:styleId="COMtbl-HEADLeftAligned">
    <w:name w:val="COMtbl-HEAD Left Aligned"/>
    <w:basedOn w:val="Normal"/>
    <w:qFormat/>
    <w:rsid w:val="00965877"/>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2A79A2"/>
    <w:pPr>
      <w:jc w:val="center"/>
    </w:pPr>
  </w:style>
  <w:style w:type="paragraph" w:customStyle="1" w:styleId="COMtbl-textLeftAligned">
    <w:name w:val="COMtbl-text Left Aligned"/>
    <w:basedOn w:val="COMtbl-HEADLeftAligned"/>
    <w:qFormat/>
    <w:rsid w:val="002A79A2"/>
    <w:rPr>
      <w:b w:val="0"/>
    </w:rPr>
  </w:style>
  <w:style w:type="character" w:customStyle="1" w:styleId="CommentTextChar1">
    <w:name w:val="Comment Text Char1"/>
    <w:semiHidden/>
    <w:rsid w:val="005B20B8"/>
    <w:rPr>
      <w:rFonts w:ascii="Times New Roman" w:eastAsia="Times New Roman" w:hAnsi="Times New Roman" w:cs="Times New Roman"/>
      <w:snapToGrid w:val="0"/>
      <w:sz w:val="20"/>
      <w:szCs w:val="20"/>
      <w:lang w:val="x-none"/>
    </w:rPr>
  </w:style>
  <w:style w:type="paragraph" w:customStyle="1" w:styleId="TextUnderTable">
    <w:name w:val="Text Under Table"/>
    <w:basedOn w:val="Normal"/>
    <w:rsid w:val="006A281B"/>
    <w:pPr>
      <w:widowControl/>
      <w:spacing w:before="60" w:after="120"/>
      <w:contextualSpacing/>
      <w:jc w:val="left"/>
    </w:pPr>
    <w:rPr>
      <w:rFonts w:cs="Times New Roman"/>
      <w:i/>
      <w:snapToGrid/>
      <w:sz w:val="16"/>
      <w:szCs w:val="22"/>
      <w:lang w:eastAsia="en-AU"/>
    </w:rPr>
  </w:style>
  <w:style w:type="paragraph" w:customStyle="1" w:styleId="TableTextHeading">
    <w:name w:val="Table Text Heading"/>
    <w:basedOn w:val="Normal"/>
    <w:rsid w:val="006A281B"/>
    <w:pPr>
      <w:widowControl/>
      <w:spacing w:before="60" w:after="60"/>
      <w:jc w:val="center"/>
    </w:pPr>
    <w:rPr>
      <w:rFonts w:ascii="Arial Bold" w:hAnsi="Arial Bold" w:cs="Times New Roman"/>
      <w:b/>
      <w:snapToGrid/>
      <w:sz w:val="18"/>
      <w:lang w:eastAsia="en-AU"/>
    </w:rPr>
  </w:style>
  <w:style w:type="paragraph" w:customStyle="1" w:styleId="Paragraph">
    <w:name w:val="Paragraph"/>
    <w:link w:val="ParagraphChar"/>
    <w:rsid w:val="006A281B"/>
    <w:pPr>
      <w:spacing w:after="240"/>
    </w:pPr>
    <w:rPr>
      <w:sz w:val="24"/>
      <w:szCs w:val="24"/>
      <w:lang w:val="en-US" w:eastAsia="en-US"/>
    </w:rPr>
  </w:style>
  <w:style w:type="character" w:customStyle="1" w:styleId="ParagraphChar">
    <w:name w:val="Paragraph Char"/>
    <w:link w:val="Paragraph"/>
    <w:locked/>
    <w:rsid w:val="006A281B"/>
    <w:rPr>
      <w:sz w:val="24"/>
      <w:szCs w:val="24"/>
      <w:lang w:val="en-US" w:eastAsia="en-US"/>
    </w:rPr>
  </w:style>
  <w:style w:type="paragraph" w:customStyle="1" w:styleId="Default">
    <w:name w:val="Default"/>
    <w:rsid w:val="006A281B"/>
    <w:pPr>
      <w:autoSpaceDE w:val="0"/>
      <w:autoSpaceDN w:val="0"/>
      <w:adjustRightInd w:val="0"/>
    </w:pPr>
    <w:rPr>
      <w:color w:val="000000"/>
      <w:sz w:val="24"/>
      <w:szCs w:val="24"/>
    </w:rPr>
  </w:style>
  <w:style w:type="character" w:customStyle="1" w:styleId="TableText9">
    <w:name w:val="TableText 9"/>
    <w:rsid w:val="006A281B"/>
    <w:rPr>
      <w:rFonts w:ascii="Times New Roman" w:hAnsi="Times New Roman"/>
      <w:sz w:val="18"/>
    </w:rPr>
  </w:style>
  <w:style w:type="character" w:customStyle="1" w:styleId="BlueText">
    <w:name w:val="Blue Text"/>
    <w:rsid w:val="006A281B"/>
    <w:rPr>
      <w:color w:val="0000FF"/>
    </w:rPr>
  </w:style>
  <w:style w:type="paragraph" w:customStyle="1" w:styleId="TableTextCentered">
    <w:name w:val="TableText Centered"/>
    <w:rsid w:val="006A281B"/>
    <w:pPr>
      <w:jc w:val="center"/>
    </w:pPr>
    <w:rPr>
      <w:lang w:val="en-US" w:eastAsia="en-US"/>
    </w:rPr>
  </w:style>
  <w:style w:type="paragraph" w:customStyle="1" w:styleId="TableTextFootnote">
    <w:name w:val="TableText Footnote"/>
    <w:rsid w:val="006A281B"/>
    <w:pPr>
      <w:tabs>
        <w:tab w:val="left" w:pos="360"/>
      </w:tabs>
    </w:pPr>
    <w:rPr>
      <w:lang w:val="en-US" w:eastAsia="en-US"/>
    </w:rPr>
  </w:style>
  <w:style w:type="paragraph" w:styleId="FootnoteText">
    <w:name w:val="footnote text"/>
    <w:basedOn w:val="Normal"/>
    <w:link w:val="FootnoteTextChar"/>
    <w:unhideWhenUsed/>
    <w:rsid w:val="001A6774"/>
    <w:rPr>
      <w:sz w:val="20"/>
    </w:rPr>
  </w:style>
  <w:style w:type="character" w:customStyle="1" w:styleId="FootnoteTextChar">
    <w:name w:val="Footnote Text Char"/>
    <w:basedOn w:val="DefaultParagraphFont"/>
    <w:link w:val="FootnoteText"/>
    <w:rsid w:val="001A6774"/>
    <w:rPr>
      <w:rFonts w:ascii="Arial" w:hAnsi="Arial" w:cs="Arial"/>
      <w:snapToGrid w:val="0"/>
      <w:lang w:eastAsia="en-US"/>
    </w:rPr>
  </w:style>
  <w:style w:type="character" w:styleId="FootnoteReference">
    <w:name w:val="footnote reference"/>
    <w:basedOn w:val="DefaultParagraphFont"/>
    <w:semiHidden/>
    <w:unhideWhenUsed/>
    <w:rsid w:val="001A6774"/>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02A45"/>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7D6E80"/>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552">
      <w:bodyDiv w:val="1"/>
      <w:marLeft w:val="0"/>
      <w:marRight w:val="0"/>
      <w:marTop w:val="0"/>
      <w:marBottom w:val="0"/>
      <w:divBdr>
        <w:top w:val="none" w:sz="0" w:space="0" w:color="auto"/>
        <w:left w:val="none" w:sz="0" w:space="0" w:color="auto"/>
        <w:bottom w:val="none" w:sz="0" w:space="0" w:color="auto"/>
        <w:right w:val="none" w:sz="0" w:space="0" w:color="auto"/>
      </w:divBdr>
    </w:div>
    <w:div w:id="136267123">
      <w:bodyDiv w:val="1"/>
      <w:marLeft w:val="0"/>
      <w:marRight w:val="0"/>
      <w:marTop w:val="0"/>
      <w:marBottom w:val="0"/>
      <w:divBdr>
        <w:top w:val="none" w:sz="0" w:space="0" w:color="auto"/>
        <w:left w:val="none" w:sz="0" w:space="0" w:color="auto"/>
        <w:bottom w:val="none" w:sz="0" w:space="0" w:color="auto"/>
        <w:right w:val="none" w:sz="0" w:space="0" w:color="auto"/>
      </w:divBdr>
    </w:div>
    <w:div w:id="496774066">
      <w:bodyDiv w:val="1"/>
      <w:marLeft w:val="0"/>
      <w:marRight w:val="0"/>
      <w:marTop w:val="0"/>
      <w:marBottom w:val="0"/>
      <w:divBdr>
        <w:top w:val="none" w:sz="0" w:space="0" w:color="auto"/>
        <w:left w:val="none" w:sz="0" w:space="0" w:color="auto"/>
        <w:bottom w:val="none" w:sz="0" w:space="0" w:color="auto"/>
        <w:right w:val="none" w:sz="0" w:space="0" w:color="auto"/>
      </w:divBdr>
    </w:div>
    <w:div w:id="558443598">
      <w:bodyDiv w:val="1"/>
      <w:marLeft w:val="0"/>
      <w:marRight w:val="0"/>
      <w:marTop w:val="0"/>
      <w:marBottom w:val="0"/>
      <w:divBdr>
        <w:top w:val="none" w:sz="0" w:space="0" w:color="auto"/>
        <w:left w:val="none" w:sz="0" w:space="0" w:color="auto"/>
        <w:bottom w:val="none" w:sz="0" w:space="0" w:color="auto"/>
        <w:right w:val="none" w:sz="0" w:space="0" w:color="auto"/>
      </w:divBdr>
    </w:div>
    <w:div w:id="693924534">
      <w:bodyDiv w:val="1"/>
      <w:marLeft w:val="0"/>
      <w:marRight w:val="0"/>
      <w:marTop w:val="0"/>
      <w:marBottom w:val="0"/>
      <w:divBdr>
        <w:top w:val="none" w:sz="0" w:space="0" w:color="auto"/>
        <w:left w:val="none" w:sz="0" w:space="0" w:color="auto"/>
        <w:bottom w:val="none" w:sz="0" w:space="0" w:color="auto"/>
        <w:right w:val="none" w:sz="0" w:space="0" w:color="auto"/>
      </w:divBdr>
    </w:div>
    <w:div w:id="701595238">
      <w:bodyDiv w:val="1"/>
      <w:marLeft w:val="0"/>
      <w:marRight w:val="0"/>
      <w:marTop w:val="0"/>
      <w:marBottom w:val="0"/>
      <w:divBdr>
        <w:top w:val="none" w:sz="0" w:space="0" w:color="auto"/>
        <w:left w:val="none" w:sz="0" w:space="0" w:color="auto"/>
        <w:bottom w:val="none" w:sz="0" w:space="0" w:color="auto"/>
        <w:right w:val="none" w:sz="0" w:space="0" w:color="auto"/>
      </w:divBdr>
      <w:divsChild>
        <w:div w:id="1536963278">
          <w:marLeft w:val="0"/>
          <w:marRight w:val="0"/>
          <w:marTop w:val="0"/>
          <w:marBottom w:val="0"/>
          <w:divBdr>
            <w:top w:val="none" w:sz="0" w:space="0" w:color="auto"/>
            <w:left w:val="none" w:sz="0" w:space="0" w:color="auto"/>
            <w:bottom w:val="none" w:sz="0" w:space="0" w:color="auto"/>
            <w:right w:val="none" w:sz="0" w:space="0" w:color="auto"/>
          </w:divBdr>
          <w:divsChild>
            <w:div w:id="399836943">
              <w:marLeft w:val="0"/>
              <w:marRight w:val="0"/>
              <w:marTop w:val="0"/>
              <w:marBottom w:val="0"/>
              <w:divBdr>
                <w:top w:val="none" w:sz="0" w:space="0" w:color="auto"/>
                <w:left w:val="none" w:sz="0" w:space="0" w:color="auto"/>
                <w:bottom w:val="none" w:sz="0" w:space="0" w:color="auto"/>
                <w:right w:val="none" w:sz="0" w:space="0" w:color="auto"/>
              </w:divBdr>
              <w:divsChild>
                <w:div w:id="906233457">
                  <w:marLeft w:val="0"/>
                  <w:marRight w:val="0"/>
                  <w:marTop w:val="0"/>
                  <w:marBottom w:val="0"/>
                  <w:divBdr>
                    <w:top w:val="none" w:sz="0" w:space="0" w:color="auto"/>
                    <w:left w:val="none" w:sz="0" w:space="0" w:color="auto"/>
                    <w:bottom w:val="none" w:sz="0" w:space="0" w:color="auto"/>
                    <w:right w:val="none" w:sz="0" w:space="0" w:color="auto"/>
                  </w:divBdr>
                  <w:divsChild>
                    <w:div w:id="1852068404">
                      <w:marLeft w:val="0"/>
                      <w:marRight w:val="0"/>
                      <w:marTop w:val="0"/>
                      <w:marBottom w:val="0"/>
                      <w:divBdr>
                        <w:top w:val="none" w:sz="0" w:space="0" w:color="auto"/>
                        <w:left w:val="none" w:sz="0" w:space="0" w:color="auto"/>
                        <w:bottom w:val="none" w:sz="0" w:space="0" w:color="auto"/>
                        <w:right w:val="none" w:sz="0" w:space="0" w:color="auto"/>
                      </w:divBdr>
                    </w:div>
                    <w:div w:id="1107232324">
                      <w:marLeft w:val="0"/>
                      <w:marRight w:val="0"/>
                      <w:marTop w:val="0"/>
                      <w:marBottom w:val="0"/>
                      <w:divBdr>
                        <w:top w:val="none" w:sz="0" w:space="0" w:color="auto"/>
                        <w:left w:val="none" w:sz="0" w:space="0" w:color="auto"/>
                        <w:bottom w:val="none" w:sz="0" w:space="0" w:color="auto"/>
                        <w:right w:val="none" w:sz="0" w:space="0" w:color="auto"/>
                      </w:divBdr>
                    </w:div>
                    <w:div w:id="2043743544">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6841">
      <w:bodyDiv w:val="1"/>
      <w:marLeft w:val="0"/>
      <w:marRight w:val="0"/>
      <w:marTop w:val="0"/>
      <w:marBottom w:val="0"/>
      <w:divBdr>
        <w:top w:val="none" w:sz="0" w:space="0" w:color="auto"/>
        <w:left w:val="none" w:sz="0" w:space="0" w:color="auto"/>
        <w:bottom w:val="none" w:sz="0" w:space="0" w:color="auto"/>
        <w:right w:val="none" w:sz="0" w:space="0" w:color="auto"/>
      </w:divBdr>
    </w:div>
    <w:div w:id="945503394">
      <w:bodyDiv w:val="1"/>
      <w:marLeft w:val="0"/>
      <w:marRight w:val="0"/>
      <w:marTop w:val="0"/>
      <w:marBottom w:val="0"/>
      <w:divBdr>
        <w:top w:val="none" w:sz="0" w:space="0" w:color="auto"/>
        <w:left w:val="none" w:sz="0" w:space="0" w:color="auto"/>
        <w:bottom w:val="none" w:sz="0" w:space="0" w:color="auto"/>
        <w:right w:val="none" w:sz="0" w:space="0" w:color="auto"/>
      </w:divBdr>
    </w:div>
    <w:div w:id="1167016934">
      <w:bodyDiv w:val="1"/>
      <w:marLeft w:val="0"/>
      <w:marRight w:val="0"/>
      <w:marTop w:val="0"/>
      <w:marBottom w:val="0"/>
      <w:divBdr>
        <w:top w:val="none" w:sz="0" w:space="0" w:color="auto"/>
        <w:left w:val="none" w:sz="0" w:space="0" w:color="auto"/>
        <w:bottom w:val="none" w:sz="0" w:space="0" w:color="auto"/>
        <w:right w:val="none" w:sz="0" w:space="0" w:color="auto"/>
      </w:divBdr>
    </w:div>
    <w:div w:id="1198392852">
      <w:bodyDiv w:val="1"/>
      <w:marLeft w:val="0"/>
      <w:marRight w:val="0"/>
      <w:marTop w:val="0"/>
      <w:marBottom w:val="0"/>
      <w:divBdr>
        <w:top w:val="none" w:sz="0" w:space="0" w:color="auto"/>
        <w:left w:val="none" w:sz="0" w:space="0" w:color="auto"/>
        <w:bottom w:val="none" w:sz="0" w:space="0" w:color="auto"/>
        <w:right w:val="none" w:sz="0" w:space="0" w:color="auto"/>
      </w:divBdr>
    </w:div>
    <w:div w:id="1244800990">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166B-E277-494F-820B-23120AC4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6193</Words>
  <Characters>37309</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2015-02-23T06:27:00Z</dcterms:created>
  <dcterms:modified xsi:type="dcterms:W3CDTF">2015-03-03T03:07:00Z</dcterms:modified>
</cp:coreProperties>
</file>