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3F" w:rsidRPr="006B56FB" w:rsidRDefault="006B56FB" w:rsidP="006B56FB">
      <w:pPr>
        <w:pStyle w:val="BodyText"/>
        <w:ind w:left="709" w:hanging="709"/>
        <w:rPr>
          <w:b/>
          <w:sz w:val="28"/>
        </w:rPr>
      </w:pPr>
      <w:bookmarkStart w:id="0" w:name="_Toc398544296"/>
      <w:r w:rsidRPr="006B56FB">
        <w:rPr>
          <w:b/>
          <w:sz w:val="28"/>
        </w:rPr>
        <w:t>6.8</w:t>
      </w:r>
      <w:r w:rsidRPr="006B56FB">
        <w:rPr>
          <w:b/>
          <w:sz w:val="28"/>
        </w:rPr>
        <w:tab/>
        <w:t>USTEKINUMAB</w:t>
      </w:r>
      <w:bookmarkEnd w:id="0"/>
    </w:p>
    <w:p w:rsidR="00776BBC" w:rsidRPr="007D3A7E" w:rsidRDefault="00776BBC" w:rsidP="007D3A7E">
      <w:pPr>
        <w:pStyle w:val="BodyText"/>
        <w:ind w:left="709"/>
        <w:rPr>
          <w:b/>
          <w:sz w:val="28"/>
        </w:rPr>
      </w:pPr>
      <w:r w:rsidRPr="007D3A7E">
        <w:rPr>
          <w:b/>
          <w:sz w:val="28"/>
        </w:rPr>
        <w:t xml:space="preserve">45 </w:t>
      </w:r>
      <w:r w:rsidR="007C413F" w:rsidRPr="007D3A7E">
        <w:rPr>
          <w:b/>
          <w:sz w:val="28"/>
        </w:rPr>
        <w:t>mg</w:t>
      </w:r>
      <w:r w:rsidRPr="007D3A7E">
        <w:rPr>
          <w:b/>
          <w:sz w:val="28"/>
        </w:rPr>
        <w:t xml:space="preserve">/0.5 </w:t>
      </w:r>
      <w:r w:rsidR="007C413F" w:rsidRPr="007D3A7E">
        <w:rPr>
          <w:b/>
          <w:sz w:val="28"/>
        </w:rPr>
        <w:t>mL injection</w:t>
      </w:r>
      <w:r w:rsidRPr="007D3A7E">
        <w:rPr>
          <w:b/>
          <w:sz w:val="28"/>
        </w:rPr>
        <w:t xml:space="preserve">, 1 </w:t>
      </w:r>
      <w:r w:rsidR="00207B5B" w:rsidRPr="007D3A7E">
        <w:rPr>
          <w:b/>
          <w:sz w:val="28"/>
        </w:rPr>
        <w:t>x</w:t>
      </w:r>
      <w:r w:rsidRPr="007D3A7E">
        <w:rPr>
          <w:b/>
          <w:sz w:val="28"/>
        </w:rPr>
        <w:t xml:space="preserve"> 0.5</w:t>
      </w:r>
      <w:r w:rsidR="007C413F" w:rsidRPr="007D3A7E">
        <w:rPr>
          <w:b/>
          <w:sz w:val="28"/>
        </w:rPr>
        <w:t xml:space="preserve"> mL vial</w:t>
      </w:r>
      <w:r w:rsidR="009E4841">
        <w:rPr>
          <w:b/>
          <w:sz w:val="28"/>
        </w:rPr>
        <w:t>;</w:t>
      </w:r>
    </w:p>
    <w:p w:rsidR="00776BBC" w:rsidRPr="007D3A7E" w:rsidRDefault="0061577F" w:rsidP="007D3A7E">
      <w:pPr>
        <w:pStyle w:val="BodyText"/>
        <w:ind w:left="709"/>
        <w:rPr>
          <w:b/>
          <w:sz w:val="28"/>
        </w:rPr>
      </w:pPr>
      <w:r w:rsidRPr="007D3A7E">
        <w:rPr>
          <w:b/>
          <w:sz w:val="28"/>
        </w:rPr>
        <w:t>Stelara®</w:t>
      </w:r>
      <w:r w:rsidR="009E4841">
        <w:rPr>
          <w:b/>
          <w:sz w:val="28"/>
        </w:rPr>
        <w:t>;</w:t>
      </w:r>
      <w:r w:rsidR="007C413F" w:rsidRPr="007D3A7E">
        <w:rPr>
          <w:b/>
          <w:sz w:val="28"/>
        </w:rPr>
        <w:t xml:space="preserve"> </w:t>
      </w:r>
      <w:r w:rsidR="00776BBC" w:rsidRPr="007D3A7E">
        <w:rPr>
          <w:b/>
          <w:sz w:val="28"/>
        </w:rPr>
        <w:t>Janssen-Cilag Pty Ltd</w:t>
      </w:r>
      <w:r w:rsidR="009E4841">
        <w:rPr>
          <w:b/>
          <w:sz w:val="28"/>
        </w:rPr>
        <w:t>.</w:t>
      </w:r>
    </w:p>
    <w:p w:rsidR="00776BBC" w:rsidRDefault="00776BBC" w:rsidP="007C413F">
      <w:pPr>
        <w:ind w:left="709"/>
      </w:pPr>
    </w:p>
    <w:p w:rsidR="007C413F" w:rsidRPr="003A19F9" w:rsidRDefault="007C413F" w:rsidP="007C413F">
      <w:pPr>
        <w:ind w:left="709"/>
      </w:pPr>
    </w:p>
    <w:p w:rsidR="007C413F" w:rsidRPr="00407F2D" w:rsidRDefault="007C413F" w:rsidP="007C413F">
      <w:pPr>
        <w:pStyle w:val="ListParagraph"/>
        <w:widowControl/>
        <w:numPr>
          <w:ilvl w:val="0"/>
          <w:numId w:val="13"/>
        </w:numPr>
        <w:rPr>
          <w:b/>
          <w:szCs w:val="22"/>
        </w:rPr>
      </w:pPr>
      <w:r w:rsidRPr="00407F2D">
        <w:rPr>
          <w:b/>
          <w:szCs w:val="22"/>
        </w:rPr>
        <w:t>Purpose of Application</w:t>
      </w:r>
    </w:p>
    <w:p w:rsidR="00B60939" w:rsidRPr="003A19F9" w:rsidRDefault="00B60939" w:rsidP="007C413F"/>
    <w:p w:rsidR="0022763A" w:rsidRPr="003A19F9" w:rsidRDefault="0022763A" w:rsidP="0022763A">
      <w:pPr>
        <w:pStyle w:val="ListParagraph"/>
        <w:widowControl/>
        <w:numPr>
          <w:ilvl w:val="1"/>
          <w:numId w:val="13"/>
        </w:numPr>
      </w:pPr>
      <w:r w:rsidRPr="003A19F9">
        <w:t xml:space="preserve">Authority Required listing for ustekinumab </w:t>
      </w:r>
      <w:r w:rsidR="00CF12CA">
        <w:t xml:space="preserve">(UST) </w:t>
      </w:r>
      <w:r w:rsidRPr="003A19F9">
        <w:t>for treatment of psoriatic arthritis (PsA).</w:t>
      </w:r>
      <w:r w:rsidR="007C413F">
        <w:t xml:space="preserve"> </w:t>
      </w:r>
    </w:p>
    <w:p w:rsidR="004E43B2" w:rsidRDefault="004E43B2" w:rsidP="004B1CB4"/>
    <w:p w:rsidR="000A5FEC" w:rsidRPr="003A19F9" w:rsidRDefault="000A5FEC" w:rsidP="00DC5C8B">
      <w:pPr>
        <w:tabs>
          <w:tab w:val="left" w:pos="5735"/>
        </w:tabs>
      </w:pPr>
    </w:p>
    <w:p w:rsidR="00B50DB8" w:rsidRPr="007C413F" w:rsidRDefault="00B50DB8" w:rsidP="007C413F">
      <w:pPr>
        <w:pStyle w:val="ListParagraph"/>
        <w:widowControl/>
        <w:numPr>
          <w:ilvl w:val="0"/>
          <w:numId w:val="13"/>
        </w:numPr>
        <w:rPr>
          <w:b/>
          <w:szCs w:val="22"/>
        </w:rPr>
      </w:pPr>
      <w:bookmarkStart w:id="1" w:name="_Toc398544299"/>
      <w:r w:rsidRPr="007C413F">
        <w:rPr>
          <w:b/>
          <w:szCs w:val="22"/>
        </w:rPr>
        <w:t>Requested listing</w:t>
      </w:r>
      <w:bookmarkEnd w:id="1"/>
    </w:p>
    <w:p w:rsidR="0022763A" w:rsidRPr="003A19F9" w:rsidRDefault="0022763A" w:rsidP="007C413F"/>
    <w:p w:rsidR="00B60939" w:rsidRPr="009D2A00" w:rsidRDefault="0022763A" w:rsidP="0022763A">
      <w:pPr>
        <w:pStyle w:val="ListParagraph"/>
        <w:widowControl/>
        <w:numPr>
          <w:ilvl w:val="1"/>
          <w:numId w:val="13"/>
        </w:numPr>
        <w:ind w:left="709"/>
        <w:rPr>
          <w:bCs/>
        </w:rPr>
      </w:pPr>
      <w:r w:rsidRPr="0060326D">
        <w:rPr>
          <w:bCs/>
        </w:rPr>
        <w:t xml:space="preserve">The </w:t>
      </w:r>
      <w:r w:rsidRPr="0060326D">
        <w:rPr>
          <w:szCs w:val="22"/>
        </w:rPr>
        <w:t>proposed</w:t>
      </w:r>
      <w:r w:rsidRPr="0060326D">
        <w:rPr>
          <w:bCs/>
        </w:rPr>
        <w:t xml:space="preserve"> restriction wording is </w:t>
      </w:r>
      <w:r w:rsidR="005C29EE" w:rsidRPr="0060326D">
        <w:rPr>
          <w:bCs/>
        </w:rPr>
        <w:t>identical</w:t>
      </w:r>
      <w:r w:rsidRPr="0060326D">
        <w:rPr>
          <w:bCs/>
        </w:rPr>
        <w:t xml:space="preserve"> to the currently PBS listing</w:t>
      </w:r>
      <w:r w:rsidR="00722C59">
        <w:rPr>
          <w:bCs/>
        </w:rPr>
        <w:t>s</w:t>
      </w:r>
      <w:r w:rsidRPr="0060326D">
        <w:rPr>
          <w:bCs/>
        </w:rPr>
        <w:t xml:space="preserve"> of adalimumab</w:t>
      </w:r>
      <w:r w:rsidR="00CF12CA" w:rsidRPr="0060326D">
        <w:rPr>
          <w:bCs/>
        </w:rPr>
        <w:t xml:space="preserve"> (ADA)</w:t>
      </w:r>
      <w:r w:rsidRPr="0060326D">
        <w:rPr>
          <w:bCs/>
        </w:rPr>
        <w:t>, etanercept</w:t>
      </w:r>
      <w:r w:rsidR="00CF12CA" w:rsidRPr="0060326D">
        <w:rPr>
          <w:bCs/>
        </w:rPr>
        <w:t xml:space="preserve"> (ETC)</w:t>
      </w:r>
      <w:r w:rsidRPr="0060326D">
        <w:rPr>
          <w:bCs/>
        </w:rPr>
        <w:t xml:space="preserve">, golimumab </w:t>
      </w:r>
      <w:r w:rsidR="00CF12CA" w:rsidRPr="0060326D">
        <w:rPr>
          <w:bCs/>
        </w:rPr>
        <w:t xml:space="preserve">(GOL) </w:t>
      </w:r>
      <w:r w:rsidRPr="0060326D">
        <w:rPr>
          <w:bCs/>
        </w:rPr>
        <w:t xml:space="preserve">and infliximab </w:t>
      </w:r>
      <w:r w:rsidR="00CF12CA" w:rsidRPr="0060326D">
        <w:rPr>
          <w:bCs/>
        </w:rPr>
        <w:t xml:space="preserve">(INX) </w:t>
      </w:r>
      <w:r w:rsidRPr="0060326D">
        <w:rPr>
          <w:bCs/>
        </w:rPr>
        <w:t>for PsA</w:t>
      </w:r>
      <w:r w:rsidR="00583C2D" w:rsidRPr="0060326D">
        <w:rPr>
          <w:bCs/>
        </w:rPr>
        <w:t xml:space="preserve"> (</w:t>
      </w:r>
      <w:r w:rsidR="0002371B" w:rsidRPr="0060326D">
        <w:rPr>
          <w:bCs/>
        </w:rPr>
        <w:t>with the exception of</w:t>
      </w:r>
      <w:r w:rsidR="00583C2D" w:rsidRPr="0060326D">
        <w:rPr>
          <w:bCs/>
        </w:rPr>
        <w:t xml:space="preserve"> the proposed duration of initial treatment)</w:t>
      </w:r>
      <w:r w:rsidRPr="0060326D">
        <w:rPr>
          <w:bCs/>
        </w:rPr>
        <w:t xml:space="preserve">.  The full wording </w:t>
      </w:r>
      <w:r w:rsidR="00157FB6" w:rsidRPr="0060326D">
        <w:rPr>
          <w:bCs/>
        </w:rPr>
        <w:t xml:space="preserve">of the proposed restrictions </w:t>
      </w:r>
      <w:r w:rsidRPr="0060326D">
        <w:rPr>
          <w:bCs/>
        </w:rPr>
        <w:t xml:space="preserve">is presented in Attachment </w:t>
      </w:r>
      <w:r w:rsidR="006F02C6">
        <w:rPr>
          <w:bCs/>
        </w:rPr>
        <w:t xml:space="preserve"> A of the Commentary (6.8.COM.48)</w:t>
      </w:r>
      <w:r w:rsidRPr="0060326D">
        <w:rPr>
          <w:bCs/>
        </w:rPr>
        <w:t>.</w:t>
      </w:r>
      <w:r w:rsidR="006708C1" w:rsidRPr="0060326D">
        <w:rPr>
          <w:bCs/>
        </w:rPr>
        <w:t xml:space="preserve"> </w:t>
      </w:r>
    </w:p>
    <w:p w:rsidR="0022763A" w:rsidRPr="003A19F9" w:rsidRDefault="0022763A" w:rsidP="0022763A">
      <w:pPr>
        <w:pStyle w:val="ListParagraph"/>
        <w:widowControl/>
        <w:numPr>
          <w:ilvl w:val="1"/>
          <w:numId w:val="13"/>
        </w:numPr>
        <w:ind w:left="709"/>
      </w:pPr>
    </w:p>
    <w:tbl>
      <w:tblPr>
        <w:tblW w:w="4604" w:type="pct"/>
        <w:tblInd w:w="737" w:type="dxa"/>
        <w:tblCellMar>
          <w:left w:w="28" w:type="dxa"/>
          <w:right w:w="28" w:type="dxa"/>
        </w:tblCellMar>
        <w:tblLook w:val="0000" w:firstRow="0" w:lastRow="0" w:firstColumn="0" w:lastColumn="0" w:noHBand="0" w:noVBand="0"/>
      </w:tblPr>
      <w:tblGrid>
        <w:gridCol w:w="2975"/>
        <w:gridCol w:w="567"/>
        <w:gridCol w:w="708"/>
        <w:gridCol w:w="994"/>
        <w:gridCol w:w="3119"/>
      </w:tblGrid>
      <w:tr w:rsidR="0083266F" w:rsidRPr="003A19F9" w:rsidTr="0083266F">
        <w:trPr>
          <w:cantSplit/>
          <w:trHeight w:val="471"/>
        </w:trPr>
        <w:tc>
          <w:tcPr>
            <w:tcW w:w="1779" w:type="pct"/>
            <w:tcBorders>
              <w:bottom w:val="single" w:sz="4" w:space="0" w:color="auto"/>
            </w:tcBorders>
          </w:tcPr>
          <w:p w:rsidR="0083266F" w:rsidRPr="003A19F9" w:rsidRDefault="0083266F" w:rsidP="004C13C1">
            <w:pPr>
              <w:keepNext/>
              <w:rPr>
                <w:rFonts w:ascii="Arial Narrow" w:hAnsi="Arial Narrow"/>
                <w:sz w:val="20"/>
              </w:rPr>
            </w:pPr>
            <w:r w:rsidRPr="003A19F9">
              <w:rPr>
                <w:rFonts w:ascii="Arial Narrow" w:hAnsi="Arial Narrow"/>
                <w:sz w:val="20"/>
              </w:rPr>
              <w:t>Name, Restriction,</w:t>
            </w:r>
          </w:p>
          <w:p w:rsidR="0083266F" w:rsidRPr="003A19F9" w:rsidRDefault="0083266F" w:rsidP="004C13C1">
            <w:pPr>
              <w:keepNext/>
              <w:rPr>
                <w:rFonts w:ascii="Arial Narrow" w:hAnsi="Arial Narrow"/>
                <w:sz w:val="20"/>
              </w:rPr>
            </w:pPr>
            <w:r w:rsidRPr="003A19F9">
              <w:rPr>
                <w:rFonts w:ascii="Arial Narrow" w:hAnsi="Arial Narrow"/>
                <w:sz w:val="20"/>
              </w:rPr>
              <w:t>Manner of administration and form</w:t>
            </w:r>
          </w:p>
        </w:tc>
        <w:tc>
          <w:tcPr>
            <w:tcW w:w="339" w:type="pct"/>
            <w:tcBorders>
              <w:bottom w:val="single" w:sz="4" w:space="0" w:color="auto"/>
            </w:tcBorders>
          </w:tcPr>
          <w:p w:rsidR="0083266F" w:rsidRPr="003A19F9" w:rsidRDefault="0083266F" w:rsidP="004C13C1">
            <w:pPr>
              <w:keepNext/>
              <w:jc w:val="center"/>
              <w:rPr>
                <w:rFonts w:ascii="Arial Narrow" w:hAnsi="Arial Narrow"/>
                <w:sz w:val="20"/>
              </w:rPr>
            </w:pPr>
            <w:r w:rsidRPr="003A19F9">
              <w:rPr>
                <w:rFonts w:ascii="Arial Narrow" w:hAnsi="Arial Narrow"/>
                <w:sz w:val="20"/>
              </w:rPr>
              <w:t>Max.</w:t>
            </w:r>
          </w:p>
          <w:p w:rsidR="0083266F" w:rsidRPr="003A19F9" w:rsidRDefault="0083266F" w:rsidP="004C13C1">
            <w:pPr>
              <w:keepNext/>
              <w:jc w:val="center"/>
              <w:rPr>
                <w:rFonts w:ascii="Arial Narrow" w:hAnsi="Arial Narrow"/>
                <w:sz w:val="20"/>
              </w:rPr>
            </w:pPr>
            <w:r w:rsidRPr="003A19F9">
              <w:rPr>
                <w:rFonts w:ascii="Arial Narrow" w:hAnsi="Arial Narrow"/>
                <w:sz w:val="20"/>
              </w:rPr>
              <w:t>Qty</w:t>
            </w:r>
          </w:p>
        </w:tc>
        <w:tc>
          <w:tcPr>
            <w:tcW w:w="423" w:type="pct"/>
            <w:tcBorders>
              <w:bottom w:val="single" w:sz="4" w:space="0" w:color="auto"/>
            </w:tcBorders>
          </w:tcPr>
          <w:p w:rsidR="0083266F" w:rsidRPr="003A19F9" w:rsidRDefault="0083266F" w:rsidP="004C13C1">
            <w:pPr>
              <w:keepNext/>
              <w:jc w:val="center"/>
              <w:rPr>
                <w:rFonts w:ascii="Arial Narrow" w:hAnsi="Arial Narrow"/>
                <w:sz w:val="20"/>
              </w:rPr>
            </w:pPr>
            <w:r w:rsidRPr="003A19F9">
              <w:rPr>
                <w:rFonts w:ascii="Arial Narrow" w:hAnsi="Arial Narrow"/>
                <w:sz w:val="20"/>
              </w:rPr>
              <w:t>№.of</w:t>
            </w:r>
          </w:p>
          <w:p w:rsidR="0083266F" w:rsidRPr="003A19F9" w:rsidRDefault="0083266F" w:rsidP="004C13C1">
            <w:pPr>
              <w:keepNext/>
              <w:jc w:val="center"/>
              <w:rPr>
                <w:rFonts w:ascii="Arial Narrow" w:hAnsi="Arial Narrow"/>
                <w:sz w:val="20"/>
              </w:rPr>
            </w:pPr>
            <w:r w:rsidRPr="003A19F9">
              <w:rPr>
                <w:rFonts w:ascii="Arial Narrow" w:hAnsi="Arial Narrow"/>
                <w:sz w:val="20"/>
              </w:rPr>
              <w:t>Rpts</w:t>
            </w:r>
          </w:p>
        </w:tc>
        <w:tc>
          <w:tcPr>
            <w:tcW w:w="2459" w:type="pct"/>
            <w:gridSpan w:val="2"/>
            <w:tcBorders>
              <w:bottom w:val="single" w:sz="4" w:space="0" w:color="auto"/>
            </w:tcBorders>
          </w:tcPr>
          <w:p w:rsidR="0083266F" w:rsidRPr="003A19F9" w:rsidRDefault="0083266F" w:rsidP="004C13C1">
            <w:pPr>
              <w:keepNext/>
              <w:jc w:val="center"/>
              <w:rPr>
                <w:rFonts w:ascii="Arial Narrow" w:hAnsi="Arial Narrow"/>
                <w:sz w:val="20"/>
              </w:rPr>
            </w:pPr>
            <w:r w:rsidRPr="003A19F9">
              <w:rPr>
                <w:rFonts w:ascii="Arial Narrow" w:hAnsi="Arial Narrow"/>
                <w:sz w:val="20"/>
              </w:rPr>
              <w:t>Proprietary Name and Manufacturer</w:t>
            </w:r>
          </w:p>
        </w:tc>
      </w:tr>
      <w:tr w:rsidR="0083266F" w:rsidRPr="003A19F9" w:rsidTr="0083266F">
        <w:trPr>
          <w:cantSplit/>
          <w:trHeight w:val="577"/>
        </w:trPr>
        <w:tc>
          <w:tcPr>
            <w:tcW w:w="1779" w:type="pct"/>
            <w:tcBorders>
              <w:top w:val="single" w:sz="4" w:space="0" w:color="auto"/>
            </w:tcBorders>
          </w:tcPr>
          <w:p w:rsidR="0083266F" w:rsidRPr="003A19F9" w:rsidRDefault="0083266F" w:rsidP="004C13C1">
            <w:pPr>
              <w:rPr>
                <w:rFonts w:ascii="Arial Narrow" w:hAnsi="Arial Narrow"/>
                <w:sz w:val="20"/>
                <w:u w:val="single"/>
              </w:rPr>
            </w:pPr>
            <w:r w:rsidRPr="003A19F9">
              <w:rPr>
                <w:rFonts w:ascii="Arial Narrow" w:hAnsi="Arial Narrow"/>
                <w:sz w:val="20"/>
                <w:u w:val="single"/>
              </w:rPr>
              <w:t>Initial therapy</w:t>
            </w:r>
          </w:p>
          <w:p w:rsidR="0083266F" w:rsidRPr="003A19F9" w:rsidRDefault="0083266F" w:rsidP="004C13C1">
            <w:pPr>
              <w:keepNext/>
              <w:rPr>
                <w:rFonts w:ascii="Arial Narrow" w:hAnsi="Arial Narrow"/>
                <w:sz w:val="20"/>
              </w:rPr>
            </w:pPr>
            <w:r w:rsidRPr="003A19F9">
              <w:rPr>
                <w:rFonts w:ascii="Arial Narrow" w:hAnsi="Arial Narrow"/>
                <w:smallCaps/>
                <w:sz w:val="20"/>
              </w:rPr>
              <w:t>Ustekinumab</w:t>
            </w:r>
          </w:p>
          <w:p w:rsidR="0083266F" w:rsidRPr="003A19F9" w:rsidRDefault="0083266F" w:rsidP="004C13C1">
            <w:pPr>
              <w:keepNext/>
              <w:rPr>
                <w:rFonts w:ascii="Arial Narrow" w:hAnsi="Arial Narrow"/>
                <w:sz w:val="20"/>
              </w:rPr>
            </w:pPr>
            <w:r w:rsidRPr="003A19F9">
              <w:rPr>
                <w:rFonts w:ascii="Arial Narrow" w:hAnsi="Arial Narrow"/>
                <w:sz w:val="20"/>
              </w:rPr>
              <w:t>Injections 45mg/0.5ml, 1x0.5ml vial</w:t>
            </w:r>
          </w:p>
        </w:tc>
        <w:tc>
          <w:tcPr>
            <w:tcW w:w="339" w:type="pct"/>
            <w:tcBorders>
              <w:top w:val="single" w:sz="4" w:space="0" w:color="auto"/>
            </w:tcBorders>
          </w:tcPr>
          <w:p w:rsidR="0083266F" w:rsidRPr="003A19F9" w:rsidRDefault="0083266F" w:rsidP="004C13C1">
            <w:pPr>
              <w:keepNext/>
              <w:jc w:val="center"/>
              <w:rPr>
                <w:rFonts w:ascii="Arial Narrow" w:hAnsi="Arial Narrow"/>
                <w:sz w:val="20"/>
              </w:rPr>
            </w:pPr>
          </w:p>
          <w:p w:rsidR="0083266F" w:rsidRPr="003A19F9" w:rsidRDefault="0083266F" w:rsidP="004C13C1">
            <w:pPr>
              <w:keepNext/>
              <w:jc w:val="center"/>
              <w:rPr>
                <w:rFonts w:ascii="Arial Narrow" w:hAnsi="Arial Narrow"/>
                <w:sz w:val="20"/>
              </w:rPr>
            </w:pPr>
            <w:r w:rsidRPr="003A19F9">
              <w:rPr>
                <w:rFonts w:ascii="Arial Narrow" w:hAnsi="Arial Narrow"/>
                <w:sz w:val="20"/>
              </w:rPr>
              <w:t>1</w:t>
            </w:r>
          </w:p>
        </w:tc>
        <w:tc>
          <w:tcPr>
            <w:tcW w:w="423" w:type="pct"/>
            <w:tcBorders>
              <w:top w:val="single" w:sz="4" w:space="0" w:color="auto"/>
            </w:tcBorders>
          </w:tcPr>
          <w:p w:rsidR="0083266F" w:rsidRPr="003A19F9" w:rsidRDefault="0083266F" w:rsidP="004C13C1">
            <w:pPr>
              <w:keepNext/>
              <w:jc w:val="center"/>
              <w:rPr>
                <w:rFonts w:ascii="Arial Narrow" w:hAnsi="Arial Narrow"/>
                <w:sz w:val="20"/>
              </w:rPr>
            </w:pPr>
          </w:p>
          <w:p w:rsidR="0083266F" w:rsidRPr="003A19F9" w:rsidRDefault="0083266F" w:rsidP="004C13C1">
            <w:pPr>
              <w:keepNext/>
              <w:jc w:val="center"/>
              <w:rPr>
                <w:rFonts w:ascii="Arial Narrow" w:hAnsi="Arial Narrow"/>
                <w:sz w:val="20"/>
              </w:rPr>
            </w:pPr>
            <w:r w:rsidRPr="003A19F9">
              <w:rPr>
                <w:rFonts w:ascii="Arial Narrow" w:hAnsi="Arial Narrow"/>
                <w:sz w:val="20"/>
              </w:rPr>
              <w:t>2</w:t>
            </w:r>
          </w:p>
        </w:tc>
        <w:tc>
          <w:tcPr>
            <w:tcW w:w="594" w:type="pct"/>
            <w:tcBorders>
              <w:top w:val="single" w:sz="4" w:space="0" w:color="auto"/>
            </w:tcBorders>
          </w:tcPr>
          <w:p w:rsidR="0083266F" w:rsidRPr="003A19F9" w:rsidRDefault="0083266F" w:rsidP="004C13C1">
            <w:pPr>
              <w:keepNext/>
              <w:jc w:val="center"/>
              <w:rPr>
                <w:rFonts w:ascii="Arial Narrow" w:hAnsi="Arial Narrow"/>
                <w:sz w:val="20"/>
              </w:rPr>
            </w:pPr>
          </w:p>
          <w:p w:rsidR="0083266F" w:rsidRPr="003A19F9" w:rsidRDefault="0083266F" w:rsidP="004C13C1">
            <w:pPr>
              <w:keepNext/>
              <w:jc w:val="center"/>
              <w:rPr>
                <w:rFonts w:ascii="Arial Narrow" w:hAnsi="Arial Narrow"/>
                <w:sz w:val="20"/>
              </w:rPr>
            </w:pPr>
            <w:r w:rsidRPr="003A19F9">
              <w:rPr>
                <w:rFonts w:ascii="Arial Narrow" w:hAnsi="Arial Narrow"/>
                <w:sz w:val="20"/>
              </w:rPr>
              <w:t>Stelara</w:t>
            </w:r>
          </w:p>
        </w:tc>
        <w:tc>
          <w:tcPr>
            <w:tcW w:w="1865" w:type="pct"/>
            <w:tcBorders>
              <w:top w:val="single" w:sz="4" w:space="0" w:color="auto"/>
            </w:tcBorders>
          </w:tcPr>
          <w:p w:rsidR="0083266F" w:rsidRPr="003A19F9" w:rsidRDefault="0083266F" w:rsidP="004C13C1">
            <w:pPr>
              <w:keepNext/>
              <w:jc w:val="center"/>
              <w:rPr>
                <w:rFonts w:ascii="Arial Narrow" w:hAnsi="Arial Narrow"/>
                <w:sz w:val="20"/>
              </w:rPr>
            </w:pPr>
          </w:p>
          <w:p w:rsidR="0083266F" w:rsidRPr="003A19F9" w:rsidRDefault="0083266F" w:rsidP="004C13C1">
            <w:pPr>
              <w:keepNext/>
              <w:jc w:val="center"/>
              <w:rPr>
                <w:rFonts w:ascii="Arial Narrow" w:hAnsi="Arial Narrow"/>
                <w:sz w:val="20"/>
              </w:rPr>
            </w:pPr>
            <w:r w:rsidRPr="003A19F9">
              <w:rPr>
                <w:rFonts w:ascii="Arial Narrow" w:hAnsi="Arial Narrow"/>
                <w:sz w:val="20"/>
              </w:rPr>
              <w:t>Janssen Cilag</w:t>
            </w:r>
          </w:p>
        </w:tc>
      </w:tr>
      <w:tr w:rsidR="0083266F" w:rsidRPr="003A19F9" w:rsidTr="0083266F">
        <w:trPr>
          <w:cantSplit/>
          <w:trHeight w:val="577"/>
        </w:trPr>
        <w:tc>
          <w:tcPr>
            <w:tcW w:w="1779" w:type="pct"/>
          </w:tcPr>
          <w:p w:rsidR="0083266F" w:rsidRPr="003A19F9" w:rsidRDefault="0083266F" w:rsidP="004C13C1">
            <w:pPr>
              <w:keepNext/>
              <w:rPr>
                <w:rFonts w:ascii="Arial Narrow" w:hAnsi="Arial Narrow"/>
                <w:sz w:val="20"/>
                <w:u w:val="single"/>
              </w:rPr>
            </w:pPr>
            <w:r w:rsidRPr="003A19F9">
              <w:rPr>
                <w:rFonts w:ascii="Arial Narrow" w:hAnsi="Arial Narrow"/>
                <w:sz w:val="20"/>
                <w:u w:val="single"/>
              </w:rPr>
              <w:t>Continuing therapy</w:t>
            </w:r>
          </w:p>
          <w:p w:rsidR="0083266F" w:rsidRPr="003A19F9" w:rsidRDefault="0083266F" w:rsidP="004C13C1">
            <w:pPr>
              <w:keepNext/>
              <w:rPr>
                <w:rFonts w:ascii="Arial Narrow" w:hAnsi="Arial Narrow"/>
                <w:sz w:val="20"/>
              </w:rPr>
            </w:pPr>
            <w:r w:rsidRPr="003A19F9">
              <w:rPr>
                <w:rFonts w:ascii="Arial Narrow" w:hAnsi="Arial Narrow"/>
                <w:smallCaps/>
                <w:sz w:val="20"/>
              </w:rPr>
              <w:t>Ustekinumab</w:t>
            </w:r>
          </w:p>
          <w:p w:rsidR="0083266F" w:rsidRPr="003A19F9" w:rsidRDefault="0083266F" w:rsidP="004C13C1">
            <w:pPr>
              <w:keepNext/>
              <w:rPr>
                <w:rFonts w:ascii="Arial Narrow" w:hAnsi="Arial Narrow"/>
                <w:sz w:val="20"/>
              </w:rPr>
            </w:pPr>
            <w:r w:rsidRPr="003A19F9">
              <w:rPr>
                <w:rFonts w:ascii="Arial Narrow" w:hAnsi="Arial Narrow"/>
                <w:sz w:val="20"/>
              </w:rPr>
              <w:t>Injections 45mg/0.5ml, 1x0.5ml vial</w:t>
            </w:r>
          </w:p>
        </w:tc>
        <w:tc>
          <w:tcPr>
            <w:tcW w:w="339" w:type="pct"/>
          </w:tcPr>
          <w:p w:rsidR="0083266F" w:rsidRPr="003A19F9" w:rsidRDefault="0083266F" w:rsidP="004C13C1">
            <w:pPr>
              <w:keepNext/>
              <w:jc w:val="center"/>
              <w:rPr>
                <w:rFonts w:ascii="Arial Narrow" w:hAnsi="Arial Narrow"/>
                <w:sz w:val="20"/>
              </w:rPr>
            </w:pPr>
          </w:p>
          <w:p w:rsidR="0083266F" w:rsidRPr="003A19F9" w:rsidRDefault="0083266F" w:rsidP="004C13C1">
            <w:pPr>
              <w:keepNext/>
              <w:jc w:val="center"/>
              <w:rPr>
                <w:rFonts w:ascii="Arial Narrow" w:hAnsi="Arial Narrow"/>
                <w:sz w:val="20"/>
              </w:rPr>
            </w:pPr>
            <w:r w:rsidRPr="003A19F9">
              <w:rPr>
                <w:rFonts w:ascii="Arial Narrow" w:hAnsi="Arial Narrow"/>
                <w:sz w:val="20"/>
              </w:rPr>
              <w:t>1</w:t>
            </w:r>
          </w:p>
        </w:tc>
        <w:tc>
          <w:tcPr>
            <w:tcW w:w="423" w:type="pct"/>
          </w:tcPr>
          <w:p w:rsidR="0083266F" w:rsidRPr="003A19F9" w:rsidRDefault="0083266F" w:rsidP="004C13C1">
            <w:pPr>
              <w:keepNext/>
              <w:jc w:val="center"/>
              <w:rPr>
                <w:rFonts w:ascii="Arial Narrow" w:hAnsi="Arial Narrow"/>
                <w:sz w:val="20"/>
              </w:rPr>
            </w:pPr>
          </w:p>
          <w:p w:rsidR="0083266F" w:rsidRPr="003A19F9" w:rsidRDefault="0083266F" w:rsidP="004C13C1">
            <w:pPr>
              <w:keepNext/>
              <w:jc w:val="center"/>
              <w:rPr>
                <w:rFonts w:ascii="Arial Narrow" w:hAnsi="Arial Narrow"/>
                <w:sz w:val="20"/>
              </w:rPr>
            </w:pPr>
            <w:r w:rsidRPr="003A19F9">
              <w:rPr>
                <w:rFonts w:ascii="Arial Narrow" w:hAnsi="Arial Narrow"/>
                <w:sz w:val="20"/>
              </w:rPr>
              <w:t>1</w:t>
            </w:r>
          </w:p>
        </w:tc>
        <w:tc>
          <w:tcPr>
            <w:tcW w:w="594" w:type="pct"/>
          </w:tcPr>
          <w:p w:rsidR="0083266F" w:rsidRPr="003A19F9" w:rsidRDefault="0083266F" w:rsidP="004C13C1">
            <w:pPr>
              <w:keepNext/>
              <w:jc w:val="center"/>
              <w:rPr>
                <w:rFonts w:ascii="Arial Narrow" w:hAnsi="Arial Narrow"/>
                <w:sz w:val="20"/>
              </w:rPr>
            </w:pPr>
          </w:p>
          <w:p w:rsidR="0083266F" w:rsidRPr="003A19F9" w:rsidRDefault="0083266F" w:rsidP="004C13C1">
            <w:pPr>
              <w:keepNext/>
              <w:jc w:val="center"/>
              <w:rPr>
                <w:rFonts w:ascii="Arial Narrow" w:hAnsi="Arial Narrow"/>
                <w:sz w:val="20"/>
              </w:rPr>
            </w:pPr>
            <w:r w:rsidRPr="003A19F9">
              <w:rPr>
                <w:rFonts w:ascii="Arial Narrow" w:hAnsi="Arial Narrow"/>
                <w:sz w:val="20"/>
              </w:rPr>
              <w:t>Stelara</w:t>
            </w:r>
          </w:p>
        </w:tc>
        <w:tc>
          <w:tcPr>
            <w:tcW w:w="1865" w:type="pct"/>
          </w:tcPr>
          <w:p w:rsidR="0083266F" w:rsidRPr="003A19F9" w:rsidRDefault="0083266F" w:rsidP="004C13C1">
            <w:pPr>
              <w:keepNext/>
              <w:jc w:val="center"/>
              <w:rPr>
                <w:rFonts w:ascii="Arial Narrow" w:hAnsi="Arial Narrow"/>
                <w:sz w:val="20"/>
              </w:rPr>
            </w:pPr>
          </w:p>
          <w:p w:rsidR="0083266F" w:rsidRPr="003A19F9" w:rsidRDefault="0083266F" w:rsidP="004C13C1">
            <w:pPr>
              <w:keepNext/>
              <w:jc w:val="center"/>
              <w:rPr>
                <w:rFonts w:ascii="Arial Narrow" w:hAnsi="Arial Narrow"/>
                <w:sz w:val="20"/>
              </w:rPr>
            </w:pPr>
            <w:r w:rsidRPr="003A19F9">
              <w:rPr>
                <w:rFonts w:ascii="Arial Narrow" w:hAnsi="Arial Narrow"/>
                <w:sz w:val="20"/>
              </w:rPr>
              <w:t>Janssen Cilag</w:t>
            </w:r>
          </w:p>
        </w:tc>
      </w:tr>
      <w:tr w:rsidR="0022763A" w:rsidRPr="003A19F9" w:rsidTr="0022763A">
        <w:trPr>
          <w:cantSplit/>
          <w:trHeight w:val="360"/>
        </w:trPr>
        <w:tc>
          <w:tcPr>
            <w:tcW w:w="5000" w:type="pct"/>
            <w:gridSpan w:val="5"/>
          </w:tcPr>
          <w:p w:rsidR="0022763A" w:rsidRPr="003A19F9" w:rsidRDefault="0022763A" w:rsidP="004C13C1">
            <w:pPr>
              <w:rPr>
                <w:rFonts w:ascii="Arial Narrow" w:hAnsi="Arial Narrow"/>
                <w:b/>
                <w:sz w:val="20"/>
              </w:rPr>
            </w:pPr>
            <w:r w:rsidRPr="003A19F9">
              <w:rPr>
                <w:rFonts w:ascii="Arial Narrow" w:hAnsi="Arial Narrow"/>
                <w:b/>
                <w:sz w:val="20"/>
                <w:u w:val="single"/>
              </w:rPr>
              <w:t>Authority required</w:t>
            </w:r>
          </w:p>
          <w:p w:rsidR="0022763A" w:rsidRPr="003A19F9" w:rsidRDefault="0022763A" w:rsidP="004C13C1">
            <w:pPr>
              <w:pStyle w:val="ListParagraph"/>
              <w:keepNext/>
              <w:numPr>
                <w:ilvl w:val="0"/>
                <w:numId w:val="14"/>
              </w:numPr>
              <w:ind w:left="256" w:hanging="256"/>
              <w:jc w:val="left"/>
              <w:rPr>
                <w:rFonts w:ascii="Arial Narrow" w:hAnsi="Arial Narrow"/>
                <w:sz w:val="20"/>
              </w:rPr>
            </w:pPr>
            <w:r w:rsidRPr="003A19F9">
              <w:rPr>
                <w:rFonts w:ascii="Arial Narrow" w:hAnsi="Arial Narrow"/>
                <w:sz w:val="20"/>
              </w:rPr>
              <w:t>Initial 1 (new patients)</w:t>
            </w:r>
          </w:p>
          <w:p w:rsidR="0022763A" w:rsidRPr="003A19F9" w:rsidRDefault="0022763A" w:rsidP="004C13C1">
            <w:pPr>
              <w:pStyle w:val="ListParagraph"/>
              <w:keepNext/>
              <w:numPr>
                <w:ilvl w:val="0"/>
                <w:numId w:val="14"/>
              </w:numPr>
              <w:ind w:left="256" w:hanging="256"/>
              <w:jc w:val="left"/>
              <w:rPr>
                <w:rFonts w:ascii="Arial Narrow" w:hAnsi="Arial Narrow"/>
                <w:sz w:val="20"/>
              </w:rPr>
            </w:pPr>
            <w:r w:rsidRPr="003A19F9">
              <w:rPr>
                <w:rFonts w:ascii="Arial Narrow" w:hAnsi="Arial Narrow"/>
                <w:sz w:val="20"/>
              </w:rPr>
              <w:t xml:space="preserve">Initial 2 </w:t>
            </w:r>
            <w:r w:rsidR="00CF12CA">
              <w:rPr>
                <w:rFonts w:ascii="Arial Narrow" w:hAnsi="Arial Narrow"/>
                <w:sz w:val="20"/>
              </w:rPr>
              <w:t xml:space="preserve">(swapping therapy or </w:t>
            </w:r>
            <w:r w:rsidR="00CF12CA" w:rsidRPr="00C73C47">
              <w:rPr>
                <w:rFonts w:ascii="Arial Narrow" w:hAnsi="Arial Narrow"/>
                <w:sz w:val="20"/>
              </w:rPr>
              <w:t xml:space="preserve"> re-commencement </w:t>
            </w:r>
            <w:r w:rsidR="00CF12CA">
              <w:rPr>
                <w:rFonts w:ascii="Arial Narrow" w:hAnsi="Arial Narrow"/>
                <w:sz w:val="20"/>
              </w:rPr>
              <w:t>after a treatment break)</w:t>
            </w:r>
          </w:p>
          <w:p w:rsidR="0022763A" w:rsidRPr="003A19F9" w:rsidRDefault="0022763A" w:rsidP="004C13C1">
            <w:pPr>
              <w:pStyle w:val="ListParagraph"/>
              <w:keepNext/>
              <w:numPr>
                <w:ilvl w:val="0"/>
                <w:numId w:val="14"/>
              </w:numPr>
              <w:ind w:left="256" w:hanging="256"/>
              <w:jc w:val="left"/>
              <w:rPr>
                <w:rFonts w:ascii="Arial Narrow" w:hAnsi="Arial Narrow"/>
                <w:sz w:val="20"/>
              </w:rPr>
            </w:pPr>
            <w:r w:rsidRPr="003A19F9">
              <w:rPr>
                <w:rFonts w:ascii="Arial Narrow" w:hAnsi="Arial Narrow"/>
                <w:sz w:val="20"/>
              </w:rPr>
              <w:t>Continuing treatment for all patients</w:t>
            </w:r>
          </w:p>
        </w:tc>
      </w:tr>
    </w:tbl>
    <w:p w:rsidR="00B60939" w:rsidRPr="003A19F9" w:rsidRDefault="00B60939" w:rsidP="004B1CB4"/>
    <w:p w:rsidR="004E43B2" w:rsidRDefault="0022763A" w:rsidP="004B1CB4">
      <w:pPr>
        <w:pStyle w:val="ListParagraph"/>
        <w:widowControl/>
        <w:numPr>
          <w:ilvl w:val="1"/>
          <w:numId w:val="13"/>
        </w:numPr>
      </w:pPr>
      <w:r w:rsidRPr="003A19F9">
        <w:t xml:space="preserve">The submission </w:t>
      </w:r>
      <w:r w:rsidR="0010263E" w:rsidRPr="003A19F9">
        <w:t>propose</w:t>
      </w:r>
      <w:r w:rsidR="0010263E">
        <w:t>d</w:t>
      </w:r>
      <w:r w:rsidR="0010263E" w:rsidRPr="003A19F9">
        <w:t xml:space="preserve"> </w:t>
      </w:r>
      <w:r w:rsidRPr="003A19F9">
        <w:t xml:space="preserve">a special pricing arrangement for initial therapy with </w:t>
      </w:r>
      <w:r w:rsidR="00F0507B">
        <w:t xml:space="preserve">an </w:t>
      </w:r>
      <w:r w:rsidRPr="003A19F9">
        <w:t>effective price</w:t>
      </w:r>
      <w:r w:rsidR="00F0507B">
        <w:t xml:space="preserve"> of</w:t>
      </w:r>
      <w:r w:rsidRPr="003A19F9">
        <w:t xml:space="preserve"> </w:t>
      </w:r>
      <w:r w:rsidR="00523FDD">
        <w:rPr>
          <w:noProof/>
          <w:color w:val="000000"/>
          <w:highlight w:val="black"/>
        </w:rPr>
        <w:t>'''''''''''''''''''''''</w:t>
      </w:r>
      <w:r w:rsidRPr="003A19F9">
        <w:t xml:space="preserve"> </w:t>
      </w:r>
      <w:r w:rsidR="00722C59">
        <w:t xml:space="preserve">(DPMQ) </w:t>
      </w:r>
      <w:r w:rsidRPr="003A19F9">
        <w:t xml:space="preserve">to take into account the fact that </w:t>
      </w:r>
      <w:r w:rsidR="00CF12CA">
        <w:t>UST</w:t>
      </w:r>
      <w:r w:rsidR="00CF12CA" w:rsidRPr="003A19F9">
        <w:t xml:space="preserve"> </w:t>
      </w:r>
      <w:r w:rsidRPr="003A19F9">
        <w:t xml:space="preserve">is inferior to </w:t>
      </w:r>
      <w:r w:rsidR="00CF12CA">
        <w:t>ADA</w:t>
      </w:r>
      <w:r w:rsidR="00F0507B">
        <w:t xml:space="preserve"> at improving joint symptoms</w:t>
      </w:r>
      <w:r w:rsidR="0062630C">
        <w:t xml:space="preserve">. </w:t>
      </w:r>
      <w:r w:rsidR="00523FDD">
        <w:rPr>
          <w:noProof/>
          <w:color w:val="000000"/>
          <w:highlight w:val="black"/>
        </w:rPr>
        <w:t xml:space="preserve">''''''' ''''''''''' '''' ''''''' '''''''''''''''''''' '''''' '''' ''''''' ''''''' '''''''''''''''''''''' ''''''''' '''''''''''''''''''''''''''' '''''''''' ''''''''''''''''''''' '''' '''''''''''''' '''''' ''''''''''''''''''''' '''''''''' '''''''''''''' '''''''''''''''' ''' ''' '''''' ''''''' '''''''''''' '''''' ''''''''' ''''''' '''''' ''''''' ''''''''' '''''' ''''''' ''''''''''''''' ''''''''''''''' '''''' ''''''' ''''''''''''' ''''''''''''' </w:t>
      </w:r>
    </w:p>
    <w:p w:rsidR="002B5FDA" w:rsidRDefault="002B5FDA" w:rsidP="004B1CB4">
      <w:pPr>
        <w:rPr>
          <w:i/>
          <w:szCs w:val="22"/>
          <w:highlight w:val="yellow"/>
        </w:rPr>
      </w:pPr>
    </w:p>
    <w:p w:rsidR="000A5FEC" w:rsidRPr="003A19F9" w:rsidRDefault="000A5FEC" w:rsidP="004B1CB4"/>
    <w:p w:rsidR="00B50DB8" w:rsidRPr="007C413F" w:rsidRDefault="00B50DB8" w:rsidP="007C413F">
      <w:pPr>
        <w:pStyle w:val="ListParagraph"/>
        <w:widowControl/>
        <w:numPr>
          <w:ilvl w:val="0"/>
          <w:numId w:val="13"/>
        </w:numPr>
        <w:rPr>
          <w:b/>
          <w:szCs w:val="22"/>
        </w:rPr>
      </w:pPr>
      <w:bookmarkStart w:id="2" w:name="_Toc398544300"/>
      <w:r w:rsidRPr="007C413F">
        <w:rPr>
          <w:b/>
          <w:szCs w:val="22"/>
        </w:rPr>
        <w:t>Background</w:t>
      </w:r>
      <w:bookmarkEnd w:id="2"/>
    </w:p>
    <w:p w:rsidR="00B60939" w:rsidRPr="003A19F9" w:rsidRDefault="00B60939" w:rsidP="00B60939">
      <w:pPr>
        <w:pStyle w:val="ListParagraph"/>
        <w:rPr>
          <w:szCs w:val="22"/>
        </w:rPr>
      </w:pPr>
    </w:p>
    <w:p w:rsidR="00B60939" w:rsidRPr="00BF0021" w:rsidRDefault="00A8122C" w:rsidP="00583C2D">
      <w:pPr>
        <w:pStyle w:val="ListParagraph"/>
        <w:widowControl/>
        <w:numPr>
          <w:ilvl w:val="1"/>
          <w:numId w:val="13"/>
        </w:numPr>
      </w:pPr>
      <w:r w:rsidRPr="00BF0021">
        <w:t>The submission was made und</w:t>
      </w:r>
      <w:r w:rsidR="001071D8" w:rsidRPr="00BF0021">
        <w:t xml:space="preserve">er TGA/PBAC Parallel Process. </w:t>
      </w:r>
      <w:r w:rsidRPr="00BF0021">
        <w:t xml:space="preserve">At the time of </w:t>
      </w:r>
      <w:r w:rsidR="00597258">
        <w:t xml:space="preserve">PBAC </w:t>
      </w:r>
      <w:r w:rsidR="00F0507B">
        <w:t>consideration</w:t>
      </w:r>
      <w:r w:rsidR="00583C2D" w:rsidRPr="00BF0021">
        <w:t xml:space="preserve">, the clinical evaluation report </w:t>
      </w:r>
      <w:r w:rsidR="00597258">
        <w:t xml:space="preserve">and TGA Delegate Summary </w:t>
      </w:r>
      <w:r w:rsidR="00583C2D" w:rsidRPr="00BF0021">
        <w:t>w</w:t>
      </w:r>
      <w:r w:rsidR="00597258">
        <w:t>ere</w:t>
      </w:r>
      <w:r w:rsidR="00583C2D" w:rsidRPr="00BF0021">
        <w:t xml:space="preserve"> available.</w:t>
      </w:r>
    </w:p>
    <w:p w:rsidR="001071D8" w:rsidRPr="003A19F9" w:rsidRDefault="001071D8" w:rsidP="001071D8">
      <w:pPr>
        <w:pStyle w:val="ListParagraph"/>
        <w:widowControl/>
      </w:pPr>
    </w:p>
    <w:p w:rsidR="00F01D96" w:rsidRDefault="00A8122C" w:rsidP="0076194D">
      <w:pPr>
        <w:pStyle w:val="ListParagraph"/>
        <w:numPr>
          <w:ilvl w:val="1"/>
          <w:numId w:val="13"/>
        </w:numPr>
      </w:pPr>
      <w:r w:rsidRPr="003A19F9">
        <w:t xml:space="preserve">This </w:t>
      </w:r>
      <w:r w:rsidR="00BF0021">
        <w:t>was</w:t>
      </w:r>
      <w:r w:rsidRPr="003A19F9">
        <w:t xml:space="preserve"> the first consideration by the PBAC of </w:t>
      </w:r>
      <w:r w:rsidR="00BF0021">
        <w:t>UST</w:t>
      </w:r>
      <w:r w:rsidR="00BF0021" w:rsidRPr="003A19F9">
        <w:t xml:space="preserve"> </w:t>
      </w:r>
      <w:r w:rsidRPr="003A19F9">
        <w:t xml:space="preserve">for </w:t>
      </w:r>
      <w:r w:rsidR="00583C2D" w:rsidRPr="003A19F9">
        <w:t>PsA</w:t>
      </w:r>
      <w:r w:rsidR="007C2EF0">
        <w:t>.</w:t>
      </w:r>
      <w:r w:rsidRPr="003A19F9">
        <w:t xml:space="preserve"> </w:t>
      </w:r>
    </w:p>
    <w:p w:rsidR="00F01D96" w:rsidRDefault="00F01D96" w:rsidP="00F01D96">
      <w:pPr>
        <w:pStyle w:val="ListParagraph"/>
      </w:pPr>
    </w:p>
    <w:p w:rsidR="0076194D" w:rsidRPr="0076194D" w:rsidRDefault="00CE7FA0" w:rsidP="0076194D">
      <w:pPr>
        <w:pStyle w:val="ListParagraph"/>
        <w:numPr>
          <w:ilvl w:val="1"/>
          <w:numId w:val="13"/>
        </w:numPr>
      </w:pPr>
      <w:r>
        <w:t xml:space="preserve">In November 2009, the PBAC recommended </w:t>
      </w:r>
      <w:r w:rsidR="00BF0021">
        <w:t>UST</w:t>
      </w:r>
      <w:r w:rsidR="00BF0021" w:rsidRPr="003A19F9">
        <w:t xml:space="preserve"> </w:t>
      </w:r>
      <w:r w:rsidR="00A8122C" w:rsidRPr="003A19F9">
        <w:t>for the treatment of chronic pla</w:t>
      </w:r>
      <w:r w:rsidR="0013495E">
        <w:t>q</w:t>
      </w:r>
      <w:r w:rsidR="00A8122C" w:rsidRPr="003A19F9">
        <w:t>ue psoriasis</w:t>
      </w:r>
      <w:r w:rsidR="0076194D">
        <w:t xml:space="preserve"> </w:t>
      </w:r>
      <w:r w:rsidR="0076194D" w:rsidRPr="0076194D">
        <w:t xml:space="preserve">on the basis of acceptable cost-effectiveness compared with </w:t>
      </w:r>
      <w:r w:rsidR="00103A2D">
        <w:t>ETC</w:t>
      </w:r>
      <w:r w:rsidR="0076194D" w:rsidRPr="0076194D">
        <w:t xml:space="preserve"> (50 mg/week). The PBAC agreed that the listing of </w:t>
      </w:r>
      <w:r w:rsidR="00F01D96">
        <w:t>UST</w:t>
      </w:r>
      <w:r w:rsidR="0076194D" w:rsidRPr="0076194D">
        <w:t xml:space="preserve"> on the PBS for </w:t>
      </w:r>
      <w:r w:rsidR="0076194D" w:rsidRPr="003A19F9">
        <w:t>chronic pla</w:t>
      </w:r>
      <w:r w:rsidR="0076194D">
        <w:t>q</w:t>
      </w:r>
      <w:r w:rsidR="0076194D" w:rsidRPr="003A19F9">
        <w:t>ue psoriasis</w:t>
      </w:r>
      <w:r w:rsidR="0076194D" w:rsidRPr="0076194D">
        <w:t xml:space="preserve"> would offer an alternative therapy with a novel mode of action.</w:t>
      </w:r>
      <w:r w:rsidR="0076194D">
        <w:t xml:space="preserve"> </w:t>
      </w:r>
    </w:p>
    <w:p w:rsidR="000A5FEC" w:rsidRDefault="000A5FEC" w:rsidP="00A8122C">
      <w:pPr>
        <w:pStyle w:val="ListParagraph"/>
        <w:widowControl/>
      </w:pPr>
    </w:p>
    <w:p w:rsidR="0076168A" w:rsidRPr="003A19F9" w:rsidRDefault="0076168A" w:rsidP="00A8122C">
      <w:pPr>
        <w:pStyle w:val="ListParagraph"/>
        <w:widowControl/>
      </w:pPr>
    </w:p>
    <w:p w:rsidR="00B50DB8" w:rsidRPr="007C413F" w:rsidRDefault="00B50DB8" w:rsidP="007C413F">
      <w:pPr>
        <w:pStyle w:val="ListParagraph"/>
        <w:widowControl/>
        <w:numPr>
          <w:ilvl w:val="0"/>
          <w:numId w:val="13"/>
        </w:numPr>
        <w:rPr>
          <w:b/>
          <w:szCs w:val="22"/>
        </w:rPr>
      </w:pPr>
      <w:bookmarkStart w:id="3" w:name="_Toc397970131"/>
      <w:bookmarkStart w:id="4" w:name="_Toc398544301"/>
      <w:bookmarkEnd w:id="3"/>
      <w:r w:rsidRPr="007C413F">
        <w:rPr>
          <w:b/>
          <w:szCs w:val="22"/>
        </w:rPr>
        <w:t>Clinical place for the proposed therapy</w:t>
      </w:r>
      <w:bookmarkEnd w:id="4"/>
    </w:p>
    <w:p w:rsidR="00B60939" w:rsidRPr="003A19F9" w:rsidRDefault="00B60939" w:rsidP="00B60939">
      <w:pPr>
        <w:rPr>
          <w:szCs w:val="22"/>
        </w:rPr>
      </w:pPr>
    </w:p>
    <w:p w:rsidR="009F676F" w:rsidRDefault="004C13C1" w:rsidP="002C2775">
      <w:pPr>
        <w:pStyle w:val="ListParagraph"/>
        <w:widowControl/>
        <w:numPr>
          <w:ilvl w:val="1"/>
          <w:numId w:val="13"/>
        </w:numPr>
        <w:rPr>
          <w:szCs w:val="22"/>
        </w:rPr>
      </w:pPr>
      <w:r w:rsidRPr="00A45BB8">
        <w:rPr>
          <w:szCs w:val="22"/>
        </w:rPr>
        <w:t xml:space="preserve">The submission’s proposed place in therapy for </w:t>
      </w:r>
      <w:r w:rsidR="00BF0021" w:rsidRPr="00A45BB8">
        <w:rPr>
          <w:szCs w:val="22"/>
        </w:rPr>
        <w:t xml:space="preserve">UST </w:t>
      </w:r>
      <w:r w:rsidR="00467A36">
        <w:rPr>
          <w:szCs w:val="22"/>
        </w:rPr>
        <w:t>would be</w:t>
      </w:r>
      <w:r w:rsidR="00467A36" w:rsidRPr="00A45BB8">
        <w:rPr>
          <w:szCs w:val="22"/>
        </w:rPr>
        <w:t xml:space="preserve"> </w:t>
      </w:r>
      <w:r w:rsidRPr="00A45BB8">
        <w:rPr>
          <w:szCs w:val="22"/>
        </w:rPr>
        <w:t xml:space="preserve">as an alternative bDMARD for PsA patients who </w:t>
      </w:r>
      <w:r w:rsidR="00BF0021" w:rsidRPr="00A45BB8">
        <w:rPr>
          <w:szCs w:val="22"/>
        </w:rPr>
        <w:t xml:space="preserve">had </w:t>
      </w:r>
      <w:r w:rsidRPr="00A45BB8">
        <w:rPr>
          <w:szCs w:val="22"/>
        </w:rPr>
        <w:t>failed therapy with standard DMARDs.</w:t>
      </w:r>
      <w:r w:rsidR="000E76DD" w:rsidRPr="00A45BB8">
        <w:rPr>
          <w:szCs w:val="22"/>
        </w:rPr>
        <w:t xml:space="preserve"> The ESC noted that given the inferior joint response rate claimed by the submission and the drug’s </w:t>
      </w:r>
      <w:r w:rsidR="000F6511" w:rsidRPr="00A45BB8">
        <w:rPr>
          <w:szCs w:val="22"/>
        </w:rPr>
        <w:t xml:space="preserve">different </w:t>
      </w:r>
      <w:r w:rsidR="000E76DD" w:rsidRPr="00A45BB8">
        <w:rPr>
          <w:szCs w:val="22"/>
        </w:rPr>
        <w:t xml:space="preserve">mechanism of action, </w:t>
      </w:r>
      <w:r w:rsidR="00DC1B44" w:rsidRPr="00A45BB8">
        <w:rPr>
          <w:szCs w:val="22"/>
        </w:rPr>
        <w:t>UST</w:t>
      </w:r>
      <w:r w:rsidR="000E76DD" w:rsidRPr="00A45BB8">
        <w:rPr>
          <w:szCs w:val="22"/>
        </w:rPr>
        <w:t xml:space="preserve"> </w:t>
      </w:r>
      <w:r w:rsidR="0060326D" w:rsidRPr="00A45BB8">
        <w:rPr>
          <w:szCs w:val="22"/>
        </w:rPr>
        <w:t xml:space="preserve">would be </w:t>
      </w:r>
      <w:r w:rsidR="000E76DD" w:rsidRPr="00A45BB8">
        <w:rPr>
          <w:szCs w:val="22"/>
        </w:rPr>
        <w:t xml:space="preserve">unlikely to </w:t>
      </w:r>
      <w:r w:rsidR="00AF33E2" w:rsidRPr="00A45BB8">
        <w:rPr>
          <w:szCs w:val="22"/>
        </w:rPr>
        <w:t xml:space="preserve">be used </w:t>
      </w:r>
      <w:r w:rsidR="000E76DD" w:rsidRPr="00A45BB8">
        <w:rPr>
          <w:szCs w:val="22"/>
        </w:rPr>
        <w:t xml:space="preserve">frequently as a first line treatment for PsA. The ESC considered that </w:t>
      </w:r>
      <w:r w:rsidR="00DC1B44" w:rsidRPr="00A45BB8">
        <w:rPr>
          <w:szCs w:val="22"/>
        </w:rPr>
        <w:t>UST</w:t>
      </w:r>
      <w:r w:rsidR="000E76DD" w:rsidRPr="00A45BB8">
        <w:rPr>
          <w:szCs w:val="22"/>
        </w:rPr>
        <w:t xml:space="preserve"> </w:t>
      </w:r>
      <w:r w:rsidR="0060326D" w:rsidRPr="00A45BB8">
        <w:rPr>
          <w:szCs w:val="22"/>
        </w:rPr>
        <w:t xml:space="preserve">would </w:t>
      </w:r>
      <w:r w:rsidR="000E76DD" w:rsidRPr="00A45BB8">
        <w:rPr>
          <w:szCs w:val="22"/>
        </w:rPr>
        <w:t>largely be used as 2nd or 3rd line treatment after failing to respond to treatment with a TNF-α inhibitor.</w:t>
      </w:r>
      <w:r w:rsidR="00F01D96" w:rsidRPr="00A45BB8">
        <w:rPr>
          <w:szCs w:val="22"/>
        </w:rPr>
        <w:t xml:space="preserve"> </w:t>
      </w:r>
    </w:p>
    <w:p w:rsidR="009F676F" w:rsidRDefault="009F676F" w:rsidP="009F676F">
      <w:pPr>
        <w:pStyle w:val="PBACHeading1"/>
        <w:numPr>
          <w:ilvl w:val="0"/>
          <w:numId w:val="0"/>
        </w:numPr>
        <w:ind w:left="720"/>
      </w:pPr>
    </w:p>
    <w:p w:rsidR="002B5FDA" w:rsidRDefault="00467A36" w:rsidP="00424820">
      <w:pPr>
        <w:pStyle w:val="ListParagraph"/>
        <w:widowControl/>
        <w:numPr>
          <w:ilvl w:val="1"/>
          <w:numId w:val="13"/>
        </w:numPr>
        <w:rPr>
          <w:szCs w:val="22"/>
        </w:rPr>
      </w:pPr>
      <w:r w:rsidRPr="00467A36">
        <w:rPr>
          <w:szCs w:val="22"/>
        </w:rPr>
        <w:t xml:space="preserve">The PBAC considered that there are two key components involved in PsA, arthritis and psoriasis. In regard to UST’s role in treating the arthritis component of PsA, the PBAC agreed that UST is inferior in joint response rate compared </w:t>
      </w:r>
      <w:r w:rsidR="00C57196">
        <w:rPr>
          <w:szCs w:val="22"/>
        </w:rPr>
        <w:t>to</w:t>
      </w:r>
      <w:r w:rsidRPr="00467A36">
        <w:rPr>
          <w:szCs w:val="22"/>
        </w:rPr>
        <w:t xml:space="preserve"> the TNF-α inhibitors that are currently PBS-listed for the treatment of PsA. In regard to UST’s role in treating the psoriasis component of PsA, the PBAC noted that UST has a separate PBS listing for the treatment of psoriasis. The PBAC, therefore, questioned the place in therapy for UST in the treatment of PsA.</w:t>
      </w:r>
    </w:p>
    <w:p w:rsidR="00467A36" w:rsidRDefault="00467A36" w:rsidP="002C2775">
      <w:pPr>
        <w:widowControl/>
        <w:rPr>
          <w:szCs w:val="22"/>
        </w:rPr>
      </w:pPr>
    </w:p>
    <w:p w:rsidR="00467A36" w:rsidRPr="003A19F9" w:rsidRDefault="00467A36" w:rsidP="002C2775">
      <w:pPr>
        <w:widowControl/>
        <w:rPr>
          <w:szCs w:val="22"/>
        </w:rPr>
      </w:pPr>
    </w:p>
    <w:p w:rsidR="00B50DB8" w:rsidRPr="003A19F9" w:rsidRDefault="00B50DB8" w:rsidP="007C413F">
      <w:pPr>
        <w:pStyle w:val="ListParagraph"/>
        <w:widowControl/>
        <w:numPr>
          <w:ilvl w:val="0"/>
          <w:numId w:val="13"/>
        </w:numPr>
        <w:rPr>
          <w:b/>
          <w:szCs w:val="22"/>
        </w:rPr>
      </w:pPr>
      <w:r w:rsidRPr="003A19F9">
        <w:rPr>
          <w:b/>
          <w:szCs w:val="22"/>
        </w:rPr>
        <w:t>Comparator</w:t>
      </w:r>
    </w:p>
    <w:p w:rsidR="00B60939" w:rsidRPr="003A19F9" w:rsidRDefault="00B60939" w:rsidP="004B1CB4"/>
    <w:p w:rsidR="0075126A" w:rsidRDefault="0022763A" w:rsidP="0075126A">
      <w:pPr>
        <w:pStyle w:val="ListParagraph"/>
        <w:widowControl/>
      </w:pPr>
      <w:r w:rsidRPr="003A19F9">
        <w:t xml:space="preserve">The submission </w:t>
      </w:r>
      <w:r w:rsidR="0010263E" w:rsidRPr="003A19F9">
        <w:t>nominate</w:t>
      </w:r>
      <w:r w:rsidR="0010263E">
        <w:t>d</w:t>
      </w:r>
      <w:r w:rsidR="0010263E" w:rsidRPr="003A19F9">
        <w:t xml:space="preserve"> </w:t>
      </w:r>
      <w:r w:rsidR="00DC1B44">
        <w:t>ADA</w:t>
      </w:r>
      <w:r w:rsidR="00DC1B44" w:rsidRPr="003A19F9">
        <w:t xml:space="preserve"> </w:t>
      </w:r>
      <w:r w:rsidRPr="003A19F9">
        <w:t>as the main comparator</w:t>
      </w:r>
      <w:r w:rsidR="004C13C1" w:rsidRPr="003A19F9">
        <w:t>.</w:t>
      </w:r>
      <w:r w:rsidR="0010263E">
        <w:t xml:space="preserve"> </w:t>
      </w:r>
      <w:r w:rsidR="00F0507B" w:rsidRPr="0060326D">
        <w:t>The ESC considered this was</w:t>
      </w:r>
      <w:r w:rsidR="0010263E" w:rsidRPr="0060326D">
        <w:t xml:space="preserve"> </w:t>
      </w:r>
      <w:r w:rsidR="00F0507B" w:rsidRPr="0060326D">
        <w:t xml:space="preserve">the </w:t>
      </w:r>
      <w:r w:rsidR="0010263E" w:rsidRPr="0060326D">
        <w:t>appropriate</w:t>
      </w:r>
      <w:r w:rsidR="00F0507B" w:rsidRPr="0060326D">
        <w:t xml:space="preserve"> comparator</w:t>
      </w:r>
      <w:r w:rsidR="001A1185">
        <w:t>.</w:t>
      </w:r>
    </w:p>
    <w:p w:rsidR="008E45E1" w:rsidRDefault="008E45E1" w:rsidP="001A1185">
      <w:pPr>
        <w:pStyle w:val="ListParagraph"/>
        <w:ind w:left="709"/>
        <w:rPr>
          <w:i/>
          <w:szCs w:val="22"/>
          <w:highlight w:val="yellow"/>
        </w:rPr>
      </w:pPr>
    </w:p>
    <w:p w:rsidR="001A1185" w:rsidRDefault="001A1185" w:rsidP="001A1185">
      <w:pPr>
        <w:pStyle w:val="ListParagraph"/>
        <w:ind w:left="709"/>
        <w:rPr>
          <w:i/>
          <w:szCs w:val="22"/>
        </w:rPr>
      </w:pPr>
      <w:r w:rsidRPr="00BA037B">
        <w:rPr>
          <w:i/>
          <w:szCs w:val="22"/>
        </w:rPr>
        <w:t>For more detail on PBAC’s view, see section 7 “PBAC outcome”</w:t>
      </w:r>
    </w:p>
    <w:p w:rsidR="001A1185" w:rsidRDefault="001A1185" w:rsidP="0075126A">
      <w:pPr>
        <w:pStyle w:val="ListParagraph"/>
        <w:widowControl/>
        <w:rPr>
          <w:szCs w:val="22"/>
        </w:rPr>
      </w:pPr>
    </w:p>
    <w:p w:rsidR="00B60939" w:rsidRPr="003A19F9" w:rsidRDefault="00B60939" w:rsidP="00DF5D2B">
      <w:pPr>
        <w:rPr>
          <w:szCs w:val="22"/>
        </w:rPr>
      </w:pPr>
    </w:p>
    <w:p w:rsidR="00B50DB8" w:rsidRPr="007C413F" w:rsidRDefault="00BD6CF3" w:rsidP="007C413F">
      <w:pPr>
        <w:pStyle w:val="ListParagraph"/>
        <w:widowControl/>
        <w:numPr>
          <w:ilvl w:val="0"/>
          <w:numId w:val="13"/>
        </w:numPr>
        <w:rPr>
          <w:b/>
          <w:szCs w:val="22"/>
        </w:rPr>
      </w:pPr>
      <w:bookmarkStart w:id="5" w:name="_Toc398544302"/>
      <w:r w:rsidRPr="007C413F">
        <w:rPr>
          <w:b/>
          <w:szCs w:val="22"/>
        </w:rPr>
        <w:t>C</w:t>
      </w:r>
      <w:r w:rsidR="00B50DB8" w:rsidRPr="007C413F">
        <w:rPr>
          <w:b/>
          <w:szCs w:val="22"/>
        </w:rPr>
        <w:t>onsideration of the evidence</w:t>
      </w:r>
      <w:bookmarkEnd w:id="5"/>
    </w:p>
    <w:p w:rsidR="00467A36" w:rsidRPr="003A19F9" w:rsidRDefault="00467A36" w:rsidP="007C413F"/>
    <w:p w:rsidR="0075126A" w:rsidRDefault="0075126A" w:rsidP="007D3A7E">
      <w:pPr>
        <w:pStyle w:val="BodyText"/>
        <w:rPr>
          <w:b/>
        </w:rPr>
      </w:pPr>
      <w:r w:rsidRPr="007D3A7E">
        <w:rPr>
          <w:b/>
        </w:rPr>
        <w:t>Sponsor hearing</w:t>
      </w:r>
    </w:p>
    <w:p w:rsidR="007D3A7E" w:rsidRPr="007D3A7E" w:rsidRDefault="007D3A7E" w:rsidP="007D3A7E">
      <w:pPr>
        <w:pStyle w:val="BodyText"/>
        <w:rPr>
          <w:b/>
        </w:rPr>
      </w:pPr>
    </w:p>
    <w:p w:rsidR="0075126A" w:rsidRPr="00B231DB" w:rsidRDefault="0075126A" w:rsidP="0075126A">
      <w:pPr>
        <w:numPr>
          <w:ilvl w:val="1"/>
          <w:numId w:val="13"/>
        </w:numPr>
        <w:contextualSpacing/>
        <w:rPr>
          <w:bCs/>
          <w:szCs w:val="22"/>
        </w:rPr>
      </w:pPr>
      <w:r w:rsidRPr="00B231DB">
        <w:rPr>
          <w:bCs/>
          <w:szCs w:val="22"/>
        </w:rPr>
        <w:t>There was no hearing for this item.</w:t>
      </w:r>
    </w:p>
    <w:p w:rsidR="0075126A" w:rsidRPr="00B231DB" w:rsidRDefault="0075126A" w:rsidP="0075126A">
      <w:pPr>
        <w:rPr>
          <w:bCs/>
          <w:szCs w:val="22"/>
        </w:rPr>
      </w:pPr>
    </w:p>
    <w:p w:rsidR="0075126A" w:rsidRPr="007D3A7E" w:rsidRDefault="0075126A" w:rsidP="007D3A7E">
      <w:pPr>
        <w:pStyle w:val="BodyText"/>
        <w:rPr>
          <w:b/>
        </w:rPr>
      </w:pPr>
      <w:r w:rsidRPr="007D3A7E">
        <w:rPr>
          <w:b/>
        </w:rPr>
        <w:t>Consumer comments</w:t>
      </w:r>
    </w:p>
    <w:p w:rsidR="007C413F" w:rsidRPr="007C413F" w:rsidRDefault="007C413F" w:rsidP="007C413F"/>
    <w:p w:rsidR="00B60939" w:rsidRPr="00B231DB" w:rsidRDefault="0075126A" w:rsidP="00B231DB">
      <w:pPr>
        <w:numPr>
          <w:ilvl w:val="1"/>
          <w:numId w:val="13"/>
        </w:numPr>
        <w:contextualSpacing/>
      </w:pPr>
      <w:r w:rsidRPr="00B231DB">
        <w:rPr>
          <w:bCs/>
          <w:szCs w:val="22"/>
        </w:rPr>
        <w:t>The PBAC noted that no consumer comments were received for this item.</w:t>
      </w:r>
    </w:p>
    <w:p w:rsidR="002B5FDA" w:rsidRPr="002B5FDA" w:rsidRDefault="002B5FDA" w:rsidP="002B5FDA">
      <w:bookmarkStart w:id="6" w:name="_Toc398544303"/>
    </w:p>
    <w:p w:rsidR="00B60939" w:rsidRPr="007D3A7E" w:rsidRDefault="00B60939" w:rsidP="007D3A7E">
      <w:pPr>
        <w:pStyle w:val="BodyText"/>
        <w:rPr>
          <w:b/>
        </w:rPr>
      </w:pPr>
      <w:r w:rsidRPr="007D3A7E">
        <w:rPr>
          <w:b/>
        </w:rPr>
        <w:t>Clinical trials</w:t>
      </w:r>
      <w:bookmarkEnd w:id="6"/>
    </w:p>
    <w:p w:rsidR="00B60939" w:rsidRPr="003A19F9" w:rsidRDefault="00B60939" w:rsidP="007C413F"/>
    <w:p w:rsidR="007F1017" w:rsidRPr="003A19F9" w:rsidRDefault="00862502" w:rsidP="0061033D">
      <w:pPr>
        <w:pStyle w:val="ListParagraph"/>
        <w:widowControl/>
        <w:numPr>
          <w:ilvl w:val="1"/>
          <w:numId w:val="13"/>
        </w:numPr>
        <w:rPr>
          <w:szCs w:val="22"/>
        </w:rPr>
      </w:pPr>
      <w:r w:rsidRPr="003A19F9">
        <w:t xml:space="preserve">The submission </w:t>
      </w:r>
      <w:r w:rsidR="0075170B">
        <w:t>was</w:t>
      </w:r>
      <w:r w:rsidR="0075170B" w:rsidRPr="003A19F9">
        <w:t xml:space="preserve"> </w:t>
      </w:r>
      <w:r w:rsidRPr="003A19F9">
        <w:t xml:space="preserve">based on </w:t>
      </w:r>
      <w:r w:rsidR="0007024F" w:rsidRPr="003A19F9">
        <w:t xml:space="preserve">an indirect comparison of </w:t>
      </w:r>
      <w:r w:rsidR="00583C2D" w:rsidRPr="003A19F9">
        <w:t>UST</w:t>
      </w:r>
      <w:r w:rsidR="0007024F" w:rsidRPr="003A19F9">
        <w:t xml:space="preserve"> and </w:t>
      </w:r>
      <w:r w:rsidR="00583C2D" w:rsidRPr="003A19F9">
        <w:t xml:space="preserve">ADA </w:t>
      </w:r>
      <w:r w:rsidR="0007024F" w:rsidRPr="003A19F9">
        <w:t xml:space="preserve">using data from </w:t>
      </w:r>
      <w:r w:rsidR="0061033D" w:rsidRPr="003A19F9">
        <w:t xml:space="preserve">two </w:t>
      </w:r>
      <w:r w:rsidRPr="003A19F9">
        <w:t>head-to-head trial</w:t>
      </w:r>
      <w:r w:rsidR="0061033D" w:rsidRPr="003A19F9">
        <w:t>s</w:t>
      </w:r>
      <w:r w:rsidRPr="003A19F9">
        <w:t xml:space="preserve"> comparing </w:t>
      </w:r>
      <w:r w:rsidR="0075170B">
        <w:t>UST</w:t>
      </w:r>
      <w:r w:rsidR="008E45E1">
        <w:t xml:space="preserve"> (PSUMMIT-1 and PSUMMIT-2) </w:t>
      </w:r>
      <w:r w:rsidRPr="003A19F9">
        <w:t xml:space="preserve">to </w:t>
      </w:r>
      <w:r w:rsidR="0061033D" w:rsidRPr="003A19F9">
        <w:t>placebo (n=927) and two head-to-head trials</w:t>
      </w:r>
      <w:r w:rsidRPr="003A19F9">
        <w:t xml:space="preserve"> </w:t>
      </w:r>
      <w:r w:rsidR="0061033D" w:rsidRPr="003A19F9">
        <w:t xml:space="preserve">comparing </w:t>
      </w:r>
      <w:r w:rsidR="0075170B">
        <w:t>ADA</w:t>
      </w:r>
      <w:r w:rsidR="008E45E1">
        <w:t xml:space="preserve"> (ADA1 and ADA2)</w:t>
      </w:r>
      <w:r w:rsidR="0075170B" w:rsidRPr="003A19F9">
        <w:t xml:space="preserve"> </w:t>
      </w:r>
      <w:r w:rsidR="0061033D" w:rsidRPr="003A19F9">
        <w:t xml:space="preserve">to placebo </w:t>
      </w:r>
      <w:r w:rsidRPr="003A19F9">
        <w:t>(n=</w:t>
      </w:r>
      <w:r w:rsidR="0061033D" w:rsidRPr="003A19F9">
        <w:t>413</w:t>
      </w:r>
      <w:r w:rsidRPr="003A19F9">
        <w:t>).</w:t>
      </w:r>
      <w:r w:rsidR="00702F8F" w:rsidRPr="003A19F9">
        <w:rPr>
          <w:color w:val="3366FF"/>
        </w:rPr>
        <w:t xml:space="preserve">  </w:t>
      </w:r>
    </w:p>
    <w:p w:rsidR="00862502" w:rsidRPr="003A19F9" w:rsidRDefault="00862502" w:rsidP="00862502">
      <w:pPr>
        <w:widowControl/>
        <w:rPr>
          <w:szCs w:val="22"/>
        </w:rPr>
      </w:pPr>
    </w:p>
    <w:p w:rsidR="00862502" w:rsidRPr="003A19F9" w:rsidRDefault="00862502" w:rsidP="0061033D">
      <w:pPr>
        <w:pStyle w:val="ListParagraph"/>
        <w:widowControl/>
        <w:numPr>
          <w:ilvl w:val="1"/>
          <w:numId w:val="13"/>
        </w:numPr>
        <w:rPr>
          <w:szCs w:val="22"/>
        </w:rPr>
      </w:pPr>
      <w:r w:rsidRPr="003A19F9">
        <w:rPr>
          <w:szCs w:val="22"/>
        </w:rPr>
        <w:t xml:space="preserve">Details of the trials presented in the submission are provided in the </w:t>
      </w:r>
      <w:r w:rsidR="00103A2D">
        <w:rPr>
          <w:szCs w:val="22"/>
        </w:rPr>
        <w:t>following t</w:t>
      </w:r>
      <w:r w:rsidR="005B5D5E" w:rsidRPr="003A19F9">
        <w:rPr>
          <w:szCs w:val="22"/>
        </w:rPr>
        <w:t>able</w:t>
      </w:r>
      <w:r w:rsidRPr="003A19F9">
        <w:rPr>
          <w:szCs w:val="22"/>
        </w:rPr>
        <w:t xml:space="preserve">.  </w:t>
      </w:r>
    </w:p>
    <w:p w:rsidR="00862502" w:rsidRPr="003A19F9" w:rsidRDefault="00862502" w:rsidP="00862502">
      <w:pPr>
        <w:widowControl/>
        <w:rPr>
          <w:szCs w:val="22"/>
        </w:rPr>
      </w:pPr>
    </w:p>
    <w:p w:rsidR="008F120A" w:rsidRPr="003A19F9" w:rsidRDefault="008F120A" w:rsidP="00B6283C">
      <w:pPr>
        <w:keepNext/>
        <w:ind w:firstLine="720"/>
        <w:rPr>
          <w:rStyle w:val="CommentReference"/>
        </w:rPr>
      </w:pPr>
      <w:r w:rsidRPr="003A19F9">
        <w:rPr>
          <w:rStyle w:val="CommentReference"/>
        </w:rPr>
        <w:lastRenderedPageBreak/>
        <w:t>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6"/>
        <w:gridCol w:w="5202"/>
        <w:gridCol w:w="1885"/>
      </w:tblGrid>
      <w:tr w:rsidR="0061033D" w:rsidRPr="003A19F9" w:rsidTr="00B6283C">
        <w:trPr>
          <w:tblHeader/>
        </w:trPr>
        <w:tc>
          <w:tcPr>
            <w:tcW w:w="763" w:type="pct"/>
            <w:tcBorders>
              <w:top w:val="single" w:sz="4" w:space="0" w:color="auto"/>
              <w:left w:val="single" w:sz="4" w:space="0" w:color="auto"/>
              <w:bottom w:val="single" w:sz="4" w:space="0" w:color="auto"/>
              <w:right w:val="single" w:sz="4" w:space="0" w:color="auto"/>
            </w:tcBorders>
            <w:shd w:val="clear" w:color="auto" w:fill="auto"/>
          </w:tcPr>
          <w:p w:rsidR="0061033D" w:rsidRPr="003A19F9" w:rsidRDefault="0061033D" w:rsidP="00B6283C">
            <w:pPr>
              <w:keepNext/>
              <w:rPr>
                <w:rFonts w:ascii="Arial Narrow" w:hAnsi="Arial Narrow"/>
                <w:b/>
                <w:bCs/>
                <w:sz w:val="20"/>
              </w:rPr>
            </w:pPr>
            <w:r w:rsidRPr="003A19F9">
              <w:rPr>
                <w:rFonts w:ascii="Arial Narrow" w:hAnsi="Arial Narrow"/>
                <w:b/>
                <w:bCs/>
                <w:sz w:val="20"/>
              </w:rPr>
              <w:t xml:space="preserve">Trial </w:t>
            </w:r>
          </w:p>
        </w:tc>
        <w:tc>
          <w:tcPr>
            <w:tcW w:w="3110" w:type="pct"/>
            <w:tcBorders>
              <w:top w:val="single" w:sz="4" w:space="0" w:color="auto"/>
              <w:left w:val="single" w:sz="4" w:space="0" w:color="auto"/>
              <w:bottom w:val="single" w:sz="4" w:space="0" w:color="auto"/>
              <w:right w:val="single" w:sz="4" w:space="0" w:color="auto"/>
            </w:tcBorders>
            <w:shd w:val="clear" w:color="auto" w:fill="auto"/>
          </w:tcPr>
          <w:p w:rsidR="0061033D" w:rsidRPr="003A19F9" w:rsidRDefault="0061033D" w:rsidP="00B6283C">
            <w:pPr>
              <w:keepNext/>
              <w:rPr>
                <w:rFonts w:ascii="Arial Narrow" w:hAnsi="Arial Narrow"/>
                <w:b/>
                <w:bCs/>
                <w:sz w:val="20"/>
              </w:rPr>
            </w:pPr>
            <w:r w:rsidRPr="003A19F9">
              <w:rPr>
                <w:rFonts w:ascii="Arial Narrow" w:hAnsi="Arial Narrow"/>
                <w:b/>
                <w:bCs/>
                <w:sz w:val="20"/>
              </w:rPr>
              <w:t>Protocol title/Publication title</w:t>
            </w:r>
          </w:p>
        </w:tc>
        <w:tc>
          <w:tcPr>
            <w:tcW w:w="1127" w:type="pct"/>
            <w:tcBorders>
              <w:top w:val="single" w:sz="4" w:space="0" w:color="auto"/>
              <w:left w:val="single" w:sz="4" w:space="0" w:color="auto"/>
              <w:bottom w:val="single" w:sz="4" w:space="0" w:color="auto"/>
              <w:right w:val="single" w:sz="4" w:space="0" w:color="auto"/>
            </w:tcBorders>
          </w:tcPr>
          <w:p w:rsidR="0061033D" w:rsidRPr="003A19F9" w:rsidRDefault="0061033D" w:rsidP="00B6283C">
            <w:pPr>
              <w:keepNext/>
              <w:rPr>
                <w:rFonts w:ascii="Arial Narrow" w:hAnsi="Arial Narrow"/>
                <w:b/>
                <w:bCs/>
                <w:sz w:val="20"/>
              </w:rPr>
            </w:pPr>
            <w:r w:rsidRPr="003A19F9">
              <w:rPr>
                <w:rFonts w:ascii="Arial Narrow" w:hAnsi="Arial Narrow"/>
                <w:b/>
                <w:bCs/>
                <w:sz w:val="20"/>
              </w:rPr>
              <w:t>Publication citation</w:t>
            </w:r>
          </w:p>
        </w:tc>
      </w:tr>
      <w:tr w:rsidR="0061033D" w:rsidRPr="003A19F9" w:rsidTr="0061033D">
        <w:tblPrEx>
          <w:tblLook w:val="04A0" w:firstRow="1" w:lastRow="0" w:firstColumn="1" w:lastColumn="0" w:noHBand="0" w:noVBand="1"/>
        </w:tblPrEx>
        <w:tc>
          <w:tcPr>
            <w:tcW w:w="5000" w:type="pct"/>
            <w:gridSpan w:val="3"/>
            <w:shd w:val="clear" w:color="auto" w:fill="auto"/>
          </w:tcPr>
          <w:p w:rsidR="0061033D" w:rsidRPr="003A19F9" w:rsidRDefault="0061033D" w:rsidP="00B6283C">
            <w:pPr>
              <w:keepNext/>
              <w:rPr>
                <w:rFonts w:ascii="Arial Narrow" w:hAnsi="Arial Narrow"/>
                <w:b/>
                <w:bCs/>
                <w:sz w:val="20"/>
              </w:rPr>
            </w:pPr>
            <w:r w:rsidRPr="003A19F9">
              <w:rPr>
                <w:rFonts w:ascii="Arial Narrow" w:hAnsi="Arial Narrow"/>
                <w:b/>
                <w:bCs/>
                <w:sz w:val="20"/>
              </w:rPr>
              <w:t>Ustekinumab versus placebo</w:t>
            </w:r>
          </w:p>
        </w:tc>
      </w:tr>
      <w:tr w:rsidR="0061033D" w:rsidRPr="003A19F9" w:rsidTr="0061033D">
        <w:tblPrEx>
          <w:tblLook w:val="04A0" w:firstRow="1" w:lastRow="0" w:firstColumn="1" w:lastColumn="0" w:noHBand="0" w:noVBand="1"/>
        </w:tblPrEx>
        <w:trPr>
          <w:trHeight w:val="1273"/>
        </w:trPr>
        <w:tc>
          <w:tcPr>
            <w:tcW w:w="763" w:type="pct"/>
            <w:vMerge w:val="restart"/>
            <w:shd w:val="clear" w:color="auto" w:fill="auto"/>
          </w:tcPr>
          <w:p w:rsidR="0061033D" w:rsidRPr="003A19F9" w:rsidRDefault="0061033D" w:rsidP="00B6283C">
            <w:pPr>
              <w:keepNext/>
              <w:rPr>
                <w:rFonts w:ascii="Arial Narrow" w:hAnsi="Arial Narrow"/>
                <w:sz w:val="20"/>
              </w:rPr>
            </w:pPr>
            <w:r w:rsidRPr="003A19F9">
              <w:rPr>
                <w:rFonts w:ascii="Arial Narrow" w:hAnsi="Arial Narrow"/>
                <w:b/>
                <w:bCs/>
                <w:sz w:val="20"/>
              </w:rPr>
              <w:t>UST1</w:t>
            </w:r>
            <w:r w:rsidRPr="003A19F9">
              <w:rPr>
                <w:rFonts w:ascii="Arial Narrow" w:hAnsi="Arial Narrow"/>
                <w:sz w:val="20"/>
              </w:rPr>
              <w:t xml:space="preserve"> (PSUMMIT-1)</w:t>
            </w:r>
          </w:p>
        </w:tc>
        <w:tc>
          <w:tcPr>
            <w:tcW w:w="3110" w:type="pct"/>
            <w:tcBorders>
              <w:bottom w:val="nil"/>
            </w:tcBorders>
            <w:shd w:val="clear" w:color="auto" w:fill="auto"/>
          </w:tcPr>
          <w:p w:rsidR="0061033D" w:rsidRPr="003A19F9" w:rsidRDefault="0061033D" w:rsidP="00B6283C">
            <w:pPr>
              <w:keepNext/>
              <w:jc w:val="left"/>
              <w:rPr>
                <w:rFonts w:ascii="Arial Narrow" w:hAnsi="Arial Narrow"/>
                <w:sz w:val="20"/>
              </w:rPr>
            </w:pPr>
            <w:r w:rsidRPr="003A19F9">
              <w:rPr>
                <w:rFonts w:ascii="Arial Narrow" w:hAnsi="Arial Narrow"/>
                <w:sz w:val="20"/>
              </w:rPr>
              <w:t>NCT01009086</w:t>
            </w:r>
          </w:p>
          <w:p w:rsidR="0061033D" w:rsidRPr="003A19F9" w:rsidRDefault="0061033D" w:rsidP="00B6283C">
            <w:pPr>
              <w:keepNext/>
              <w:jc w:val="left"/>
              <w:rPr>
                <w:rFonts w:ascii="Arial Narrow" w:hAnsi="Arial Narrow"/>
                <w:sz w:val="20"/>
              </w:rPr>
            </w:pPr>
            <w:r w:rsidRPr="003A19F9">
              <w:rPr>
                <w:rFonts w:ascii="Arial Narrow" w:hAnsi="Arial Narrow"/>
                <w:sz w:val="20"/>
              </w:rPr>
              <w:t>Clinical study synopsis PSUMMIT-1</w:t>
            </w:r>
          </w:p>
          <w:p w:rsidR="0061033D" w:rsidRPr="003A19F9" w:rsidRDefault="0061033D" w:rsidP="00B6283C">
            <w:pPr>
              <w:keepNext/>
              <w:jc w:val="left"/>
              <w:rPr>
                <w:rFonts w:ascii="Arial Narrow" w:hAnsi="Arial Narrow"/>
                <w:b/>
                <w:sz w:val="20"/>
              </w:rPr>
            </w:pPr>
            <w:r w:rsidRPr="003A19F9">
              <w:rPr>
                <w:rFonts w:ascii="Arial Narrow" w:hAnsi="Arial Narrow"/>
                <w:b/>
                <w:sz w:val="20"/>
              </w:rPr>
              <w:t xml:space="preserve">24-Week Clinical Study Report PSUMMIT-1 </w:t>
            </w:r>
          </w:p>
          <w:p w:rsidR="0061033D" w:rsidRPr="003A19F9" w:rsidRDefault="0061033D" w:rsidP="00B6283C">
            <w:pPr>
              <w:keepNext/>
              <w:jc w:val="left"/>
              <w:rPr>
                <w:rFonts w:ascii="Arial Narrow" w:hAnsi="Arial Narrow"/>
                <w:sz w:val="20"/>
              </w:rPr>
            </w:pPr>
            <w:r w:rsidRPr="003A19F9">
              <w:rPr>
                <w:rFonts w:ascii="Arial Narrow" w:hAnsi="Arial Narrow"/>
                <w:sz w:val="20"/>
              </w:rPr>
              <w:t>A Phase 3 Multicentre, Randomised, Double-blind, Placebo-controlled Trial of Ustekinumab, a fully Human Anti-IL-12/12p40 Monoclonal Antibody, Administered Subcutaneously, in Subjects with Active Psoriatic Arthritis.</w:t>
            </w:r>
          </w:p>
        </w:tc>
        <w:tc>
          <w:tcPr>
            <w:tcW w:w="1127" w:type="pct"/>
            <w:tcBorders>
              <w:bottom w:val="nil"/>
            </w:tcBorders>
          </w:tcPr>
          <w:p w:rsidR="0061033D" w:rsidRPr="003A19F9" w:rsidRDefault="0061033D" w:rsidP="00B6283C">
            <w:pPr>
              <w:keepNext/>
              <w:jc w:val="left"/>
              <w:rPr>
                <w:rFonts w:ascii="Arial Narrow" w:hAnsi="Arial Narrow"/>
                <w:sz w:val="20"/>
              </w:rPr>
            </w:pPr>
          </w:p>
          <w:p w:rsidR="0061033D" w:rsidRPr="003A19F9" w:rsidRDefault="0061033D" w:rsidP="00B6283C">
            <w:pPr>
              <w:keepNext/>
              <w:jc w:val="left"/>
              <w:rPr>
                <w:rFonts w:ascii="Arial Narrow" w:hAnsi="Arial Narrow"/>
                <w:sz w:val="20"/>
              </w:rPr>
            </w:pPr>
          </w:p>
          <w:p w:rsidR="0061033D" w:rsidRPr="003A19F9" w:rsidRDefault="0061033D" w:rsidP="00B6283C">
            <w:pPr>
              <w:keepNext/>
              <w:jc w:val="left"/>
              <w:rPr>
                <w:rFonts w:ascii="Arial Narrow" w:hAnsi="Arial Narrow"/>
                <w:sz w:val="20"/>
              </w:rPr>
            </w:pPr>
            <w:r w:rsidRPr="003A19F9">
              <w:rPr>
                <w:rFonts w:ascii="Arial Narrow" w:hAnsi="Arial Narrow"/>
                <w:sz w:val="20"/>
              </w:rPr>
              <w:t>17 Jan 2013</w:t>
            </w:r>
          </w:p>
        </w:tc>
      </w:tr>
      <w:tr w:rsidR="0061033D" w:rsidRPr="003A19F9" w:rsidTr="0061033D">
        <w:tblPrEx>
          <w:tblLook w:val="04A0" w:firstRow="1" w:lastRow="0" w:firstColumn="1" w:lastColumn="0" w:noHBand="0" w:noVBand="1"/>
        </w:tblPrEx>
        <w:trPr>
          <w:trHeight w:val="192"/>
        </w:trPr>
        <w:tc>
          <w:tcPr>
            <w:tcW w:w="763" w:type="pct"/>
            <w:vMerge/>
            <w:shd w:val="clear" w:color="auto" w:fill="auto"/>
          </w:tcPr>
          <w:p w:rsidR="0061033D" w:rsidRPr="003A19F9" w:rsidRDefault="0061033D" w:rsidP="00465246">
            <w:pPr>
              <w:rPr>
                <w:rFonts w:ascii="Arial Narrow" w:hAnsi="Arial Narrow"/>
                <w:sz w:val="20"/>
              </w:rPr>
            </w:pPr>
          </w:p>
        </w:tc>
        <w:tc>
          <w:tcPr>
            <w:tcW w:w="3110" w:type="pct"/>
            <w:tcBorders>
              <w:top w:val="nil"/>
              <w:bottom w:val="nil"/>
            </w:tcBorders>
            <w:shd w:val="clear" w:color="auto" w:fill="auto"/>
          </w:tcPr>
          <w:p w:rsidR="0061033D" w:rsidRPr="003A19F9" w:rsidRDefault="0061033D" w:rsidP="0061033D">
            <w:pPr>
              <w:jc w:val="left"/>
              <w:rPr>
                <w:rFonts w:ascii="Arial Narrow" w:hAnsi="Arial Narrow"/>
                <w:b/>
                <w:sz w:val="20"/>
              </w:rPr>
            </w:pPr>
            <w:r w:rsidRPr="003A19F9">
              <w:rPr>
                <w:rFonts w:ascii="Arial Narrow" w:hAnsi="Arial Narrow"/>
                <w:b/>
                <w:sz w:val="20"/>
              </w:rPr>
              <w:t xml:space="preserve">52-Week Clinical Study Report PSUMMIT-1 </w:t>
            </w:r>
          </w:p>
          <w:p w:rsidR="0061033D" w:rsidRPr="003A19F9" w:rsidRDefault="0061033D" w:rsidP="0061033D">
            <w:pPr>
              <w:jc w:val="left"/>
              <w:rPr>
                <w:rFonts w:ascii="Arial Narrow" w:hAnsi="Arial Narrow"/>
                <w:sz w:val="20"/>
              </w:rPr>
            </w:pPr>
            <w:r w:rsidRPr="003A19F9">
              <w:rPr>
                <w:rFonts w:ascii="Arial Narrow" w:hAnsi="Arial Narrow"/>
                <w:sz w:val="20"/>
              </w:rPr>
              <w:t>A Phase 3 Multicentre, Randomised, Double-blind, Placebo-controlled Trial of Ustekinumab, a fully Human Anti-IL-12/12p40 Monoclonal Antibody, Administered Subcutaneously, in Subjects with Active Psoriatic Arthritis.</w:t>
            </w:r>
          </w:p>
        </w:tc>
        <w:tc>
          <w:tcPr>
            <w:tcW w:w="1127" w:type="pct"/>
            <w:tcBorders>
              <w:top w:val="nil"/>
              <w:bottom w:val="nil"/>
            </w:tcBorders>
          </w:tcPr>
          <w:p w:rsidR="0061033D" w:rsidRPr="003A19F9" w:rsidRDefault="0061033D" w:rsidP="0061033D">
            <w:pPr>
              <w:jc w:val="left"/>
              <w:rPr>
                <w:rFonts w:ascii="Arial Narrow" w:hAnsi="Arial Narrow"/>
                <w:sz w:val="20"/>
              </w:rPr>
            </w:pPr>
            <w:r w:rsidRPr="003A19F9">
              <w:rPr>
                <w:rFonts w:ascii="Arial Narrow" w:hAnsi="Arial Narrow"/>
                <w:sz w:val="20"/>
              </w:rPr>
              <w:t>2 May 2013</w:t>
            </w:r>
          </w:p>
        </w:tc>
      </w:tr>
      <w:tr w:rsidR="0061033D" w:rsidRPr="003A19F9" w:rsidTr="0061033D">
        <w:tblPrEx>
          <w:tblLook w:val="04A0" w:firstRow="1" w:lastRow="0" w:firstColumn="1" w:lastColumn="0" w:noHBand="0" w:noVBand="1"/>
        </w:tblPrEx>
        <w:trPr>
          <w:trHeight w:val="577"/>
        </w:trPr>
        <w:tc>
          <w:tcPr>
            <w:tcW w:w="763" w:type="pct"/>
            <w:vMerge/>
            <w:shd w:val="clear" w:color="auto" w:fill="auto"/>
          </w:tcPr>
          <w:p w:rsidR="0061033D" w:rsidRPr="003A19F9" w:rsidRDefault="0061033D" w:rsidP="00465246">
            <w:pPr>
              <w:rPr>
                <w:rFonts w:ascii="Arial Narrow" w:hAnsi="Arial Narrow"/>
                <w:sz w:val="20"/>
              </w:rPr>
            </w:pPr>
          </w:p>
        </w:tc>
        <w:tc>
          <w:tcPr>
            <w:tcW w:w="3110" w:type="pct"/>
            <w:tcBorders>
              <w:top w:val="nil"/>
            </w:tcBorders>
            <w:shd w:val="clear" w:color="auto" w:fill="auto"/>
          </w:tcPr>
          <w:p w:rsidR="0061033D" w:rsidRPr="003A19F9" w:rsidRDefault="0061033D" w:rsidP="0061033D">
            <w:pPr>
              <w:jc w:val="left"/>
              <w:rPr>
                <w:rFonts w:ascii="Arial Narrow" w:hAnsi="Arial Narrow"/>
                <w:b/>
                <w:sz w:val="20"/>
              </w:rPr>
            </w:pPr>
            <w:r w:rsidRPr="003A19F9">
              <w:rPr>
                <w:rFonts w:ascii="Arial Narrow" w:hAnsi="Arial Narrow"/>
                <w:b/>
                <w:sz w:val="20"/>
              </w:rPr>
              <w:t>108-Week Clinical Study Report PSUMMIT-1</w:t>
            </w:r>
          </w:p>
          <w:p w:rsidR="0061033D" w:rsidRPr="003A19F9" w:rsidRDefault="0061033D" w:rsidP="0061033D">
            <w:pPr>
              <w:jc w:val="left"/>
              <w:rPr>
                <w:rFonts w:ascii="Arial Narrow" w:hAnsi="Arial Narrow"/>
                <w:b/>
                <w:sz w:val="20"/>
              </w:rPr>
            </w:pPr>
            <w:r w:rsidRPr="003A19F9">
              <w:rPr>
                <w:rFonts w:ascii="Arial Narrow" w:hAnsi="Arial Narrow"/>
                <w:sz w:val="20"/>
              </w:rPr>
              <w:t>A Phase 3 Multicentre, Randomised, Double-blind, Placebo-controlled Trial of Ustekinumab, a fully Human Anti-IL-12/12p40 Monoclonal Antibody, Administered Subcutaneously, in Subjects with Active Psoriatic Arthritis.</w:t>
            </w:r>
          </w:p>
        </w:tc>
        <w:tc>
          <w:tcPr>
            <w:tcW w:w="1127" w:type="pct"/>
            <w:tcBorders>
              <w:top w:val="nil"/>
            </w:tcBorders>
          </w:tcPr>
          <w:p w:rsidR="0061033D" w:rsidRPr="003A19F9" w:rsidRDefault="0061033D" w:rsidP="0061033D">
            <w:pPr>
              <w:jc w:val="left"/>
              <w:rPr>
                <w:rFonts w:ascii="Arial Narrow" w:hAnsi="Arial Narrow"/>
                <w:iCs/>
                <w:sz w:val="20"/>
              </w:rPr>
            </w:pPr>
            <w:r w:rsidRPr="003A19F9">
              <w:rPr>
                <w:rFonts w:ascii="Arial Narrow" w:hAnsi="Arial Narrow"/>
                <w:iCs/>
                <w:sz w:val="20"/>
              </w:rPr>
              <w:t>Not provided with the submission</w:t>
            </w:r>
          </w:p>
        </w:tc>
      </w:tr>
      <w:tr w:rsidR="0061033D" w:rsidRPr="003A19F9" w:rsidTr="0061033D">
        <w:tblPrEx>
          <w:tblLook w:val="04A0" w:firstRow="1" w:lastRow="0" w:firstColumn="1" w:lastColumn="0" w:noHBand="0" w:noVBand="1"/>
        </w:tblPrEx>
        <w:trPr>
          <w:trHeight w:val="688"/>
        </w:trPr>
        <w:tc>
          <w:tcPr>
            <w:tcW w:w="763" w:type="pct"/>
            <w:vMerge/>
            <w:shd w:val="clear" w:color="auto" w:fill="auto"/>
          </w:tcPr>
          <w:p w:rsidR="0061033D" w:rsidRPr="003A19F9" w:rsidRDefault="0061033D" w:rsidP="00465246">
            <w:pPr>
              <w:rPr>
                <w:rFonts w:ascii="Arial Narrow" w:hAnsi="Arial Narrow"/>
                <w:sz w:val="20"/>
              </w:rPr>
            </w:pPr>
          </w:p>
        </w:tc>
        <w:tc>
          <w:tcPr>
            <w:tcW w:w="3110" w:type="pct"/>
            <w:shd w:val="clear" w:color="auto" w:fill="auto"/>
          </w:tcPr>
          <w:p w:rsidR="0061033D" w:rsidRPr="003A19F9" w:rsidRDefault="0061033D" w:rsidP="0061033D">
            <w:pPr>
              <w:jc w:val="left"/>
              <w:rPr>
                <w:rFonts w:ascii="Arial Narrow" w:hAnsi="Arial Narrow"/>
                <w:b/>
                <w:bCs/>
                <w:sz w:val="20"/>
                <w:u w:val="single"/>
                <w:lang w:val="fr-FR"/>
              </w:rPr>
            </w:pPr>
            <w:r w:rsidRPr="003A19F9">
              <w:rPr>
                <w:rFonts w:ascii="Arial Narrow" w:hAnsi="Arial Narrow"/>
                <w:b/>
                <w:bCs/>
                <w:sz w:val="20"/>
                <w:u w:val="single"/>
                <w:lang w:val="fr-FR"/>
              </w:rPr>
              <w:t>Main publication:</w:t>
            </w:r>
          </w:p>
          <w:p w:rsidR="0061033D" w:rsidRPr="003A19F9" w:rsidRDefault="0061033D" w:rsidP="0061033D">
            <w:pPr>
              <w:jc w:val="left"/>
              <w:rPr>
                <w:rFonts w:ascii="Arial Narrow" w:hAnsi="Arial Narrow"/>
                <w:sz w:val="20"/>
              </w:rPr>
            </w:pPr>
            <w:r w:rsidRPr="003A19F9">
              <w:rPr>
                <w:rFonts w:ascii="Arial Narrow" w:hAnsi="Arial Narrow"/>
                <w:sz w:val="20"/>
                <w:lang w:val="fr-FR"/>
              </w:rPr>
              <w:t xml:space="preserve">McInnes I.B., et al 2013. </w:t>
            </w:r>
            <w:r w:rsidRPr="003A19F9">
              <w:rPr>
                <w:rFonts w:ascii="Arial Narrow" w:hAnsi="Arial Narrow"/>
                <w:sz w:val="20"/>
              </w:rPr>
              <w:t>Efficacy and safety of ustekinumab in patients with active psoriatic arthritis: 1 year results of the phase 3, multicentre, double-blind, placebo-controlled PSUMMIT-1 trial.</w:t>
            </w:r>
          </w:p>
        </w:tc>
        <w:tc>
          <w:tcPr>
            <w:tcW w:w="1127" w:type="pct"/>
          </w:tcPr>
          <w:p w:rsidR="0061033D" w:rsidRPr="003A19F9" w:rsidRDefault="0061033D" w:rsidP="0061033D">
            <w:pPr>
              <w:jc w:val="left"/>
              <w:rPr>
                <w:rFonts w:ascii="Arial Narrow" w:hAnsi="Arial Narrow"/>
                <w:sz w:val="20"/>
              </w:rPr>
            </w:pPr>
          </w:p>
          <w:p w:rsidR="0061033D" w:rsidRPr="003A19F9" w:rsidRDefault="0061033D" w:rsidP="0061033D">
            <w:pPr>
              <w:jc w:val="left"/>
              <w:rPr>
                <w:rFonts w:ascii="Arial Narrow" w:hAnsi="Arial Narrow"/>
                <w:sz w:val="20"/>
              </w:rPr>
            </w:pPr>
            <w:r w:rsidRPr="003A19F9">
              <w:rPr>
                <w:rFonts w:ascii="Arial Narrow" w:hAnsi="Arial Narrow"/>
                <w:sz w:val="20"/>
              </w:rPr>
              <w:t>Lancet, 382; 780-789</w:t>
            </w:r>
          </w:p>
        </w:tc>
      </w:tr>
      <w:tr w:rsidR="0061033D" w:rsidRPr="003A19F9" w:rsidTr="0061033D">
        <w:tblPrEx>
          <w:tblLook w:val="04A0" w:firstRow="1" w:lastRow="0" w:firstColumn="1" w:lastColumn="0" w:noHBand="0" w:noVBand="1"/>
        </w:tblPrEx>
        <w:trPr>
          <w:trHeight w:val="462"/>
        </w:trPr>
        <w:tc>
          <w:tcPr>
            <w:tcW w:w="763" w:type="pct"/>
            <w:vMerge w:val="restart"/>
            <w:shd w:val="clear" w:color="auto" w:fill="auto"/>
          </w:tcPr>
          <w:p w:rsidR="0061033D" w:rsidRPr="003A19F9" w:rsidRDefault="0061033D" w:rsidP="00465246">
            <w:pPr>
              <w:rPr>
                <w:rFonts w:ascii="Arial Narrow" w:hAnsi="Arial Narrow"/>
                <w:sz w:val="20"/>
              </w:rPr>
            </w:pPr>
            <w:r w:rsidRPr="003A19F9">
              <w:rPr>
                <w:rFonts w:ascii="Arial Narrow" w:hAnsi="Arial Narrow"/>
                <w:b/>
                <w:bCs/>
                <w:sz w:val="20"/>
              </w:rPr>
              <w:t xml:space="preserve">UST2 </w:t>
            </w:r>
            <w:r w:rsidRPr="003A19F9">
              <w:rPr>
                <w:rFonts w:ascii="Arial Narrow" w:hAnsi="Arial Narrow"/>
                <w:sz w:val="20"/>
              </w:rPr>
              <w:t>(PSUMMIT-2)</w:t>
            </w:r>
          </w:p>
        </w:tc>
        <w:tc>
          <w:tcPr>
            <w:tcW w:w="3110" w:type="pct"/>
            <w:tcBorders>
              <w:bottom w:val="nil"/>
            </w:tcBorders>
            <w:shd w:val="clear" w:color="auto" w:fill="auto"/>
          </w:tcPr>
          <w:p w:rsidR="0061033D" w:rsidRPr="003A19F9" w:rsidRDefault="0061033D" w:rsidP="0061033D">
            <w:pPr>
              <w:jc w:val="left"/>
              <w:rPr>
                <w:rFonts w:ascii="Arial Narrow" w:hAnsi="Arial Narrow"/>
                <w:sz w:val="20"/>
              </w:rPr>
            </w:pPr>
            <w:r w:rsidRPr="003A19F9">
              <w:rPr>
                <w:rFonts w:ascii="Arial Narrow" w:hAnsi="Arial Narrow"/>
                <w:sz w:val="20"/>
              </w:rPr>
              <w:t>NCT01077632</w:t>
            </w:r>
          </w:p>
          <w:p w:rsidR="0061033D" w:rsidRPr="003A19F9" w:rsidRDefault="0061033D" w:rsidP="0061033D">
            <w:pPr>
              <w:jc w:val="left"/>
              <w:rPr>
                <w:rFonts w:ascii="Arial Narrow" w:hAnsi="Arial Narrow"/>
                <w:sz w:val="20"/>
              </w:rPr>
            </w:pPr>
            <w:r w:rsidRPr="003A19F9">
              <w:rPr>
                <w:rFonts w:ascii="Arial Narrow" w:hAnsi="Arial Narrow"/>
                <w:sz w:val="20"/>
              </w:rPr>
              <w:t>Clinical study synopsis PSUMMIT-2</w:t>
            </w:r>
          </w:p>
          <w:p w:rsidR="0061033D" w:rsidRPr="003A19F9" w:rsidRDefault="0061033D" w:rsidP="0061033D">
            <w:pPr>
              <w:jc w:val="left"/>
              <w:rPr>
                <w:rFonts w:ascii="Arial Narrow" w:hAnsi="Arial Narrow"/>
                <w:b/>
                <w:sz w:val="20"/>
              </w:rPr>
            </w:pPr>
            <w:r w:rsidRPr="003A19F9">
              <w:rPr>
                <w:rFonts w:ascii="Arial Narrow" w:hAnsi="Arial Narrow"/>
                <w:b/>
                <w:sz w:val="20"/>
              </w:rPr>
              <w:t>24-Week Clinical Study Report PSUMMIT-2</w:t>
            </w:r>
          </w:p>
          <w:p w:rsidR="0061033D" w:rsidRPr="003A19F9" w:rsidRDefault="0061033D" w:rsidP="0061033D">
            <w:pPr>
              <w:jc w:val="left"/>
              <w:rPr>
                <w:rFonts w:ascii="Arial Narrow" w:hAnsi="Arial Narrow"/>
                <w:sz w:val="20"/>
              </w:rPr>
            </w:pPr>
            <w:r w:rsidRPr="003A19F9">
              <w:rPr>
                <w:rFonts w:ascii="Arial Narrow" w:hAnsi="Arial Narrow"/>
                <w:sz w:val="20"/>
              </w:rPr>
              <w:t>A Phase 3 Multicentre, Randomised, Double-blind, Placebo-controlled Trial of Ustekinumab, a fully Human Anti-IL-12/12p40 Monoclonal Antibody, Administered Subcutaneously, in Subjects with Active Psoriatic Arthritis Including Those Previously Treated With Biologic Anti-TNFα Agent(s).</w:t>
            </w:r>
          </w:p>
        </w:tc>
        <w:tc>
          <w:tcPr>
            <w:tcW w:w="1127" w:type="pct"/>
            <w:tcBorders>
              <w:bottom w:val="nil"/>
            </w:tcBorders>
          </w:tcPr>
          <w:p w:rsidR="0061033D" w:rsidRPr="003A19F9" w:rsidRDefault="0061033D" w:rsidP="0061033D">
            <w:pPr>
              <w:jc w:val="left"/>
              <w:rPr>
                <w:rFonts w:ascii="Arial Narrow" w:hAnsi="Arial Narrow"/>
                <w:sz w:val="20"/>
              </w:rPr>
            </w:pPr>
          </w:p>
          <w:p w:rsidR="0061033D" w:rsidRPr="003A19F9" w:rsidRDefault="0061033D" w:rsidP="0061033D">
            <w:pPr>
              <w:jc w:val="left"/>
              <w:rPr>
                <w:rFonts w:ascii="Arial Narrow" w:hAnsi="Arial Narrow"/>
                <w:sz w:val="20"/>
              </w:rPr>
            </w:pPr>
          </w:p>
          <w:p w:rsidR="0061033D" w:rsidRPr="003A19F9" w:rsidRDefault="0061033D" w:rsidP="0061033D">
            <w:pPr>
              <w:jc w:val="left"/>
              <w:rPr>
                <w:rFonts w:ascii="Arial Narrow" w:hAnsi="Arial Narrow"/>
                <w:sz w:val="20"/>
              </w:rPr>
            </w:pPr>
            <w:r w:rsidRPr="003A19F9">
              <w:rPr>
                <w:rFonts w:ascii="Arial Narrow" w:hAnsi="Arial Narrow"/>
                <w:sz w:val="20"/>
              </w:rPr>
              <w:t>17 Jan 2013</w:t>
            </w:r>
          </w:p>
          <w:p w:rsidR="0061033D" w:rsidRPr="003A19F9" w:rsidRDefault="0061033D" w:rsidP="0061033D">
            <w:pPr>
              <w:jc w:val="left"/>
              <w:rPr>
                <w:rFonts w:ascii="Arial Narrow" w:hAnsi="Arial Narrow"/>
                <w:sz w:val="20"/>
              </w:rPr>
            </w:pPr>
          </w:p>
        </w:tc>
      </w:tr>
      <w:tr w:rsidR="0061033D" w:rsidRPr="003A19F9" w:rsidTr="0061033D">
        <w:tblPrEx>
          <w:tblLook w:val="04A0" w:firstRow="1" w:lastRow="0" w:firstColumn="1" w:lastColumn="0" w:noHBand="0" w:noVBand="1"/>
        </w:tblPrEx>
        <w:trPr>
          <w:trHeight w:val="580"/>
        </w:trPr>
        <w:tc>
          <w:tcPr>
            <w:tcW w:w="763" w:type="pct"/>
            <w:vMerge/>
            <w:shd w:val="clear" w:color="auto" w:fill="auto"/>
          </w:tcPr>
          <w:p w:rsidR="0061033D" w:rsidRPr="003A19F9" w:rsidRDefault="0061033D" w:rsidP="00465246">
            <w:pPr>
              <w:rPr>
                <w:rFonts w:ascii="Arial Narrow" w:hAnsi="Arial Narrow"/>
                <w:sz w:val="20"/>
              </w:rPr>
            </w:pPr>
          </w:p>
        </w:tc>
        <w:tc>
          <w:tcPr>
            <w:tcW w:w="3110" w:type="pct"/>
            <w:tcBorders>
              <w:top w:val="nil"/>
            </w:tcBorders>
            <w:shd w:val="clear" w:color="auto" w:fill="auto"/>
          </w:tcPr>
          <w:p w:rsidR="0061033D" w:rsidRPr="003A19F9" w:rsidRDefault="0061033D" w:rsidP="0061033D">
            <w:pPr>
              <w:jc w:val="left"/>
              <w:rPr>
                <w:rFonts w:ascii="Arial Narrow" w:hAnsi="Arial Narrow"/>
                <w:b/>
                <w:sz w:val="20"/>
              </w:rPr>
            </w:pPr>
            <w:r w:rsidRPr="003A19F9">
              <w:rPr>
                <w:rFonts w:ascii="Arial Narrow" w:hAnsi="Arial Narrow"/>
                <w:b/>
                <w:sz w:val="20"/>
              </w:rPr>
              <w:t>60-Week Clinical Study Report PSUMMIT-2</w:t>
            </w:r>
          </w:p>
          <w:p w:rsidR="0061033D" w:rsidRPr="003A19F9" w:rsidRDefault="0061033D" w:rsidP="0061033D">
            <w:pPr>
              <w:jc w:val="left"/>
              <w:rPr>
                <w:rFonts w:ascii="Arial Narrow" w:hAnsi="Arial Narrow"/>
                <w:sz w:val="20"/>
              </w:rPr>
            </w:pPr>
            <w:r w:rsidRPr="003A19F9">
              <w:rPr>
                <w:rFonts w:ascii="Arial Narrow" w:hAnsi="Arial Narrow"/>
                <w:sz w:val="20"/>
              </w:rPr>
              <w:t>A Phase 3 Multicentre, Randomised, Double-blind, Placebo-controlled Trial of Ustekinumab, a fully Human Anti-IL-12/12p40 Monoclonal Antibody, Administered Subcutaneously, in Subjects with Active Psoriatic Arthritis Including Those Previously Treated With Biologic Anti-TNFα Agent(s).</w:t>
            </w:r>
          </w:p>
        </w:tc>
        <w:tc>
          <w:tcPr>
            <w:tcW w:w="1127" w:type="pct"/>
            <w:tcBorders>
              <w:top w:val="nil"/>
            </w:tcBorders>
          </w:tcPr>
          <w:p w:rsidR="0061033D" w:rsidRPr="003A19F9" w:rsidRDefault="0061033D" w:rsidP="0061033D">
            <w:pPr>
              <w:jc w:val="left"/>
              <w:rPr>
                <w:rFonts w:ascii="Arial Narrow" w:hAnsi="Arial Narrow"/>
                <w:sz w:val="20"/>
              </w:rPr>
            </w:pPr>
            <w:r w:rsidRPr="003A19F9">
              <w:rPr>
                <w:rFonts w:ascii="Arial Narrow" w:hAnsi="Arial Narrow"/>
                <w:sz w:val="20"/>
              </w:rPr>
              <w:t>4 June 2013</w:t>
            </w:r>
          </w:p>
        </w:tc>
      </w:tr>
      <w:tr w:rsidR="0061033D" w:rsidRPr="003A19F9" w:rsidTr="0061033D">
        <w:tblPrEx>
          <w:tblLook w:val="04A0" w:firstRow="1" w:lastRow="0" w:firstColumn="1" w:lastColumn="0" w:noHBand="0" w:noVBand="1"/>
        </w:tblPrEx>
        <w:trPr>
          <w:trHeight w:val="242"/>
        </w:trPr>
        <w:tc>
          <w:tcPr>
            <w:tcW w:w="763" w:type="pct"/>
            <w:vMerge/>
            <w:shd w:val="clear" w:color="auto" w:fill="auto"/>
          </w:tcPr>
          <w:p w:rsidR="0061033D" w:rsidRPr="003A19F9" w:rsidRDefault="0061033D" w:rsidP="00465246">
            <w:pPr>
              <w:rPr>
                <w:rFonts w:ascii="Arial Narrow" w:hAnsi="Arial Narrow"/>
                <w:sz w:val="20"/>
              </w:rPr>
            </w:pPr>
          </w:p>
        </w:tc>
        <w:tc>
          <w:tcPr>
            <w:tcW w:w="3110" w:type="pct"/>
            <w:shd w:val="clear" w:color="auto" w:fill="auto"/>
          </w:tcPr>
          <w:p w:rsidR="0061033D" w:rsidRPr="003A19F9" w:rsidRDefault="0061033D" w:rsidP="0061033D">
            <w:pPr>
              <w:jc w:val="left"/>
              <w:rPr>
                <w:rFonts w:ascii="Arial Narrow" w:hAnsi="Arial Narrow"/>
                <w:sz w:val="20"/>
              </w:rPr>
            </w:pPr>
            <w:r w:rsidRPr="003A19F9">
              <w:rPr>
                <w:rFonts w:ascii="Arial Narrow" w:hAnsi="Arial Narrow"/>
                <w:sz w:val="20"/>
              </w:rPr>
              <w:t>Ritchlin C., et al 2014. Efficacy and safety of the anti-IL-12/23 p40 monoclonal antibody, ustekinumab, in patients with active psoriatic arthritis despite conventional non-biological and biological tumour necrosis factor therapy: 6-month and 1-year results of the phase 3, multicentre, double-blind, placebo-controlled, randomised PSUMMIT-2 trial.</w:t>
            </w:r>
          </w:p>
        </w:tc>
        <w:tc>
          <w:tcPr>
            <w:tcW w:w="1127" w:type="pct"/>
          </w:tcPr>
          <w:p w:rsidR="0061033D" w:rsidRPr="003A19F9" w:rsidRDefault="0061033D" w:rsidP="0061033D">
            <w:pPr>
              <w:jc w:val="left"/>
              <w:rPr>
                <w:rFonts w:ascii="Arial Narrow" w:hAnsi="Arial Narrow"/>
                <w:sz w:val="20"/>
              </w:rPr>
            </w:pPr>
            <w:r w:rsidRPr="003A19F9">
              <w:rPr>
                <w:rFonts w:ascii="Arial Narrow" w:hAnsi="Arial Narrow"/>
                <w:sz w:val="20"/>
              </w:rPr>
              <w:t>Annals of Rheumatic Disease, 73 (6); 990-999. Includes supplementary data</w:t>
            </w:r>
          </w:p>
        </w:tc>
      </w:tr>
      <w:tr w:rsidR="0061033D" w:rsidRPr="003A19F9" w:rsidTr="0061033D">
        <w:tblPrEx>
          <w:tblLook w:val="04A0" w:firstRow="1" w:lastRow="0" w:firstColumn="1" w:lastColumn="0" w:noHBand="0" w:noVBand="1"/>
        </w:tblPrEx>
        <w:trPr>
          <w:trHeight w:val="638"/>
        </w:trPr>
        <w:tc>
          <w:tcPr>
            <w:tcW w:w="763" w:type="pct"/>
            <w:vMerge w:val="restart"/>
            <w:shd w:val="clear" w:color="auto" w:fill="auto"/>
          </w:tcPr>
          <w:p w:rsidR="0061033D" w:rsidRPr="003A19F9" w:rsidRDefault="0061033D" w:rsidP="0061033D">
            <w:pPr>
              <w:jc w:val="left"/>
              <w:rPr>
                <w:rFonts w:ascii="Arial Narrow" w:hAnsi="Arial Narrow"/>
                <w:sz w:val="20"/>
              </w:rPr>
            </w:pPr>
            <w:r w:rsidRPr="003A19F9">
              <w:rPr>
                <w:rFonts w:ascii="Arial Narrow" w:hAnsi="Arial Narrow"/>
                <w:b/>
                <w:bCs/>
                <w:sz w:val="20"/>
              </w:rPr>
              <w:t>UST1 and UST2</w:t>
            </w:r>
            <w:r w:rsidRPr="003A19F9">
              <w:rPr>
                <w:rFonts w:ascii="Arial Narrow" w:hAnsi="Arial Narrow"/>
                <w:sz w:val="20"/>
              </w:rPr>
              <w:t xml:space="preserve"> (Kavanaugh 2014)</w:t>
            </w:r>
          </w:p>
        </w:tc>
        <w:tc>
          <w:tcPr>
            <w:tcW w:w="3110" w:type="pct"/>
            <w:shd w:val="clear" w:color="auto" w:fill="auto"/>
          </w:tcPr>
          <w:p w:rsidR="0061033D" w:rsidRPr="003A19F9" w:rsidRDefault="0061033D" w:rsidP="0061033D">
            <w:pPr>
              <w:jc w:val="left"/>
              <w:rPr>
                <w:rFonts w:ascii="Arial Narrow" w:hAnsi="Arial Narrow"/>
                <w:sz w:val="20"/>
              </w:rPr>
            </w:pPr>
            <w:r w:rsidRPr="003A19F9">
              <w:rPr>
                <w:rFonts w:ascii="Arial Narrow" w:hAnsi="Arial Narrow"/>
                <w:sz w:val="20"/>
              </w:rPr>
              <w:t>Integrated analysis report for PSUMMIT-1 and PSUMMIT-2: Analysis of radiographic data at Week 24 and Week 52 for ustekinumab-treated subjects with active psoriatic arthritis.</w:t>
            </w:r>
          </w:p>
        </w:tc>
        <w:tc>
          <w:tcPr>
            <w:tcW w:w="1127" w:type="pct"/>
          </w:tcPr>
          <w:p w:rsidR="0061033D" w:rsidRPr="003A19F9" w:rsidRDefault="0061033D" w:rsidP="0061033D">
            <w:pPr>
              <w:jc w:val="left"/>
              <w:rPr>
                <w:rFonts w:ascii="Arial Narrow" w:hAnsi="Arial Narrow"/>
                <w:sz w:val="20"/>
              </w:rPr>
            </w:pPr>
            <w:r w:rsidRPr="003A19F9">
              <w:rPr>
                <w:rFonts w:ascii="Arial Narrow" w:hAnsi="Arial Narrow"/>
                <w:sz w:val="20"/>
              </w:rPr>
              <w:t>13 June 2013</w:t>
            </w:r>
          </w:p>
        </w:tc>
      </w:tr>
      <w:tr w:rsidR="0061033D" w:rsidRPr="003A19F9" w:rsidTr="0061033D">
        <w:tblPrEx>
          <w:tblLook w:val="04A0" w:firstRow="1" w:lastRow="0" w:firstColumn="1" w:lastColumn="0" w:noHBand="0" w:noVBand="1"/>
        </w:tblPrEx>
        <w:trPr>
          <w:trHeight w:val="708"/>
        </w:trPr>
        <w:tc>
          <w:tcPr>
            <w:tcW w:w="763" w:type="pct"/>
            <w:vMerge/>
            <w:shd w:val="clear" w:color="auto" w:fill="auto"/>
          </w:tcPr>
          <w:p w:rsidR="0061033D" w:rsidRPr="003A19F9" w:rsidRDefault="0061033D" w:rsidP="00465246">
            <w:pPr>
              <w:rPr>
                <w:rFonts w:ascii="Arial Narrow" w:hAnsi="Arial Narrow"/>
                <w:sz w:val="20"/>
              </w:rPr>
            </w:pPr>
          </w:p>
        </w:tc>
        <w:tc>
          <w:tcPr>
            <w:tcW w:w="3110" w:type="pct"/>
            <w:shd w:val="clear" w:color="auto" w:fill="auto"/>
          </w:tcPr>
          <w:p w:rsidR="0061033D" w:rsidRPr="003A19F9" w:rsidRDefault="0061033D" w:rsidP="0061033D">
            <w:pPr>
              <w:jc w:val="left"/>
              <w:rPr>
                <w:rFonts w:ascii="Arial Narrow" w:hAnsi="Arial Narrow"/>
                <w:b/>
                <w:bCs/>
                <w:sz w:val="20"/>
              </w:rPr>
            </w:pPr>
            <w:r w:rsidRPr="003A19F9">
              <w:rPr>
                <w:rFonts w:ascii="Arial Narrow" w:hAnsi="Arial Narrow"/>
                <w:b/>
                <w:bCs/>
                <w:sz w:val="20"/>
              </w:rPr>
              <w:t>Main Publication:</w:t>
            </w:r>
          </w:p>
          <w:p w:rsidR="0061033D" w:rsidRPr="003A19F9" w:rsidRDefault="0061033D" w:rsidP="0061033D">
            <w:pPr>
              <w:jc w:val="left"/>
              <w:rPr>
                <w:rFonts w:ascii="Arial Narrow" w:hAnsi="Arial Narrow"/>
                <w:sz w:val="20"/>
              </w:rPr>
            </w:pPr>
            <w:r w:rsidRPr="003A19F9">
              <w:rPr>
                <w:rFonts w:ascii="Arial Narrow" w:hAnsi="Arial Narrow"/>
                <w:sz w:val="20"/>
              </w:rPr>
              <w:t xml:space="preserve">Kavanaugh A., et al 2014. Ustekinumab, an anti-IL-12/23 p40 monoclonal antibody, inhibits radiographic progression in patients with active psoriatic arthritis: results of an integrated analysis of radiographic data from the phase 3, multicentre, randomised, double-blind, placebo-controlled PSUMMIT-1 and PSUMMIT-2 trials. </w:t>
            </w:r>
          </w:p>
        </w:tc>
        <w:tc>
          <w:tcPr>
            <w:tcW w:w="1127" w:type="pct"/>
          </w:tcPr>
          <w:p w:rsidR="0061033D" w:rsidRPr="003A19F9" w:rsidRDefault="0061033D" w:rsidP="0061033D">
            <w:pPr>
              <w:jc w:val="left"/>
              <w:rPr>
                <w:rFonts w:ascii="Arial Narrow" w:hAnsi="Arial Narrow"/>
                <w:sz w:val="20"/>
              </w:rPr>
            </w:pPr>
          </w:p>
          <w:p w:rsidR="0061033D" w:rsidRPr="003A19F9" w:rsidRDefault="0061033D" w:rsidP="0061033D">
            <w:pPr>
              <w:jc w:val="left"/>
              <w:rPr>
                <w:rFonts w:ascii="Arial Narrow" w:hAnsi="Arial Narrow"/>
                <w:sz w:val="20"/>
              </w:rPr>
            </w:pPr>
            <w:r w:rsidRPr="003A19F9">
              <w:rPr>
                <w:rFonts w:ascii="Arial Narrow" w:hAnsi="Arial Narrow"/>
                <w:sz w:val="20"/>
              </w:rPr>
              <w:t>Annals of Rheumatic Diseases, 73 (6); 1000-1006. Includes supplementary data.</w:t>
            </w:r>
          </w:p>
        </w:tc>
      </w:tr>
      <w:tr w:rsidR="0061033D" w:rsidRPr="003A19F9" w:rsidTr="0061033D">
        <w:tblPrEx>
          <w:tblLook w:val="04A0" w:firstRow="1" w:lastRow="0" w:firstColumn="1" w:lastColumn="0" w:noHBand="0" w:noVBand="1"/>
        </w:tblPrEx>
        <w:tc>
          <w:tcPr>
            <w:tcW w:w="5000" w:type="pct"/>
            <w:gridSpan w:val="3"/>
            <w:shd w:val="clear" w:color="auto" w:fill="auto"/>
          </w:tcPr>
          <w:p w:rsidR="0061033D" w:rsidRPr="003A19F9" w:rsidRDefault="0061033D" w:rsidP="009268D4">
            <w:pPr>
              <w:keepNext/>
              <w:jc w:val="left"/>
              <w:rPr>
                <w:rFonts w:ascii="Arial Narrow" w:hAnsi="Arial Narrow"/>
                <w:b/>
                <w:bCs/>
                <w:sz w:val="20"/>
              </w:rPr>
            </w:pPr>
            <w:r w:rsidRPr="003A19F9">
              <w:rPr>
                <w:rFonts w:ascii="Arial Narrow" w:hAnsi="Arial Narrow"/>
                <w:b/>
                <w:bCs/>
                <w:sz w:val="20"/>
              </w:rPr>
              <w:t>Adalimumab vs placebo</w:t>
            </w:r>
          </w:p>
        </w:tc>
      </w:tr>
      <w:tr w:rsidR="0061033D" w:rsidRPr="003A19F9" w:rsidTr="0061033D">
        <w:tblPrEx>
          <w:tblLook w:val="04A0" w:firstRow="1" w:lastRow="0" w:firstColumn="1" w:lastColumn="0" w:noHBand="0" w:noVBand="1"/>
        </w:tblPrEx>
        <w:tc>
          <w:tcPr>
            <w:tcW w:w="763" w:type="pct"/>
            <w:vMerge w:val="restart"/>
            <w:shd w:val="clear" w:color="auto" w:fill="auto"/>
          </w:tcPr>
          <w:p w:rsidR="0061033D" w:rsidRPr="003A19F9" w:rsidRDefault="0061033D" w:rsidP="00465246">
            <w:pPr>
              <w:rPr>
                <w:rFonts w:ascii="Arial Narrow" w:hAnsi="Arial Narrow"/>
                <w:b/>
                <w:bCs/>
                <w:sz w:val="20"/>
              </w:rPr>
            </w:pPr>
            <w:r w:rsidRPr="003A19F9">
              <w:rPr>
                <w:rFonts w:ascii="Arial Narrow" w:hAnsi="Arial Narrow"/>
                <w:b/>
                <w:bCs/>
                <w:sz w:val="20"/>
              </w:rPr>
              <w:t>ADA1</w:t>
            </w:r>
          </w:p>
          <w:p w:rsidR="0061033D" w:rsidRPr="003A19F9" w:rsidRDefault="0061033D" w:rsidP="00465246">
            <w:pPr>
              <w:rPr>
                <w:rFonts w:ascii="Arial Narrow" w:hAnsi="Arial Narrow"/>
                <w:sz w:val="20"/>
              </w:rPr>
            </w:pPr>
            <w:r w:rsidRPr="003A19F9">
              <w:rPr>
                <w:rFonts w:ascii="Arial Narrow" w:hAnsi="Arial Narrow"/>
                <w:sz w:val="20"/>
              </w:rPr>
              <w:lastRenderedPageBreak/>
              <w:t>ADEPT</w:t>
            </w:r>
          </w:p>
          <w:p w:rsidR="0061033D" w:rsidRPr="003A19F9" w:rsidRDefault="0061033D" w:rsidP="00465246">
            <w:pPr>
              <w:rPr>
                <w:rFonts w:ascii="Arial Narrow" w:hAnsi="Arial Narrow"/>
                <w:sz w:val="20"/>
              </w:rPr>
            </w:pPr>
            <w:r w:rsidRPr="003A19F9">
              <w:rPr>
                <w:rFonts w:ascii="Arial Narrow" w:hAnsi="Arial Narrow"/>
                <w:sz w:val="20"/>
              </w:rPr>
              <w:t>M02-518</w:t>
            </w:r>
          </w:p>
          <w:p w:rsidR="0061033D" w:rsidRPr="003A19F9" w:rsidRDefault="0061033D" w:rsidP="00465246">
            <w:pPr>
              <w:rPr>
                <w:rFonts w:ascii="Arial Narrow" w:hAnsi="Arial Narrow"/>
                <w:sz w:val="20"/>
              </w:rPr>
            </w:pPr>
            <w:r w:rsidRPr="003A19F9">
              <w:rPr>
                <w:rFonts w:ascii="Arial Narrow" w:hAnsi="Arial Narrow"/>
                <w:sz w:val="20"/>
              </w:rPr>
              <w:t>NCT00646386</w:t>
            </w:r>
          </w:p>
          <w:p w:rsidR="0061033D" w:rsidRPr="003A19F9" w:rsidRDefault="0061033D" w:rsidP="00465246">
            <w:pPr>
              <w:rPr>
                <w:rFonts w:ascii="Arial Narrow" w:hAnsi="Arial Narrow"/>
                <w:sz w:val="20"/>
              </w:rPr>
            </w:pPr>
            <w:r w:rsidRPr="003A19F9">
              <w:rPr>
                <w:rFonts w:ascii="Arial Narrow" w:hAnsi="Arial Narrow"/>
                <w:sz w:val="20"/>
              </w:rPr>
              <w:t>Mease 2005</w:t>
            </w:r>
          </w:p>
        </w:tc>
        <w:tc>
          <w:tcPr>
            <w:tcW w:w="3110" w:type="pct"/>
            <w:shd w:val="clear" w:color="auto" w:fill="auto"/>
          </w:tcPr>
          <w:p w:rsidR="0061033D" w:rsidRPr="003A19F9" w:rsidRDefault="0061033D" w:rsidP="0061033D">
            <w:pPr>
              <w:jc w:val="left"/>
              <w:rPr>
                <w:rFonts w:ascii="Arial Narrow" w:hAnsi="Arial Narrow"/>
                <w:sz w:val="20"/>
              </w:rPr>
            </w:pPr>
            <w:r w:rsidRPr="003A19F9">
              <w:rPr>
                <w:rFonts w:ascii="Arial Narrow" w:hAnsi="Arial Narrow"/>
                <w:sz w:val="20"/>
              </w:rPr>
              <w:lastRenderedPageBreak/>
              <w:t xml:space="preserve">Mease P, Gladman D D and Ritchlin C et al, Adalimumab for the </w:t>
            </w:r>
            <w:r w:rsidRPr="003A19F9">
              <w:rPr>
                <w:rFonts w:ascii="Arial Narrow" w:hAnsi="Arial Narrow"/>
                <w:sz w:val="20"/>
              </w:rPr>
              <w:lastRenderedPageBreak/>
              <w:t>treatment of patients with moderately to severely active psoriatic arthritis: results of a double-blind, randomised, placebo controlled trial.</w:t>
            </w:r>
          </w:p>
        </w:tc>
        <w:tc>
          <w:tcPr>
            <w:tcW w:w="1127" w:type="pct"/>
            <w:vAlign w:val="center"/>
          </w:tcPr>
          <w:p w:rsidR="0061033D" w:rsidRPr="003A19F9" w:rsidRDefault="0061033D" w:rsidP="0061033D">
            <w:pPr>
              <w:jc w:val="left"/>
              <w:rPr>
                <w:rFonts w:ascii="Arial Narrow" w:hAnsi="Arial Narrow"/>
                <w:sz w:val="20"/>
              </w:rPr>
            </w:pPr>
            <w:r w:rsidRPr="003A19F9">
              <w:rPr>
                <w:rFonts w:ascii="Arial Narrow" w:hAnsi="Arial Narrow"/>
                <w:sz w:val="20"/>
              </w:rPr>
              <w:lastRenderedPageBreak/>
              <w:t xml:space="preserve">Arthritis &amp; Rheumatism </w:t>
            </w:r>
            <w:r w:rsidRPr="003A19F9">
              <w:rPr>
                <w:rFonts w:ascii="Arial Narrow" w:hAnsi="Arial Narrow"/>
                <w:sz w:val="20"/>
              </w:rPr>
              <w:lastRenderedPageBreak/>
              <w:t>2005; 52(10):3279-3289</w:t>
            </w:r>
          </w:p>
        </w:tc>
      </w:tr>
      <w:tr w:rsidR="0061033D" w:rsidRPr="003A19F9" w:rsidTr="0061033D">
        <w:tblPrEx>
          <w:tblLook w:val="04A0" w:firstRow="1" w:lastRow="0" w:firstColumn="1" w:lastColumn="0" w:noHBand="0" w:noVBand="1"/>
        </w:tblPrEx>
        <w:tc>
          <w:tcPr>
            <w:tcW w:w="763" w:type="pct"/>
            <w:vMerge/>
            <w:shd w:val="clear" w:color="auto" w:fill="auto"/>
          </w:tcPr>
          <w:p w:rsidR="0061033D" w:rsidRPr="003A19F9" w:rsidRDefault="0061033D" w:rsidP="00465246">
            <w:pPr>
              <w:rPr>
                <w:rFonts w:ascii="Arial Narrow" w:hAnsi="Arial Narrow"/>
                <w:sz w:val="20"/>
              </w:rPr>
            </w:pPr>
          </w:p>
        </w:tc>
        <w:tc>
          <w:tcPr>
            <w:tcW w:w="3110" w:type="pct"/>
            <w:shd w:val="clear" w:color="auto" w:fill="auto"/>
          </w:tcPr>
          <w:p w:rsidR="0061033D" w:rsidRPr="003A19F9" w:rsidRDefault="0061033D" w:rsidP="0061033D">
            <w:pPr>
              <w:jc w:val="left"/>
              <w:rPr>
                <w:rFonts w:ascii="Arial Narrow" w:hAnsi="Arial Narrow"/>
                <w:sz w:val="20"/>
              </w:rPr>
            </w:pPr>
            <w:r w:rsidRPr="003A19F9">
              <w:rPr>
                <w:rFonts w:ascii="Arial Narrow" w:hAnsi="Arial Narrow"/>
                <w:sz w:val="20"/>
              </w:rPr>
              <w:t>Gladman et al. Adalimumab improves joint-related and skin-related functional impairment in patients with psoriatic arthritis: patient-reported outcomes of the Adalimumab Effectiveness in Psoriatic Arthritis Trial.</w:t>
            </w:r>
          </w:p>
        </w:tc>
        <w:tc>
          <w:tcPr>
            <w:tcW w:w="1127" w:type="pct"/>
            <w:vAlign w:val="center"/>
          </w:tcPr>
          <w:p w:rsidR="0061033D" w:rsidRPr="003A19F9" w:rsidRDefault="0061033D" w:rsidP="0061033D">
            <w:pPr>
              <w:jc w:val="left"/>
              <w:rPr>
                <w:rFonts w:ascii="Arial Narrow" w:hAnsi="Arial Narrow"/>
                <w:sz w:val="20"/>
              </w:rPr>
            </w:pPr>
            <w:r w:rsidRPr="003A19F9">
              <w:rPr>
                <w:rFonts w:ascii="Arial Narrow" w:hAnsi="Arial Narrow"/>
                <w:sz w:val="20"/>
              </w:rPr>
              <w:t>Annals of the Rheumatic Diseases, 2007; 66(2):163-168</w:t>
            </w:r>
          </w:p>
        </w:tc>
      </w:tr>
      <w:tr w:rsidR="0061033D" w:rsidRPr="003A19F9" w:rsidTr="0061033D">
        <w:tblPrEx>
          <w:tblLook w:val="04A0" w:firstRow="1" w:lastRow="0" w:firstColumn="1" w:lastColumn="0" w:noHBand="0" w:noVBand="1"/>
        </w:tblPrEx>
        <w:tc>
          <w:tcPr>
            <w:tcW w:w="763" w:type="pct"/>
            <w:vMerge/>
            <w:shd w:val="clear" w:color="auto" w:fill="auto"/>
          </w:tcPr>
          <w:p w:rsidR="0061033D" w:rsidRPr="003A19F9" w:rsidRDefault="0061033D" w:rsidP="00465246">
            <w:pPr>
              <w:rPr>
                <w:rFonts w:ascii="Arial Narrow" w:hAnsi="Arial Narrow"/>
                <w:sz w:val="20"/>
              </w:rPr>
            </w:pPr>
          </w:p>
        </w:tc>
        <w:tc>
          <w:tcPr>
            <w:tcW w:w="3110" w:type="pct"/>
            <w:shd w:val="clear" w:color="auto" w:fill="auto"/>
          </w:tcPr>
          <w:p w:rsidR="0061033D" w:rsidRPr="003A19F9" w:rsidRDefault="0061033D" w:rsidP="0061033D">
            <w:pPr>
              <w:jc w:val="left"/>
              <w:rPr>
                <w:rFonts w:ascii="Arial Narrow" w:hAnsi="Arial Narrow"/>
                <w:sz w:val="20"/>
              </w:rPr>
            </w:pPr>
            <w:r w:rsidRPr="003A19F9">
              <w:rPr>
                <w:rFonts w:ascii="Arial Narrow" w:hAnsi="Arial Narrow"/>
                <w:sz w:val="20"/>
                <w:lang w:val="fr-FR"/>
              </w:rPr>
              <w:t xml:space="preserve">Gladman DD et al. 2007b. </w:t>
            </w:r>
            <w:r w:rsidRPr="003A19F9">
              <w:rPr>
                <w:rFonts w:ascii="Arial Narrow" w:hAnsi="Arial Narrow"/>
                <w:sz w:val="20"/>
              </w:rPr>
              <w:t xml:space="preserve">Adalimumab for long-term treatment of psoriatic arthritis: forty-eight week data from the adalimumab effectiveness in psoriatic arthritis trial. </w:t>
            </w:r>
          </w:p>
        </w:tc>
        <w:tc>
          <w:tcPr>
            <w:tcW w:w="1127" w:type="pct"/>
            <w:vAlign w:val="center"/>
          </w:tcPr>
          <w:p w:rsidR="0061033D" w:rsidRPr="003A19F9" w:rsidRDefault="0061033D" w:rsidP="0061033D">
            <w:pPr>
              <w:jc w:val="left"/>
              <w:rPr>
                <w:rFonts w:ascii="Arial Narrow" w:hAnsi="Arial Narrow"/>
                <w:sz w:val="20"/>
              </w:rPr>
            </w:pPr>
            <w:r w:rsidRPr="003A19F9">
              <w:rPr>
                <w:rFonts w:ascii="Arial Narrow" w:hAnsi="Arial Narrow"/>
                <w:sz w:val="20"/>
              </w:rPr>
              <w:t>Arthritis &amp; Rheumatism 56(2):476-488.</w:t>
            </w:r>
          </w:p>
        </w:tc>
      </w:tr>
      <w:tr w:rsidR="0061033D" w:rsidRPr="003A19F9" w:rsidTr="0061033D">
        <w:tblPrEx>
          <w:tblLook w:val="04A0" w:firstRow="1" w:lastRow="0" w:firstColumn="1" w:lastColumn="0" w:noHBand="0" w:noVBand="1"/>
        </w:tblPrEx>
        <w:tc>
          <w:tcPr>
            <w:tcW w:w="763" w:type="pct"/>
            <w:vMerge/>
            <w:shd w:val="clear" w:color="auto" w:fill="auto"/>
          </w:tcPr>
          <w:p w:rsidR="0061033D" w:rsidRPr="003A19F9" w:rsidRDefault="0061033D" w:rsidP="00465246">
            <w:pPr>
              <w:rPr>
                <w:rFonts w:ascii="Arial Narrow" w:hAnsi="Arial Narrow"/>
                <w:sz w:val="20"/>
              </w:rPr>
            </w:pPr>
          </w:p>
        </w:tc>
        <w:tc>
          <w:tcPr>
            <w:tcW w:w="3110" w:type="pct"/>
            <w:shd w:val="clear" w:color="auto" w:fill="auto"/>
          </w:tcPr>
          <w:p w:rsidR="0061033D" w:rsidRPr="003A19F9" w:rsidRDefault="0061033D" w:rsidP="0061033D">
            <w:pPr>
              <w:jc w:val="left"/>
              <w:rPr>
                <w:rFonts w:ascii="Arial Narrow" w:hAnsi="Arial Narrow"/>
                <w:sz w:val="20"/>
              </w:rPr>
            </w:pPr>
            <w:r w:rsidRPr="003A19F9">
              <w:rPr>
                <w:rFonts w:ascii="Arial Narrow" w:hAnsi="Arial Narrow"/>
                <w:sz w:val="20"/>
              </w:rPr>
              <w:t xml:space="preserve">Mease P.J., et al 2009. Adalimumab for long-term treatment of psoriatic arthritis: 2-year data from the adalimumab effectiveness in psoriatic arthritis trial (ADEPT). </w:t>
            </w:r>
          </w:p>
        </w:tc>
        <w:tc>
          <w:tcPr>
            <w:tcW w:w="1127" w:type="pct"/>
            <w:vAlign w:val="center"/>
          </w:tcPr>
          <w:p w:rsidR="0061033D" w:rsidRPr="003A19F9" w:rsidRDefault="0061033D" w:rsidP="0061033D">
            <w:pPr>
              <w:jc w:val="left"/>
              <w:rPr>
                <w:rFonts w:ascii="Arial Narrow" w:hAnsi="Arial Narrow"/>
                <w:sz w:val="20"/>
              </w:rPr>
            </w:pPr>
            <w:r w:rsidRPr="003A19F9">
              <w:rPr>
                <w:rFonts w:ascii="Arial Narrow" w:hAnsi="Arial Narrow"/>
                <w:sz w:val="20"/>
              </w:rPr>
              <w:t>Annals of Rheumatic Disease, 68; 702-709.</w:t>
            </w:r>
          </w:p>
        </w:tc>
      </w:tr>
      <w:tr w:rsidR="0061033D" w:rsidRPr="003A19F9" w:rsidTr="0061033D">
        <w:tblPrEx>
          <w:tblLook w:val="04A0" w:firstRow="1" w:lastRow="0" w:firstColumn="1" w:lastColumn="0" w:noHBand="0" w:noVBand="1"/>
        </w:tblPrEx>
        <w:tc>
          <w:tcPr>
            <w:tcW w:w="763" w:type="pct"/>
            <w:vMerge/>
            <w:shd w:val="clear" w:color="auto" w:fill="auto"/>
          </w:tcPr>
          <w:p w:rsidR="0061033D" w:rsidRPr="003A19F9" w:rsidRDefault="0061033D" w:rsidP="00465246">
            <w:pPr>
              <w:rPr>
                <w:rFonts w:ascii="Arial Narrow" w:hAnsi="Arial Narrow"/>
                <w:sz w:val="20"/>
              </w:rPr>
            </w:pPr>
          </w:p>
        </w:tc>
        <w:tc>
          <w:tcPr>
            <w:tcW w:w="3110" w:type="pct"/>
            <w:shd w:val="clear" w:color="auto" w:fill="auto"/>
          </w:tcPr>
          <w:p w:rsidR="0061033D" w:rsidRPr="003A19F9" w:rsidRDefault="0061033D" w:rsidP="0061033D">
            <w:pPr>
              <w:jc w:val="left"/>
              <w:rPr>
                <w:rFonts w:ascii="Arial Narrow" w:hAnsi="Arial Narrow"/>
                <w:sz w:val="20"/>
              </w:rPr>
            </w:pPr>
            <w:r w:rsidRPr="003A19F9">
              <w:rPr>
                <w:rFonts w:ascii="Arial Narrow" w:hAnsi="Arial Narrow"/>
                <w:sz w:val="20"/>
              </w:rPr>
              <w:t xml:space="preserve">Gladman D., et al 2010. Risk factors for radiographic progression in psoriatic arthritis: subanalysis of the randomised controlled trial ADEPT. </w:t>
            </w:r>
          </w:p>
        </w:tc>
        <w:tc>
          <w:tcPr>
            <w:tcW w:w="1127" w:type="pct"/>
            <w:vAlign w:val="center"/>
          </w:tcPr>
          <w:p w:rsidR="0061033D" w:rsidRPr="003A19F9" w:rsidRDefault="0061033D" w:rsidP="0061033D">
            <w:pPr>
              <w:jc w:val="left"/>
              <w:rPr>
                <w:rFonts w:ascii="Arial Narrow" w:hAnsi="Arial Narrow"/>
                <w:sz w:val="20"/>
              </w:rPr>
            </w:pPr>
            <w:r w:rsidRPr="003A19F9">
              <w:rPr>
                <w:rFonts w:ascii="Arial Narrow" w:hAnsi="Arial Narrow"/>
                <w:sz w:val="20"/>
              </w:rPr>
              <w:t>Arthritis Research and Therapy, 12; R113.</w:t>
            </w:r>
          </w:p>
        </w:tc>
      </w:tr>
      <w:tr w:rsidR="0061033D" w:rsidRPr="003A19F9" w:rsidTr="0061033D">
        <w:tblPrEx>
          <w:tblLook w:val="04A0" w:firstRow="1" w:lastRow="0" w:firstColumn="1" w:lastColumn="0" w:noHBand="0" w:noVBand="1"/>
        </w:tblPrEx>
        <w:tc>
          <w:tcPr>
            <w:tcW w:w="763" w:type="pct"/>
            <w:vMerge/>
            <w:shd w:val="clear" w:color="auto" w:fill="auto"/>
          </w:tcPr>
          <w:p w:rsidR="0061033D" w:rsidRPr="003A19F9" w:rsidRDefault="0061033D" w:rsidP="00465246">
            <w:pPr>
              <w:rPr>
                <w:rFonts w:ascii="Arial Narrow" w:hAnsi="Arial Narrow"/>
                <w:sz w:val="20"/>
              </w:rPr>
            </w:pPr>
          </w:p>
        </w:tc>
        <w:tc>
          <w:tcPr>
            <w:tcW w:w="3110" w:type="pct"/>
            <w:shd w:val="clear" w:color="auto" w:fill="auto"/>
          </w:tcPr>
          <w:p w:rsidR="0061033D" w:rsidRPr="003A19F9" w:rsidRDefault="0061033D" w:rsidP="0061033D">
            <w:pPr>
              <w:jc w:val="left"/>
              <w:rPr>
                <w:rFonts w:ascii="Arial Narrow" w:hAnsi="Arial Narrow"/>
                <w:sz w:val="20"/>
              </w:rPr>
            </w:pPr>
            <w:r w:rsidRPr="003A19F9">
              <w:rPr>
                <w:rFonts w:ascii="Arial Narrow" w:hAnsi="Arial Narrow"/>
                <w:sz w:val="20"/>
              </w:rPr>
              <w:t xml:space="preserve">Mease P.J., et al 2013. Application and modifications of minimal disease activity measures for patients with psoriatic arthritis treated with adalimumab: subanalyses of ADEPT. </w:t>
            </w:r>
          </w:p>
        </w:tc>
        <w:tc>
          <w:tcPr>
            <w:tcW w:w="1127" w:type="pct"/>
            <w:vAlign w:val="center"/>
          </w:tcPr>
          <w:p w:rsidR="0061033D" w:rsidRPr="003A19F9" w:rsidRDefault="0061033D" w:rsidP="0061033D">
            <w:pPr>
              <w:jc w:val="left"/>
              <w:rPr>
                <w:rFonts w:ascii="Arial Narrow" w:hAnsi="Arial Narrow"/>
                <w:sz w:val="20"/>
              </w:rPr>
            </w:pPr>
            <w:r w:rsidRPr="003A19F9">
              <w:rPr>
                <w:rFonts w:ascii="Arial Narrow" w:hAnsi="Arial Narrow"/>
                <w:sz w:val="20"/>
              </w:rPr>
              <w:t>Journal of Rheumatology, 40(5); 647-652.</w:t>
            </w:r>
          </w:p>
        </w:tc>
      </w:tr>
      <w:tr w:rsidR="0061033D" w:rsidRPr="003A19F9" w:rsidTr="0061033D">
        <w:tblPrEx>
          <w:tblLook w:val="04A0" w:firstRow="1" w:lastRow="0" w:firstColumn="1" w:lastColumn="0" w:noHBand="0" w:noVBand="1"/>
        </w:tblPrEx>
        <w:tc>
          <w:tcPr>
            <w:tcW w:w="763" w:type="pct"/>
            <w:shd w:val="clear" w:color="auto" w:fill="auto"/>
          </w:tcPr>
          <w:p w:rsidR="0061033D" w:rsidRPr="003A19F9" w:rsidRDefault="0061033D" w:rsidP="00465246">
            <w:pPr>
              <w:rPr>
                <w:rFonts w:ascii="Arial Narrow" w:hAnsi="Arial Narrow"/>
                <w:b/>
                <w:bCs/>
                <w:sz w:val="20"/>
              </w:rPr>
            </w:pPr>
            <w:r w:rsidRPr="003A19F9">
              <w:rPr>
                <w:rFonts w:ascii="Arial Narrow" w:hAnsi="Arial Narrow"/>
                <w:b/>
                <w:bCs/>
                <w:sz w:val="20"/>
              </w:rPr>
              <w:t>ADA2</w:t>
            </w:r>
          </w:p>
          <w:p w:rsidR="0061033D" w:rsidRPr="003A19F9" w:rsidRDefault="0061033D" w:rsidP="00465246">
            <w:pPr>
              <w:rPr>
                <w:rFonts w:ascii="Arial Narrow" w:hAnsi="Arial Narrow"/>
                <w:sz w:val="20"/>
              </w:rPr>
            </w:pPr>
            <w:r w:rsidRPr="003A19F9">
              <w:rPr>
                <w:rFonts w:ascii="Arial Narrow" w:hAnsi="Arial Narrow"/>
                <w:sz w:val="20"/>
              </w:rPr>
              <w:t>M02-570</w:t>
            </w:r>
          </w:p>
          <w:p w:rsidR="0061033D" w:rsidRPr="003A19F9" w:rsidRDefault="0061033D" w:rsidP="00465246">
            <w:pPr>
              <w:rPr>
                <w:rFonts w:ascii="Arial Narrow" w:hAnsi="Arial Narrow"/>
                <w:sz w:val="20"/>
              </w:rPr>
            </w:pPr>
            <w:r w:rsidRPr="003A19F9">
              <w:rPr>
                <w:rFonts w:ascii="Arial Narrow" w:hAnsi="Arial Narrow"/>
                <w:sz w:val="20"/>
              </w:rPr>
              <w:t>NCT00646178</w:t>
            </w:r>
          </w:p>
          <w:p w:rsidR="0061033D" w:rsidRPr="003A19F9" w:rsidRDefault="0061033D" w:rsidP="00465246">
            <w:pPr>
              <w:rPr>
                <w:rFonts w:ascii="Arial Narrow" w:hAnsi="Arial Narrow"/>
                <w:sz w:val="20"/>
              </w:rPr>
            </w:pPr>
            <w:r w:rsidRPr="003A19F9">
              <w:rPr>
                <w:rFonts w:ascii="Arial Narrow" w:hAnsi="Arial Narrow"/>
                <w:sz w:val="20"/>
              </w:rPr>
              <w:t>Genovese 2007</w:t>
            </w:r>
          </w:p>
        </w:tc>
        <w:tc>
          <w:tcPr>
            <w:tcW w:w="3110" w:type="pct"/>
            <w:shd w:val="clear" w:color="auto" w:fill="auto"/>
          </w:tcPr>
          <w:p w:rsidR="0061033D" w:rsidRPr="003A19F9" w:rsidRDefault="0061033D" w:rsidP="0061033D">
            <w:pPr>
              <w:jc w:val="left"/>
              <w:rPr>
                <w:rFonts w:ascii="Arial Narrow" w:hAnsi="Arial Narrow"/>
                <w:sz w:val="20"/>
              </w:rPr>
            </w:pPr>
            <w:r w:rsidRPr="003A19F9">
              <w:rPr>
                <w:rFonts w:ascii="Arial Narrow" w:hAnsi="Arial Narrow"/>
                <w:sz w:val="20"/>
              </w:rPr>
              <w:t xml:space="preserve">Genovese, M, Mease, P, Thomson, G et al, Safety and efficacy of adalimumab in treatment of patients with psoriatic arthritis who had failed disease modifying antirheumatic drug therapy. </w:t>
            </w:r>
          </w:p>
        </w:tc>
        <w:tc>
          <w:tcPr>
            <w:tcW w:w="1127" w:type="pct"/>
            <w:vAlign w:val="center"/>
          </w:tcPr>
          <w:p w:rsidR="0061033D" w:rsidRPr="003A19F9" w:rsidRDefault="0061033D" w:rsidP="0061033D">
            <w:pPr>
              <w:jc w:val="left"/>
              <w:rPr>
                <w:rFonts w:ascii="Arial Narrow" w:hAnsi="Arial Narrow"/>
                <w:sz w:val="20"/>
              </w:rPr>
            </w:pPr>
            <w:r w:rsidRPr="003A19F9">
              <w:rPr>
                <w:rFonts w:ascii="Arial Narrow" w:hAnsi="Arial Narrow"/>
                <w:sz w:val="20"/>
              </w:rPr>
              <w:t>Journal of Rheumatology 2007 34(5):1040-1050. [Erratum appears in J Rheumatol. 2007 34(6):1439]</w:t>
            </w:r>
          </w:p>
        </w:tc>
      </w:tr>
    </w:tbl>
    <w:p w:rsidR="0061033D" w:rsidRPr="003A19F9" w:rsidRDefault="0061033D" w:rsidP="0061033D">
      <w:pPr>
        <w:widowControl/>
        <w:ind w:firstLine="709"/>
      </w:pPr>
      <w:r w:rsidRPr="003A19F9">
        <w:rPr>
          <w:rFonts w:ascii="Arial Narrow" w:hAnsi="Arial Narrow"/>
          <w:sz w:val="20"/>
        </w:rPr>
        <w:t>Source: Table B-7, pp47-48 of the submission</w:t>
      </w:r>
      <w:r w:rsidRPr="003A19F9" w:rsidDel="0061033D">
        <w:t xml:space="preserve"> </w:t>
      </w:r>
    </w:p>
    <w:p w:rsidR="00862502" w:rsidRPr="003A19F9" w:rsidRDefault="00862502" w:rsidP="008F120A">
      <w:pPr>
        <w:widowControl/>
        <w:rPr>
          <w:szCs w:val="22"/>
        </w:rPr>
      </w:pPr>
    </w:p>
    <w:p w:rsidR="00862502" w:rsidRPr="003A19F9" w:rsidRDefault="008F120A" w:rsidP="0007024F">
      <w:pPr>
        <w:pStyle w:val="ListParagraph"/>
        <w:widowControl/>
        <w:numPr>
          <w:ilvl w:val="1"/>
          <w:numId w:val="13"/>
        </w:numPr>
        <w:rPr>
          <w:szCs w:val="22"/>
        </w:rPr>
      </w:pPr>
      <w:r w:rsidRPr="003A19F9">
        <w:rPr>
          <w:szCs w:val="22"/>
        </w:rPr>
        <w:t>The key features of the direct randomised trials are summarised in</w:t>
      </w:r>
      <w:r w:rsidR="00103A2D">
        <w:rPr>
          <w:szCs w:val="22"/>
        </w:rPr>
        <w:t xml:space="preserve"> the following table</w:t>
      </w:r>
      <w:r w:rsidRPr="003A19F9">
        <w:rPr>
          <w:szCs w:val="22"/>
        </w:rPr>
        <w:t xml:space="preserve">.  </w:t>
      </w:r>
    </w:p>
    <w:p w:rsidR="007F1017" w:rsidRPr="003A19F9" w:rsidRDefault="007F1017" w:rsidP="007F1017">
      <w:pPr>
        <w:widowControl/>
        <w:rPr>
          <w:szCs w:val="22"/>
        </w:rPr>
      </w:pPr>
    </w:p>
    <w:p w:rsidR="007F1017" w:rsidRPr="003A19F9" w:rsidRDefault="007F1017" w:rsidP="008E2B5A">
      <w:pPr>
        <w:keepNext/>
        <w:ind w:firstLine="720"/>
        <w:rPr>
          <w:rStyle w:val="CommentReference"/>
        </w:rPr>
      </w:pPr>
      <w:r w:rsidRPr="003A19F9">
        <w:rPr>
          <w:rStyle w:val="CommentReference"/>
        </w:rPr>
        <w:t>Key features of the included evidence</w:t>
      </w:r>
      <w:r w:rsidR="0061033D" w:rsidRPr="003A19F9">
        <w:rPr>
          <w:rStyle w:val="CommentReference"/>
        </w:rPr>
        <w:t xml:space="preserve"> – indirect comparison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3"/>
        <w:gridCol w:w="450"/>
        <w:gridCol w:w="2552"/>
        <w:gridCol w:w="850"/>
        <w:gridCol w:w="994"/>
        <w:gridCol w:w="1564"/>
      </w:tblGrid>
      <w:tr w:rsidR="0061033D" w:rsidRPr="003A19F9" w:rsidTr="0061033D">
        <w:tc>
          <w:tcPr>
            <w:tcW w:w="1168" w:type="pct"/>
            <w:shd w:val="clear" w:color="auto" w:fill="auto"/>
            <w:vAlign w:val="center"/>
          </w:tcPr>
          <w:p w:rsidR="0061033D" w:rsidRPr="003A19F9" w:rsidRDefault="0061033D" w:rsidP="008E2B5A">
            <w:pPr>
              <w:keepNext/>
              <w:jc w:val="left"/>
              <w:rPr>
                <w:rFonts w:ascii="Arial Narrow" w:hAnsi="Arial Narrow"/>
                <w:b/>
                <w:sz w:val="20"/>
              </w:rPr>
            </w:pPr>
            <w:r w:rsidRPr="003A19F9">
              <w:rPr>
                <w:rFonts w:ascii="Arial Narrow" w:hAnsi="Arial Narrow"/>
                <w:b/>
                <w:sz w:val="20"/>
              </w:rPr>
              <w:t>Trial</w:t>
            </w:r>
          </w:p>
          <w:p w:rsidR="0061033D" w:rsidRPr="003A19F9" w:rsidRDefault="0061033D" w:rsidP="008E2B5A">
            <w:pPr>
              <w:keepNext/>
              <w:jc w:val="left"/>
              <w:rPr>
                <w:rFonts w:ascii="Arial Narrow" w:hAnsi="Arial Narrow"/>
                <w:b/>
                <w:sz w:val="20"/>
              </w:rPr>
            </w:pPr>
            <w:r w:rsidRPr="003A19F9">
              <w:rPr>
                <w:rFonts w:ascii="Arial Narrow" w:hAnsi="Arial Narrow"/>
                <w:b/>
                <w:sz w:val="20"/>
              </w:rPr>
              <w:t>(arms)</w:t>
            </w:r>
          </w:p>
        </w:tc>
        <w:tc>
          <w:tcPr>
            <w:tcW w:w="269" w:type="pct"/>
            <w:shd w:val="clear" w:color="auto" w:fill="auto"/>
            <w:vAlign w:val="center"/>
          </w:tcPr>
          <w:p w:rsidR="0061033D" w:rsidRPr="003A19F9" w:rsidRDefault="0061033D" w:rsidP="008E2B5A">
            <w:pPr>
              <w:keepNext/>
              <w:jc w:val="center"/>
              <w:rPr>
                <w:rFonts w:ascii="Arial Narrow" w:hAnsi="Arial Narrow"/>
                <w:b/>
                <w:sz w:val="20"/>
              </w:rPr>
            </w:pPr>
            <w:r w:rsidRPr="003A19F9">
              <w:rPr>
                <w:rFonts w:ascii="Arial Narrow" w:hAnsi="Arial Narrow"/>
                <w:b/>
                <w:sz w:val="20"/>
              </w:rPr>
              <w:t>N*</w:t>
            </w:r>
          </w:p>
        </w:tc>
        <w:tc>
          <w:tcPr>
            <w:tcW w:w="1526" w:type="pct"/>
            <w:shd w:val="clear" w:color="auto" w:fill="auto"/>
            <w:vAlign w:val="center"/>
          </w:tcPr>
          <w:p w:rsidR="0061033D" w:rsidRPr="003A19F9" w:rsidRDefault="0061033D" w:rsidP="008E2B5A">
            <w:pPr>
              <w:keepNext/>
              <w:jc w:val="center"/>
              <w:rPr>
                <w:rFonts w:ascii="Arial Narrow" w:hAnsi="Arial Narrow"/>
                <w:b/>
                <w:sz w:val="20"/>
              </w:rPr>
            </w:pPr>
            <w:r w:rsidRPr="003A19F9">
              <w:rPr>
                <w:rFonts w:ascii="Arial Narrow" w:hAnsi="Arial Narrow"/>
                <w:b/>
                <w:sz w:val="20"/>
              </w:rPr>
              <w:t>Design/ duration</w:t>
            </w:r>
          </w:p>
        </w:tc>
        <w:tc>
          <w:tcPr>
            <w:tcW w:w="508" w:type="pct"/>
            <w:shd w:val="clear" w:color="auto" w:fill="auto"/>
            <w:vAlign w:val="center"/>
          </w:tcPr>
          <w:p w:rsidR="0061033D" w:rsidRPr="003A19F9" w:rsidRDefault="0061033D" w:rsidP="008E2B5A">
            <w:pPr>
              <w:keepNext/>
              <w:jc w:val="center"/>
              <w:rPr>
                <w:rFonts w:ascii="Arial Narrow" w:hAnsi="Arial Narrow"/>
                <w:b/>
                <w:sz w:val="20"/>
              </w:rPr>
            </w:pPr>
            <w:r w:rsidRPr="003A19F9">
              <w:rPr>
                <w:rFonts w:ascii="Arial Narrow" w:hAnsi="Arial Narrow"/>
                <w:b/>
                <w:sz w:val="20"/>
              </w:rPr>
              <w:t>Risk of bias</w:t>
            </w:r>
          </w:p>
        </w:tc>
        <w:tc>
          <w:tcPr>
            <w:tcW w:w="594" w:type="pct"/>
            <w:shd w:val="clear" w:color="auto" w:fill="auto"/>
            <w:vAlign w:val="center"/>
          </w:tcPr>
          <w:p w:rsidR="0061033D" w:rsidRPr="003A19F9" w:rsidRDefault="0061033D" w:rsidP="008E2B5A">
            <w:pPr>
              <w:keepNext/>
              <w:jc w:val="center"/>
              <w:rPr>
                <w:rFonts w:ascii="Arial Narrow" w:hAnsi="Arial Narrow"/>
                <w:b/>
                <w:sz w:val="20"/>
              </w:rPr>
            </w:pPr>
            <w:r w:rsidRPr="003A19F9">
              <w:rPr>
                <w:rFonts w:ascii="Arial Narrow" w:hAnsi="Arial Narrow"/>
                <w:b/>
                <w:sz w:val="20"/>
              </w:rPr>
              <w:t>Patient population</w:t>
            </w:r>
          </w:p>
        </w:tc>
        <w:tc>
          <w:tcPr>
            <w:tcW w:w="935" w:type="pct"/>
            <w:shd w:val="clear" w:color="auto" w:fill="auto"/>
            <w:vAlign w:val="center"/>
          </w:tcPr>
          <w:p w:rsidR="0061033D" w:rsidRPr="003A19F9" w:rsidRDefault="0061033D" w:rsidP="008E2B5A">
            <w:pPr>
              <w:keepNext/>
              <w:jc w:val="center"/>
              <w:rPr>
                <w:rFonts w:ascii="Arial Narrow" w:hAnsi="Arial Narrow"/>
                <w:b/>
                <w:sz w:val="20"/>
              </w:rPr>
            </w:pPr>
            <w:r w:rsidRPr="003A19F9">
              <w:rPr>
                <w:rFonts w:ascii="Arial Narrow" w:hAnsi="Arial Narrow"/>
                <w:b/>
                <w:sz w:val="20"/>
              </w:rPr>
              <w:t>Outcomes</w:t>
            </w:r>
          </w:p>
        </w:tc>
      </w:tr>
      <w:tr w:rsidR="0061033D" w:rsidRPr="003A19F9" w:rsidTr="0061033D">
        <w:tc>
          <w:tcPr>
            <w:tcW w:w="5000" w:type="pct"/>
            <w:gridSpan w:val="6"/>
            <w:shd w:val="clear" w:color="auto" w:fill="FFFFFF"/>
          </w:tcPr>
          <w:p w:rsidR="0061033D" w:rsidRPr="003A19F9" w:rsidRDefault="0061033D" w:rsidP="008E2B5A">
            <w:pPr>
              <w:keepNext/>
              <w:jc w:val="left"/>
              <w:rPr>
                <w:rFonts w:ascii="Arial Narrow" w:hAnsi="Arial Narrow"/>
                <w:sz w:val="20"/>
              </w:rPr>
            </w:pPr>
            <w:r w:rsidRPr="003A19F9">
              <w:rPr>
                <w:rFonts w:ascii="Arial Narrow" w:hAnsi="Arial Narrow"/>
                <w:b/>
                <w:sz w:val="20"/>
              </w:rPr>
              <w:t>UST versus placebo</w:t>
            </w:r>
          </w:p>
        </w:tc>
      </w:tr>
      <w:tr w:rsidR="0061033D" w:rsidRPr="003A19F9" w:rsidTr="0061033D">
        <w:tc>
          <w:tcPr>
            <w:tcW w:w="1168" w:type="pct"/>
            <w:shd w:val="clear" w:color="auto" w:fill="FFFFFF"/>
            <w:vAlign w:val="center"/>
          </w:tcPr>
          <w:p w:rsidR="0061033D" w:rsidRPr="003A19F9" w:rsidRDefault="0061033D" w:rsidP="00465246">
            <w:pPr>
              <w:pStyle w:val="TableText0"/>
              <w:spacing w:before="0" w:after="0"/>
              <w:rPr>
                <w:rFonts w:cs="Arial"/>
              </w:rPr>
            </w:pPr>
            <w:r w:rsidRPr="003A19F9">
              <w:rPr>
                <w:rFonts w:cs="Arial"/>
              </w:rPr>
              <w:t>UST1(PSUMMIT-1)</w:t>
            </w:r>
          </w:p>
          <w:p w:rsidR="0061033D" w:rsidRPr="003A19F9" w:rsidRDefault="0061033D" w:rsidP="00465246">
            <w:pPr>
              <w:pStyle w:val="ListParagraph"/>
              <w:numPr>
                <w:ilvl w:val="0"/>
                <w:numId w:val="25"/>
              </w:numPr>
              <w:tabs>
                <w:tab w:val="left" w:pos="273"/>
              </w:tabs>
              <w:ind w:left="256" w:hanging="142"/>
              <w:jc w:val="left"/>
              <w:rPr>
                <w:rFonts w:ascii="Arial Narrow" w:hAnsi="Arial Narrow"/>
                <w:sz w:val="20"/>
              </w:rPr>
            </w:pPr>
            <w:r w:rsidRPr="003A19F9">
              <w:rPr>
                <w:rFonts w:ascii="Arial Narrow" w:hAnsi="Arial Narrow"/>
                <w:sz w:val="20"/>
              </w:rPr>
              <w:t>PBO</w:t>
            </w:r>
          </w:p>
          <w:p w:rsidR="0061033D" w:rsidRPr="003A19F9" w:rsidRDefault="0061033D" w:rsidP="00465246">
            <w:pPr>
              <w:pStyle w:val="ListParagraph"/>
              <w:numPr>
                <w:ilvl w:val="0"/>
                <w:numId w:val="25"/>
              </w:numPr>
              <w:tabs>
                <w:tab w:val="left" w:pos="273"/>
              </w:tabs>
              <w:ind w:left="256" w:hanging="142"/>
              <w:jc w:val="left"/>
              <w:rPr>
                <w:rFonts w:ascii="Arial Narrow" w:hAnsi="Arial Narrow"/>
                <w:b/>
                <w:sz w:val="20"/>
              </w:rPr>
            </w:pPr>
            <w:r w:rsidRPr="003A19F9">
              <w:rPr>
                <w:rFonts w:ascii="Arial Narrow" w:hAnsi="Arial Narrow"/>
                <w:sz w:val="20"/>
              </w:rPr>
              <w:t>UST45mg</w:t>
            </w:r>
          </w:p>
          <w:p w:rsidR="0061033D" w:rsidRPr="003A19F9" w:rsidRDefault="0061033D" w:rsidP="00465246">
            <w:pPr>
              <w:pStyle w:val="ListParagraph"/>
              <w:numPr>
                <w:ilvl w:val="0"/>
                <w:numId w:val="25"/>
              </w:numPr>
              <w:tabs>
                <w:tab w:val="left" w:pos="273"/>
              </w:tabs>
              <w:ind w:left="256" w:hanging="142"/>
              <w:jc w:val="left"/>
              <w:rPr>
                <w:rFonts w:ascii="Arial Narrow" w:hAnsi="Arial Narrow"/>
                <w:b/>
                <w:sz w:val="20"/>
              </w:rPr>
            </w:pPr>
            <w:r w:rsidRPr="003A19F9">
              <w:rPr>
                <w:rFonts w:ascii="Arial Narrow" w:hAnsi="Arial Narrow"/>
                <w:sz w:val="20"/>
              </w:rPr>
              <w:t>UST90mg</w:t>
            </w:r>
          </w:p>
        </w:tc>
        <w:tc>
          <w:tcPr>
            <w:tcW w:w="269" w:type="pct"/>
            <w:shd w:val="clear" w:color="auto" w:fill="FFFFFF"/>
            <w:vAlign w:val="center"/>
          </w:tcPr>
          <w:p w:rsidR="0061033D" w:rsidRPr="003A19F9" w:rsidRDefault="0061033D" w:rsidP="00465246">
            <w:pPr>
              <w:jc w:val="center"/>
              <w:rPr>
                <w:rFonts w:ascii="Arial Narrow" w:hAnsi="Arial Narrow"/>
                <w:sz w:val="20"/>
              </w:rPr>
            </w:pPr>
          </w:p>
          <w:p w:rsidR="0061033D" w:rsidRPr="003A19F9" w:rsidRDefault="0061033D" w:rsidP="00465246">
            <w:pPr>
              <w:jc w:val="center"/>
              <w:rPr>
                <w:rFonts w:ascii="Arial Narrow" w:hAnsi="Arial Narrow"/>
                <w:sz w:val="20"/>
              </w:rPr>
            </w:pPr>
            <w:r w:rsidRPr="003A19F9">
              <w:rPr>
                <w:rFonts w:ascii="Arial Narrow" w:hAnsi="Arial Narrow"/>
                <w:sz w:val="20"/>
              </w:rPr>
              <w:t>206</w:t>
            </w:r>
          </w:p>
          <w:p w:rsidR="0061033D" w:rsidRPr="003A19F9" w:rsidRDefault="0061033D" w:rsidP="00465246">
            <w:pPr>
              <w:jc w:val="center"/>
              <w:rPr>
                <w:rFonts w:ascii="Arial Narrow" w:hAnsi="Arial Narrow"/>
                <w:sz w:val="20"/>
              </w:rPr>
            </w:pPr>
            <w:r w:rsidRPr="003A19F9">
              <w:rPr>
                <w:rFonts w:ascii="Arial Narrow" w:hAnsi="Arial Narrow"/>
                <w:sz w:val="20"/>
              </w:rPr>
              <w:t>205</w:t>
            </w:r>
          </w:p>
          <w:p w:rsidR="0061033D" w:rsidRPr="003A19F9" w:rsidRDefault="0061033D" w:rsidP="00465246">
            <w:pPr>
              <w:jc w:val="center"/>
              <w:rPr>
                <w:rFonts w:ascii="Arial Narrow" w:hAnsi="Arial Narrow"/>
                <w:sz w:val="20"/>
              </w:rPr>
            </w:pPr>
            <w:r w:rsidRPr="003A19F9">
              <w:rPr>
                <w:rFonts w:ascii="Arial Narrow" w:hAnsi="Arial Narrow"/>
                <w:sz w:val="20"/>
              </w:rPr>
              <w:t>204</w:t>
            </w:r>
          </w:p>
        </w:tc>
        <w:tc>
          <w:tcPr>
            <w:tcW w:w="1526" w:type="pct"/>
            <w:shd w:val="clear" w:color="auto" w:fill="FFFFFF"/>
            <w:vAlign w:val="center"/>
          </w:tcPr>
          <w:p w:rsidR="0061033D" w:rsidRPr="003A19F9" w:rsidRDefault="0061033D" w:rsidP="00465246">
            <w:pPr>
              <w:jc w:val="center"/>
              <w:rPr>
                <w:rFonts w:ascii="Arial Narrow" w:hAnsi="Arial Narrow"/>
                <w:sz w:val="20"/>
              </w:rPr>
            </w:pPr>
            <w:r w:rsidRPr="003A19F9">
              <w:rPr>
                <w:rFonts w:ascii="Arial Narrow" w:hAnsi="Arial Narrow"/>
                <w:sz w:val="20"/>
              </w:rPr>
              <w:t>R, DB for 24wks, 104 sites (including 14 sites in Australia)</w:t>
            </w:r>
          </w:p>
          <w:p w:rsidR="0061033D" w:rsidRPr="003A19F9" w:rsidRDefault="0061033D" w:rsidP="00465246">
            <w:pPr>
              <w:jc w:val="center"/>
              <w:rPr>
                <w:rFonts w:ascii="Arial Narrow" w:hAnsi="Arial Narrow"/>
                <w:sz w:val="20"/>
              </w:rPr>
            </w:pPr>
            <w:r w:rsidRPr="003A19F9">
              <w:rPr>
                <w:rFonts w:ascii="Arial Narrow" w:hAnsi="Arial Narrow"/>
                <w:sz w:val="20"/>
              </w:rPr>
              <w:t>EE at wk16</w:t>
            </w:r>
            <w:r w:rsidRPr="003A19F9">
              <w:rPr>
                <w:rFonts w:ascii="Arial Narrow" w:hAnsi="Arial Narrow"/>
                <w:sz w:val="20"/>
                <w:vertAlign w:val="superscript"/>
              </w:rPr>
              <w:t>a</w:t>
            </w:r>
            <w:r w:rsidRPr="003A19F9">
              <w:rPr>
                <w:rFonts w:ascii="Arial Narrow" w:hAnsi="Arial Narrow"/>
                <w:sz w:val="20"/>
              </w:rPr>
              <w:t>, cross over for PBO to UST45mg Wks 24-108.</w:t>
            </w:r>
          </w:p>
        </w:tc>
        <w:tc>
          <w:tcPr>
            <w:tcW w:w="508" w:type="pct"/>
            <w:shd w:val="clear" w:color="auto" w:fill="FFFFFF"/>
            <w:vAlign w:val="center"/>
          </w:tcPr>
          <w:p w:rsidR="0061033D" w:rsidRPr="003A19F9" w:rsidRDefault="0061033D" w:rsidP="00465246">
            <w:pPr>
              <w:jc w:val="center"/>
              <w:rPr>
                <w:rFonts w:ascii="Arial Narrow" w:hAnsi="Arial Narrow"/>
                <w:sz w:val="20"/>
              </w:rPr>
            </w:pPr>
            <w:r w:rsidRPr="003A19F9">
              <w:rPr>
                <w:rFonts w:ascii="Arial Narrow" w:hAnsi="Arial Narrow"/>
                <w:sz w:val="20"/>
              </w:rPr>
              <w:t>Low</w:t>
            </w:r>
          </w:p>
        </w:tc>
        <w:tc>
          <w:tcPr>
            <w:tcW w:w="594" w:type="pct"/>
            <w:shd w:val="clear" w:color="auto" w:fill="FFFFFF"/>
            <w:vAlign w:val="center"/>
          </w:tcPr>
          <w:p w:rsidR="0061033D" w:rsidRPr="003A19F9" w:rsidRDefault="0061033D" w:rsidP="00465246">
            <w:pPr>
              <w:jc w:val="center"/>
              <w:rPr>
                <w:rFonts w:ascii="Arial Narrow" w:hAnsi="Arial Narrow"/>
                <w:sz w:val="20"/>
              </w:rPr>
            </w:pPr>
            <w:r w:rsidRPr="003A19F9">
              <w:rPr>
                <w:rFonts w:ascii="Arial Narrow" w:hAnsi="Arial Narrow"/>
                <w:sz w:val="20"/>
              </w:rPr>
              <w:t>TNF-α naive</w:t>
            </w:r>
          </w:p>
        </w:tc>
        <w:tc>
          <w:tcPr>
            <w:tcW w:w="935" w:type="pct"/>
            <w:shd w:val="clear" w:color="auto" w:fill="FFFFFF"/>
            <w:vAlign w:val="center"/>
          </w:tcPr>
          <w:p w:rsidR="0061033D" w:rsidRPr="003A19F9" w:rsidRDefault="0061033D" w:rsidP="00465246">
            <w:pPr>
              <w:jc w:val="center"/>
              <w:rPr>
                <w:rFonts w:ascii="Arial Narrow" w:hAnsi="Arial Narrow"/>
                <w:sz w:val="20"/>
              </w:rPr>
            </w:pPr>
            <w:r w:rsidRPr="003A19F9">
              <w:rPr>
                <w:rFonts w:ascii="Arial Narrow" w:hAnsi="Arial Narrow"/>
                <w:sz w:val="20"/>
              </w:rPr>
              <w:t>ACR20/50/70, PsARC</w:t>
            </w:r>
          </w:p>
          <w:p w:rsidR="0061033D" w:rsidRPr="003A19F9" w:rsidRDefault="0061033D" w:rsidP="00465246">
            <w:pPr>
              <w:jc w:val="center"/>
              <w:rPr>
                <w:rFonts w:ascii="Arial Narrow" w:hAnsi="Arial Narrow"/>
                <w:sz w:val="20"/>
              </w:rPr>
            </w:pPr>
            <w:r w:rsidRPr="003A19F9">
              <w:rPr>
                <w:rFonts w:ascii="Arial Narrow" w:hAnsi="Arial Narrow"/>
                <w:sz w:val="20"/>
              </w:rPr>
              <w:t>PASI75, HAQ-DI</w:t>
            </w:r>
          </w:p>
          <w:p w:rsidR="0061033D" w:rsidRPr="003A19F9" w:rsidRDefault="0061033D" w:rsidP="00465246">
            <w:pPr>
              <w:jc w:val="center"/>
              <w:rPr>
                <w:rFonts w:ascii="Arial Narrow" w:hAnsi="Arial Narrow"/>
                <w:sz w:val="20"/>
              </w:rPr>
            </w:pPr>
            <w:r w:rsidRPr="003A19F9">
              <w:rPr>
                <w:rFonts w:ascii="Arial Narrow" w:hAnsi="Arial Narrow"/>
                <w:sz w:val="20"/>
              </w:rPr>
              <w:t>(wk24 &amp;52) some results available at week 12.</w:t>
            </w:r>
          </w:p>
        </w:tc>
      </w:tr>
      <w:tr w:rsidR="0061033D" w:rsidRPr="003A19F9" w:rsidTr="0061033D">
        <w:tc>
          <w:tcPr>
            <w:tcW w:w="1168" w:type="pct"/>
            <w:shd w:val="clear" w:color="auto" w:fill="FFFFFF"/>
            <w:vAlign w:val="center"/>
          </w:tcPr>
          <w:p w:rsidR="0061033D" w:rsidRPr="003A19F9" w:rsidRDefault="0061033D" w:rsidP="00465246">
            <w:pPr>
              <w:pStyle w:val="TableText0"/>
              <w:spacing w:before="0" w:after="0"/>
              <w:rPr>
                <w:rFonts w:cs="Arial"/>
              </w:rPr>
            </w:pPr>
            <w:r w:rsidRPr="003A19F9">
              <w:rPr>
                <w:rFonts w:cs="Arial"/>
              </w:rPr>
              <w:t>UST2(PSUMMIT-2)</w:t>
            </w:r>
          </w:p>
          <w:p w:rsidR="0061033D" w:rsidRPr="003A19F9" w:rsidRDefault="0061033D" w:rsidP="00465246">
            <w:pPr>
              <w:pStyle w:val="ListParagraph"/>
              <w:numPr>
                <w:ilvl w:val="0"/>
                <w:numId w:val="25"/>
              </w:numPr>
              <w:tabs>
                <w:tab w:val="left" w:pos="273"/>
              </w:tabs>
              <w:ind w:left="256" w:hanging="142"/>
              <w:jc w:val="left"/>
              <w:rPr>
                <w:rFonts w:ascii="Arial Narrow" w:hAnsi="Arial Narrow"/>
                <w:sz w:val="20"/>
              </w:rPr>
            </w:pPr>
            <w:r w:rsidRPr="003A19F9">
              <w:rPr>
                <w:rFonts w:ascii="Arial Narrow" w:hAnsi="Arial Narrow"/>
                <w:sz w:val="20"/>
              </w:rPr>
              <w:t>PBO</w:t>
            </w:r>
          </w:p>
          <w:p w:rsidR="0061033D" w:rsidRPr="003A19F9" w:rsidRDefault="0061033D" w:rsidP="00465246">
            <w:pPr>
              <w:pStyle w:val="ListParagraph"/>
              <w:numPr>
                <w:ilvl w:val="0"/>
                <w:numId w:val="25"/>
              </w:numPr>
              <w:tabs>
                <w:tab w:val="left" w:pos="273"/>
              </w:tabs>
              <w:ind w:left="256" w:hanging="142"/>
              <w:jc w:val="left"/>
              <w:rPr>
                <w:rFonts w:ascii="Arial Narrow" w:hAnsi="Arial Narrow"/>
                <w:sz w:val="20"/>
              </w:rPr>
            </w:pPr>
            <w:r w:rsidRPr="003A19F9">
              <w:rPr>
                <w:rFonts w:ascii="Arial Narrow" w:hAnsi="Arial Narrow"/>
                <w:sz w:val="20"/>
              </w:rPr>
              <w:t>UST45mg</w:t>
            </w:r>
          </w:p>
          <w:p w:rsidR="0061033D" w:rsidRPr="003A19F9" w:rsidRDefault="0061033D" w:rsidP="00465246">
            <w:pPr>
              <w:pStyle w:val="ListParagraph"/>
              <w:numPr>
                <w:ilvl w:val="0"/>
                <w:numId w:val="25"/>
              </w:numPr>
              <w:tabs>
                <w:tab w:val="left" w:pos="273"/>
              </w:tabs>
              <w:ind w:left="256" w:hanging="142"/>
              <w:jc w:val="left"/>
              <w:rPr>
                <w:rFonts w:ascii="Arial Narrow" w:hAnsi="Arial Narrow"/>
                <w:sz w:val="20"/>
              </w:rPr>
            </w:pPr>
            <w:r w:rsidRPr="003A19F9">
              <w:rPr>
                <w:rFonts w:ascii="Arial Narrow" w:hAnsi="Arial Narrow"/>
                <w:sz w:val="20"/>
              </w:rPr>
              <w:t>UST90mg</w:t>
            </w:r>
          </w:p>
        </w:tc>
        <w:tc>
          <w:tcPr>
            <w:tcW w:w="269" w:type="pct"/>
            <w:shd w:val="clear" w:color="auto" w:fill="FFFFFF"/>
            <w:vAlign w:val="center"/>
          </w:tcPr>
          <w:p w:rsidR="0061033D" w:rsidRPr="003A19F9" w:rsidRDefault="0061033D" w:rsidP="00465246">
            <w:pPr>
              <w:jc w:val="center"/>
              <w:rPr>
                <w:rFonts w:ascii="Arial Narrow" w:hAnsi="Arial Narrow"/>
                <w:sz w:val="20"/>
              </w:rPr>
            </w:pPr>
          </w:p>
          <w:p w:rsidR="0061033D" w:rsidRPr="003A19F9" w:rsidRDefault="0061033D" w:rsidP="00465246">
            <w:pPr>
              <w:jc w:val="center"/>
              <w:rPr>
                <w:rFonts w:ascii="Arial Narrow" w:hAnsi="Arial Narrow"/>
                <w:sz w:val="20"/>
              </w:rPr>
            </w:pPr>
            <w:r w:rsidRPr="003A19F9">
              <w:rPr>
                <w:rFonts w:ascii="Arial Narrow" w:hAnsi="Arial Narrow"/>
                <w:sz w:val="20"/>
              </w:rPr>
              <w:t>104</w:t>
            </w:r>
          </w:p>
          <w:p w:rsidR="0061033D" w:rsidRPr="003A19F9" w:rsidRDefault="0061033D" w:rsidP="00465246">
            <w:pPr>
              <w:jc w:val="center"/>
              <w:rPr>
                <w:rFonts w:ascii="Arial Narrow" w:hAnsi="Arial Narrow"/>
                <w:sz w:val="20"/>
              </w:rPr>
            </w:pPr>
            <w:r w:rsidRPr="003A19F9">
              <w:rPr>
                <w:rFonts w:ascii="Arial Narrow" w:hAnsi="Arial Narrow"/>
                <w:sz w:val="20"/>
              </w:rPr>
              <w:t>103</w:t>
            </w:r>
          </w:p>
          <w:p w:rsidR="0061033D" w:rsidRPr="003A19F9" w:rsidRDefault="0061033D" w:rsidP="00465246">
            <w:pPr>
              <w:jc w:val="center"/>
              <w:rPr>
                <w:rFonts w:ascii="Arial Narrow" w:hAnsi="Arial Narrow"/>
                <w:sz w:val="20"/>
              </w:rPr>
            </w:pPr>
            <w:r w:rsidRPr="003A19F9">
              <w:rPr>
                <w:rFonts w:ascii="Arial Narrow" w:hAnsi="Arial Narrow"/>
                <w:sz w:val="20"/>
              </w:rPr>
              <w:t>105</w:t>
            </w:r>
          </w:p>
        </w:tc>
        <w:tc>
          <w:tcPr>
            <w:tcW w:w="1526" w:type="pct"/>
            <w:shd w:val="clear" w:color="auto" w:fill="FFFFFF"/>
            <w:vAlign w:val="center"/>
          </w:tcPr>
          <w:p w:rsidR="0061033D" w:rsidRPr="003A19F9" w:rsidRDefault="0061033D" w:rsidP="00465246">
            <w:pPr>
              <w:jc w:val="center"/>
              <w:rPr>
                <w:rFonts w:ascii="Arial Narrow" w:hAnsi="Arial Narrow"/>
                <w:sz w:val="20"/>
              </w:rPr>
            </w:pPr>
            <w:r w:rsidRPr="003A19F9">
              <w:rPr>
                <w:rFonts w:ascii="Arial Narrow" w:hAnsi="Arial Narrow"/>
                <w:sz w:val="20"/>
              </w:rPr>
              <w:t>R, DB for 24 wks, 71 sites in 10 countries, EE at wk16</w:t>
            </w:r>
            <w:r w:rsidRPr="003A19F9">
              <w:rPr>
                <w:rFonts w:ascii="Arial Narrow" w:hAnsi="Arial Narrow"/>
                <w:sz w:val="20"/>
                <w:vertAlign w:val="superscript"/>
              </w:rPr>
              <w:t>a</w:t>
            </w:r>
            <w:r w:rsidRPr="003A19F9">
              <w:rPr>
                <w:rFonts w:ascii="Arial Narrow" w:hAnsi="Arial Narrow"/>
                <w:sz w:val="20"/>
              </w:rPr>
              <w:t>, cross over for PBO to UST 45mg Wks 24-60.</w:t>
            </w:r>
          </w:p>
        </w:tc>
        <w:tc>
          <w:tcPr>
            <w:tcW w:w="508" w:type="pct"/>
            <w:shd w:val="clear" w:color="auto" w:fill="FFFFFF"/>
            <w:vAlign w:val="center"/>
          </w:tcPr>
          <w:p w:rsidR="0061033D" w:rsidRPr="003A19F9" w:rsidRDefault="0061033D" w:rsidP="00465246">
            <w:pPr>
              <w:jc w:val="center"/>
              <w:rPr>
                <w:rFonts w:ascii="Arial Narrow" w:hAnsi="Arial Narrow"/>
                <w:sz w:val="20"/>
              </w:rPr>
            </w:pPr>
            <w:r w:rsidRPr="003A19F9">
              <w:rPr>
                <w:rFonts w:ascii="Arial Narrow" w:hAnsi="Arial Narrow"/>
                <w:sz w:val="20"/>
              </w:rPr>
              <w:t>Low</w:t>
            </w:r>
          </w:p>
        </w:tc>
        <w:tc>
          <w:tcPr>
            <w:tcW w:w="594" w:type="pct"/>
            <w:shd w:val="clear" w:color="auto" w:fill="FFFFFF"/>
            <w:vAlign w:val="center"/>
          </w:tcPr>
          <w:p w:rsidR="0061033D" w:rsidRPr="003A19F9" w:rsidRDefault="0061033D" w:rsidP="00465246">
            <w:pPr>
              <w:jc w:val="center"/>
              <w:rPr>
                <w:rFonts w:ascii="Arial Narrow" w:hAnsi="Arial Narrow"/>
                <w:sz w:val="20"/>
              </w:rPr>
            </w:pPr>
            <w:r w:rsidRPr="003A19F9">
              <w:rPr>
                <w:rFonts w:ascii="Arial Narrow" w:hAnsi="Arial Narrow"/>
                <w:sz w:val="20"/>
              </w:rPr>
              <w:t>TNF-α naïve or experienced</w:t>
            </w:r>
          </w:p>
        </w:tc>
        <w:tc>
          <w:tcPr>
            <w:tcW w:w="935" w:type="pct"/>
            <w:shd w:val="clear" w:color="auto" w:fill="FFFFFF"/>
            <w:vAlign w:val="center"/>
          </w:tcPr>
          <w:p w:rsidR="0061033D" w:rsidRPr="003A19F9" w:rsidRDefault="0061033D" w:rsidP="00465246">
            <w:pPr>
              <w:jc w:val="center"/>
              <w:rPr>
                <w:rFonts w:ascii="Arial Narrow" w:hAnsi="Arial Narrow"/>
                <w:sz w:val="20"/>
                <w:lang w:val="it-IT"/>
              </w:rPr>
            </w:pPr>
            <w:r w:rsidRPr="003A19F9">
              <w:rPr>
                <w:rFonts w:ascii="Arial Narrow" w:hAnsi="Arial Narrow"/>
                <w:sz w:val="20"/>
                <w:lang w:val="it-IT"/>
              </w:rPr>
              <w:t>ACR20/50/70, PsARC</w:t>
            </w:r>
          </w:p>
          <w:p w:rsidR="0061033D" w:rsidRPr="003A19F9" w:rsidRDefault="0061033D" w:rsidP="00465246">
            <w:pPr>
              <w:jc w:val="center"/>
              <w:rPr>
                <w:rFonts w:ascii="Arial Narrow" w:hAnsi="Arial Narrow"/>
                <w:sz w:val="20"/>
                <w:lang w:val="it-IT"/>
              </w:rPr>
            </w:pPr>
            <w:r w:rsidRPr="003A19F9">
              <w:rPr>
                <w:rFonts w:ascii="Arial Narrow" w:hAnsi="Arial Narrow"/>
                <w:sz w:val="20"/>
                <w:lang w:val="it-IT"/>
              </w:rPr>
              <w:t>PASI50/75/90, SF36, HAQ-DI</w:t>
            </w:r>
          </w:p>
          <w:p w:rsidR="0061033D" w:rsidRPr="003A19F9" w:rsidRDefault="0061033D" w:rsidP="00465246">
            <w:pPr>
              <w:jc w:val="center"/>
              <w:rPr>
                <w:rFonts w:ascii="Arial Narrow" w:hAnsi="Arial Narrow"/>
                <w:sz w:val="20"/>
              </w:rPr>
            </w:pPr>
            <w:r w:rsidRPr="003A19F9">
              <w:rPr>
                <w:rFonts w:ascii="Arial Narrow" w:hAnsi="Arial Narrow"/>
                <w:sz w:val="20"/>
              </w:rPr>
              <w:t>(wk24 &amp;52)</w:t>
            </w:r>
          </w:p>
        </w:tc>
      </w:tr>
      <w:tr w:rsidR="0061033D" w:rsidRPr="003A19F9" w:rsidTr="0061033D">
        <w:tc>
          <w:tcPr>
            <w:tcW w:w="5000" w:type="pct"/>
            <w:gridSpan w:val="6"/>
            <w:shd w:val="clear" w:color="auto" w:fill="auto"/>
          </w:tcPr>
          <w:p w:rsidR="0061033D" w:rsidRPr="003A19F9" w:rsidRDefault="0061033D" w:rsidP="008E2B5A">
            <w:pPr>
              <w:keepNext/>
              <w:jc w:val="left"/>
              <w:rPr>
                <w:rFonts w:ascii="Arial Narrow" w:hAnsi="Arial Narrow"/>
                <w:b/>
                <w:sz w:val="20"/>
              </w:rPr>
            </w:pPr>
            <w:r w:rsidRPr="003A19F9">
              <w:rPr>
                <w:rFonts w:ascii="Arial Narrow" w:hAnsi="Arial Narrow"/>
                <w:b/>
                <w:sz w:val="20"/>
              </w:rPr>
              <w:t>ADA versus placebo</w:t>
            </w:r>
          </w:p>
        </w:tc>
      </w:tr>
      <w:tr w:rsidR="0061033D" w:rsidRPr="003A19F9" w:rsidTr="0061033D">
        <w:tc>
          <w:tcPr>
            <w:tcW w:w="1168" w:type="pct"/>
            <w:shd w:val="clear" w:color="auto" w:fill="auto"/>
            <w:vAlign w:val="center"/>
          </w:tcPr>
          <w:p w:rsidR="0061033D" w:rsidRPr="003A19F9" w:rsidRDefault="0061033D" w:rsidP="00465246">
            <w:pPr>
              <w:pStyle w:val="TableText0"/>
              <w:spacing w:before="0" w:after="0"/>
              <w:rPr>
                <w:rFonts w:cs="Arial"/>
              </w:rPr>
            </w:pPr>
            <w:r w:rsidRPr="003A19F9">
              <w:rPr>
                <w:rFonts w:cs="Arial"/>
              </w:rPr>
              <w:t>ADA1 (ADEPT)</w:t>
            </w:r>
          </w:p>
          <w:p w:rsidR="0061033D" w:rsidRPr="003A19F9" w:rsidRDefault="0061033D" w:rsidP="00465246">
            <w:pPr>
              <w:pStyle w:val="ListParagraph"/>
              <w:numPr>
                <w:ilvl w:val="0"/>
                <w:numId w:val="25"/>
              </w:numPr>
              <w:tabs>
                <w:tab w:val="left" w:pos="273"/>
              </w:tabs>
              <w:ind w:left="256" w:hanging="142"/>
              <w:jc w:val="left"/>
              <w:rPr>
                <w:rFonts w:ascii="Arial Narrow" w:hAnsi="Arial Narrow"/>
                <w:sz w:val="20"/>
              </w:rPr>
            </w:pPr>
            <w:r w:rsidRPr="003A19F9">
              <w:rPr>
                <w:rFonts w:ascii="Arial Narrow" w:hAnsi="Arial Narrow"/>
                <w:sz w:val="20"/>
              </w:rPr>
              <w:t>PBO</w:t>
            </w:r>
          </w:p>
          <w:p w:rsidR="0061033D" w:rsidRPr="003A19F9" w:rsidRDefault="0061033D" w:rsidP="00465246">
            <w:pPr>
              <w:pStyle w:val="ListParagraph"/>
              <w:numPr>
                <w:ilvl w:val="0"/>
                <w:numId w:val="25"/>
              </w:numPr>
              <w:tabs>
                <w:tab w:val="left" w:pos="273"/>
              </w:tabs>
              <w:ind w:left="256" w:hanging="142"/>
              <w:jc w:val="left"/>
              <w:rPr>
                <w:rFonts w:ascii="Arial Narrow" w:hAnsi="Arial Narrow"/>
                <w:sz w:val="20"/>
              </w:rPr>
            </w:pPr>
            <w:r w:rsidRPr="003A19F9">
              <w:rPr>
                <w:rFonts w:ascii="Arial Narrow" w:hAnsi="Arial Narrow"/>
                <w:sz w:val="20"/>
              </w:rPr>
              <w:t>ADA 40mg Q2W</w:t>
            </w:r>
          </w:p>
        </w:tc>
        <w:tc>
          <w:tcPr>
            <w:tcW w:w="269" w:type="pct"/>
            <w:shd w:val="clear" w:color="auto" w:fill="auto"/>
            <w:vAlign w:val="center"/>
          </w:tcPr>
          <w:p w:rsidR="0061033D" w:rsidRPr="003A19F9" w:rsidRDefault="0061033D" w:rsidP="00465246">
            <w:pPr>
              <w:jc w:val="center"/>
              <w:rPr>
                <w:rFonts w:ascii="Arial Narrow" w:hAnsi="Arial Narrow"/>
                <w:sz w:val="20"/>
              </w:rPr>
            </w:pPr>
          </w:p>
          <w:p w:rsidR="0061033D" w:rsidRPr="003A19F9" w:rsidRDefault="0061033D" w:rsidP="00465246">
            <w:pPr>
              <w:jc w:val="center"/>
              <w:rPr>
                <w:rFonts w:ascii="Arial Narrow" w:hAnsi="Arial Narrow"/>
                <w:sz w:val="20"/>
              </w:rPr>
            </w:pPr>
            <w:r w:rsidRPr="003A19F9">
              <w:rPr>
                <w:rFonts w:ascii="Arial Narrow" w:hAnsi="Arial Narrow"/>
                <w:sz w:val="20"/>
              </w:rPr>
              <w:t>162</w:t>
            </w:r>
          </w:p>
          <w:p w:rsidR="0061033D" w:rsidRPr="003A19F9" w:rsidRDefault="0061033D" w:rsidP="00465246">
            <w:pPr>
              <w:jc w:val="center"/>
              <w:rPr>
                <w:rFonts w:ascii="Arial Narrow" w:hAnsi="Arial Narrow"/>
                <w:sz w:val="20"/>
              </w:rPr>
            </w:pPr>
            <w:r w:rsidRPr="003A19F9">
              <w:rPr>
                <w:rFonts w:ascii="Arial Narrow" w:hAnsi="Arial Narrow"/>
                <w:sz w:val="20"/>
              </w:rPr>
              <w:t>151</w:t>
            </w:r>
          </w:p>
        </w:tc>
        <w:tc>
          <w:tcPr>
            <w:tcW w:w="1526" w:type="pct"/>
            <w:shd w:val="clear" w:color="auto" w:fill="auto"/>
            <w:vAlign w:val="center"/>
          </w:tcPr>
          <w:p w:rsidR="0061033D" w:rsidRPr="003A19F9" w:rsidRDefault="0061033D" w:rsidP="00465246">
            <w:pPr>
              <w:jc w:val="center"/>
              <w:rPr>
                <w:rFonts w:ascii="Arial Narrow" w:hAnsi="Arial Narrow"/>
                <w:sz w:val="20"/>
                <w:vertAlign w:val="superscript"/>
              </w:rPr>
            </w:pPr>
            <w:r w:rsidRPr="003A19F9">
              <w:rPr>
                <w:rFonts w:ascii="Arial Narrow" w:hAnsi="Arial Narrow"/>
                <w:sz w:val="20"/>
              </w:rPr>
              <w:t xml:space="preserve">R, DB for 24 weeks. 16 sites in US and Canada.  Crossover for PBO wk24-48, rescue meds after Wk12 with criterion </w:t>
            </w:r>
            <w:r w:rsidRPr="003A19F9">
              <w:rPr>
                <w:rFonts w:ascii="Arial Narrow" w:hAnsi="Arial Narrow"/>
                <w:sz w:val="20"/>
                <w:vertAlign w:val="superscript"/>
              </w:rPr>
              <w:t>b</w:t>
            </w:r>
          </w:p>
        </w:tc>
        <w:tc>
          <w:tcPr>
            <w:tcW w:w="508" w:type="pct"/>
            <w:shd w:val="clear" w:color="auto" w:fill="auto"/>
            <w:vAlign w:val="center"/>
          </w:tcPr>
          <w:p w:rsidR="0061033D" w:rsidRPr="003A19F9" w:rsidRDefault="0061033D" w:rsidP="00465246">
            <w:pPr>
              <w:jc w:val="center"/>
              <w:rPr>
                <w:rFonts w:ascii="Arial Narrow" w:hAnsi="Arial Narrow"/>
                <w:sz w:val="20"/>
              </w:rPr>
            </w:pPr>
            <w:r w:rsidRPr="003A19F9">
              <w:rPr>
                <w:rFonts w:ascii="Arial Narrow" w:hAnsi="Arial Narrow"/>
                <w:sz w:val="20"/>
              </w:rPr>
              <w:t>Low</w:t>
            </w:r>
          </w:p>
        </w:tc>
        <w:tc>
          <w:tcPr>
            <w:tcW w:w="594" w:type="pct"/>
            <w:shd w:val="clear" w:color="auto" w:fill="auto"/>
            <w:vAlign w:val="center"/>
          </w:tcPr>
          <w:p w:rsidR="0061033D" w:rsidRPr="003A19F9" w:rsidRDefault="0061033D" w:rsidP="00465246">
            <w:pPr>
              <w:jc w:val="center"/>
              <w:rPr>
                <w:rFonts w:ascii="Arial Narrow" w:hAnsi="Arial Narrow"/>
                <w:sz w:val="20"/>
              </w:rPr>
            </w:pPr>
            <w:r w:rsidRPr="003A19F9">
              <w:rPr>
                <w:rFonts w:ascii="Arial Narrow" w:hAnsi="Arial Narrow"/>
                <w:sz w:val="20"/>
              </w:rPr>
              <w:t>TNF-α naive</w:t>
            </w:r>
          </w:p>
        </w:tc>
        <w:tc>
          <w:tcPr>
            <w:tcW w:w="935" w:type="pct"/>
            <w:shd w:val="clear" w:color="auto" w:fill="auto"/>
            <w:vAlign w:val="center"/>
          </w:tcPr>
          <w:p w:rsidR="0061033D" w:rsidRPr="003A19F9" w:rsidRDefault="0061033D" w:rsidP="00465246">
            <w:pPr>
              <w:jc w:val="center"/>
              <w:rPr>
                <w:rFonts w:ascii="Arial Narrow" w:hAnsi="Arial Narrow"/>
                <w:sz w:val="20"/>
                <w:lang w:val="it-IT"/>
              </w:rPr>
            </w:pPr>
            <w:r w:rsidRPr="003A19F9">
              <w:rPr>
                <w:rFonts w:ascii="Arial Narrow" w:hAnsi="Arial Narrow"/>
                <w:sz w:val="20"/>
                <w:lang w:val="it-IT"/>
              </w:rPr>
              <w:t>ACR20/50/70, PsARC</w:t>
            </w:r>
          </w:p>
          <w:p w:rsidR="0061033D" w:rsidRPr="003A19F9" w:rsidRDefault="0061033D" w:rsidP="00465246">
            <w:pPr>
              <w:jc w:val="center"/>
              <w:rPr>
                <w:rFonts w:ascii="Arial Narrow" w:hAnsi="Arial Narrow"/>
                <w:sz w:val="20"/>
                <w:lang w:val="it-IT"/>
              </w:rPr>
            </w:pPr>
            <w:r w:rsidRPr="003A19F9">
              <w:rPr>
                <w:rFonts w:ascii="Arial Narrow" w:hAnsi="Arial Narrow"/>
                <w:sz w:val="20"/>
                <w:lang w:val="it-IT"/>
              </w:rPr>
              <w:t>PASI50/75/90, SF36, HAQ-DI</w:t>
            </w:r>
          </w:p>
          <w:p w:rsidR="0061033D" w:rsidRPr="003A19F9" w:rsidRDefault="0061033D" w:rsidP="00465246">
            <w:pPr>
              <w:jc w:val="center"/>
              <w:rPr>
                <w:rFonts w:ascii="Arial Narrow" w:hAnsi="Arial Narrow"/>
                <w:sz w:val="20"/>
              </w:rPr>
            </w:pPr>
            <w:r w:rsidRPr="003A19F9">
              <w:rPr>
                <w:rFonts w:ascii="Arial Narrow" w:hAnsi="Arial Narrow"/>
                <w:sz w:val="20"/>
              </w:rPr>
              <w:t>(wk12 &amp;24)</w:t>
            </w:r>
          </w:p>
        </w:tc>
      </w:tr>
      <w:tr w:rsidR="0061033D" w:rsidRPr="003A19F9" w:rsidTr="0061033D">
        <w:tc>
          <w:tcPr>
            <w:tcW w:w="1168" w:type="pct"/>
            <w:shd w:val="clear" w:color="auto" w:fill="auto"/>
            <w:vAlign w:val="center"/>
          </w:tcPr>
          <w:p w:rsidR="0061033D" w:rsidRPr="003A19F9" w:rsidRDefault="0061033D" w:rsidP="00465246">
            <w:pPr>
              <w:pStyle w:val="TableText0"/>
              <w:spacing w:before="0" w:after="0"/>
              <w:rPr>
                <w:rFonts w:cs="Arial"/>
              </w:rPr>
            </w:pPr>
            <w:r w:rsidRPr="003A19F9">
              <w:rPr>
                <w:rFonts w:cs="Arial"/>
              </w:rPr>
              <w:t>ADA2 (M02-570)</w:t>
            </w:r>
          </w:p>
          <w:p w:rsidR="0061033D" w:rsidRPr="003A19F9" w:rsidRDefault="0061033D" w:rsidP="00465246">
            <w:pPr>
              <w:pStyle w:val="ListParagraph"/>
              <w:numPr>
                <w:ilvl w:val="0"/>
                <w:numId w:val="25"/>
              </w:numPr>
              <w:tabs>
                <w:tab w:val="left" w:pos="273"/>
              </w:tabs>
              <w:ind w:left="256" w:hanging="142"/>
              <w:jc w:val="left"/>
              <w:rPr>
                <w:rFonts w:ascii="Arial Narrow" w:hAnsi="Arial Narrow"/>
                <w:sz w:val="20"/>
              </w:rPr>
            </w:pPr>
            <w:r w:rsidRPr="003A19F9">
              <w:rPr>
                <w:rFonts w:ascii="Arial Narrow" w:hAnsi="Arial Narrow"/>
                <w:sz w:val="20"/>
              </w:rPr>
              <w:t>PBO</w:t>
            </w:r>
          </w:p>
          <w:p w:rsidR="0061033D" w:rsidRPr="003A19F9" w:rsidRDefault="0061033D" w:rsidP="00465246">
            <w:pPr>
              <w:pStyle w:val="ListParagraph"/>
              <w:numPr>
                <w:ilvl w:val="0"/>
                <w:numId w:val="25"/>
              </w:numPr>
              <w:tabs>
                <w:tab w:val="left" w:pos="273"/>
              </w:tabs>
              <w:ind w:left="256" w:hanging="142"/>
              <w:jc w:val="left"/>
              <w:rPr>
                <w:rFonts w:ascii="Arial Narrow" w:hAnsi="Arial Narrow"/>
                <w:sz w:val="20"/>
              </w:rPr>
            </w:pPr>
            <w:r w:rsidRPr="003A19F9">
              <w:rPr>
                <w:rFonts w:ascii="Arial Narrow" w:hAnsi="Arial Narrow"/>
                <w:sz w:val="20"/>
              </w:rPr>
              <w:t>ADA 40mg Q2W</w:t>
            </w:r>
          </w:p>
        </w:tc>
        <w:tc>
          <w:tcPr>
            <w:tcW w:w="269" w:type="pct"/>
            <w:shd w:val="clear" w:color="auto" w:fill="auto"/>
            <w:vAlign w:val="center"/>
          </w:tcPr>
          <w:p w:rsidR="0061033D" w:rsidRPr="003A19F9" w:rsidRDefault="0061033D" w:rsidP="00465246">
            <w:pPr>
              <w:jc w:val="center"/>
              <w:rPr>
                <w:rFonts w:ascii="Arial Narrow" w:hAnsi="Arial Narrow"/>
                <w:sz w:val="20"/>
              </w:rPr>
            </w:pPr>
          </w:p>
          <w:p w:rsidR="0061033D" w:rsidRPr="003A19F9" w:rsidRDefault="0061033D" w:rsidP="00465246">
            <w:pPr>
              <w:jc w:val="center"/>
              <w:rPr>
                <w:rFonts w:ascii="Arial Narrow" w:hAnsi="Arial Narrow"/>
                <w:sz w:val="20"/>
              </w:rPr>
            </w:pPr>
            <w:r w:rsidRPr="003A19F9">
              <w:rPr>
                <w:rFonts w:ascii="Arial Narrow" w:hAnsi="Arial Narrow"/>
                <w:sz w:val="20"/>
              </w:rPr>
              <w:t>49</w:t>
            </w:r>
          </w:p>
          <w:p w:rsidR="0061033D" w:rsidRPr="003A19F9" w:rsidRDefault="0061033D" w:rsidP="00465246">
            <w:pPr>
              <w:jc w:val="center"/>
              <w:rPr>
                <w:rFonts w:ascii="Arial Narrow" w:hAnsi="Arial Narrow"/>
                <w:sz w:val="20"/>
              </w:rPr>
            </w:pPr>
            <w:r w:rsidRPr="003A19F9">
              <w:rPr>
                <w:rFonts w:ascii="Arial Narrow" w:hAnsi="Arial Narrow"/>
                <w:sz w:val="20"/>
              </w:rPr>
              <w:t>51</w:t>
            </w:r>
          </w:p>
        </w:tc>
        <w:tc>
          <w:tcPr>
            <w:tcW w:w="1526" w:type="pct"/>
            <w:shd w:val="clear" w:color="auto" w:fill="auto"/>
            <w:vAlign w:val="center"/>
          </w:tcPr>
          <w:p w:rsidR="0061033D" w:rsidRPr="003A19F9" w:rsidRDefault="0061033D" w:rsidP="00465246">
            <w:pPr>
              <w:jc w:val="center"/>
              <w:rPr>
                <w:rFonts w:ascii="Arial Narrow" w:hAnsi="Arial Narrow"/>
                <w:sz w:val="20"/>
              </w:rPr>
            </w:pPr>
            <w:r w:rsidRPr="003A19F9">
              <w:rPr>
                <w:rFonts w:ascii="Arial Narrow" w:hAnsi="Arial Narrow"/>
                <w:sz w:val="20"/>
              </w:rPr>
              <w:t>R, DB for 12 weeks, 50 sites in 8 countries, crossover for PBO wk12-24</w:t>
            </w:r>
          </w:p>
        </w:tc>
        <w:tc>
          <w:tcPr>
            <w:tcW w:w="508" w:type="pct"/>
            <w:shd w:val="clear" w:color="auto" w:fill="auto"/>
            <w:vAlign w:val="center"/>
          </w:tcPr>
          <w:p w:rsidR="0061033D" w:rsidRPr="003A19F9" w:rsidRDefault="0061033D" w:rsidP="00465246">
            <w:pPr>
              <w:jc w:val="center"/>
              <w:rPr>
                <w:rFonts w:ascii="Arial Narrow" w:hAnsi="Arial Narrow"/>
                <w:sz w:val="20"/>
              </w:rPr>
            </w:pPr>
            <w:r w:rsidRPr="003A19F9">
              <w:rPr>
                <w:rFonts w:ascii="Arial Narrow" w:hAnsi="Arial Narrow"/>
                <w:sz w:val="20"/>
              </w:rPr>
              <w:t>Low</w:t>
            </w:r>
          </w:p>
        </w:tc>
        <w:tc>
          <w:tcPr>
            <w:tcW w:w="594" w:type="pct"/>
            <w:shd w:val="clear" w:color="auto" w:fill="auto"/>
            <w:vAlign w:val="center"/>
          </w:tcPr>
          <w:p w:rsidR="0061033D" w:rsidRPr="003A19F9" w:rsidRDefault="0061033D" w:rsidP="00465246">
            <w:pPr>
              <w:jc w:val="center"/>
              <w:rPr>
                <w:rFonts w:ascii="Arial Narrow" w:hAnsi="Arial Narrow"/>
                <w:sz w:val="20"/>
              </w:rPr>
            </w:pPr>
            <w:r w:rsidRPr="003A19F9">
              <w:rPr>
                <w:rFonts w:ascii="Arial Narrow" w:hAnsi="Arial Narrow"/>
                <w:sz w:val="20"/>
              </w:rPr>
              <w:t>TNF-α naive</w:t>
            </w:r>
          </w:p>
        </w:tc>
        <w:tc>
          <w:tcPr>
            <w:tcW w:w="935" w:type="pct"/>
            <w:shd w:val="clear" w:color="auto" w:fill="auto"/>
            <w:vAlign w:val="center"/>
          </w:tcPr>
          <w:p w:rsidR="0061033D" w:rsidRPr="003A19F9" w:rsidRDefault="0061033D" w:rsidP="00465246">
            <w:pPr>
              <w:jc w:val="center"/>
              <w:rPr>
                <w:rFonts w:ascii="Arial Narrow" w:hAnsi="Arial Narrow"/>
                <w:sz w:val="20"/>
              </w:rPr>
            </w:pPr>
            <w:r w:rsidRPr="003A19F9">
              <w:rPr>
                <w:rFonts w:ascii="Arial Narrow" w:hAnsi="Arial Narrow"/>
                <w:sz w:val="20"/>
              </w:rPr>
              <w:t xml:space="preserve">ACR20/50/70, PsARC, SF36, HAQ-DI </w:t>
            </w:r>
          </w:p>
          <w:p w:rsidR="0061033D" w:rsidRPr="003A19F9" w:rsidRDefault="0061033D" w:rsidP="00465246">
            <w:pPr>
              <w:jc w:val="center"/>
              <w:rPr>
                <w:rFonts w:ascii="Arial Narrow" w:hAnsi="Arial Narrow"/>
                <w:sz w:val="20"/>
              </w:rPr>
            </w:pPr>
            <w:r w:rsidRPr="003A19F9">
              <w:rPr>
                <w:rFonts w:ascii="Arial Narrow" w:hAnsi="Arial Narrow"/>
                <w:sz w:val="20"/>
              </w:rPr>
              <w:t>(wk12)</w:t>
            </w:r>
          </w:p>
        </w:tc>
      </w:tr>
    </w:tbl>
    <w:p w:rsidR="009F0718" w:rsidRPr="00A440FC" w:rsidRDefault="009F0718" w:rsidP="00F0507B">
      <w:pPr>
        <w:pStyle w:val="TableFooter"/>
        <w:ind w:left="709"/>
        <w:rPr>
          <w:szCs w:val="18"/>
        </w:rPr>
      </w:pPr>
      <w:r w:rsidRPr="00A440FC">
        <w:rPr>
          <w:szCs w:val="18"/>
        </w:rPr>
        <w:t xml:space="preserve">Abbreviations: DB=double blind; MC=multi-centre; OL=open label; R=randomised, EE=early escape, Q2W=every 2weeks; </w:t>
      </w:r>
      <w:r w:rsidRPr="00A440FC">
        <w:rPr>
          <w:szCs w:val="18"/>
        </w:rPr>
        <w:lastRenderedPageBreak/>
        <w:t>Q4W=every 4 weeks, TJC=tender joint count, SJC=swollen joint count, LOCF=last observation carried forward, PASI=Psoriasis Area and Severity Index., HAQ-DI=</w:t>
      </w:r>
      <w:r w:rsidRPr="00A440FC">
        <w:t xml:space="preserve"> </w:t>
      </w:r>
      <w:r w:rsidRPr="00A440FC">
        <w:rPr>
          <w:szCs w:val="18"/>
        </w:rPr>
        <w:t>Health Assessment Questionnaire disability index; ACR 20/50/70=American College of Rheumatology 20%, 50% or 70% improvement criteria, PsARC=Psoriatic arthritis response criteria.</w:t>
      </w:r>
    </w:p>
    <w:p w:rsidR="009F0718" w:rsidRPr="00A440FC" w:rsidRDefault="009F0718" w:rsidP="00F0507B">
      <w:pPr>
        <w:pStyle w:val="TableFooter"/>
        <w:ind w:left="709"/>
        <w:rPr>
          <w:szCs w:val="18"/>
        </w:rPr>
      </w:pPr>
      <w:r w:rsidRPr="00A440FC">
        <w:rPr>
          <w:szCs w:val="18"/>
        </w:rPr>
        <w:t>*</w:t>
      </w:r>
      <w:r w:rsidRPr="00A440FC">
        <w:rPr>
          <w:szCs w:val="18"/>
        </w:rPr>
        <w:tab/>
        <w:t>number of patients analysed.</w:t>
      </w:r>
    </w:p>
    <w:p w:rsidR="009F0718" w:rsidRPr="00A440FC" w:rsidRDefault="009F0718" w:rsidP="00F0507B">
      <w:pPr>
        <w:pStyle w:val="TableFooter"/>
        <w:ind w:left="709"/>
        <w:rPr>
          <w:szCs w:val="18"/>
        </w:rPr>
      </w:pPr>
      <w:r w:rsidRPr="00A440FC">
        <w:rPr>
          <w:szCs w:val="18"/>
          <w:vertAlign w:val="superscript"/>
        </w:rPr>
        <w:t>a</w:t>
      </w:r>
      <w:r w:rsidRPr="00A440FC">
        <w:rPr>
          <w:szCs w:val="18"/>
          <w:vertAlign w:val="superscript"/>
        </w:rPr>
        <w:tab/>
        <w:t xml:space="preserve"> </w:t>
      </w:r>
      <w:r w:rsidRPr="00A440FC">
        <w:rPr>
          <w:szCs w:val="18"/>
        </w:rPr>
        <w:t>At Week 16 patients treated with PBO or UST 45 mg with &lt; 5% improvement in TJC and SJC enter early escape with UST 45 mg and UST 90 mg respectively. LOCF was used for efficacy analyses.</w:t>
      </w:r>
    </w:p>
    <w:p w:rsidR="009F0718" w:rsidRPr="00A440FC" w:rsidRDefault="009F0718" w:rsidP="00F0507B">
      <w:pPr>
        <w:pStyle w:val="TableFooter"/>
        <w:ind w:left="709"/>
        <w:rPr>
          <w:szCs w:val="16"/>
        </w:rPr>
      </w:pPr>
      <w:r w:rsidRPr="00A440FC">
        <w:rPr>
          <w:szCs w:val="18"/>
          <w:vertAlign w:val="superscript"/>
        </w:rPr>
        <w:t>b</w:t>
      </w:r>
      <w:r w:rsidRPr="00A440FC">
        <w:rPr>
          <w:szCs w:val="18"/>
          <w:vertAlign w:val="superscript"/>
        </w:rPr>
        <w:tab/>
      </w:r>
      <w:r w:rsidRPr="00A440FC">
        <w:rPr>
          <w:szCs w:val="18"/>
        </w:rPr>
        <w:t>rescue meds (corticosteroids or DMARDs) were initiated in patients who failed to have achieved at least a 20% decrease in both SJC and TJC on two consecutive visits, these patients were considered non-responders.</w:t>
      </w:r>
      <w:r>
        <w:rPr>
          <w:szCs w:val="18"/>
        </w:rPr>
        <w:t xml:space="preserve"> </w:t>
      </w:r>
      <w:r w:rsidRPr="00A440FC">
        <w:rPr>
          <w:szCs w:val="16"/>
        </w:rPr>
        <w:t>Source: Table B.13, p39 of the submission.</w:t>
      </w:r>
    </w:p>
    <w:p w:rsidR="002F7398" w:rsidRPr="003A19F9" w:rsidRDefault="002F7398" w:rsidP="0007024F">
      <w:pPr>
        <w:ind w:left="709"/>
        <w:rPr>
          <w:iCs/>
        </w:rPr>
      </w:pPr>
    </w:p>
    <w:p w:rsidR="0007024F" w:rsidRPr="008E2B5A" w:rsidRDefault="0007024F" w:rsidP="008E2B5A">
      <w:pPr>
        <w:pStyle w:val="ListParagraph"/>
        <w:widowControl/>
        <w:numPr>
          <w:ilvl w:val="1"/>
          <w:numId w:val="13"/>
        </w:numPr>
        <w:rPr>
          <w:szCs w:val="22"/>
        </w:rPr>
      </w:pPr>
      <w:r w:rsidRPr="008E2B5A">
        <w:rPr>
          <w:szCs w:val="22"/>
        </w:rPr>
        <w:t>The main di</w:t>
      </w:r>
      <w:r w:rsidR="00C57196">
        <w:rPr>
          <w:szCs w:val="22"/>
        </w:rPr>
        <w:t>fference</w:t>
      </w:r>
      <w:r w:rsidRPr="008E2B5A">
        <w:rPr>
          <w:szCs w:val="22"/>
        </w:rPr>
        <w:t xml:space="preserve"> between the trials is that the ADA trials enrolled anti-TNF-α naïve patients whereas the UST2 (PSUMMIT2) trial recruited both anti-TNF-α </w:t>
      </w:r>
      <w:r w:rsidR="00461522">
        <w:rPr>
          <w:szCs w:val="22"/>
        </w:rPr>
        <w:t>naïve and experienced patients.</w:t>
      </w:r>
      <w:r w:rsidRPr="008E2B5A">
        <w:rPr>
          <w:szCs w:val="22"/>
        </w:rPr>
        <w:t xml:space="preserve"> </w:t>
      </w:r>
      <w:r w:rsidRPr="00F96499">
        <w:rPr>
          <w:szCs w:val="22"/>
        </w:rPr>
        <w:t>The assessment of treatment response was earlier for the ADA trials (initial response at 12 weeks and continuing response at 24 weeks) and later for UST trials (initial response at 24 week</w:t>
      </w:r>
      <w:r w:rsidR="00461522" w:rsidRPr="00F96499">
        <w:rPr>
          <w:szCs w:val="22"/>
        </w:rPr>
        <w:t>s and continuing response at 52 </w:t>
      </w:r>
      <w:r w:rsidR="00784A95" w:rsidRPr="00F96499">
        <w:rPr>
          <w:szCs w:val="22"/>
        </w:rPr>
        <w:t>weeks).</w:t>
      </w:r>
      <w:r w:rsidRPr="00F96499">
        <w:rPr>
          <w:szCs w:val="22"/>
        </w:rPr>
        <w:t xml:space="preserve"> For all trials, placebo treated patients were permitted to cross over to active treatment after the double blind phase, 24 week</w:t>
      </w:r>
      <w:r w:rsidR="009F0718" w:rsidRPr="00F96499">
        <w:rPr>
          <w:szCs w:val="22"/>
        </w:rPr>
        <w:t>s</w:t>
      </w:r>
      <w:r w:rsidRPr="00F96499">
        <w:rPr>
          <w:szCs w:val="22"/>
        </w:rPr>
        <w:t xml:space="preserve"> for UST1</w:t>
      </w:r>
      <w:r w:rsidR="009F0718" w:rsidRPr="00F96499">
        <w:rPr>
          <w:szCs w:val="22"/>
        </w:rPr>
        <w:t>,</w:t>
      </w:r>
      <w:r w:rsidRPr="00F96499">
        <w:rPr>
          <w:szCs w:val="22"/>
        </w:rPr>
        <w:t xml:space="preserve"> UST2 and ADA1</w:t>
      </w:r>
      <w:r w:rsidR="009F0718" w:rsidRPr="00F96499">
        <w:rPr>
          <w:szCs w:val="22"/>
        </w:rPr>
        <w:t>;</w:t>
      </w:r>
      <w:r w:rsidRPr="00F96499">
        <w:rPr>
          <w:szCs w:val="22"/>
        </w:rPr>
        <w:t xml:space="preserve"> </w:t>
      </w:r>
      <w:r w:rsidR="00461522" w:rsidRPr="00F96499">
        <w:rPr>
          <w:szCs w:val="22"/>
        </w:rPr>
        <w:t xml:space="preserve">and 12 weeks for ADA2. </w:t>
      </w:r>
      <w:r w:rsidRPr="00F96499">
        <w:rPr>
          <w:szCs w:val="22"/>
        </w:rPr>
        <w:t>For the UST trials, for patients in the placebo and UST45mg arms, early escape to either UST45mg or UST90mg respectively was also possible before initial treatment assessment (</w:t>
      </w:r>
      <w:r w:rsidR="00112911" w:rsidRPr="00F96499">
        <w:rPr>
          <w:szCs w:val="22"/>
        </w:rPr>
        <w:t>i.e.</w:t>
      </w:r>
      <w:r w:rsidRPr="00F96499">
        <w:rPr>
          <w:szCs w:val="22"/>
        </w:rPr>
        <w:t xml:space="preserve">, at 16 weeks) if patients showed less than 5% improvement in </w:t>
      </w:r>
      <w:r w:rsidR="00784A95" w:rsidRPr="00F96499">
        <w:rPr>
          <w:szCs w:val="22"/>
        </w:rPr>
        <w:t>swollen joint count</w:t>
      </w:r>
      <w:r w:rsidRPr="00F96499">
        <w:rPr>
          <w:szCs w:val="22"/>
        </w:rPr>
        <w:t xml:space="preserve"> and </w:t>
      </w:r>
      <w:r w:rsidR="00784A95" w:rsidRPr="00F96499">
        <w:rPr>
          <w:szCs w:val="22"/>
        </w:rPr>
        <w:t xml:space="preserve">tender joint count. </w:t>
      </w:r>
      <w:r w:rsidRPr="00F96499">
        <w:rPr>
          <w:szCs w:val="22"/>
        </w:rPr>
        <w:t>Last observation carried forward method was used to imp</w:t>
      </w:r>
      <w:r w:rsidR="008E2B5A" w:rsidRPr="00F96499">
        <w:rPr>
          <w:szCs w:val="22"/>
        </w:rPr>
        <w:t>ute for the efficacy analyses.</w:t>
      </w:r>
      <w:r w:rsidR="008E2B5A">
        <w:rPr>
          <w:szCs w:val="22"/>
        </w:rPr>
        <w:t xml:space="preserve"> </w:t>
      </w:r>
    </w:p>
    <w:p w:rsidR="00B60939" w:rsidRDefault="00B60939" w:rsidP="00B60939">
      <w:pPr>
        <w:rPr>
          <w:szCs w:val="22"/>
        </w:rPr>
      </w:pPr>
    </w:p>
    <w:p w:rsidR="00B60939" w:rsidRPr="007D3A7E" w:rsidRDefault="00B60939" w:rsidP="007D3A7E">
      <w:pPr>
        <w:pStyle w:val="BodyText"/>
        <w:rPr>
          <w:b/>
        </w:rPr>
      </w:pPr>
      <w:bookmarkStart w:id="7" w:name="_Toc398544304"/>
      <w:r w:rsidRPr="007D3A7E">
        <w:rPr>
          <w:b/>
        </w:rPr>
        <w:t>Comparative effectiveness</w:t>
      </w:r>
      <w:bookmarkEnd w:id="7"/>
    </w:p>
    <w:p w:rsidR="00B60939" w:rsidRPr="003A19F9" w:rsidRDefault="00B60939" w:rsidP="00B60939">
      <w:pPr>
        <w:rPr>
          <w:szCs w:val="22"/>
        </w:rPr>
      </w:pPr>
    </w:p>
    <w:p w:rsidR="005D02B9" w:rsidRPr="005D02B9" w:rsidRDefault="00D514A7" w:rsidP="00095BC8">
      <w:pPr>
        <w:pStyle w:val="ListParagraph"/>
        <w:numPr>
          <w:ilvl w:val="1"/>
          <w:numId w:val="13"/>
        </w:numPr>
        <w:rPr>
          <w:iCs/>
        </w:rPr>
      </w:pPr>
      <w:r>
        <w:rPr>
          <w:szCs w:val="22"/>
        </w:rPr>
        <w:t xml:space="preserve">Response to the currently PBS-listed bDMARDs for PsA is determined by the American College of Rheumatology 20% and 50% improvement criteria (ACR20 and ACR50). </w:t>
      </w:r>
    </w:p>
    <w:p w:rsidR="005D02B9" w:rsidRPr="005D02B9" w:rsidRDefault="005D02B9" w:rsidP="005D02B9">
      <w:pPr>
        <w:pStyle w:val="ListParagraph"/>
        <w:rPr>
          <w:iCs/>
        </w:rPr>
      </w:pPr>
    </w:p>
    <w:p w:rsidR="005D02B9" w:rsidRDefault="0075170B" w:rsidP="00095BC8">
      <w:pPr>
        <w:pStyle w:val="ListParagraph"/>
        <w:numPr>
          <w:ilvl w:val="1"/>
          <w:numId w:val="13"/>
        </w:numPr>
        <w:rPr>
          <w:iCs/>
        </w:rPr>
      </w:pPr>
      <w:r w:rsidRPr="00663836">
        <w:rPr>
          <w:iCs/>
          <w:szCs w:val="22"/>
        </w:rPr>
        <w:t>The submission appropriately nominated ACR50</w:t>
      </w:r>
      <w:r w:rsidR="00382997">
        <w:rPr>
          <w:iCs/>
          <w:szCs w:val="22"/>
        </w:rPr>
        <w:t xml:space="preserve">, </w:t>
      </w:r>
      <w:r w:rsidR="0055010D">
        <w:rPr>
          <w:iCs/>
          <w:szCs w:val="22"/>
        </w:rPr>
        <w:t>at</w:t>
      </w:r>
      <w:r w:rsidR="0055010D" w:rsidRPr="0055010D">
        <w:t xml:space="preserve"> </w:t>
      </w:r>
      <w:r w:rsidR="0055010D" w:rsidRPr="00663836">
        <w:t>24 weeks for UST and 12 weeks for ADA</w:t>
      </w:r>
      <w:r w:rsidR="00382997">
        <w:t>,</w:t>
      </w:r>
      <w:r w:rsidR="0055010D">
        <w:rPr>
          <w:iCs/>
          <w:szCs w:val="22"/>
        </w:rPr>
        <w:t xml:space="preserve"> </w:t>
      </w:r>
      <w:r w:rsidRPr="00663836">
        <w:rPr>
          <w:iCs/>
          <w:szCs w:val="22"/>
        </w:rPr>
        <w:t>as the most relevant outcome for assessing PBS response to treatment for PsA</w:t>
      </w:r>
      <w:r w:rsidR="0076168A">
        <w:t>.</w:t>
      </w:r>
      <w:r w:rsidR="0058165A" w:rsidRPr="00663836">
        <w:t xml:space="preserve"> The submission also </w:t>
      </w:r>
      <w:r w:rsidR="0058165A" w:rsidRPr="00663836">
        <w:rPr>
          <w:iCs/>
        </w:rPr>
        <w:t>appropriately</w:t>
      </w:r>
      <w:r w:rsidR="0058165A" w:rsidRPr="00663836">
        <w:t xml:space="preserve"> nominated ACR20, ACR70, PASI75, HAQ-DI and PsARC as secondary outcomes. </w:t>
      </w:r>
      <w:r w:rsidR="0058165A" w:rsidRPr="00663836">
        <w:rPr>
          <w:iCs/>
        </w:rPr>
        <w:t>These outcomes measure either the arthritis or the psoriasis component of PsA or the disease related quality of life</w:t>
      </w:r>
      <w:r w:rsidR="003B5E83" w:rsidRPr="00663836">
        <w:rPr>
          <w:iCs/>
        </w:rPr>
        <w:t>.</w:t>
      </w:r>
      <w:r w:rsidR="0058165A" w:rsidRPr="00663836">
        <w:rPr>
          <w:iCs/>
        </w:rPr>
        <w:t xml:space="preserve"> </w:t>
      </w:r>
      <w:r w:rsidR="00095BC8" w:rsidRPr="00663836">
        <w:rPr>
          <w:iCs/>
        </w:rPr>
        <w:t xml:space="preserve">The ESC considered that ACR50 was the primary outcome of interest as the more stringent of the two joint responses and given the importance of the joint outcome in the </w:t>
      </w:r>
      <w:r w:rsidR="002A70DF">
        <w:rPr>
          <w:iCs/>
        </w:rPr>
        <w:t xml:space="preserve">proposed </w:t>
      </w:r>
      <w:r w:rsidR="00095BC8" w:rsidRPr="00663836">
        <w:rPr>
          <w:iCs/>
        </w:rPr>
        <w:t xml:space="preserve">criteria for eligibility for continuing treatment with ustekinumab. </w:t>
      </w:r>
    </w:p>
    <w:p w:rsidR="005D02B9" w:rsidRDefault="005D02B9" w:rsidP="005D02B9">
      <w:pPr>
        <w:pStyle w:val="ListParagraph"/>
        <w:rPr>
          <w:iCs/>
        </w:rPr>
      </w:pPr>
    </w:p>
    <w:p w:rsidR="0075170B" w:rsidRPr="00663836" w:rsidRDefault="00382997" w:rsidP="00095BC8">
      <w:pPr>
        <w:pStyle w:val="ListParagraph"/>
        <w:numPr>
          <w:ilvl w:val="1"/>
          <w:numId w:val="13"/>
        </w:numPr>
        <w:rPr>
          <w:iCs/>
        </w:rPr>
      </w:pPr>
      <w:r>
        <w:rPr>
          <w:iCs/>
        </w:rPr>
        <w:t>The submission further presented n</w:t>
      </w:r>
      <w:r w:rsidR="0058165A" w:rsidRPr="00663836">
        <w:rPr>
          <w:iCs/>
        </w:rPr>
        <w:t xml:space="preserve">on comparative data reported at Week 52 for UST and Week 48 for ADA (ADA1) as supportive outcomes to </w:t>
      </w:r>
      <w:r>
        <w:rPr>
          <w:iCs/>
        </w:rPr>
        <w:t>demonstrate</w:t>
      </w:r>
      <w:r w:rsidRPr="00663836">
        <w:rPr>
          <w:iCs/>
        </w:rPr>
        <w:t xml:space="preserve"> </w:t>
      </w:r>
      <w:r w:rsidR="0058165A" w:rsidRPr="00663836">
        <w:rPr>
          <w:iCs/>
        </w:rPr>
        <w:t xml:space="preserve">continued </w:t>
      </w:r>
      <w:r>
        <w:rPr>
          <w:iCs/>
        </w:rPr>
        <w:t xml:space="preserve">treatment </w:t>
      </w:r>
      <w:r w:rsidR="0058165A" w:rsidRPr="00663836">
        <w:rPr>
          <w:iCs/>
        </w:rPr>
        <w:t xml:space="preserve">response.  </w:t>
      </w:r>
    </w:p>
    <w:p w:rsidR="0075170B" w:rsidRPr="003A19F9" w:rsidRDefault="0075170B" w:rsidP="0075170B">
      <w:pPr>
        <w:widowControl/>
        <w:rPr>
          <w:szCs w:val="22"/>
        </w:rPr>
      </w:pPr>
    </w:p>
    <w:p w:rsidR="000133CC" w:rsidRDefault="006D235F" w:rsidP="006341F2">
      <w:pPr>
        <w:pStyle w:val="ListParagraph"/>
        <w:widowControl/>
        <w:numPr>
          <w:ilvl w:val="1"/>
          <w:numId w:val="13"/>
        </w:numPr>
        <w:rPr>
          <w:szCs w:val="22"/>
        </w:rPr>
      </w:pPr>
      <w:r>
        <w:rPr>
          <w:szCs w:val="22"/>
        </w:rPr>
        <w:t>T</w:t>
      </w:r>
      <w:r w:rsidR="009C48D0" w:rsidRPr="003A19F9">
        <w:rPr>
          <w:szCs w:val="22"/>
        </w:rPr>
        <w:t>he results for ACR50</w:t>
      </w:r>
      <w:r>
        <w:rPr>
          <w:szCs w:val="22"/>
        </w:rPr>
        <w:t xml:space="preserve"> and ACR20</w:t>
      </w:r>
      <w:r w:rsidR="009C48D0" w:rsidRPr="003A19F9">
        <w:rPr>
          <w:szCs w:val="22"/>
        </w:rPr>
        <w:t xml:space="preserve"> response for </w:t>
      </w:r>
      <w:r w:rsidR="00DC1B44">
        <w:rPr>
          <w:szCs w:val="22"/>
        </w:rPr>
        <w:t>UST</w:t>
      </w:r>
      <w:r w:rsidR="00DC1B44" w:rsidRPr="003A19F9">
        <w:rPr>
          <w:szCs w:val="22"/>
        </w:rPr>
        <w:t xml:space="preserve"> </w:t>
      </w:r>
      <w:r w:rsidR="009C48D0" w:rsidRPr="003A19F9">
        <w:rPr>
          <w:szCs w:val="22"/>
        </w:rPr>
        <w:t>(24 weeks) and adalimumab (12 weeks)</w:t>
      </w:r>
      <w:r w:rsidR="00F619B0" w:rsidRPr="003A19F9">
        <w:rPr>
          <w:szCs w:val="22"/>
        </w:rPr>
        <w:t xml:space="preserve"> </w:t>
      </w:r>
      <w:r>
        <w:rPr>
          <w:szCs w:val="22"/>
        </w:rPr>
        <w:t xml:space="preserve">are presented in the </w:t>
      </w:r>
      <w:r w:rsidR="00CE7FA0">
        <w:rPr>
          <w:szCs w:val="22"/>
        </w:rPr>
        <w:t xml:space="preserve">two </w:t>
      </w:r>
      <w:r w:rsidR="00D2044C">
        <w:rPr>
          <w:szCs w:val="22"/>
        </w:rPr>
        <w:t>following f</w:t>
      </w:r>
      <w:r>
        <w:rPr>
          <w:szCs w:val="22"/>
        </w:rPr>
        <w:t>igure</w:t>
      </w:r>
      <w:r w:rsidR="0013495E">
        <w:rPr>
          <w:szCs w:val="22"/>
        </w:rPr>
        <w:t>s</w:t>
      </w:r>
      <w:r w:rsidR="00CE7FA0">
        <w:rPr>
          <w:szCs w:val="22"/>
        </w:rPr>
        <w:t>,</w:t>
      </w:r>
      <w:r w:rsidR="000133CC">
        <w:rPr>
          <w:szCs w:val="22"/>
        </w:rPr>
        <w:t xml:space="preserve"> respectively.</w:t>
      </w:r>
      <w:r w:rsidR="006341F2" w:rsidRPr="003A19F9">
        <w:rPr>
          <w:szCs w:val="22"/>
        </w:rPr>
        <w:t xml:space="preserve">  </w:t>
      </w:r>
    </w:p>
    <w:p w:rsidR="00784A95" w:rsidRPr="00784A95" w:rsidRDefault="00784A95" w:rsidP="00784A95">
      <w:pPr>
        <w:widowControl/>
        <w:rPr>
          <w:szCs w:val="22"/>
        </w:rPr>
      </w:pPr>
    </w:p>
    <w:p w:rsidR="007F1017" w:rsidRPr="003A19F9" w:rsidRDefault="009C48D0" w:rsidP="009150CD">
      <w:pPr>
        <w:keepNext/>
        <w:ind w:left="709"/>
        <w:rPr>
          <w:rStyle w:val="CommentReference"/>
        </w:rPr>
      </w:pPr>
      <w:r w:rsidRPr="003A19F9">
        <w:rPr>
          <w:rStyle w:val="CommentReference"/>
        </w:rPr>
        <w:t>Results of ACR50 response at Week 24 for UST and Week 12 for ADA across the randomised trials</w:t>
      </w:r>
    </w:p>
    <w:p w:rsidR="006D235F" w:rsidRPr="00F27468" w:rsidRDefault="00F27468" w:rsidP="00F27468">
      <w:pPr>
        <w:pStyle w:val="BodyText"/>
        <w:ind w:left="709"/>
        <w:jc w:val="both"/>
        <w:rPr>
          <w:b/>
          <w:i/>
        </w:rPr>
      </w:pPr>
      <w:r w:rsidRPr="00F27468">
        <w:rPr>
          <w:b/>
          <w:i/>
          <w:szCs w:val="22"/>
        </w:rPr>
        <w:t>[This figure has been redacted]</w:t>
      </w:r>
    </w:p>
    <w:p w:rsidR="00F27468" w:rsidRDefault="00F27468" w:rsidP="00F27468">
      <w:pPr>
        <w:pStyle w:val="BodyText"/>
        <w:rPr>
          <w:rStyle w:val="CommentReference"/>
        </w:rPr>
      </w:pPr>
    </w:p>
    <w:p w:rsidR="00F27468" w:rsidRDefault="00F27468" w:rsidP="00F27468">
      <w:pPr>
        <w:pStyle w:val="BodyText"/>
        <w:rPr>
          <w:rStyle w:val="CommentReference"/>
        </w:rPr>
      </w:pPr>
    </w:p>
    <w:p w:rsidR="006D235F" w:rsidRPr="00A440FC" w:rsidRDefault="006D235F" w:rsidP="00F27468">
      <w:pPr>
        <w:keepNext/>
        <w:ind w:left="567" w:firstLine="113"/>
        <w:rPr>
          <w:rStyle w:val="CommentReference"/>
        </w:rPr>
      </w:pPr>
      <w:r w:rsidRPr="00A440FC">
        <w:rPr>
          <w:rStyle w:val="CommentReference"/>
        </w:rPr>
        <w:t>ACR20 response at Week 24 for UST and Week 12 for ADA</w:t>
      </w:r>
      <w:r w:rsidR="0013495E">
        <w:rPr>
          <w:rStyle w:val="CommentReference"/>
        </w:rPr>
        <w:t xml:space="preserve"> </w:t>
      </w:r>
      <w:r w:rsidR="0013495E" w:rsidRPr="003A19F9">
        <w:rPr>
          <w:rStyle w:val="CommentReference"/>
        </w:rPr>
        <w:t>across the randomised trials</w:t>
      </w:r>
    </w:p>
    <w:p w:rsidR="00F27468" w:rsidRPr="00F27468" w:rsidRDefault="00F27468" w:rsidP="00F27468">
      <w:pPr>
        <w:pStyle w:val="BodyText"/>
        <w:ind w:left="709"/>
        <w:jc w:val="both"/>
        <w:rPr>
          <w:b/>
          <w:i/>
        </w:rPr>
      </w:pPr>
      <w:r w:rsidRPr="00F27468">
        <w:rPr>
          <w:b/>
          <w:i/>
          <w:szCs w:val="22"/>
        </w:rPr>
        <w:t>[This figure has been redacted]</w:t>
      </w:r>
    </w:p>
    <w:p w:rsidR="006D235F" w:rsidRDefault="006D235F" w:rsidP="00F27468">
      <w:pPr>
        <w:widowControl/>
        <w:ind w:left="709"/>
        <w:jc w:val="left"/>
      </w:pPr>
    </w:p>
    <w:p w:rsidR="007C413F" w:rsidRPr="00A440FC" w:rsidRDefault="007C413F" w:rsidP="006D235F">
      <w:pPr>
        <w:widowControl/>
        <w:jc w:val="left"/>
      </w:pPr>
    </w:p>
    <w:p w:rsidR="006D235F" w:rsidRPr="009F4468" w:rsidRDefault="006D235F" w:rsidP="0013495E">
      <w:pPr>
        <w:pStyle w:val="ListParagraph"/>
        <w:widowControl/>
        <w:numPr>
          <w:ilvl w:val="1"/>
          <w:numId w:val="13"/>
        </w:numPr>
        <w:rPr>
          <w:szCs w:val="22"/>
        </w:rPr>
      </w:pPr>
      <w:r w:rsidRPr="009F4468">
        <w:rPr>
          <w:szCs w:val="22"/>
        </w:rPr>
        <w:lastRenderedPageBreak/>
        <w:t xml:space="preserve">The results of ACR50 and ACR20 at Week 24 for UST and Week 12 for ADA illustrate that whilst both biologics were more effective than placebo </w:t>
      </w:r>
      <w:r w:rsidR="00CE7FA0">
        <w:rPr>
          <w:szCs w:val="22"/>
        </w:rPr>
        <w:t xml:space="preserve">at </w:t>
      </w:r>
      <w:r w:rsidR="00500118" w:rsidRPr="009F4468">
        <w:rPr>
          <w:szCs w:val="22"/>
        </w:rPr>
        <w:t xml:space="preserve">producing </w:t>
      </w:r>
      <w:r w:rsidRPr="009F4468">
        <w:rPr>
          <w:szCs w:val="22"/>
        </w:rPr>
        <w:t xml:space="preserve">a response, fewer patients would attain a response with UST than ADA, even despite an additional 12 weeks of treatment.  </w:t>
      </w:r>
    </w:p>
    <w:p w:rsidR="006D235F" w:rsidRDefault="006D235F" w:rsidP="00CA2BB2">
      <w:pPr>
        <w:pStyle w:val="BodyText"/>
        <w:ind w:left="709"/>
        <w:jc w:val="both"/>
      </w:pPr>
    </w:p>
    <w:p w:rsidR="00CA2BB2" w:rsidRPr="0013495E" w:rsidRDefault="00CA2BB2" w:rsidP="0013495E">
      <w:pPr>
        <w:pStyle w:val="ListParagraph"/>
        <w:widowControl/>
        <w:numPr>
          <w:ilvl w:val="1"/>
          <w:numId w:val="13"/>
        </w:numPr>
        <w:rPr>
          <w:szCs w:val="22"/>
        </w:rPr>
      </w:pPr>
      <w:r w:rsidRPr="0013495E">
        <w:rPr>
          <w:szCs w:val="22"/>
        </w:rPr>
        <w:t>For ACR50 response, for the overall population</w:t>
      </w:r>
      <w:r w:rsidR="00715AA2">
        <w:rPr>
          <w:szCs w:val="22"/>
        </w:rPr>
        <w:t xml:space="preserve"> (anti-TNF-α experienced and naïve patients)</w:t>
      </w:r>
      <w:r w:rsidRPr="0013495E">
        <w:rPr>
          <w:szCs w:val="22"/>
        </w:rPr>
        <w:t>, statistically significantly fewer patients attained a response with UST versus ADA,</w:t>
      </w:r>
      <w:r w:rsidR="00784A95">
        <w:rPr>
          <w:szCs w:val="22"/>
        </w:rPr>
        <w:t xml:space="preserve"> with a risk difference (RD) of </w:t>
      </w:r>
      <w:r w:rsidR="00523FDD">
        <w:rPr>
          <w:noProof/>
          <w:color w:val="000000"/>
          <w:szCs w:val="22"/>
          <w:highlight w:val="black"/>
        </w:rPr>
        <w:t>'''''''''''</w:t>
      </w:r>
      <w:r w:rsidR="00784A95" w:rsidRPr="0013495E">
        <w:rPr>
          <w:szCs w:val="22"/>
        </w:rPr>
        <w:t xml:space="preserve"> (</w:t>
      </w:r>
      <w:r w:rsidR="00784A95">
        <w:rPr>
          <w:szCs w:val="22"/>
        </w:rPr>
        <w:t xml:space="preserve">95%CI: </w:t>
      </w:r>
      <w:r w:rsidR="00523FDD">
        <w:rPr>
          <w:noProof/>
          <w:color w:val="000000"/>
          <w:szCs w:val="22"/>
          <w:highlight w:val="black"/>
        </w:rPr>
        <w:t>'''''''''''''</w:t>
      </w:r>
      <w:r w:rsidR="00784A95">
        <w:rPr>
          <w:szCs w:val="22"/>
        </w:rPr>
        <w:t xml:space="preserve">, </w:t>
      </w:r>
      <w:r w:rsidR="00523FDD">
        <w:rPr>
          <w:noProof/>
          <w:color w:val="000000"/>
          <w:szCs w:val="22"/>
          <w:highlight w:val="black"/>
        </w:rPr>
        <w:t>'''''''''''''</w:t>
      </w:r>
      <w:r w:rsidR="00784A95">
        <w:rPr>
          <w:szCs w:val="22"/>
        </w:rPr>
        <w:t xml:space="preserve">) UST 45 mg or </w:t>
      </w:r>
      <w:r w:rsidR="00523FDD">
        <w:rPr>
          <w:noProof/>
          <w:color w:val="000000"/>
          <w:szCs w:val="22"/>
          <w:highlight w:val="black"/>
        </w:rPr>
        <w:t>''''''''''</w:t>
      </w:r>
      <w:r w:rsidR="00784A95" w:rsidRPr="0013495E">
        <w:rPr>
          <w:szCs w:val="22"/>
        </w:rPr>
        <w:t xml:space="preserve"> (</w:t>
      </w:r>
      <w:r w:rsidR="00784A95">
        <w:rPr>
          <w:szCs w:val="22"/>
        </w:rPr>
        <w:t xml:space="preserve">95%CI: </w:t>
      </w:r>
      <w:r w:rsidR="00523FDD">
        <w:rPr>
          <w:noProof/>
          <w:color w:val="000000"/>
          <w:szCs w:val="22"/>
          <w:highlight w:val="black"/>
        </w:rPr>
        <w:t>'''''''''''''</w:t>
      </w:r>
      <w:r w:rsidR="00784A95" w:rsidRPr="0013495E">
        <w:rPr>
          <w:szCs w:val="22"/>
        </w:rPr>
        <w:t xml:space="preserve">, </w:t>
      </w:r>
      <w:r w:rsidR="00523FDD">
        <w:rPr>
          <w:noProof/>
          <w:color w:val="000000"/>
          <w:szCs w:val="22"/>
          <w:highlight w:val="black"/>
        </w:rPr>
        <w:t>'''''''''''''</w:t>
      </w:r>
      <w:r w:rsidR="00784A95" w:rsidRPr="0013495E">
        <w:rPr>
          <w:szCs w:val="22"/>
        </w:rPr>
        <w:t>)</w:t>
      </w:r>
      <w:r w:rsidR="00784A95">
        <w:rPr>
          <w:szCs w:val="22"/>
        </w:rPr>
        <w:t xml:space="preserve"> for UST</w:t>
      </w:r>
      <w:r w:rsidR="00095BC8">
        <w:rPr>
          <w:szCs w:val="22"/>
        </w:rPr>
        <w:t xml:space="preserve"> </w:t>
      </w:r>
      <w:r w:rsidR="00784A95">
        <w:rPr>
          <w:szCs w:val="22"/>
        </w:rPr>
        <w:t>90</w:t>
      </w:r>
      <w:r w:rsidR="00095BC8">
        <w:rPr>
          <w:szCs w:val="22"/>
        </w:rPr>
        <w:t> </w:t>
      </w:r>
      <w:r w:rsidR="00784A95">
        <w:rPr>
          <w:szCs w:val="22"/>
        </w:rPr>
        <w:t>mg</w:t>
      </w:r>
      <w:r w:rsidRPr="0013495E">
        <w:rPr>
          <w:szCs w:val="22"/>
        </w:rPr>
        <w:t>. This is consistent with results usi</w:t>
      </w:r>
      <w:r w:rsidR="00784A95">
        <w:rPr>
          <w:szCs w:val="22"/>
        </w:rPr>
        <w:t>ng the relative risk statistic.</w:t>
      </w:r>
      <w:r w:rsidRPr="0013495E">
        <w:rPr>
          <w:szCs w:val="22"/>
        </w:rPr>
        <w:t xml:space="preserve"> In t</w:t>
      </w:r>
      <w:r w:rsidR="00784A95">
        <w:rPr>
          <w:szCs w:val="22"/>
        </w:rPr>
        <w:t>he anti</w:t>
      </w:r>
      <w:r w:rsidR="00095BC8">
        <w:rPr>
          <w:szCs w:val="22"/>
        </w:rPr>
        <w:noBreakHyphen/>
      </w:r>
      <w:r w:rsidR="00784A95">
        <w:rPr>
          <w:szCs w:val="22"/>
        </w:rPr>
        <w:t>TNF</w:t>
      </w:r>
      <w:r w:rsidR="00095BC8">
        <w:rPr>
          <w:szCs w:val="22"/>
        </w:rPr>
        <w:noBreakHyphen/>
      </w:r>
      <w:r w:rsidR="00784A95">
        <w:rPr>
          <w:szCs w:val="22"/>
        </w:rPr>
        <w:t xml:space="preserve">α naïve population </w:t>
      </w:r>
      <w:r w:rsidRPr="0013495E">
        <w:rPr>
          <w:szCs w:val="22"/>
        </w:rPr>
        <w:t>the results of the comparisons were no longer statistically significant</w:t>
      </w:r>
      <w:r w:rsidR="00DA07FD">
        <w:rPr>
          <w:szCs w:val="22"/>
        </w:rPr>
        <w:t xml:space="preserve"> (</w:t>
      </w:r>
      <w:r w:rsidR="00DA07FD" w:rsidRPr="0013495E">
        <w:rPr>
          <w:szCs w:val="22"/>
        </w:rPr>
        <w:t>although point estimates of the differences were similar to the overall population, due to small sample sizes</w:t>
      </w:r>
      <w:r w:rsidR="00DA07FD">
        <w:rPr>
          <w:szCs w:val="22"/>
        </w:rPr>
        <w:t>)</w:t>
      </w:r>
      <w:r w:rsidR="00DA07FD" w:rsidRPr="0013495E">
        <w:rPr>
          <w:szCs w:val="22"/>
        </w:rPr>
        <w:t>,</w:t>
      </w:r>
      <w:r w:rsidRPr="0013495E">
        <w:rPr>
          <w:szCs w:val="22"/>
        </w:rPr>
        <w:t xml:space="preserve"> except for UST</w:t>
      </w:r>
      <w:r w:rsidR="00784A95">
        <w:rPr>
          <w:szCs w:val="22"/>
        </w:rPr>
        <w:t xml:space="preserve"> </w:t>
      </w:r>
      <w:r w:rsidRPr="0013495E">
        <w:rPr>
          <w:szCs w:val="22"/>
        </w:rPr>
        <w:t>45</w:t>
      </w:r>
      <w:r w:rsidR="00784A95">
        <w:rPr>
          <w:szCs w:val="22"/>
        </w:rPr>
        <w:t xml:space="preserve"> </w:t>
      </w:r>
      <w:r w:rsidRPr="0013495E">
        <w:rPr>
          <w:szCs w:val="22"/>
        </w:rPr>
        <w:t>mg and the pooled UST</w:t>
      </w:r>
      <w:r w:rsidR="00784A95">
        <w:rPr>
          <w:szCs w:val="22"/>
        </w:rPr>
        <w:t xml:space="preserve"> </w:t>
      </w:r>
      <w:r w:rsidRPr="0013495E">
        <w:rPr>
          <w:szCs w:val="22"/>
        </w:rPr>
        <w:t>45</w:t>
      </w:r>
      <w:r w:rsidR="00784A95">
        <w:rPr>
          <w:szCs w:val="22"/>
        </w:rPr>
        <w:t xml:space="preserve"> mg</w:t>
      </w:r>
      <w:r w:rsidRPr="0013495E">
        <w:rPr>
          <w:szCs w:val="22"/>
        </w:rPr>
        <w:t xml:space="preserve"> and 90</w:t>
      </w:r>
      <w:r w:rsidR="00DA07FD">
        <w:rPr>
          <w:szCs w:val="22"/>
        </w:rPr>
        <w:t> </w:t>
      </w:r>
      <w:r w:rsidRPr="0013495E">
        <w:rPr>
          <w:szCs w:val="22"/>
        </w:rPr>
        <w:t>mg comp</w:t>
      </w:r>
      <w:r w:rsidR="00784A95">
        <w:rPr>
          <w:szCs w:val="22"/>
        </w:rPr>
        <w:t xml:space="preserve">arison using the RD statistic. </w:t>
      </w:r>
      <w:r w:rsidRPr="0013495E">
        <w:rPr>
          <w:szCs w:val="22"/>
        </w:rPr>
        <w:t>There was no significant difference in response</w:t>
      </w:r>
      <w:r w:rsidR="00784A95">
        <w:rPr>
          <w:szCs w:val="22"/>
        </w:rPr>
        <w:t xml:space="preserve"> between the two UST regimens.</w:t>
      </w:r>
      <w:r w:rsidR="00095BC8">
        <w:rPr>
          <w:szCs w:val="22"/>
        </w:rPr>
        <w:t xml:space="preserve"> </w:t>
      </w:r>
      <w:r w:rsidRPr="0013495E">
        <w:rPr>
          <w:szCs w:val="22"/>
        </w:rPr>
        <w:t>The results for ACR20 response generally support the findings of the ACR50 response</w:t>
      </w:r>
      <w:r w:rsidR="00C57196">
        <w:rPr>
          <w:szCs w:val="22"/>
        </w:rPr>
        <w:t>;</w:t>
      </w:r>
      <w:r w:rsidRPr="0013495E">
        <w:rPr>
          <w:szCs w:val="22"/>
        </w:rPr>
        <w:t xml:space="preserve"> all point estimates favoured ADA, reaching statistical significance using the relative risk statistic for the comparisons of UST 45mg and the pooled UST 45mg and 90mg versus ADA in both the overall and TNF-α in</w:t>
      </w:r>
      <w:r w:rsidR="00F619B0" w:rsidRPr="0013495E">
        <w:rPr>
          <w:szCs w:val="22"/>
        </w:rPr>
        <w:t>hi</w:t>
      </w:r>
      <w:r w:rsidRPr="0013495E">
        <w:rPr>
          <w:szCs w:val="22"/>
        </w:rPr>
        <w:t xml:space="preserve">bitor naïve </w:t>
      </w:r>
      <w:r w:rsidR="007C413F" w:rsidRPr="0013495E">
        <w:rPr>
          <w:szCs w:val="22"/>
        </w:rPr>
        <w:t>population</w:t>
      </w:r>
      <w:r w:rsidRPr="0013495E">
        <w:rPr>
          <w:szCs w:val="22"/>
        </w:rPr>
        <w:t xml:space="preserve">. Similar results </w:t>
      </w:r>
      <w:r w:rsidR="00D74FC2" w:rsidRPr="0013495E">
        <w:rPr>
          <w:szCs w:val="22"/>
        </w:rPr>
        <w:t xml:space="preserve">were </w:t>
      </w:r>
      <w:r w:rsidRPr="0013495E">
        <w:rPr>
          <w:szCs w:val="22"/>
        </w:rPr>
        <w:t>reported for the outcome of ACR20.</w:t>
      </w:r>
    </w:p>
    <w:p w:rsidR="00CA2BB2" w:rsidRPr="0013495E" w:rsidRDefault="00CA2BB2" w:rsidP="0013495E">
      <w:pPr>
        <w:pStyle w:val="ListParagraph"/>
        <w:widowControl/>
        <w:rPr>
          <w:szCs w:val="22"/>
        </w:rPr>
      </w:pPr>
    </w:p>
    <w:p w:rsidR="00CA2BB2" w:rsidRPr="00467A36" w:rsidRDefault="00CA2BB2" w:rsidP="0013495E">
      <w:pPr>
        <w:pStyle w:val="ListParagraph"/>
        <w:widowControl/>
        <w:numPr>
          <w:ilvl w:val="1"/>
          <w:numId w:val="13"/>
        </w:numPr>
        <w:rPr>
          <w:szCs w:val="22"/>
        </w:rPr>
      </w:pPr>
      <w:r w:rsidRPr="00467A36">
        <w:rPr>
          <w:szCs w:val="22"/>
        </w:rPr>
        <w:t xml:space="preserve">For the indirect comparisons, the submission reasonably </w:t>
      </w:r>
      <w:r w:rsidR="00D74FC2" w:rsidRPr="00467A36">
        <w:rPr>
          <w:szCs w:val="22"/>
        </w:rPr>
        <w:t xml:space="preserve">noted </w:t>
      </w:r>
      <w:r w:rsidR="00500118" w:rsidRPr="00467A36">
        <w:rPr>
          <w:szCs w:val="22"/>
        </w:rPr>
        <w:t xml:space="preserve">some </w:t>
      </w:r>
      <w:r w:rsidRPr="00467A36">
        <w:rPr>
          <w:szCs w:val="22"/>
        </w:rPr>
        <w:t>potential sources of heterogeneity:</w:t>
      </w:r>
    </w:p>
    <w:p w:rsidR="00CA2BB2" w:rsidRPr="00467A36" w:rsidRDefault="00CA2BB2" w:rsidP="00CA2BB2">
      <w:pPr>
        <w:pStyle w:val="BodyText"/>
        <w:numPr>
          <w:ilvl w:val="0"/>
          <w:numId w:val="32"/>
        </w:numPr>
        <w:tabs>
          <w:tab w:val="left" w:pos="993"/>
        </w:tabs>
        <w:ind w:left="993" w:hanging="284"/>
        <w:jc w:val="both"/>
      </w:pPr>
      <w:r w:rsidRPr="00467A36">
        <w:t xml:space="preserve">The placebo response rate </w:t>
      </w:r>
      <w:r w:rsidR="0093717D" w:rsidRPr="00467A36">
        <w:t xml:space="preserve">is </w:t>
      </w:r>
      <w:r w:rsidRPr="00467A36">
        <w:t xml:space="preserve">higher in the UST compared to the ADA trials.  For ACR50, the placebo responses were on average </w:t>
      </w:r>
      <w:r w:rsidR="00523FDD">
        <w:rPr>
          <w:noProof/>
          <w:color w:val="000000"/>
          <w:highlight w:val="black"/>
        </w:rPr>
        <w:t>'''''''''''''</w:t>
      </w:r>
      <w:r w:rsidRPr="00467A36">
        <w:t xml:space="preserve"> and </w:t>
      </w:r>
      <w:r w:rsidR="00523FDD">
        <w:rPr>
          <w:noProof/>
          <w:color w:val="000000"/>
          <w:highlight w:val="black"/>
        </w:rPr>
        <w:t>''''''''''''</w:t>
      </w:r>
      <w:r w:rsidRPr="00467A36">
        <w:t xml:space="preserve"> in the US</w:t>
      </w:r>
      <w:r w:rsidR="007144C0" w:rsidRPr="00467A36">
        <w:t xml:space="preserve">T and ADA trials respectively. </w:t>
      </w:r>
      <w:r w:rsidRPr="00467A36">
        <w:t xml:space="preserve">The </w:t>
      </w:r>
      <w:r w:rsidR="007144C0" w:rsidRPr="00467A36">
        <w:t>RD between the two placebo rates is</w:t>
      </w:r>
      <w:r w:rsidRPr="00467A36">
        <w:t xml:space="preserve"> </w:t>
      </w:r>
      <w:r w:rsidR="00523FDD">
        <w:rPr>
          <w:noProof/>
          <w:color w:val="000000"/>
          <w:highlight w:val="black"/>
        </w:rPr>
        <w:t>'''''''''''</w:t>
      </w:r>
      <w:r w:rsidRPr="00467A36">
        <w:t xml:space="preserve"> (</w:t>
      </w:r>
      <w:r w:rsidR="0093717D" w:rsidRPr="00467A36">
        <w:t xml:space="preserve">95% CI: </w:t>
      </w:r>
      <w:r w:rsidR="00523FDD">
        <w:rPr>
          <w:noProof/>
          <w:color w:val="000000"/>
          <w:highlight w:val="black"/>
        </w:rPr>
        <w:t>''''''''''''</w:t>
      </w:r>
      <w:r w:rsidRPr="00467A36">
        <w:t xml:space="preserve">, </w:t>
      </w:r>
      <w:r w:rsidR="00523FDD">
        <w:rPr>
          <w:noProof/>
          <w:color w:val="000000"/>
          <w:highlight w:val="black"/>
        </w:rPr>
        <w:t>''''''''''''''</w:t>
      </w:r>
      <w:r w:rsidRPr="00467A36">
        <w:t>), indicating a statist</w:t>
      </w:r>
      <w:r w:rsidR="007144C0" w:rsidRPr="00467A36">
        <w:t xml:space="preserve">ically significant difference. </w:t>
      </w:r>
      <w:r w:rsidRPr="00467A36">
        <w:t xml:space="preserve">The submission </w:t>
      </w:r>
      <w:r w:rsidR="00D74FC2" w:rsidRPr="00467A36">
        <w:t xml:space="preserve">argued </w:t>
      </w:r>
      <w:r w:rsidRPr="00467A36">
        <w:t>that a higher placebo rate in the UST trials would bias the indirect comparison against UST.</w:t>
      </w:r>
    </w:p>
    <w:p w:rsidR="00CA2BB2" w:rsidRPr="00467A36" w:rsidRDefault="00CA2BB2" w:rsidP="00CA2BB2">
      <w:pPr>
        <w:pStyle w:val="BodyText"/>
        <w:widowControl/>
        <w:numPr>
          <w:ilvl w:val="0"/>
          <w:numId w:val="32"/>
        </w:numPr>
        <w:tabs>
          <w:tab w:val="left" w:pos="993"/>
        </w:tabs>
        <w:ind w:left="993" w:hanging="284"/>
        <w:jc w:val="both"/>
      </w:pPr>
      <w:r w:rsidRPr="00467A36">
        <w:t>The submission also noted some differences in the numbers of joints that were included in the ACR assessments of the UST and ADA trials, particularly the inclusion of di</w:t>
      </w:r>
      <w:r w:rsidR="007144C0" w:rsidRPr="00467A36">
        <w:t xml:space="preserve">stal joints in the ADA trials. </w:t>
      </w:r>
      <w:r w:rsidRPr="00467A36">
        <w:t xml:space="preserve">The submission </w:t>
      </w:r>
      <w:r w:rsidR="00D74FC2" w:rsidRPr="00467A36">
        <w:t>argued</w:t>
      </w:r>
      <w:r w:rsidR="0093717D" w:rsidRPr="00467A36">
        <w:t xml:space="preserve"> </w:t>
      </w:r>
      <w:r w:rsidRPr="00467A36">
        <w:t xml:space="preserve">that as these joints are often </w:t>
      </w:r>
      <w:r w:rsidR="00500118" w:rsidRPr="00467A36">
        <w:t>affected</w:t>
      </w:r>
      <w:r w:rsidRPr="00467A36">
        <w:t xml:space="preserve"> in PsA, their inclusion in ADA trials would bias against UST.</w:t>
      </w:r>
    </w:p>
    <w:p w:rsidR="00467A36" w:rsidRPr="00467A36" w:rsidRDefault="00467A36" w:rsidP="00467A36">
      <w:pPr>
        <w:pStyle w:val="BodyText"/>
        <w:widowControl/>
        <w:tabs>
          <w:tab w:val="left" w:pos="993"/>
        </w:tabs>
        <w:ind w:left="709"/>
        <w:jc w:val="both"/>
      </w:pPr>
      <w:r w:rsidRPr="00467A36">
        <w:t>The PBAC acknowledged these issues, but did not consider them adequate to change the overall conclusion of inferiority of UST to ADA in terms of joint response.</w:t>
      </w:r>
    </w:p>
    <w:p w:rsidR="0040249C" w:rsidRDefault="0040249C" w:rsidP="00CA2BB2">
      <w:pPr>
        <w:widowControl/>
        <w:tabs>
          <w:tab w:val="left" w:pos="993"/>
        </w:tabs>
        <w:ind w:left="993" w:hanging="284"/>
        <w:rPr>
          <w:rStyle w:val="CommentReference"/>
          <w:rFonts w:ascii="Arial" w:hAnsi="Arial"/>
          <w:b w:val="0"/>
          <w:bCs/>
          <w:sz w:val="22"/>
        </w:rPr>
      </w:pPr>
    </w:p>
    <w:p w:rsidR="00502D62" w:rsidRPr="00794391" w:rsidRDefault="00500118" w:rsidP="0013495E">
      <w:pPr>
        <w:pStyle w:val="ListParagraph"/>
        <w:widowControl/>
        <w:numPr>
          <w:ilvl w:val="1"/>
          <w:numId w:val="13"/>
        </w:numPr>
        <w:rPr>
          <w:i/>
          <w:szCs w:val="22"/>
        </w:rPr>
      </w:pPr>
      <w:r w:rsidRPr="00794391">
        <w:rPr>
          <w:szCs w:val="22"/>
        </w:rPr>
        <w:t xml:space="preserve">The submission also presented PASI75 response at Week 24 for UST and Week 12 for ADA for patients with ≥3% body surface area with psoriasis. It was considered as a supportive analysis because PASI75 response is not </w:t>
      </w:r>
      <w:r w:rsidR="00547B4E" w:rsidRPr="00794391">
        <w:rPr>
          <w:szCs w:val="22"/>
        </w:rPr>
        <w:t xml:space="preserve">included in the criteria for </w:t>
      </w:r>
      <w:r w:rsidRPr="00794391">
        <w:rPr>
          <w:szCs w:val="22"/>
        </w:rPr>
        <w:t xml:space="preserve">determining </w:t>
      </w:r>
      <w:r w:rsidR="00547B4E" w:rsidRPr="00794391">
        <w:rPr>
          <w:szCs w:val="22"/>
        </w:rPr>
        <w:t xml:space="preserve">eligibility for PBS-subsidised continuing treatment with </w:t>
      </w:r>
      <w:r w:rsidR="00DC1B44" w:rsidRPr="00794391">
        <w:rPr>
          <w:szCs w:val="22"/>
        </w:rPr>
        <w:t>UST</w:t>
      </w:r>
      <w:r w:rsidR="00547B4E" w:rsidRPr="00794391">
        <w:rPr>
          <w:szCs w:val="22"/>
        </w:rPr>
        <w:t xml:space="preserve"> </w:t>
      </w:r>
      <w:r w:rsidRPr="00794391">
        <w:rPr>
          <w:szCs w:val="22"/>
        </w:rPr>
        <w:t xml:space="preserve">for PsA. Whilst both UST and ADA were more effective than placebo in terms of PASI75 response, the indirect comparison in general favoured ADA. Although there were no statistically significant differences between UST and ADA, all point estimates favour ADA. </w:t>
      </w:r>
      <w:r w:rsidR="005C2E55" w:rsidRPr="00794391">
        <w:rPr>
          <w:szCs w:val="22"/>
        </w:rPr>
        <w:t xml:space="preserve">The submission considered UST to be of similar efficacy to ADA with respect to </w:t>
      </w:r>
      <w:r w:rsidR="00095BC8" w:rsidRPr="00794391">
        <w:rPr>
          <w:szCs w:val="22"/>
        </w:rPr>
        <w:t>inducing</w:t>
      </w:r>
      <w:r w:rsidR="005C2E55" w:rsidRPr="00794391">
        <w:rPr>
          <w:szCs w:val="22"/>
        </w:rPr>
        <w:t xml:space="preserve"> in a PASI75 response. </w:t>
      </w:r>
    </w:p>
    <w:p w:rsidR="00C374F2" w:rsidRPr="003A19F9" w:rsidRDefault="00C374F2" w:rsidP="00A56C5E">
      <w:pPr>
        <w:widowControl/>
        <w:tabs>
          <w:tab w:val="left" w:pos="993"/>
        </w:tabs>
        <w:ind w:left="993" w:hanging="284"/>
        <w:rPr>
          <w:rStyle w:val="CommentReference"/>
          <w:rFonts w:ascii="Arial" w:hAnsi="Arial"/>
          <w:b w:val="0"/>
          <w:bCs/>
          <w:sz w:val="22"/>
        </w:rPr>
      </w:pPr>
    </w:p>
    <w:p w:rsidR="00F619B0" w:rsidRPr="0093717D" w:rsidRDefault="00F619B0" w:rsidP="0093717D">
      <w:pPr>
        <w:pStyle w:val="ListParagraph"/>
        <w:widowControl/>
        <w:numPr>
          <w:ilvl w:val="1"/>
          <w:numId w:val="13"/>
        </w:numPr>
        <w:rPr>
          <w:szCs w:val="22"/>
        </w:rPr>
      </w:pPr>
      <w:r w:rsidRPr="0093717D">
        <w:rPr>
          <w:szCs w:val="22"/>
        </w:rPr>
        <w:t xml:space="preserve">The submission </w:t>
      </w:r>
      <w:r w:rsidR="00C374F2" w:rsidRPr="0093717D">
        <w:rPr>
          <w:szCs w:val="22"/>
        </w:rPr>
        <w:t xml:space="preserve">further </w:t>
      </w:r>
      <w:r w:rsidRPr="0093717D">
        <w:rPr>
          <w:szCs w:val="22"/>
        </w:rPr>
        <w:t>provide</w:t>
      </w:r>
      <w:r w:rsidR="00397449" w:rsidRPr="0093717D">
        <w:rPr>
          <w:szCs w:val="22"/>
        </w:rPr>
        <w:t>d</w:t>
      </w:r>
      <w:r w:rsidRPr="0093717D">
        <w:rPr>
          <w:szCs w:val="22"/>
        </w:rPr>
        <w:t xml:space="preserve"> a comparison of the longer-term maintenance of response to treatment:</w:t>
      </w:r>
    </w:p>
    <w:p w:rsidR="00F619B0" w:rsidRPr="003A19F9" w:rsidRDefault="00F619B0" w:rsidP="00F619B0">
      <w:pPr>
        <w:pStyle w:val="BodyText"/>
        <w:widowControl/>
        <w:numPr>
          <w:ilvl w:val="0"/>
          <w:numId w:val="32"/>
        </w:numPr>
        <w:tabs>
          <w:tab w:val="left" w:pos="993"/>
        </w:tabs>
        <w:ind w:left="993" w:hanging="284"/>
        <w:jc w:val="both"/>
      </w:pPr>
      <w:r w:rsidRPr="003A19F9">
        <w:lastRenderedPageBreak/>
        <w:t xml:space="preserve">For </w:t>
      </w:r>
      <w:r w:rsidR="007F0A77">
        <w:t>UST</w:t>
      </w:r>
      <w:r w:rsidRPr="003A19F9">
        <w:t xml:space="preserve">, a </w:t>
      </w:r>
      <w:r w:rsidRPr="003A19F9">
        <w:rPr>
          <w:iCs/>
        </w:rPr>
        <w:t>post-hoc</w:t>
      </w:r>
      <w:r w:rsidRPr="003A19F9">
        <w:t xml:space="preserve"> analysis of the individual patient data from the PSUMMIT trials demonstrated that </w:t>
      </w:r>
      <w:r w:rsidR="00523FDD">
        <w:rPr>
          <w:noProof/>
          <w:color w:val="000000"/>
          <w:highlight w:val="black"/>
        </w:rPr>
        <w:t>''''''''''</w:t>
      </w:r>
      <w:r w:rsidRPr="003A19F9">
        <w:t xml:space="preserve"> of patients who achieved ACR50 at Week 24 maintained their response to Week 52.</w:t>
      </w:r>
    </w:p>
    <w:p w:rsidR="00F619B0" w:rsidRDefault="00F619B0" w:rsidP="00F619B0">
      <w:pPr>
        <w:pStyle w:val="BodyText"/>
        <w:widowControl/>
        <w:numPr>
          <w:ilvl w:val="0"/>
          <w:numId w:val="32"/>
        </w:numPr>
        <w:tabs>
          <w:tab w:val="left" w:pos="993"/>
        </w:tabs>
        <w:ind w:left="993" w:hanging="284"/>
        <w:jc w:val="both"/>
      </w:pPr>
      <w:r w:rsidRPr="003A19F9">
        <w:t xml:space="preserve">For </w:t>
      </w:r>
      <w:r w:rsidR="007F0A77">
        <w:t>ADA</w:t>
      </w:r>
      <w:r w:rsidRPr="003A19F9">
        <w:t xml:space="preserve">, an analysis of persistence to </w:t>
      </w:r>
      <w:r w:rsidR="007F0A77">
        <w:t>ADA</w:t>
      </w:r>
      <w:r w:rsidR="007F0A77" w:rsidRPr="003A19F9">
        <w:t xml:space="preserve"> </w:t>
      </w:r>
      <w:r w:rsidRPr="003A19F9">
        <w:t xml:space="preserve">on the PBS (assumed to be representative of maintenance of response) found that of patients receiving treatment at 6 months, </w:t>
      </w:r>
      <w:r w:rsidR="00523FDD">
        <w:rPr>
          <w:noProof/>
          <w:color w:val="000000"/>
          <w:highlight w:val="black"/>
        </w:rPr>
        <w:t>''''''''''''</w:t>
      </w:r>
      <w:r w:rsidRPr="003A19F9">
        <w:t xml:space="preserve"> continued to receive treatment at 12 months.  Similar results </w:t>
      </w:r>
      <w:r w:rsidR="00523FDD">
        <w:rPr>
          <w:noProof/>
          <w:color w:val="000000"/>
          <w:highlight w:val="black"/>
        </w:rPr>
        <w:t>'''''''''''''</w:t>
      </w:r>
      <w:r w:rsidRPr="003A19F9">
        <w:t xml:space="preserve"> were observed for the 4 to 10 month period, representing the first continuation treatment period of </w:t>
      </w:r>
      <w:r w:rsidR="007F0A77">
        <w:t>ADA</w:t>
      </w:r>
      <w:r w:rsidRPr="003A19F9">
        <w:t>.</w:t>
      </w:r>
      <w:r w:rsidR="00FD1FF7">
        <w:t xml:space="preserve"> </w:t>
      </w:r>
    </w:p>
    <w:p w:rsidR="00C73C4C" w:rsidRDefault="00C73C4C" w:rsidP="00FD1FF7">
      <w:pPr>
        <w:pStyle w:val="BodyText"/>
        <w:widowControl/>
        <w:tabs>
          <w:tab w:val="left" w:pos="993"/>
        </w:tabs>
        <w:ind w:left="993"/>
        <w:jc w:val="both"/>
        <w:rPr>
          <w:i/>
        </w:rPr>
      </w:pPr>
    </w:p>
    <w:p w:rsidR="00467A36" w:rsidRPr="00467A36" w:rsidRDefault="009F4468" w:rsidP="00540CA2">
      <w:pPr>
        <w:pStyle w:val="ListParagraph"/>
        <w:widowControl/>
        <w:numPr>
          <w:ilvl w:val="1"/>
          <w:numId w:val="13"/>
        </w:numPr>
        <w:rPr>
          <w:i/>
          <w:szCs w:val="22"/>
        </w:rPr>
      </w:pPr>
      <w:r>
        <w:t xml:space="preserve">The PBAC agreed with the ESC that </w:t>
      </w:r>
      <w:r w:rsidR="00314E82">
        <w:t>th</w:t>
      </w:r>
      <w:r w:rsidR="00575853">
        <w:t>is</w:t>
      </w:r>
      <w:r>
        <w:t xml:space="preserve"> comparison may favour UST. </w:t>
      </w:r>
      <w:r w:rsidR="00FD1FF7" w:rsidRPr="00FC4BC4">
        <w:t xml:space="preserve">For instance, the </w:t>
      </w:r>
      <w:r w:rsidR="00523FDD">
        <w:rPr>
          <w:noProof/>
          <w:color w:val="000000"/>
          <w:highlight w:val="black"/>
        </w:rPr>
        <w:t>''''''''''''</w:t>
      </w:r>
      <w:r w:rsidR="00FD1FF7" w:rsidRPr="00FC4BC4">
        <w:t xml:space="preserve"> non-persistence with </w:t>
      </w:r>
      <w:r w:rsidR="00DC1B44" w:rsidRPr="00FC4BC4">
        <w:t>ADA</w:t>
      </w:r>
      <w:r w:rsidR="00FD1FF7" w:rsidRPr="00FC4BC4">
        <w:t xml:space="preserve"> in the </w:t>
      </w:r>
      <w:r w:rsidR="00F21C50" w:rsidRPr="00FC4BC4">
        <w:t>P</w:t>
      </w:r>
      <w:r w:rsidR="00FD1FF7" w:rsidRPr="00FC4BC4">
        <w:t>BS cohort may include reasons other than an inability to maintain response</w:t>
      </w:r>
      <w:r w:rsidR="00F21C50" w:rsidRPr="00FC4BC4">
        <w:t xml:space="preserve"> and therefore may underestimate the efficacy of </w:t>
      </w:r>
      <w:r w:rsidR="00DC1B44" w:rsidRPr="00FC4BC4">
        <w:t>ADA</w:t>
      </w:r>
      <w:r w:rsidR="00F21C50" w:rsidRPr="00FC4BC4">
        <w:t xml:space="preserve"> to maintain a response. Moreover, the </w:t>
      </w:r>
      <w:r w:rsidR="00523FDD">
        <w:rPr>
          <w:noProof/>
          <w:color w:val="000000"/>
          <w:highlight w:val="black"/>
        </w:rPr>
        <w:t>'''''''''''</w:t>
      </w:r>
      <w:r w:rsidR="00F21C50" w:rsidRPr="00FC4BC4">
        <w:t xml:space="preserve"> UST response rate from the PSUMMIT clinical trial may overestimate the ability to maintain response to treatment due to the higher compliance that generally occurs during a clinical trial compared with use in standard clinical practice. </w:t>
      </w:r>
    </w:p>
    <w:p w:rsidR="00467A36" w:rsidRPr="00467A36" w:rsidRDefault="00467A36" w:rsidP="00467A36">
      <w:pPr>
        <w:pStyle w:val="ListParagraph"/>
        <w:widowControl/>
        <w:rPr>
          <w:i/>
          <w:szCs w:val="22"/>
        </w:rPr>
      </w:pPr>
    </w:p>
    <w:p w:rsidR="0040249C" w:rsidRPr="00467A36" w:rsidRDefault="009F676F" w:rsidP="00424820">
      <w:pPr>
        <w:widowControl/>
        <w:ind w:left="709"/>
        <w:rPr>
          <w:i/>
          <w:szCs w:val="22"/>
        </w:rPr>
      </w:pPr>
      <w:r w:rsidRPr="00467A36">
        <w:rPr>
          <w:i/>
          <w:szCs w:val="22"/>
        </w:rPr>
        <w:t>For more detail on PBAC’s view, see section 7 “PBAC outcome”</w:t>
      </w:r>
    </w:p>
    <w:p w:rsidR="002B5FDA" w:rsidRPr="002B5FDA" w:rsidRDefault="002B5FDA" w:rsidP="002B5FDA">
      <w:bookmarkStart w:id="8" w:name="_Toc398544305"/>
    </w:p>
    <w:p w:rsidR="00B60939" w:rsidRPr="007D3A7E" w:rsidRDefault="00B60939" w:rsidP="007D3A7E">
      <w:pPr>
        <w:pStyle w:val="BodyText"/>
        <w:rPr>
          <w:b/>
        </w:rPr>
      </w:pPr>
      <w:r w:rsidRPr="007D3A7E">
        <w:rPr>
          <w:b/>
        </w:rPr>
        <w:t>Comparative harms</w:t>
      </w:r>
      <w:bookmarkEnd w:id="8"/>
    </w:p>
    <w:p w:rsidR="00B60939" w:rsidRPr="003A19F9" w:rsidRDefault="00B60939" w:rsidP="00B60939">
      <w:pPr>
        <w:ind w:left="720" w:hanging="720"/>
        <w:rPr>
          <w:szCs w:val="22"/>
        </w:rPr>
      </w:pPr>
    </w:p>
    <w:p w:rsidR="00686B33" w:rsidRPr="00FC4BC4" w:rsidRDefault="00686B33" w:rsidP="00686B33">
      <w:pPr>
        <w:pStyle w:val="ListParagraph"/>
        <w:widowControl/>
        <w:numPr>
          <w:ilvl w:val="1"/>
          <w:numId w:val="13"/>
        </w:numPr>
      </w:pPr>
      <w:r w:rsidRPr="00FC4BC4">
        <w:t xml:space="preserve">Treatment with </w:t>
      </w:r>
      <w:r w:rsidR="007F0A77" w:rsidRPr="00FC4BC4">
        <w:t>UST</w:t>
      </w:r>
      <w:r w:rsidRPr="00FC4BC4">
        <w:t xml:space="preserve"> for up to one year appear</w:t>
      </w:r>
      <w:r w:rsidR="007F0A77" w:rsidRPr="00FC4BC4">
        <w:t>ed</w:t>
      </w:r>
      <w:r w:rsidRPr="00FC4BC4">
        <w:t xml:space="preserve"> to be generally well tolerated.  The incidence of </w:t>
      </w:r>
      <w:r w:rsidR="00235E1E" w:rsidRPr="00FC4BC4">
        <w:t>adverse event</w:t>
      </w:r>
      <w:r w:rsidRPr="00FC4BC4">
        <w:t xml:space="preserve">s observed with UST and ADA were similar during the placebo-controlled period, with the majority of </w:t>
      </w:r>
      <w:r w:rsidR="00235E1E" w:rsidRPr="00FC4BC4">
        <w:t>adverse event</w:t>
      </w:r>
      <w:r w:rsidRPr="00FC4BC4">
        <w:t xml:space="preserve">s transitory and of mild or moderate severity.  The incidence of severe </w:t>
      </w:r>
      <w:r w:rsidR="00235E1E" w:rsidRPr="00FC4BC4">
        <w:t>adverse event</w:t>
      </w:r>
      <w:r w:rsidRPr="00FC4BC4">
        <w:t xml:space="preserve">s (meta-analyses: UST 45 mg and 90 mg: </w:t>
      </w:r>
      <w:r w:rsidR="00523FDD">
        <w:rPr>
          <w:noProof/>
          <w:color w:val="000000"/>
          <w:highlight w:val="black"/>
        </w:rPr>
        <w:t>''''''''''''''</w:t>
      </w:r>
      <w:r w:rsidRPr="00FC4BC4">
        <w:t xml:space="preserve">, </w:t>
      </w:r>
      <w:r w:rsidR="00DC1B44" w:rsidRPr="00FC4BC4">
        <w:t>ADA</w:t>
      </w:r>
      <w:r w:rsidRPr="00FC4BC4">
        <w:t xml:space="preserve">: </w:t>
      </w:r>
      <w:r w:rsidR="00523FDD">
        <w:rPr>
          <w:noProof/>
          <w:color w:val="000000"/>
          <w:highlight w:val="black"/>
        </w:rPr>
        <w:t>'''''''''''''</w:t>
      </w:r>
      <w:r w:rsidRPr="00FC4BC4">
        <w:t xml:space="preserve">) and </w:t>
      </w:r>
      <w:r w:rsidR="00235E1E" w:rsidRPr="00FC4BC4">
        <w:t>adverse event</w:t>
      </w:r>
      <w:r w:rsidRPr="00FC4BC4">
        <w:t xml:space="preserve">s resulting in treatment discontinuation (meta-analyses: UST 45 mg: </w:t>
      </w:r>
      <w:r w:rsidR="00523FDD">
        <w:rPr>
          <w:noProof/>
          <w:color w:val="000000"/>
          <w:highlight w:val="black"/>
        </w:rPr>
        <w:t>''''''''''''</w:t>
      </w:r>
      <w:r w:rsidRPr="00FC4BC4">
        <w:t xml:space="preserve">, UST 90 mg: </w:t>
      </w:r>
      <w:r w:rsidR="00523FDD">
        <w:rPr>
          <w:noProof/>
          <w:color w:val="000000"/>
          <w:highlight w:val="black"/>
        </w:rPr>
        <w:t>'''''''''''''</w:t>
      </w:r>
      <w:r w:rsidRPr="00FC4BC4">
        <w:t xml:space="preserve">, </w:t>
      </w:r>
      <w:r w:rsidR="00DC1B44" w:rsidRPr="00FC4BC4">
        <w:t xml:space="preserve">ADA </w:t>
      </w:r>
      <w:r w:rsidR="00523FDD">
        <w:rPr>
          <w:noProof/>
          <w:color w:val="000000"/>
          <w:highlight w:val="black"/>
        </w:rPr>
        <w:t>''''''''''''</w:t>
      </w:r>
      <w:r w:rsidRPr="00FC4BC4">
        <w:t>) were low and similar across the treatment groups.</w:t>
      </w:r>
    </w:p>
    <w:p w:rsidR="00686B33" w:rsidRDefault="00686B33" w:rsidP="00686B33">
      <w:pPr>
        <w:pStyle w:val="ListParagraph"/>
        <w:widowControl/>
      </w:pPr>
    </w:p>
    <w:p w:rsidR="00CA2BB2" w:rsidRDefault="00CA2BB2" w:rsidP="00686B33">
      <w:pPr>
        <w:pStyle w:val="ListParagraph"/>
        <w:widowControl/>
        <w:numPr>
          <w:ilvl w:val="1"/>
          <w:numId w:val="13"/>
        </w:numPr>
      </w:pPr>
      <w:r w:rsidRPr="003A19F9">
        <w:t xml:space="preserve">The </w:t>
      </w:r>
      <w:r w:rsidR="00235E1E" w:rsidRPr="00235E1E">
        <w:t>adverse event</w:t>
      </w:r>
      <w:r w:rsidRPr="003A19F9">
        <w:t xml:space="preserve"> profile observed with UST and ADA were similar, the most commonly reported </w:t>
      </w:r>
      <w:r w:rsidR="00235E1E" w:rsidRPr="00235E1E">
        <w:t>adverse event</w:t>
      </w:r>
      <w:r w:rsidRPr="003A19F9">
        <w:t xml:space="preserve">s were nasopharyngitis, upper </w:t>
      </w:r>
      <w:r w:rsidR="00874833">
        <w:t>respiratory tract infection</w:t>
      </w:r>
      <w:r w:rsidRPr="003A19F9">
        <w:t xml:space="preserve"> and headache, but with a higher incidence observed in patients treated with ADA likely due to the longer duration of reported safety data. </w:t>
      </w:r>
      <w:r w:rsidR="00F619B0" w:rsidRPr="003A19F9">
        <w:t xml:space="preserve"> </w:t>
      </w:r>
      <w:r w:rsidRPr="003A19F9">
        <w:t>Injection site pain (</w:t>
      </w:r>
      <w:r w:rsidR="00523FDD">
        <w:rPr>
          <w:noProof/>
          <w:color w:val="000000"/>
          <w:highlight w:val="black"/>
        </w:rPr>
        <w:t>''''''''''</w:t>
      </w:r>
      <w:r w:rsidRPr="003A19F9">
        <w:t>) or reaction (</w:t>
      </w:r>
      <w:r w:rsidR="00523FDD">
        <w:rPr>
          <w:noProof/>
          <w:color w:val="000000"/>
          <w:highlight w:val="black"/>
        </w:rPr>
        <w:t>'''''''</w:t>
      </w:r>
      <w:r w:rsidRPr="003A19F9">
        <w:t xml:space="preserve">) was reported in a higher proportion of patients treated with </w:t>
      </w:r>
      <w:r w:rsidR="00DC1B44">
        <w:t>ADA</w:t>
      </w:r>
      <w:r w:rsidR="00DC1B44" w:rsidRPr="003A19F9">
        <w:t xml:space="preserve"> </w:t>
      </w:r>
      <w:r w:rsidRPr="003A19F9">
        <w:t xml:space="preserve">than patients treated with </w:t>
      </w:r>
      <w:r w:rsidR="00DC1B44">
        <w:t xml:space="preserve">UST </w:t>
      </w:r>
      <w:r w:rsidR="00874833">
        <w:t xml:space="preserve">(pooled 45 mg: </w:t>
      </w:r>
      <w:r w:rsidR="00523FDD">
        <w:rPr>
          <w:noProof/>
          <w:color w:val="000000"/>
          <w:highlight w:val="black"/>
        </w:rPr>
        <w:t>''''''''''''</w:t>
      </w:r>
      <w:r w:rsidR="00874833">
        <w:t>, pooled 90 </w:t>
      </w:r>
      <w:r w:rsidRPr="003A19F9">
        <w:t xml:space="preserve">mg: </w:t>
      </w:r>
      <w:r w:rsidR="00523FDD">
        <w:rPr>
          <w:noProof/>
          <w:color w:val="000000"/>
          <w:highlight w:val="black"/>
        </w:rPr>
        <w:t>''''''''''''</w:t>
      </w:r>
      <w:r w:rsidRPr="003A19F9">
        <w:t>).</w:t>
      </w:r>
    </w:p>
    <w:p w:rsidR="00686B33" w:rsidRDefault="00686B33" w:rsidP="00686B33">
      <w:pPr>
        <w:pStyle w:val="ListParagraph"/>
        <w:widowControl/>
      </w:pPr>
    </w:p>
    <w:p w:rsidR="00686B33" w:rsidRPr="00777FA8" w:rsidRDefault="00686B33" w:rsidP="00686B33">
      <w:pPr>
        <w:pStyle w:val="ListParagraph"/>
        <w:widowControl/>
        <w:numPr>
          <w:ilvl w:val="1"/>
          <w:numId w:val="13"/>
        </w:numPr>
      </w:pPr>
      <w:r w:rsidRPr="00777FA8">
        <w:t xml:space="preserve">Through one year of treatment, the incidence of antibodies to </w:t>
      </w:r>
      <w:r w:rsidR="00DC1B44" w:rsidRPr="00777FA8">
        <w:t xml:space="preserve">UST </w:t>
      </w:r>
      <w:r w:rsidRPr="00777FA8">
        <w:t xml:space="preserve">was low, the incidence of malignancies, </w:t>
      </w:r>
      <w:r w:rsidR="008F7F26" w:rsidRPr="00777FA8">
        <w:t>cardiovascular</w:t>
      </w:r>
      <w:r w:rsidRPr="00777FA8">
        <w:t xml:space="preserve"> events and serious infections were very low with no cases of tuberculosis and no deaths were reported in patients treated with UST. </w:t>
      </w:r>
    </w:p>
    <w:p w:rsidR="0076168A" w:rsidRDefault="0076168A" w:rsidP="00CA2BB2">
      <w:pPr>
        <w:widowControl/>
        <w:rPr>
          <w:szCs w:val="22"/>
        </w:rPr>
      </w:pPr>
    </w:p>
    <w:p w:rsidR="00B60939" w:rsidRPr="0076168A" w:rsidRDefault="009F676F" w:rsidP="0076168A">
      <w:pPr>
        <w:widowControl/>
        <w:ind w:left="709"/>
        <w:rPr>
          <w:i/>
          <w:szCs w:val="22"/>
        </w:rPr>
      </w:pPr>
      <w:r w:rsidRPr="0076168A">
        <w:rPr>
          <w:i/>
          <w:szCs w:val="22"/>
        </w:rPr>
        <w:t>For more detail on PBAC’s view, see section 7 “PBAC outcome”</w:t>
      </w:r>
    </w:p>
    <w:p w:rsidR="002B5FDA" w:rsidRPr="002B5FDA" w:rsidRDefault="002B5FDA" w:rsidP="002B5FDA">
      <w:bookmarkStart w:id="9" w:name="_Toc398544306"/>
    </w:p>
    <w:p w:rsidR="007F1017" w:rsidRPr="007D3A7E" w:rsidRDefault="007F1017" w:rsidP="007D3A7E">
      <w:pPr>
        <w:pStyle w:val="BodyText"/>
        <w:rPr>
          <w:b/>
        </w:rPr>
      </w:pPr>
      <w:r w:rsidRPr="007D3A7E">
        <w:rPr>
          <w:b/>
        </w:rPr>
        <w:t>Benefits/harms</w:t>
      </w:r>
      <w:bookmarkEnd w:id="9"/>
    </w:p>
    <w:p w:rsidR="007F1017" w:rsidRPr="003A19F9" w:rsidRDefault="007F1017" w:rsidP="007C413F"/>
    <w:p w:rsidR="00EC00C9" w:rsidRPr="003A19F9" w:rsidRDefault="00EC00C9" w:rsidP="00E13D66">
      <w:pPr>
        <w:pStyle w:val="ListParagraph"/>
        <w:widowControl/>
        <w:numPr>
          <w:ilvl w:val="1"/>
          <w:numId w:val="13"/>
        </w:numPr>
        <w:rPr>
          <w:szCs w:val="22"/>
        </w:rPr>
      </w:pPr>
      <w:r w:rsidRPr="003A19F9">
        <w:rPr>
          <w:szCs w:val="22"/>
        </w:rPr>
        <w:t xml:space="preserve">A summary of the comparative benefits for </w:t>
      </w:r>
      <w:r w:rsidR="007F0A77">
        <w:rPr>
          <w:szCs w:val="22"/>
        </w:rPr>
        <w:t>UST</w:t>
      </w:r>
      <w:r w:rsidR="007F0A77" w:rsidRPr="003A19F9">
        <w:rPr>
          <w:szCs w:val="22"/>
        </w:rPr>
        <w:t xml:space="preserve"> </w:t>
      </w:r>
      <w:r w:rsidRPr="003A19F9">
        <w:rPr>
          <w:szCs w:val="22"/>
        </w:rPr>
        <w:t xml:space="preserve">versus </w:t>
      </w:r>
      <w:r w:rsidR="007F0A77">
        <w:rPr>
          <w:szCs w:val="22"/>
        </w:rPr>
        <w:t>ADA</w:t>
      </w:r>
      <w:r w:rsidR="007F0A77" w:rsidRPr="003A19F9">
        <w:rPr>
          <w:szCs w:val="22"/>
        </w:rPr>
        <w:t xml:space="preserve"> </w:t>
      </w:r>
      <w:r w:rsidRPr="003A19F9">
        <w:rPr>
          <w:szCs w:val="22"/>
        </w:rPr>
        <w:t>is presented in</w:t>
      </w:r>
      <w:r w:rsidR="00254E6C">
        <w:rPr>
          <w:szCs w:val="22"/>
        </w:rPr>
        <w:t xml:space="preserve"> the</w:t>
      </w:r>
      <w:r w:rsidRPr="003A19F9">
        <w:rPr>
          <w:szCs w:val="22"/>
        </w:rPr>
        <w:t xml:space="preserve"> </w:t>
      </w:r>
      <w:r w:rsidR="00254E6C">
        <w:rPr>
          <w:szCs w:val="22"/>
        </w:rPr>
        <w:t>t</w:t>
      </w:r>
      <w:r w:rsidR="00356748">
        <w:rPr>
          <w:szCs w:val="22"/>
        </w:rPr>
        <w:t>able </w:t>
      </w:r>
      <w:r w:rsidR="00254E6C">
        <w:rPr>
          <w:szCs w:val="22"/>
        </w:rPr>
        <w:t>below</w:t>
      </w:r>
      <w:r w:rsidRPr="003A19F9">
        <w:rPr>
          <w:szCs w:val="22"/>
        </w:rPr>
        <w:t>.</w:t>
      </w:r>
      <w:r w:rsidR="00410708" w:rsidRPr="003A19F9">
        <w:rPr>
          <w:szCs w:val="22"/>
        </w:rPr>
        <w:t xml:space="preserve"> </w:t>
      </w:r>
    </w:p>
    <w:p w:rsidR="00162913" w:rsidRPr="003A19F9" w:rsidRDefault="00162913" w:rsidP="004B1CB4"/>
    <w:p w:rsidR="00B62715" w:rsidRPr="003A19F9" w:rsidRDefault="00465246" w:rsidP="00B87515">
      <w:pPr>
        <w:keepNext/>
        <w:tabs>
          <w:tab w:val="right" w:pos="9026"/>
        </w:tabs>
        <w:ind w:left="720"/>
        <w:rPr>
          <w:rStyle w:val="CommentReference"/>
        </w:rPr>
      </w:pPr>
      <w:r w:rsidRPr="003A19F9">
        <w:rPr>
          <w:rStyle w:val="CommentReference"/>
        </w:rPr>
        <w:lastRenderedPageBreak/>
        <w:t>I</w:t>
      </w:r>
      <w:r w:rsidR="00B62715" w:rsidRPr="003A19F9">
        <w:rPr>
          <w:rStyle w:val="CommentReference"/>
        </w:rPr>
        <w:t>ndirect comparison</w:t>
      </w:r>
      <w:r w:rsidRPr="003A19F9">
        <w:rPr>
          <w:rStyle w:val="CommentReference"/>
        </w:rPr>
        <w:t xml:space="preserve"> -</w:t>
      </w:r>
      <w:r w:rsidR="00B62715" w:rsidRPr="003A19F9">
        <w:rPr>
          <w:rStyle w:val="CommentReference"/>
        </w:rPr>
        <w:t xml:space="preserve"> Summary o</w:t>
      </w:r>
      <w:r w:rsidR="00E13D66" w:rsidRPr="003A19F9">
        <w:rPr>
          <w:rStyle w:val="CommentReference"/>
        </w:rPr>
        <w:t>f comparative benefits</w:t>
      </w:r>
      <w:r w:rsidR="00B62715" w:rsidRPr="003A19F9">
        <w:rPr>
          <w:rStyle w:val="CommentReference"/>
        </w:rPr>
        <w:t xml:space="preserve"> for </w:t>
      </w:r>
      <w:r w:rsidRPr="003A19F9">
        <w:rPr>
          <w:rStyle w:val="CommentReference"/>
        </w:rPr>
        <w:t>ustekinumab</w:t>
      </w:r>
      <w:r w:rsidR="00B62715" w:rsidRPr="003A19F9">
        <w:rPr>
          <w:rStyle w:val="CommentReference"/>
        </w:rPr>
        <w:t xml:space="preserve"> and </w:t>
      </w:r>
      <w:r w:rsidRPr="003A19F9">
        <w:rPr>
          <w:rStyle w:val="CommentReference"/>
        </w:rPr>
        <w:t>adalimumab</w:t>
      </w:r>
      <w:r w:rsidR="00B62715" w:rsidRPr="003A19F9">
        <w:rPr>
          <w:rStyle w:val="CommentReference"/>
        </w:rPr>
        <w:t xml:space="preserve"> </w:t>
      </w:r>
      <w:r w:rsidR="00B87515">
        <w:rPr>
          <w:rStyle w:val="CommentReference"/>
        </w:rPr>
        <w:tab/>
      </w:r>
    </w:p>
    <w:tbl>
      <w:tblPr>
        <w:tblStyle w:val="TableGrid"/>
        <w:tblW w:w="4684" w:type="pct"/>
        <w:tblInd w:w="705" w:type="dxa"/>
        <w:tblLayout w:type="fixed"/>
        <w:tblCellMar>
          <w:left w:w="28" w:type="dxa"/>
          <w:right w:w="28" w:type="dxa"/>
        </w:tblCellMar>
        <w:tblLook w:val="04A0" w:firstRow="1" w:lastRow="0" w:firstColumn="1" w:lastColumn="0" w:noHBand="0" w:noVBand="1"/>
        <w:tblDescription w:val="Indirect comparison - Summary of comparative benefits for ustekinumab and adalimumab  "/>
      </w:tblPr>
      <w:tblGrid>
        <w:gridCol w:w="1161"/>
        <w:gridCol w:w="17"/>
        <w:gridCol w:w="854"/>
        <w:gridCol w:w="800"/>
        <w:gridCol w:w="801"/>
        <w:gridCol w:w="1132"/>
        <w:gridCol w:w="910"/>
        <w:gridCol w:w="909"/>
        <w:gridCol w:w="825"/>
        <w:gridCol w:w="1099"/>
      </w:tblGrid>
      <w:tr w:rsidR="007C10D9" w:rsidRPr="003A19F9" w:rsidTr="007C10D9">
        <w:trPr>
          <w:trHeight w:val="105"/>
        </w:trPr>
        <w:tc>
          <w:tcPr>
            <w:tcW w:w="682" w:type="pct"/>
            <w:vMerge w:val="restart"/>
            <w:shd w:val="clear" w:color="auto" w:fill="auto"/>
            <w:vAlign w:val="center"/>
          </w:tcPr>
          <w:p w:rsidR="00B62715" w:rsidRPr="003A19F9" w:rsidRDefault="000269EE" w:rsidP="00FF2894">
            <w:pPr>
              <w:keepNext/>
              <w:rPr>
                <w:rFonts w:ascii="Arial Narrow" w:hAnsi="Arial Narrow"/>
                <w:b/>
                <w:bCs/>
                <w:color w:val="000000"/>
                <w:sz w:val="20"/>
                <w:szCs w:val="18"/>
              </w:rPr>
            </w:pPr>
            <w:r w:rsidRPr="003A19F9">
              <w:rPr>
                <w:rFonts w:ascii="Arial Narrow" w:hAnsi="Arial Narrow"/>
                <w:b/>
                <w:bCs/>
                <w:color w:val="000000"/>
                <w:sz w:val="20"/>
                <w:szCs w:val="18"/>
              </w:rPr>
              <w:t>Trial</w:t>
            </w:r>
          </w:p>
        </w:tc>
        <w:tc>
          <w:tcPr>
            <w:tcW w:w="512" w:type="pct"/>
            <w:gridSpan w:val="2"/>
            <w:vMerge w:val="restart"/>
            <w:vAlign w:val="center"/>
          </w:tcPr>
          <w:p w:rsidR="00B62715" w:rsidRPr="003A19F9" w:rsidRDefault="00465246" w:rsidP="00FF2894">
            <w:pPr>
              <w:keepNext/>
              <w:jc w:val="center"/>
              <w:rPr>
                <w:rFonts w:ascii="Arial Narrow" w:hAnsi="Arial Narrow"/>
                <w:b/>
                <w:color w:val="000000"/>
                <w:sz w:val="20"/>
                <w:szCs w:val="18"/>
              </w:rPr>
            </w:pPr>
            <w:r w:rsidRPr="003A19F9">
              <w:rPr>
                <w:rFonts w:ascii="Arial Narrow" w:hAnsi="Arial Narrow"/>
                <w:b/>
                <w:color w:val="000000"/>
                <w:sz w:val="20"/>
                <w:szCs w:val="18"/>
              </w:rPr>
              <w:t>UST</w:t>
            </w:r>
          </w:p>
        </w:tc>
        <w:tc>
          <w:tcPr>
            <w:tcW w:w="470" w:type="pct"/>
            <w:vMerge w:val="restart"/>
            <w:vAlign w:val="center"/>
          </w:tcPr>
          <w:p w:rsidR="00B62715" w:rsidRPr="003A19F9" w:rsidRDefault="00B62715" w:rsidP="00FF2894">
            <w:pPr>
              <w:keepNext/>
              <w:jc w:val="center"/>
              <w:rPr>
                <w:rFonts w:ascii="Arial Narrow" w:hAnsi="Arial Narrow"/>
                <w:b/>
                <w:color w:val="000000"/>
                <w:sz w:val="20"/>
                <w:szCs w:val="18"/>
              </w:rPr>
            </w:pPr>
            <w:r w:rsidRPr="003A19F9">
              <w:rPr>
                <w:rFonts w:ascii="Arial Narrow" w:hAnsi="Arial Narrow"/>
                <w:b/>
                <w:color w:val="000000"/>
                <w:sz w:val="20"/>
                <w:szCs w:val="18"/>
              </w:rPr>
              <w:t>PBO</w:t>
            </w:r>
          </w:p>
        </w:tc>
        <w:tc>
          <w:tcPr>
            <w:tcW w:w="471" w:type="pct"/>
            <w:vMerge w:val="restart"/>
            <w:vAlign w:val="center"/>
          </w:tcPr>
          <w:p w:rsidR="00B62715" w:rsidRPr="003A19F9" w:rsidRDefault="00465246" w:rsidP="00FF2894">
            <w:pPr>
              <w:keepNext/>
              <w:jc w:val="center"/>
              <w:rPr>
                <w:rFonts w:ascii="Arial Narrow" w:hAnsi="Arial Narrow"/>
                <w:b/>
                <w:color w:val="000000"/>
                <w:sz w:val="20"/>
                <w:szCs w:val="18"/>
              </w:rPr>
            </w:pPr>
            <w:r w:rsidRPr="003A19F9">
              <w:rPr>
                <w:rFonts w:ascii="Arial Narrow" w:hAnsi="Arial Narrow"/>
                <w:b/>
                <w:color w:val="000000"/>
                <w:sz w:val="20"/>
                <w:szCs w:val="18"/>
              </w:rPr>
              <w:t>ADA</w:t>
            </w:r>
          </w:p>
        </w:tc>
        <w:tc>
          <w:tcPr>
            <w:tcW w:w="665" w:type="pct"/>
            <w:vMerge w:val="restart"/>
            <w:vAlign w:val="center"/>
          </w:tcPr>
          <w:p w:rsidR="00B62715" w:rsidRPr="003A19F9" w:rsidRDefault="00B62715" w:rsidP="00FF2894">
            <w:pPr>
              <w:keepNext/>
              <w:jc w:val="center"/>
              <w:rPr>
                <w:rFonts w:ascii="Arial Narrow" w:hAnsi="Arial Narrow"/>
                <w:b/>
                <w:color w:val="000000"/>
                <w:sz w:val="20"/>
                <w:szCs w:val="18"/>
              </w:rPr>
            </w:pPr>
            <w:r w:rsidRPr="003A19F9">
              <w:rPr>
                <w:rFonts w:ascii="Arial Narrow" w:hAnsi="Arial Narrow"/>
                <w:b/>
                <w:color w:val="000000"/>
                <w:sz w:val="20"/>
                <w:szCs w:val="18"/>
              </w:rPr>
              <w:t>RR</w:t>
            </w:r>
          </w:p>
          <w:p w:rsidR="00B62715" w:rsidRPr="003A19F9" w:rsidRDefault="00B62715" w:rsidP="00FF2894">
            <w:pPr>
              <w:keepNext/>
              <w:jc w:val="center"/>
              <w:rPr>
                <w:rFonts w:ascii="Arial Narrow" w:hAnsi="Arial Narrow"/>
                <w:color w:val="000000"/>
                <w:sz w:val="20"/>
                <w:szCs w:val="18"/>
              </w:rPr>
            </w:pPr>
            <w:r w:rsidRPr="003A19F9">
              <w:rPr>
                <w:rFonts w:ascii="Arial Narrow" w:hAnsi="Arial Narrow"/>
                <w:b/>
                <w:color w:val="000000"/>
                <w:sz w:val="20"/>
                <w:szCs w:val="18"/>
              </w:rPr>
              <w:t>(95% CI)</w:t>
            </w:r>
          </w:p>
        </w:tc>
        <w:tc>
          <w:tcPr>
            <w:tcW w:w="1554" w:type="pct"/>
            <w:gridSpan w:val="3"/>
            <w:vAlign w:val="center"/>
          </w:tcPr>
          <w:p w:rsidR="00B62715" w:rsidRPr="003A19F9" w:rsidRDefault="00B62715" w:rsidP="00EA2FF1">
            <w:pPr>
              <w:keepNext/>
              <w:jc w:val="center"/>
              <w:rPr>
                <w:rFonts w:ascii="Arial Narrow" w:hAnsi="Arial Narrow"/>
                <w:b/>
                <w:color w:val="000000"/>
                <w:sz w:val="20"/>
                <w:szCs w:val="18"/>
              </w:rPr>
            </w:pPr>
            <w:r w:rsidRPr="003A19F9">
              <w:rPr>
                <w:rFonts w:ascii="Arial Narrow" w:hAnsi="Arial Narrow"/>
                <w:b/>
                <w:color w:val="000000"/>
                <w:sz w:val="20"/>
                <w:szCs w:val="18"/>
              </w:rPr>
              <w:t>Event rate/100 patients</w:t>
            </w:r>
          </w:p>
        </w:tc>
        <w:tc>
          <w:tcPr>
            <w:tcW w:w="646" w:type="pct"/>
            <w:vMerge w:val="restart"/>
            <w:vAlign w:val="center"/>
          </w:tcPr>
          <w:p w:rsidR="00B62715" w:rsidRPr="003A19F9" w:rsidRDefault="00B62715" w:rsidP="00FF2894">
            <w:pPr>
              <w:keepNext/>
              <w:jc w:val="center"/>
              <w:rPr>
                <w:rFonts w:ascii="Arial Narrow" w:hAnsi="Arial Narrow"/>
                <w:b/>
                <w:color w:val="000000"/>
                <w:sz w:val="20"/>
                <w:szCs w:val="18"/>
              </w:rPr>
            </w:pPr>
            <w:r w:rsidRPr="003A19F9">
              <w:rPr>
                <w:rFonts w:ascii="Arial Narrow" w:hAnsi="Arial Narrow"/>
                <w:b/>
                <w:color w:val="000000"/>
                <w:sz w:val="20"/>
                <w:szCs w:val="18"/>
              </w:rPr>
              <w:t>RD</w:t>
            </w:r>
          </w:p>
          <w:p w:rsidR="00B62715" w:rsidRPr="003A19F9" w:rsidRDefault="00B62715" w:rsidP="00FF2894">
            <w:pPr>
              <w:keepNext/>
              <w:jc w:val="center"/>
              <w:rPr>
                <w:rFonts w:ascii="Arial Narrow" w:hAnsi="Arial Narrow"/>
                <w:color w:val="000000"/>
                <w:sz w:val="20"/>
                <w:szCs w:val="18"/>
              </w:rPr>
            </w:pPr>
            <w:r w:rsidRPr="003A19F9">
              <w:rPr>
                <w:rFonts w:ascii="Arial Narrow" w:hAnsi="Arial Narrow"/>
                <w:b/>
                <w:color w:val="000000"/>
                <w:sz w:val="20"/>
                <w:szCs w:val="18"/>
              </w:rPr>
              <w:t>(95% CI)</w:t>
            </w:r>
          </w:p>
        </w:tc>
      </w:tr>
      <w:tr w:rsidR="007C10D9" w:rsidRPr="003A19F9" w:rsidTr="007C10D9">
        <w:trPr>
          <w:trHeight w:val="70"/>
        </w:trPr>
        <w:tc>
          <w:tcPr>
            <w:tcW w:w="682" w:type="pct"/>
            <w:vMerge/>
            <w:shd w:val="clear" w:color="auto" w:fill="auto"/>
            <w:vAlign w:val="center"/>
          </w:tcPr>
          <w:p w:rsidR="00B62715" w:rsidRPr="003A19F9" w:rsidRDefault="00B62715" w:rsidP="00FF2894">
            <w:pPr>
              <w:keepNext/>
              <w:rPr>
                <w:rFonts w:ascii="Arial Narrow" w:hAnsi="Arial Narrow"/>
                <w:color w:val="000000"/>
                <w:sz w:val="20"/>
                <w:szCs w:val="18"/>
              </w:rPr>
            </w:pPr>
          </w:p>
        </w:tc>
        <w:tc>
          <w:tcPr>
            <w:tcW w:w="512" w:type="pct"/>
            <w:gridSpan w:val="2"/>
            <w:vMerge/>
            <w:vAlign w:val="center"/>
          </w:tcPr>
          <w:p w:rsidR="00B62715" w:rsidRPr="003A19F9" w:rsidRDefault="00B62715" w:rsidP="00FF2894">
            <w:pPr>
              <w:keepNext/>
              <w:jc w:val="center"/>
              <w:rPr>
                <w:rFonts w:ascii="Arial Narrow" w:hAnsi="Arial Narrow"/>
                <w:b/>
                <w:color w:val="000000"/>
                <w:sz w:val="20"/>
                <w:szCs w:val="18"/>
              </w:rPr>
            </w:pPr>
          </w:p>
        </w:tc>
        <w:tc>
          <w:tcPr>
            <w:tcW w:w="470" w:type="pct"/>
            <w:vMerge/>
            <w:vAlign w:val="center"/>
          </w:tcPr>
          <w:p w:rsidR="00B62715" w:rsidRPr="003A19F9" w:rsidRDefault="00B62715" w:rsidP="00FF2894">
            <w:pPr>
              <w:keepNext/>
              <w:jc w:val="center"/>
              <w:rPr>
                <w:rFonts w:ascii="Arial Narrow" w:hAnsi="Arial Narrow"/>
                <w:b/>
                <w:color w:val="000000"/>
                <w:sz w:val="20"/>
                <w:szCs w:val="18"/>
              </w:rPr>
            </w:pPr>
          </w:p>
        </w:tc>
        <w:tc>
          <w:tcPr>
            <w:tcW w:w="471" w:type="pct"/>
            <w:vMerge/>
            <w:vAlign w:val="center"/>
          </w:tcPr>
          <w:p w:rsidR="00B62715" w:rsidRPr="003A19F9" w:rsidRDefault="00B62715" w:rsidP="00FF2894">
            <w:pPr>
              <w:keepNext/>
              <w:jc w:val="center"/>
              <w:rPr>
                <w:rFonts w:ascii="Arial Narrow" w:hAnsi="Arial Narrow"/>
                <w:b/>
                <w:color w:val="000000"/>
                <w:sz w:val="20"/>
                <w:szCs w:val="18"/>
              </w:rPr>
            </w:pPr>
          </w:p>
        </w:tc>
        <w:tc>
          <w:tcPr>
            <w:tcW w:w="665" w:type="pct"/>
            <w:vMerge/>
            <w:vAlign w:val="center"/>
          </w:tcPr>
          <w:p w:rsidR="00B62715" w:rsidRPr="003A19F9" w:rsidRDefault="00B62715" w:rsidP="00FF2894">
            <w:pPr>
              <w:keepNext/>
              <w:jc w:val="center"/>
              <w:rPr>
                <w:rFonts w:ascii="Arial Narrow" w:hAnsi="Arial Narrow"/>
                <w:b/>
                <w:color w:val="000000"/>
                <w:sz w:val="20"/>
                <w:szCs w:val="18"/>
              </w:rPr>
            </w:pPr>
          </w:p>
        </w:tc>
        <w:tc>
          <w:tcPr>
            <w:tcW w:w="535" w:type="pct"/>
            <w:vAlign w:val="center"/>
          </w:tcPr>
          <w:p w:rsidR="00B62715" w:rsidRPr="003A19F9" w:rsidRDefault="00465246" w:rsidP="00FF2894">
            <w:pPr>
              <w:keepNext/>
              <w:jc w:val="center"/>
              <w:rPr>
                <w:rFonts w:ascii="Arial Narrow" w:hAnsi="Arial Narrow"/>
                <w:b/>
                <w:color w:val="000000"/>
                <w:sz w:val="20"/>
                <w:szCs w:val="18"/>
              </w:rPr>
            </w:pPr>
            <w:r w:rsidRPr="003A19F9">
              <w:rPr>
                <w:rFonts w:ascii="Arial Narrow" w:hAnsi="Arial Narrow"/>
                <w:b/>
                <w:color w:val="000000"/>
                <w:sz w:val="20"/>
                <w:szCs w:val="18"/>
              </w:rPr>
              <w:t>UST</w:t>
            </w:r>
          </w:p>
        </w:tc>
        <w:tc>
          <w:tcPr>
            <w:tcW w:w="534" w:type="pct"/>
            <w:vAlign w:val="center"/>
          </w:tcPr>
          <w:p w:rsidR="00B62715" w:rsidRPr="003A19F9" w:rsidRDefault="00B62715" w:rsidP="00FF2894">
            <w:pPr>
              <w:keepNext/>
              <w:jc w:val="center"/>
              <w:rPr>
                <w:rFonts w:ascii="Arial Narrow" w:hAnsi="Arial Narrow"/>
                <w:b/>
                <w:color w:val="000000"/>
                <w:sz w:val="20"/>
                <w:szCs w:val="18"/>
              </w:rPr>
            </w:pPr>
            <w:r w:rsidRPr="003A19F9">
              <w:rPr>
                <w:rFonts w:ascii="Arial Narrow" w:hAnsi="Arial Narrow"/>
                <w:b/>
                <w:color w:val="000000"/>
                <w:sz w:val="20"/>
                <w:szCs w:val="18"/>
              </w:rPr>
              <w:t>PBO</w:t>
            </w:r>
          </w:p>
        </w:tc>
        <w:tc>
          <w:tcPr>
            <w:tcW w:w="485" w:type="pct"/>
            <w:vAlign w:val="center"/>
          </w:tcPr>
          <w:p w:rsidR="00B62715" w:rsidRPr="003A19F9" w:rsidRDefault="00465246" w:rsidP="00FF2894">
            <w:pPr>
              <w:keepNext/>
              <w:jc w:val="center"/>
              <w:rPr>
                <w:rFonts w:ascii="Arial Narrow" w:hAnsi="Arial Narrow"/>
                <w:b/>
                <w:color w:val="000000"/>
                <w:sz w:val="20"/>
                <w:szCs w:val="18"/>
              </w:rPr>
            </w:pPr>
            <w:r w:rsidRPr="003A19F9">
              <w:rPr>
                <w:rFonts w:ascii="Arial Narrow" w:hAnsi="Arial Narrow"/>
                <w:b/>
                <w:color w:val="000000"/>
                <w:sz w:val="20"/>
                <w:szCs w:val="18"/>
              </w:rPr>
              <w:t>ADA</w:t>
            </w:r>
          </w:p>
        </w:tc>
        <w:tc>
          <w:tcPr>
            <w:tcW w:w="646" w:type="pct"/>
            <w:vMerge/>
            <w:vAlign w:val="center"/>
          </w:tcPr>
          <w:p w:rsidR="00B62715" w:rsidRPr="003A19F9" w:rsidRDefault="00B62715" w:rsidP="00FF2894">
            <w:pPr>
              <w:keepNext/>
              <w:jc w:val="center"/>
              <w:rPr>
                <w:rFonts w:ascii="Arial Narrow" w:hAnsi="Arial Narrow"/>
                <w:b/>
                <w:color w:val="000000"/>
                <w:sz w:val="20"/>
                <w:szCs w:val="18"/>
              </w:rPr>
            </w:pPr>
          </w:p>
        </w:tc>
      </w:tr>
      <w:tr w:rsidR="000269EE" w:rsidRPr="003A19F9" w:rsidTr="009615FC">
        <w:trPr>
          <w:trHeight w:val="70"/>
        </w:trPr>
        <w:tc>
          <w:tcPr>
            <w:tcW w:w="5000" w:type="pct"/>
            <w:gridSpan w:val="10"/>
            <w:shd w:val="clear" w:color="auto" w:fill="auto"/>
            <w:vAlign w:val="center"/>
          </w:tcPr>
          <w:p w:rsidR="000269EE" w:rsidRPr="003A19F9" w:rsidRDefault="000269EE" w:rsidP="00FF2894">
            <w:pPr>
              <w:keepNext/>
              <w:jc w:val="left"/>
              <w:rPr>
                <w:rFonts w:ascii="Arial Narrow" w:hAnsi="Arial Narrow"/>
                <w:b/>
                <w:color w:val="000000"/>
                <w:sz w:val="20"/>
                <w:szCs w:val="18"/>
              </w:rPr>
            </w:pPr>
            <w:r w:rsidRPr="003A19F9">
              <w:rPr>
                <w:rFonts w:ascii="Arial Narrow" w:hAnsi="Arial Narrow"/>
                <w:b/>
                <w:color w:val="000000"/>
                <w:sz w:val="20"/>
                <w:szCs w:val="18"/>
              </w:rPr>
              <w:t>Benefits</w:t>
            </w:r>
          </w:p>
        </w:tc>
      </w:tr>
      <w:tr w:rsidR="000269EE" w:rsidRPr="003A19F9" w:rsidTr="009615FC">
        <w:trPr>
          <w:trHeight w:val="70"/>
        </w:trPr>
        <w:tc>
          <w:tcPr>
            <w:tcW w:w="5000" w:type="pct"/>
            <w:gridSpan w:val="10"/>
            <w:shd w:val="clear" w:color="auto" w:fill="auto"/>
            <w:vAlign w:val="center"/>
          </w:tcPr>
          <w:p w:rsidR="000269EE" w:rsidRPr="003A19F9" w:rsidRDefault="000269EE" w:rsidP="00FF2894">
            <w:pPr>
              <w:keepNext/>
              <w:jc w:val="left"/>
              <w:rPr>
                <w:rFonts w:ascii="Arial Narrow" w:hAnsi="Arial Narrow"/>
                <w:b/>
                <w:color w:val="000000"/>
                <w:sz w:val="20"/>
                <w:szCs w:val="18"/>
              </w:rPr>
            </w:pPr>
            <w:r w:rsidRPr="003A19F9">
              <w:rPr>
                <w:rFonts w:ascii="Arial Narrow" w:hAnsi="Arial Narrow"/>
                <w:b/>
                <w:color w:val="000000"/>
                <w:sz w:val="20"/>
                <w:szCs w:val="18"/>
              </w:rPr>
              <w:t>ACR50 – all patients: indirect comparison</w:t>
            </w:r>
          </w:p>
        </w:tc>
        <w:bookmarkStart w:id="10" w:name="_GoBack"/>
        <w:bookmarkEnd w:id="10"/>
      </w:tr>
      <w:tr w:rsidR="007C10D9" w:rsidRPr="003A19F9" w:rsidTr="007C10D9">
        <w:tc>
          <w:tcPr>
            <w:tcW w:w="682" w:type="pct"/>
            <w:shd w:val="clear" w:color="auto" w:fill="auto"/>
            <w:vAlign w:val="center"/>
          </w:tcPr>
          <w:p w:rsidR="000269EE" w:rsidRPr="003A19F9" w:rsidRDefault="000269EE" w:rsidP="00FF2894">
            <w:pPr>
              <w:keepNext/>
              <w:rPr>
                <w:rFonts w:ascii="Arial Narrow" w:hAnsi="Arial Narrow"/>
                <w:color w:val="000000"/>
                <w:sz w:val="20"/>
                <w:szCs w:val="18"/>
                <w:vertAlign w:val="superscript"/>
              </w:rPr>
            </w:pPr>
            <w:r w:rsidRPr="003A19F9">
              <w:rPr>
                <w:rFonts w:ascii="Arial Narrow" w:hAnsi="Arial Narrow"/>
                <w:color w:val="000000"/>
                <w:sz w:val="20"/>
                <w:szCs w:val="18"/>
              </w:rPr>
              <w:t>UST 45/90mg</w:t>
            </w:r>
            <w:r w:rsidRPr="003A19F9">
              <w:rPr>
                <w:rFonts w:ascii="Arial Narrow" w:hAnsi="Arial Narrow"/>
                <w:color w:val="000000"/>
                <w:sz w:val="20"/>
                <w:szCs w:val="18"/>
                <w:vertAlign w:val="superscript"/>
              </w:rPr>
              <w:t>a</w:t>
            </w:r>
          </w:p>
        </w:tc>
        <w:tc>
          <w:tcPr>
            <w:tcW w:w="512" w:type="pct"/>
            <w:gridSpan w:val="2"/>
            <w:vAlign w:val="center"/>
          </w:tcPr>
          <w:p w:rsidR="000269EE" w:rsidRPr="00523FDD" w:rsidRDefault="00523FDD" w:rsidP="00FF2894">
            <w:pPr>
              <w:keepNext/>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470" w:type="pct"/>
            <w:vAlign w:val="center"/>
          </w:tcPr>
          <w:p w:rsidR="000269EE" w:rsidRPr="00523FDD" w:rsidRDefault="00523FDD" w:rsidP="00FF2894">
            <w:pPr>
              <w:keepNext/>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471" w:type="pct"/>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5" w:type="pct"/>
            <w:vAlign w:val="center"/>
          </w:tcPr>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 ''''''''''</w:t>
            </w:r>
          </w:p>
        </w:tc>
        <w:tc>
          <w:tcPr>
            <w:tcW w:w="535" w:type="pct"/>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34" w:type="pct"/>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85" w:type="pct"/>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46" w:type="pct"/>
            <w:vAlign w:val="center"/>
          </w:tcPr>
          <w:p w:rsidR="000269EE" w:rsidRPr="00523FDD" w:rsidRDefault="00523FDD" w:rsidP="00FF2894">
            <w:pPr>
              <w:keepNext/>
              <w:jc w:val="center"/>
              <w:rPr>
                <w:rFonts w:ascii="Arial Narrow" w:hAnsi="Arial Narrow"/>
                <w:b/>
                <w:bCs/>
                <w:color w:val="000000"/>
                <w:sz w:val="20"/>
                <w:szCs w:val="18"/>
                <w:highlight w:val="black"/>
              </w:rPr>
            </w:pPr>
            <w:r>
              <w:rPr>
                <w:rFonts w:ascii="Arial Narrow" w:hAnsi="Arial Narrow"/>
                <w:b/>
                <w:bCs/>
                <w:noProof/>
                <w:color w:val="000000"/>
                <w:sz w:val="20"/>
                <w:szCs w:val="18"/>
                <w:highlight w:val="black"/>
              </w:rPr>
              <w:t>''''''''</w:t>
            </w:r>
          </w:p>
          <w:p w:rsidR="000269EE" w:rsidRPr="00523FDD" w:rsidRDefault="00523FDD" w:rsidP="00FF2894">
            <w:pPr>
              <w:keepNext/>
              <w:jc w:val="center"/>
              <w:rPr>
                <w:rFonts w:ascii="Arial Narrow" w:hAnsi="Arial Narrow"/>
                <w:b/>
                <w:bCs/>
                <w:color w:val="000000"/>
                <w:sz w:val="20"/>
                <w:szCs w:val="18"/>
                <w:highlight w:val="black"/>
              </w:rPr>
            </w:pPr>
            <w:r>
              <w:rPr>
                <w:rFonts w:ascii="Arial Narrow" w:hAnsi="Arial Narrow"/>
                <w:b/>
                <w:bCs/>
                <w:noProof/>
                <w:color w:val="000000"/>
                <w:sz w:val="20"/>
                <w:szCs w:val="18"/>
                <w:highlight w:val="black"/>
              </w:rPr>
              <w:t>'''''''''''' ''''''''''</w:t>
            </w:r>
          </w:p>
        </w:tc>
      </w:tr>
      <w:tr w:rsidR="007C10D9" w:rsidRPr="003A19F9" w:rsidTr="007C10D9">
        <w:tc>
          <w:tcPr>
            <w:tcW w:w="682" w:type="pct"/>
            <w:shd w:val="clear" w:color="auto" w:fill="auto"/>
            <w:vAlign w:val="center"/>
          </w:tcPr>
          <w:p w:rsidR="000269EE" w:rsidRPr="003A19F9" w:rsidRDefault="000269EE" w:rsidP="00FF2894">
            <w:pPr>
              <w:keepNext/>
              <w:rPr>
                <w:rFonts w:ascii="Arial Narrow" w:hAnsi="Arial Narrow"/>
                <w:color w:val="000000"/>
                <w:sz w:val="20"/>
                <w:szCs w:val="18"/>
                <w:vertAlign w:val="superscript"/>
              </w:rPr>
            </w:pPr>
            <w:r w:rsidRPr="003A19F9">
              <w:rPr>
                <w:rFonts w:ascii="Arial Narrow" w:hAnsi="Arial Narrow"/>
                <w:color w:val="000000"/>
                <w:sz w:val="20"/>
                <w:szCs w:val="18"/>
              </w:rPr>
              <w:t>ADA</w:t>
            </w:r>
            <w:r w:rsidRPr="003A19F9">
              <w:rPr>
                <w:rFonts w:ascii="Arial Narrow" w:hAnsi="Arial Narrow"/>
                <w:color w:val="000000"/>
                <w:sz w:val="20"/>
                <w:szCs w:val="18"/>
                <w:vertAlign w:val="superscript"/>
              </w:rPr>
              <w:t>b</w:t>
            </w:r>
          </w:p>
        </w:tc>
        <w:tc>
          <w:tcPr>
            <w:tcW w:w="512" w:type="pct"/>
            <w:gridSpan w:val="2"/>
            <w:vAlign w:val="center"/>
          </w:tcPr>
          <w:p w:rsidR="000269EE" w:rsidRPr="00523FDD" w:rsidRDefault="00523FDD" w:rsidP="00FF2894">
            <w:pPr>
              <w:keepNext/>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470" w:type="pct"/>
            <w:vAlign w:val="center"/>
          </w:tcPr>
          <w:p w:rsidR="000269EE" w:rsidRPr="00523FDD" w:rsidRDefault="00523FDD" w:rsidP="00FF2894">
            <w:pPr>
              <w:keepNext/>
              <w:jc w:val="center"/>
              <w:rPr>
                <w:rFonts w:ascii="Arial Narrow" w:hAnsi="Arial Narrow"/>
                <w:sz w:val="20"/>
                <w:szCs w:val="18"/>
                <w:highlight w:val="black"/>
              </w:rPr>
            </w:pPr>
            <w:r>
              <w:rPr>
                <w:rFonts w:ascii="Arial Narrow" w:hAnsi="Arial Narrow"/>
                <w:noProof/>
                <w:color w:val="000000"/>
                <w:sz w:val="20"/>
                <w:szCs w:val="18"/>
                <w:highlight w:val="black"/>
              </w:rPr>
              <w:t xml:space="preserve">'''''''''''' </w:t>
            </w:r>
          </w:p>
        </w:tc>
        <w:tc>
          <w:tcPr>
            <w:tcW w:w="471" w:type="pct"/>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5" w:type="pct"/>
            <w:vAlign w:val="center"/>
          </w:tcPr>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 ''''''''''''</w:t>
            </w:r>
          </w:p>
        </w:tc>
        <w:tc>
          <w:tcPr>
            <w:tcW w:w="535" w:type="pct"/>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34" w:type="pct"/>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85" w:type="pct"/>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46" w:type="pct"/>
            <w:vAlign w:val="center"/>
          </w:tcPr>
          <w:p w:rsidR="000269EE" w:rsidRPr="00523FDD" w:rsidRDefault="00523FDD" w:rsidP="00FF2894">
            <w:pPr>
              <w:keepNext/>
              <w:jc w:val="center"/>
              <w:rPr>
                <w:rFonts w:ascii="Arial Narrow" w:hAnsi="Arial Narrow"/>
                <w:b/>
                <w:bCs/>
                <w:color w:val="000000"/>
                <w:sz w:val="20"/>
                <w:szCs w:val="18"/>
                <w:highlight w:val="black"/>
              </w:rPr>
            </w:pPr>
            <w:r>
              <w:rPr>
                <w:rFonts w:ascii="Arial Narrow" w:hAnsi="Arial Narrow"/>
                <w:b/>
                <w:bCs/>
                <w:noProof/>
                <w:color w:val="000000"/>
                <w:sz w:val="20"/>
                <w:szCs w:val="18"/>
                <w:highlight w:val="black"/>
              </w:rPr>
              <w:t>'''''''''</w:t>
            </w:r>
          </w:p>
          <w:p w:rsidR="000269EE" w:rsidRPr="00523FDD" w:rsidRDefault="00523FDD" w:rsidP="00FF2894">
            <w:pPr>
              <w:keepNext/>
              <w:jc w:val="center"/>
              <w:rPr>
                <w:rFonts w:ascii="Arial Narrow" w:hAnsi="Arial Narrow"/>
                <w:b/>
                <w:bCs/>
                <w:color w:val="000000"/>
                <w:sz w:val="20"/>
                <w:szCs w:val="18"/>
                <w:highlight w:val="black"/>
              </w:rPr>
            </w:pPr>
            <w:r>
              <w:rPr>
                <w:rFonts w:ascii="Arial Narrow" w:hAnsi="Arial Narrow"/>
                <w:b/>
                <w:bCs/>
                <w:noProof/>
                <w:color w:val="000000"/>
                <w:sz w:val="20"/>
                <w:szCs w:val="18"/>
                <w:highlight w:val="black"/>
              </w:rPr>
              <w:t>''''''''''' '''''''''</w:t>
            </w:r>
          </w:p>
        </w:tc>
      </w:tr>
      <w:tr w:rsidR="000269EE" w:rsidRPr="003A19F9" w:rsidTr="007C10D9">
        <w:tc>
          <w:tcPr>
            <w:tcW w:w="2134" w:type="pct"/>
            <w:gridSpan w:val="5"/>
            <w:tcBorders>
              <w:bottom w:val="double" w:sz="4" w:space="0" w:color="auto"/>
            </w:tcBorders>
            <w:shd w:val="clear" w:color="auto" w:fill="auto"/>
            <w:vAlign w:val="center"/>
          </w:tcPr>
          <w:p w:rsidR="000269EE" w:rsidRPr="003A19F9" w:rsidRDefault="000269EE" w:rsidP="00FF2894">
            <w:pPr>
              <w:keepNext/>
              <w:rPr>
                <w:rFonts w:ascii="Arial Narrow" w:hAnsi="Arial Narrow"/>
                <w:color w:val="000000"/>
                <w:sz w:val="20"/>
                <w:szCs w:val="18"/>
              </w:rPr>
            </w:pPr>
            <w:r w:rsidRPr="003A19F9">
              <w:rPr>
                <w:rFonts w:ascii="Arial Narrow" w:hAnsi="Arial Narrow"/>
                <w:color w:val="000000"/>
                <w:sz w:val="20"/>
                <w:szCs w:val="18"/>
              </w:rPr>
              <w:t>Indirect comparison: UST vs ADA</w:t>
            </w:r>
          </w:p>
        </w:tc>
        <w:tc>
          <w:tcPr>
            <w:tcW w:w="665" w:type="pct"/>
            <w:tcBorders>
              <w:bottom w:val="double" w:sz="4" w:space="0" w:color="auto"/>
            </w:tcBorders>
            <w:vAlign w:val="center"/>
          </w:tcPr>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p w:rsidR="000269EE" w:rsidRPr="00523FDD" w:rsidRDefault="00523FDD" w:rsidP="00FF2894">
            <w:pPr>
              <w:keepNext/>
              <w:jc w:val="center"/>
              <w:rPr>
                <w:rFonts w:ascii="Arial Narrow" w:hAnsi="Arial Narrow"/>
                <w:b/>
                <w:bCs/>
                <w:color w:val="000000"/>
                <w:sz w:val="20"/>
                <w:szCs w:val="18"/>
                <w:highlight w:val="black"/>
              </w:rPr>
            </w:pPr>
            <w:r>
              <w:rPr>
                <w:rFonts w:ascii="Arial Narrow" w:hAnsi="Arial Narrow"/>
                <w:b/>
                <w:bCs/>
                <w:noProof/>
                <w:color w:val="000000"/>
                <w:sz w:val="20"/>
                <w:szCs w:val="18"/>
                <w:highlight w:val="black"/>
              </w:rPr>
              <w:t>''''''''''' ''''''''''</w:t>
            </w:r>
          </w:p>
        </w:tc>
        <w:tc>
          <w:tcPr>
            <w:tcW w:w="1554" w:type="pct"/>
            <w:gridSpan w:val="3"/>
            <w:tcBorders>
              <w:bottom w:val="double" w:sz="4" w:space="0" w:color="auto"/>
            </w:tcBorders>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46" w:type="pct"/>
            <w:tcBorders>
              <w:bottom w:val="double" w:sz="4" w:space="0" w:color="auto"/>
            </w:tcBorders>
            <w:vAlign w:val="center"/>
          </w:tcPr>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p w:rsidR="000269EE" w:rsidRPr="00523FDD" w:rsidRDefault="00523FDD" w:rsidP="00FF2894">
            <w:pPr>
              <w:keepNext/>
              <w:jc w:val="center"/>
              <w:rPr>
                <w:rFonts w:ascii="Arial Narrow" w:hAnsi="Arial Narrow"/>
                <w:b/>
                <w:bCs/>
                <w:color w:val="000000"/>
                <w:sz w:val="20"/>
                <w:szCs w:val="18"/>
                <w:highlight w:val="black"/>
              </w:rPr>
            </w:pPr>
            <w:r>
              <w:rPr>
                <w:rFonts w:ascii="Arial Narrow" w:hAnsi="Arial Narrow"/>
                <w:b/>
                <w:bCs/>
                <w:noProof/>
                <w:color w:val="000000"/>
                <w:sz w:val="20"/>
                <w:szCs w:val="18"/>
                <w:highlight w:val="black"/>
              </w:rPr>
              <w:t>'''''''''''' '''''''''''</w:t>
            </w:r>
          </w:p>
        </w:tc>
      </w:tr>
      <w:tr w:rsidR="000269EE" w:rsidRPr="003A19F9" w:rsidTr="000269EE">
        <w:tc>
          <w:tcPr>
            <w:tcW w:w="5000" w:type="pct"/>
            <w:gridSpan w:val="10"/>
            <w:shd w:val="clear" w:color="auto" w:fill="auto"/>
          </w:tcPr>
          <w:p w:rsidR="000269EE" w:rsidRPr="003A19F9" w:rsidDel="00465246" w:rsidRDefault="000269EE" w:rsidP="00FF2894">
            <w:pPr>
              <w:keepNext/>
              <w:jc w:val="left"/>
              <w:rPr>
                <w:rFonts w:ascii="Arial Narrow" w:hAnsi="Arial Narrow"/>
                <w:b/>
                <w:bCs/>
                <w:sz w:val="20"/>
                <w:szCs w:val="18"/>
              </w:rPr>
            </w:pPr>
            <w:r w:rsidRPr="003A19F9">
              <w:rPr>
                <w:rFonts w:ascii="Arial Narrow" w:hAnsi="Arial Narrow"/>
                <w:b/>
                <w:bCs/>
                <w:sz w:val="20"/>
                <w:szCs w:val="18"/>
              </w:rPr>
              <w:t>ACR20 – all patients: indirect comparison</w:t>
            </w:r>
          </w:p>
        </w:tc>
      </w:tr>
      <w:tr w:rsidR="000269EE" w:rsidRPr="003A19F9" w:rsidTr="007C10D9">
        <w:tc>
          <w:tcPr>
            <w:tcW w:w="692" w:type="pct"/>
            <w:gridSpan w:val="2"/>
            <w:shd w:val="clear" w:color="auto" w:fill="auto"/>
            <w:vAlign w:val="center"/>
          </w:tcPr>
          <w:p w:rsidR="000269EE" w:rsidRPr="003A19F9" w:rsidRDefault="000269EE" w:rsidP="00FF2894">
            <w:pPr>
              <w:keepNext/>
              <w:rPr>
                <w:rFonts w:ascii="Arial Narrow" w:hAnsi="Arial Narrow"/>
                <w:color w:val="000000"/>
                <w:sz w:val="20"/>
                <w:szCs w:val="18"/>
              </w:rPr>
            </w:pPr>
            <w:r w:rsidRPr="003A19F9">
              <w:rPr>
                <w:rFonts w:ascii="Arial Narrow" w:hAnsi="Arial Narrow"/>
                <w:color w:val="000000"/>
                <w:sz w:val="20"/>
                <w:szCs w:val="18"/>
              </w:rPr>
              <w:t>UST 45/90mg</w:t>
            </w:r>
            <w:r w:rsidRPr="003A19F9">
              <w:rPr>
                <w:rFonts w:ascii="Arial Narrow" w:hAnsi="Arial Narrow"/>
                <w:color w:val="000000"/>
                <w:sz w:val="20"/>
                <w:szCs w:val="18"/>
                <w:vertAlign w:val="superscript"/>
              </w:rPr>
              <w:t>a</w:t>
            </w:r>
          </w:p>
        </w:tc>
        <w:tc>
          <w:tcPr>
            <w:tcW w:w="502" w:type="pct"/>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70" w:type="pct"/>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71" w:type="pct"/>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5" w:type="pct"/>
            <w:tcBorders>
              <w:bottom w:val="single" w:sz="4" w:space="0" w:color="auto"/>
            </w:tcBorders>
            <w:vAlign w:val="center"/>
          </w:tcPr>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p w:rsidR="000269EE" w:rsidRPr="00523FDD" w:rsidDel="00465246"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 '''''''''</w:t>
            </w:r>
          </w:p>
        </w:tc>
        <w:tc>
          <w:tcPr>
            <w:tcW w:w="535" w:type="pct"/>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34" w:type="pct"/>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85" w:type="pct"/>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46" w:type="pct"/>
            <w:tcBorders>
              <w:bottom w:val="single" w:sz="4" w:space="0" w:color="auto"/>
            </w:tcBorders>
            <w:vAlign w:val="center"/>
          </w:tcPr>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p w:rsidR="000269EE" w:rsidRPr="00523FDD" w:rsidDel="00465246"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 '''''''''''</w:t>
            </w:r>
          </w:p>
        </w:tc>
      </w:tr>
      <w:tr w:rsidR="000269EE" w:rsidRPr="003A19F9" w:rsidTr="007C10D9">
        <w:tc>
          <w:tcPr>
            <w:tcW w:w="692" w:type="pct"/>
            <w:gridSpan w:val="2"/>
            <w:tcBorders>
              <w:bottom w:val="single" w:sz="4" w:space="0" w:color="auto"/>
            </w:tcBorders>
            <w:shd w:val="clear" w:color="auto" w:fill="auto"/>
            <w:vAlign w:val="center"/>
          </w:tcPr>
          <w:p w:rsidR="000269EE" w:rsidRPr="003A19F9" w:rsidRDefault="000269EE" w:rsidP="00FF2894">
            <w:pPr>
              <w:keepNext/>
              <w:rPr>
                <w:rFonts w:ascii="Arial Narrow" w:hAnsi="Arial Narrow"/>
                <w:color w:val="000000"/>
                <w:sz w:val="20"/>
                <w:szCs w:val="18"/>
              </w:rPr>
            </w:pPr>
            <w:r w:rsidRPr="003A19F9">
              <w:rPr>
                <w:rFonts w:ascii="Arial Narrow" w:hAnsi="Arial Narrow"/>
                <w:color w:val="000000"/>
                <w:sz w:val="20"/>
                <w:szCs w:val="18"/>
              </w:rPr>
              <w:t>ADA</w:t>
            </w:r>
            <w:r w:rsidRPr="003A19F9">
              <w:rPr>
                <w:rFonts w:ascii="Arial Narrow" w:hAnsi="Arial Narrow"/>
                <w:color w:val="000000"/>
                <w:sz w:val="20"/>
                <w:szCs w:val="18"/>
                <w:vertAlign w:val="superscript"/>
              </w:rPr>
              <w:t>b</w:t>
            </w:r>
          </w:p>
        </w:tc>
        <w:tc>
          <w:tcPr>
            <w:tcW w:w="502" w:type="pct"/>
            <w:tcBorders>
              <w:bottom w:val="single" w:sz="4" w:space="0" w:color="auto"/>
            </w:tcBorders>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70" w:type="pct"/>
            <w:tcBorders>
              <w:bottom w:val="single" w:sz="4" w:space="0" w:color="auto"/>
            </w:tcBorders>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71" w:type="pct"/>
            <w:tcBorders>
              <w:bottom w:val="single" w:sz="4" w:space="0" w:color="auto"/>
            </w:tcBorders>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5" w:type="pct"/>
            <w:tcBorders>
              <w:bottom w:val="single" w:sz="4" w:space="0" w:color="auto"/>
            </w:tcBorders>
            <w:vAlign w:val="center"/>
          </w:tcPr>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p w:rsidR="000269EE" w:rsidRPr="00523FDD" w:rsidDel="00465246"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 '''''''''</w:t>
            </w:r>
          </w:p>
        </w:tc>
        <w:tc>
          <w:tcPr>
            <w:tcW w:w="535" w:type="pct"/>
            <w:tcBorders>
              <w:bottom w:val="single" w:sz="4" w:space="0" w:color="auto"/>
            </w:tcBorders>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34" w:type="pct"/>
            <w:tcBorders>
              <w:bottom w:val="single" w:sz="4" w:space="0" w:color="auto"/>
            </w:tcBorders>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85" w:type="pct"/>
            <w:tcBorders>
              <w:bottom w:val="single" w:sz="4" w:space="0" w:color="auto"/>
            </w:tcBorders>
            <w:shd w:val="clear" w:color="auto" w:fill="auto"/>
            <w:vAlign w:val="center"/>
          </w:tcPr>
          <w:p w:rsidR="000269EE" w:rsidRPr="00523FDD" w:rsidRDefault="00523FDD" w:rsidP="00FF2894">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46" w:type="pct"/>
            <w:tcBorders>
              <w:bottom w:val="single" w:sz="4" w:space="0" w:color="auto"/>
            </w:tcBorders>
            <w:vAlign w:val="center"/>
          </w:tcPr>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p w:rsidR="000269EE" w:rsidRPr="00523FDD" w:rsidDel="00465246"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 '''''''''''</w:t>
            </w:r>
          </w:p>
        </w:tc>
      </w:tr>
      <w:tr w:rsidR="000269EE" w:rsidRPr="003A19F9" w:rsidTr="00F619B0">
        <w:tc>
          <w:tcPr>
            <w:tcW w:w="2134" w:type="pct"/>
            <w:gridSpan w:val="5"/>
            <w:tcBorders>
              <w:bottom w:val="single" w:sz="4" w:space="0" w:color="auto"/>
            </w:tcBorders>
            <w:shd w:val="clear" w:color="auto" w:fill="auto"/>
            <w:vAlign w:val="center"/>
          </w:tcPr>
          <w:p w:rsidR="000269EE" w:rsidRPr="003A19F9" w:rsidRDefault="000269EE" w:rsidP="00FF2894">
            <w:pPr>
              <w:keepNext/>
              <w:rPr>
                <w:rFonts w:ascii="Arial Narrow" w:hAnsi="Arial Narrow"/>
                <w:color w:val="000000"/>
                <w:sz w:val="20"/>
                <w:szCs w:val="18"/>
              </w:rPr>
            </w:pPr>
            <w:r w:rsidRPr="003A19F9">
              <w:rPr>
                <w:rFonts w:ascii="Arial Narrow" w:hAnsi="Arial Narrow"/>
                <w:color w:val="000000"/>
                <w:sz w:val="20"/>
                <w:szCs w:val="18"/>
              </w:rPr>
              <w:t>Indirect comparison: UST vs ADA</w:t>
            </w:r>
          </w:p>
        </w:tc>
        <w:tc>
          <w:tcPr>
            <w:tcW w:w="665" w:type="pct"/>
            <w:tcBorders>
              <w:bottom w:val="single" w:sz="4" w:space="0" w:color="auto"/>
            </w:tcBorders>
            <w:vAlign w:val="center"/>
          </w:tcPr>
          <w:p w:rsidR="000269EE" w:rsidRPr="00523FDD" w:rsidRDefault="00523FDD" w:rsidP="00FF2894">
            <w:pPr>
              <w:keepNext/>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p w:rsidR="000269EE" w:rsidRPr="00523FDD" w:rsidDel="00465246" w:rsidRDefault="00523FDD" w:rsidP="00FF2894">
            <w:pPr>
              <w:keepNext/>
              <w:jc w:val="center"/>
              <w:rPr>
                <w:rFonts w:ascii="Arial Narrow" w:hAnsi="Arial Narrow"/>
                <w:sz w:val="20"/>
                <w:szCs w:val="18"/>
                <w:highlight w:val="black"/>
              </w:rPr>
            </w:pPr>
            <w:r>
              <w:rPr>
                <w:rFonts w:ascii="Arial Narrow" w:hAnsi="Arial Narrow"/>
                <w:b/>
                <w:bCs/>
                <w:noProof/>
                <w:color w:val="000000"/>
                <w:sz w:val="20"/>
                <w:szCs w:val="18"/>
                <w:highlight w:val="black"/>
              </w:rPr>
              <w:t>'''''''''' '''''''''</w:t>
            </w:r>
          </w:p>
        </w:tc>
        <w:tc>
          <w:tcPr>
            <w:tcW w:w="1554" w:type="pct"/>
            <w:gridSpan w:val="3"/>
            <w:tcBorders>
              <w:bottom w:val="single" w:sz="4" w:space="0" w:color="auto"/>
            </w:tcBorders>
            <w:shd w:val="clear" w:color="auto" w:fill="auto"/>
            <w:vAlign w:val="center"/>
          </w:tcPr>
          <w:p w:rsidR="000269EE" w:rsidRPr="003A19F9" w:rsidRDefault="000269EE" w:rsidP="00FF2894">
            <w:pPr>
              <w:keepNext/>
              <w:jc w:val="center"/>
              <w:rPr>
                <w:rFonts w:ascii="Arial Narrow" w:hAnsi="Arial Narrow"/>
                <w:color w:val="000000"/>
                <w:sz w:val="20"/>
                <w:szCs w:val="18"/>
              </w:rPr>
            </w:pPr>
          </w:p>
        </w:tc>
        <w:tc>
          <w:tcPr>
            <w:tcW w:w="646" w:type="pct"/>
            <w:tcBorders>
              <w:bottom w:val="single" w:sz="4" w:space="0" w:color="auto"/>
            </w:tcBorders>
            <w:vAlign w:val="center"/>
          </w:tcPr>
          <w:p w:rsidR="000269EE" w:rsidRPr="00523FDD" w:rsidRDefault="00523FDD" w:rsidP="00FF2894">
            <w:pPr>
              <w:keepNext/>
              <w:jc w:val="center"/>
              <w:rPr>
                <w:rFonts w:ascii="Arial Narrow" w:hAnsi="Arial Narrow"/>
                <w:sz w:val="20"/>
                <w:szCs w:val="18"/>
                <w:highlight w:val="black"/>
              </w:rPr>
            </w:pPr>
            <w:r>
              <w:rPr>
                <w:rFonts w:ascii="Arial Narrow" w:hAnsi="Arial Narrow"/>
                <w:noProof/>
                <w:color w:val="000000"/>
                <w:sz w:val="20"/>
                <w:szCs w:val="18"/>
                <w:highlight w:val="black"/>
              </w:rPr>
              <w:t>'''''''''''''</w:t>
            </w:r>
          </w:p>
          <w:p w:rsidR="000269EE" w:rsidRPr="00523FDD" w:rsidDel="00465246" w:rsidRDefault="00523FDD" w:rsidP="00FF2894">
            <w:pPr>
              <w:keepNext/>
              <w:jc w:val="center"/>
              <w:rPr>
                <w:rFonts w:ascii="Arial Narrow" w:hAnsi="Arial Narrow"/>
                <w:sz w:val="20"/>
                <w:szCs w:val="18"/>
                <w:highlight w:val="black"/>
              </w:rPr>
            </w:pPr>
            <w:r>
              <w:rPr>
                <w:rFonts w:ascii="Arial Narrow" w:hAnsi="Arial Narrow"/>
                <w:noProof/>
                <w:color w:val="000000"/>
                <w:sz w:val="20"/>
                <w:szCs w:val="18"/>
                <w:highlight w:val="black"/>
              </w:rPr>
              <w:t>'''''''''''''' ''''''''''''</w:t>
            </w:r>
          </w:p>
        </w:tc>
      </w:tr>
    </w:tbl>
    <w:p w:rsidR="007C10D9" w:rsidRPr="003A19F9" w:rsidRDefault="007C10D9" w:rsidP="005D044D">
      <w:pPr>
        <w:pStyle w:val="TableFooter"/>
        <w:ind w:left="720"/>
      </w:pPr>
      <w:r w:rsidRPr="003A19F9">
        <w:rPr>
          <w:vertAlign w:val="superscript"/>
        </w:rPr>
        <w:t>a</w:t>
      </w:r>
      <w:r w:rsidRPr="003A19F9">
        <w:tab/>
        <w:t>UST = pooled results for UST1 and UST2 trials in TNF-α naïve and experienced patients measured at 24 weeks</w:t>
      </w:r>
    </w:p>
    <w:p w:rsidR="007C10D9" w:rsidRPr="003A19F9" w:rsidRDefault="007C10D9" w:rsidP="007C10D9">
      <w:pPr>
        <w:pStyle w:val="TableFooter"/>
        <w:ind w:left="720"/>
      </w:pPr>
      <w:r w:rsidRPr="003A19F9">
        <w:rPr>
          <w:vertAlign w:val="superscript"/>
        </w:rPr>
        <w:t>b</w:t>
      </w:r>
      <w:r w:rsidRPr="003A19F9">
        <w:tab/>
        <w:t>ADA = pooled results for ADA1 and ADA2 trials in TNF-α naïve patients measured at 12 weeks</w:t>
      </w:r>
    </w:p>
    <w:p w:rsidR="00B62715" w:rsidRPr="003A19F9" w:rsidRDefault="00B62715" w:rsidP="005D044D">
      <w:pPr>
        <w:pStyle w:val="TableFooter"/>
        <w:ind w:firstLine="720"/>
      </w:pPr>
      <w:r w:rsidRPr="003A19F9">
        <w:t xml:space="preserve">Abbreviations: </w:t>
      </w:r>
      <w:r w:rsidR="007C10D9" w:rsidRPr="003A19F9">
        <w:t xml:space="preserve">UST= ustekinumab; ADA = adalimumab; </w:t>
      </w:r>
      <w:r w:rsidRPr="003A19F9">
        <w:t>PBO = placebo; RD = risk difference; RR = risk ratio</w:t>
      </w:r>
    </w:p>
    <w:p w:rsidR="00B62715" w:rsidRPr="003A19F9" w:rsidRDefault="00B62715" w:rsidP="007C10D9">
      <w:pPr>
        <w:pStyle w:val="TableFooter"/>
        <w:ind w:firstLine="720"/>
      </w:pPr>
      <w:r w:rsidRPr="003A19F9">
        <w:t>Source: Compiled during the evaluation</w:t>
      </w:r>
    </w:p>
    <w:p w:rsidR="00B62715" w:rsidRPr="003A19F9" w:rsidRDefault="00B62715" w:rsidP="00B62715"/>
    <w:p w:rsidR="00FC1884" w:rsidRPr="003A19F9" w:rsidRDefault="00EC00C9" w:rsidP="00C60800">
      <w:pPr>
        <w:pStyle w:val="ListParagraph"/>
        <w:widowControl/>
        <w:numPr>
          <w:ilvl w:val="1"/>
          <w:numId w:val="13"/>
        </w:numPr>
      </w:pPr>
      <w:r w:rsidRPr="003A19F9">
        <w:t>On the basis of indirect</w:t>
      </w:r>
      <w:r w:rsidR="007C10D9" w:rsidRPr="003A19F9">
        <w:t xml:space="preserve"> </w:t>
      </w:r>
      <w:r w:rsidRPr="003A19F9">
        <w:t xml:space="preserve">evidence presented by the submission, for every 100 patients treated with </w:t>
      </w:r>
      <w:r w:rsidR="00DC1B44">
        <w:t>UST</w:t>
      </w:r>
      <w:r w:rsidR="00DC1B44" w:rsidRPr="003A19F9">
        <w:t xml:space="preserve"> </w:t>
      </w:r>
      <w:r w:rsidRPr="003A19F9">
        <w:t xml:space="preserve">in comparison to </w:t>
      </w:r>
      <w:r w:rsidR="00DC1B44">
        <w:t>ADA</w:t>
      </w:r>
      <w:r w:rsidR="00C60800">
        <w:t xml:space="preserve"> a</w:t>
      </w:r>
      <w:r w:rsidR="00FC1884" w:rsidRPr="003A19F9">
        <w:t xml:space="preserve">pproximately </w:t>
      </w:r>
      <w:r w:rsidR="007C10D9" w:rsidRPr="003A19F9">
        <w:t xml:space="preserve">13 fewer </w:t>
      </w:r>
      <w:r w:rsidR="00FC1884" w:rsidRPr="003A19F9">
        <w:t xml:space="preserve">patients would have </w:t>
      </w:r>
      <w:r w:rsidR="007C10D9" w:rsidRPr="003A19F9">
        <w:t>achieved ACR50</w:t>
      </w:r>
      <w:r w:rsidR="00FC1884" w:rsidRPr="003A19F9">
        <w:t xml:space="preserve"> over </w:t>
      </w:r>
      <w:r w:rsidR="007C10D9" w:rsidRPr="003A19F9">
        <w:t>24 wee</w:t>
      </w:r>
      <w:r w:rsidR="00C60800">
        <w:t>ks compared with over 12 weeks.</w:t>
      </w:r>
    </w:p>
    <w:p w:rsidR="00F619B0" w:rsidRPr="003A19F9" w:rsidRDefault="00F619B0" w:rsidP="00F619B0">
      <w:pPr>
        <w:ind w:left="709"/>
      </w:pPr>
    </w:p>
    <w:p w:rsidR="00B60939" w:rsidRPr="00FF2894" w:rsidRDefault="00F619B0" w:rsidP="00FF2894">
      <w:pPr>
        <w:pStyle w:val="ListParagraph"/>
        <w:widowControl/>
        <w:numPr>
          <w:ilvl w:val="1"/>
          <w:numId w:val="13"/>
        </w:numPr>
      </w:pPr>
      <w:r w:rsidRPr="003A19F9">
        <w:t xml:space="preserve">An assessment of the comparative harms was not </w:t>
      </w:r>
      <w:r w:rsidR="006341F2" w:rsidRPr="003A19F9">
        <w:t xml:space="preserve">conducted </w:t>
      </w:r>
      <w:r w:rsidRPr="003A19F9">
        <w:t>as the adverse events were not reported at compa</w:t>
      </w:r>
      <w:r w:rsidR="006341F2" w:rsidRPr="003A19F9">
        <w:t>rable time points in the trials.</w:t>
      </w:r>
    </w:p>
    <w:p w:rsidR="00B60939" w:rsidRDefault="00B60939" w:rsidP="00FC1884"/>
    <w:p w:rsidR="00696785" w:rsidRPr="00777FA8" w:rsidRDefault="00D93824" w:rsidP="00FF2894">
      <w:pPr>
        <w:pStyle w:val="ListParagraph"/>
        <w:widowControl/>
        <w:numPr>
          <w:ilvl w:val="1"/>
          <w:numId w:val="13"/>
        </w:numPr>
      </w:pPr>
      <w:r w:rsidRPr="00777FA8">
        <w:t>T</w:t>
      </w:r>
      <w:r w:rsidR="003A7689">
        <w:t>he following t</w:t>
      </w:r>
      <w:r w:rsidRPr="00777FA8">
        <w:t xml:space="preserve">able presents </w:t>
      </w:r>
      <w:r w:rsidR="00696785" w:rsidRPr="00777FA8">
        <w:t>an additional analysi</w:t>
      </w:r>
      <w:r w:rsidR="00B7719D">
        <w:t>s</w:t>
      </w:r>
      <w:r w:rsidR="00696785" w:rsidRPr="00777FA8">
        <w:t xml:space="preserve"> of </w:t>
      </w:r>
      <w:r w:rsidR="004D145D">
        <w:t xml:space="preserve">an </w:t>
      </w:r>
      <w:r w:rsidR="00696785" w:rsidRPr="00777FA8">
        <w:t>indirect comparison based on ITT for ACR50 response for patients who are anti-TNF-α naïve in the UST trials versus other bDMARDs.</w:t>
      </w:r>
      <w:r w:rsidR="006A0CDD">
        <w:t xml:space="preserve"> </w:t>
      </w:r>
      <w:r w:rsidR="004D145D">
        <w:t>This analysis was conducted at the request of the ESC and included in the ESC advice.</w:t>
      </w:r>
    </w:p>
    <w:p w:rsidR="00D93824" w:rsidRPr="00D93824" w:rsidRDefault="00D93824" w:rsidP="00D93824">
      <w:pPr>
        <w:pStyle w:val="ListParagraph"/>
        <w:rPr>
          <w:i/>
        </w:rPr>
      </w:pPr>
    </w:p>
    <w:p w:rsidR="00D93824" w:rsidRPr="00777FA8" w:rsidRDefault="00D93824" w:rsidP="00D93824">
      <w:pPr>
        <w:keepNext/>
        <w:ind w:left="720"/>
        <w:rPr>
          <w:rFonts w:ascii="Arial Narrow" w:hAnsi="Arial Narrow"/>
          <w:b/>
          <w:sz w:val="20"/>
          <w:szCs w:val="16"/>
        </w:rPr>
      </w:pPr>
      <w:r w:rsidRPr="00777FA8">
        <w:rPr>
          <w:rStyle w:val="CommentReference"/>
        </w:rPr>
        <w:lastRenderedPageBreak/>
        <w:t>Indirect comparison - Summary of comparative benefits for patients who are anti-TNF</w:t>
      </w:r>
      <w:r w:rsidRPr="00777FA8">
        <w:rPr>
          <w:rFonts w:ascii="Arial Narrow" w:hAnsi="Arial Narrow"/>
          <w:b/>
          <w:bCs/>
          <w:sz w:val="20"/>
          <w:u w:val="single"/>
        </w:rPr>
        <w:t>-</w:t>
      </w:r>
      <w:r w:rsidR="000A5FEC" w:rsidRPr="00777FA8">
        <w:rPr>
          <w:rFonts w:ascii="Arial Narrow" w:hAnsi="Arial Narrow"/>
          <w:b/>
          <w:bCs/>
          <w:sz w:val="20"/>
          <w:u w:val="single"/>
        </w:rPr>
        <w:t>α</w:t>
      </w:r>
      <w:r w:rsidR="000A5FEC" w:rsidRPr="00777FA8">
        <w:rPr>
          <w:rStyle w:val="CommentReference"/>
        </w:rPr>
        <w:t xml:space="preserve"> naïve</w:t>
      </w:r>
      <w:r w:rsidRPr="00777FA8">
        <w:rPr>
          <w:rStyle w:val="CommentReference"/>
        </w:rPr>
        <w:t xml:space="preserve"> in the UST trials (analysis based on ITT) </w:t>
      </w:r>
      <w:r w:rsidRPr="00777FA8">
        <w:rPr>
          <w:rFonts w:ascii="Arial Narrow" w:hAnsi="Arial Narrow"/>
          <w:bCs/>
          <w:sz w:val="20"/>
        </w:rPr>
        <w:t xml:space="preserve">(the comparison presented in the commentary are of all patients in the UST trials (anti-TNF-α naïve and experienced). The comparisons versus ETN and all </w:t>
      </w:r>
      <w:r w:rsidR="000A5FEC" w:rsidRPr="00777FA8">
        <w:rPr>
          <w:rFonts w:ascii="Arial Narrow" w:hAnsi="Arial Narrow"/>
          <w:bCs/>
          <w:sz w:val="20"/>
        </w:rPr>
        <w:t>bDMARDs</w:t>
      </w:r>
      <w:r w:rsidRPr="00777FA8">
        <w:rPr>
          <w:rFonts w:ascii="Arial Narrow" w:hAnsi="Arial Narrow"/>
          <w:bCs/>
          <w:sz w:val="20"/>
        </w:rPr>
        <w:t xml:space="preserve"> were not presented in the submission/commentary.</w:t>
      </w:r>
    </w:p>
    <w:tbl>
      <w:tblPr>
        <w:tblW w:w="468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3"/>
        <w:gridCol w:w="12"/>
        <w:gridCol w:w="27"/>
        <w:gridCol w:w="716"/>
        <w:gridCol w:w="131"/>
        <w:gridCol w:w="584"/>
        <w:gridCol w:w="12"/>
        <w:gridCol w:w="738"/>
        <w:gridCol w:w="1557"/>
        <w:gridCol w:w="558"/>
        <w:gridCol w:w="66"/>
        <w:gridCol w:w="490"/>
        <w:gridCol w:w="558"/>
        <w:gridCol w:w="60"/>
        <w:gridCol w:w="1434"/>
      </w:tblGrid>
      <w:tr w:rsidR="00D93824" w:rsidRPr="00777FA8" w:rsidTr="00D93824">
        <w:trPr>
          <w:trHeight w:val="150"/>
        </w:trPr>
        <w:tc>
          <w:tcPr>
            <w:tcW w:w="942" w:type="pct"/>
            <w:gridSpan w:val="3"/>
            <w:vMerge w:val="restart"/>
            <w:shd w:val="clear" w:color="auto" w:fill="auto"/>
            <w:vAlign w:val="center"/>
          </w:tcPr>
          <w:p w:rsidR="00D93824" w:rsidRPr="00777FA8" w:rsidRDefault="00D93824" w:rsidP="00400BC2">
            <w:pPr>
              <w:keepNext/>
              <w:rPr>
                <w:rFonts w:ascii="Arial Narrow" w:hAnsi="Arial Narrow"/>
                <w:b/>
                <w:color w:val="000000"/>
                <w:sz w:val="20"/>
                <w:szCs w:val="18"/>
              </w:rPr>
            </w:pPr>
            <w:r w:rsidRPr="00777FA8">
              <w:rPr>
                <w:rFonts w:ascii="Arial Narrow" w:hAnsi="Arial Narrow"/>
                <w:b/>
                <w:color w:val="000000"/>
                <w:sz w:val="20"/>
                <w:szCs w:val="18"/>
              </w:rPr>
              <w:t>Trial</w:t>
            </w:r>
          </w:p>
        </w:tc>
        <w:tc>
          <w:tcPr>
            <w:tcW w:w="498" w:type="pct"/>
            <w:gridSpan w:val="2"/>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Drug</w:t>
            </w:r>
          </w:p>
        </w:tc>
        <w:tc>
          <w:tcPr>
            <w:tcW w:w="782" w:type="pct"/>
            <w:gridSpan w:val="3"/>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Comparator /PBO</w:t>
            </w:r>
          </w:p>
        </w:tc>
        <w:tc>
          <w:tcPr>
            <w:tcW w:w="915" w:type="pct"/>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RR</w:t>
            </w:r>
          </w:p>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(95% CI)</w:t>
            </w:r>
          </w:p>
        </w:tc>
        <w:tc>
          <w:tcPr>
            <w:tcW w:w="1018" w:type="pct"/>
            <w:gridSpan w:val="5"/>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Event rate/100 patients</w:t>
            </w:r>
          </w:p>
        </w:tc>
        <w:tc>
          <w:tcPr>
            <w:tcW w:w="844" w:type="pct"/>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RD</w:t>
            </w:r>
          </w:p>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(95% CI)</w:t>
            </w:r>
          </w:p>
        </w:tc>
      </w:tr>
      <w:tr w:rsidR="00D93824" w:rsidRPr="00777FA8" w:rsidTr="00D93824">
        <w:trPr>
          <w:trHeight w:val="315"/>
        </w:trPr>
        <w:tc>
          <w:tcPr>
            <w:tcW w:w="942" w:type="pct"/>
            <w:gridSpan w:val="3"/>
            <w:vMerge/>
            <w:shd w:val="clear" w:color="auto" w:fill="auto"/>
            <w:vAlign w:val="center"/>
          </w:tcPr>
          <w:p w:rsidR="00D93824" w:rsidRPr="00777FA8" w:rsidRDefault="00D93824" w:rsidP="00400BC2">
            <w:pPr>
              <w:keepNext/>
              <w:rPr>
                <w:rFonts w:ascii="Arial Narrow" w:hAnsi="Arial Narrow"/>
                <w:b/>
                <w:color w:val="000000"/>
                <w:sz w:val="20"/>
                <w:szCs w:val="18"/>
              </w:rPr>
            </w:pPr>
          </w:p>
        </w:tc>
        <w:tc>
          <w:tcPr>
            <w:tcW w:w="498" w:type="pct"/>
            <w:gridSpan w:val="2"/>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782" w:type="pct"/>
            <w:gridSpan w:val="3"/>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915" w:type="pct"/>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367" w:type="pct"/>
            <w:gridSpan w:val="2"/>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Drug</w:t>
            </w:r>
          </w:p>
        </w:tc>
        <w:tc>
          <w:tcPr>
            <w:tcW w:w="651" w:type="pct"/>
            <w:gridSpan w:val="3"/>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Comparator/</w:t>
            </w:r>
          </w:p>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PBO</w:t>
            </w:r>
          </w:p>
        </w:tc>
        <w:tc>
          <w:tcPr>
            <w:tcW w:w="844" w:type="pct"/>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r>
      <w:tr w:rsidR="00D93824" w:rsidRPr="00777FA8" w:rsidTr="00D93824">
        <w:tc>
          <w:tcPr>
            <w:tcW w:w="5000" w:type="pct"/>
            <w:gridSpan w:val="15"/>
            <w:shd w:val="clear" w:color="auto" w:fill="auto"/>
            <w:vAlign w:val="center"/>
          </w:tcPr>
          <w:p w:rsidR="00D93824" w:rsidRPr="00777FA8" w:rsidRDefault="00D93824" w:rsidP="00400BC2">
            <w:pPr>
              <w:keepNext/>
              <w:rPr>
                <w:rFonts w:ascii="Arial Narrow" w:hAnsi="Arial Narrow"/>
                <w:b/>
                <w:color w:val="000000"/>
                <w:sz w:val="20"/>
                <w:szCs w:val="18"/>
              </w:rPr>
            </w:pPr>
            <w:r w:rsidRPr="00777FA8">
              <w:rPr>
                <w:rFonts w:ascii="Arial Narrow" w:hAnsi="Arial Narrow"/>
                <w:b/>
                <w:color w:val="000000"/>
                <w:sz w:val="20"/>
                <w:szCs w:val="18"/>
              </w:rPr>
              <w:t>Benefits</w:t>
            </w:r>
          </w:p>
        </w:tc>
      </w:tr>
      <w:tr w:rsidR="00D93824" w:rsidRPr="00777FA8" w:rsidTr="00D93824">
        <w:tc>
          <w:tcPr>
            <w:tcW w:w="5000" w:type="pct"/>
            <w:gridSpan w:val="15"/>
            <w:tcBorders>
              <w:top w:val="single" w:sz="4" w:space="0" w:color="auto"/>
            </w:tcBorders>
            <w:shd w:val="clear" w:color="auto" w:fill="auto"/>
            <w:vAlign w:val="center"/>
          </w:tcPr>
          <w:p w:rsidR="00D93824" w:rsidRPr="00777FA8" w:rsidRDefault="00D93824" w:rsidP="00400BC2">
            <w:pPr>
              <w:keepNext/>
              <w:rPr>
                <w:rFonts w:ascii="Arial Narrow" w:hAnsi="Arial Narrow"/>
                <w:b/>
                <w:color w:val="000000"/>
                <w:sz w:val="20"/>
                <w:szCs w:val="18"/>
              </w:rPr>
            </w:pPr>
            <w:r w:rsidRPr="00777FA8">
              <w:rPr>
                <w:rFonts w:ascii="Arial Narrow" w:hAnsi="Arial Narrow"/>
                <w:b/>
                <w:color w:val="000000"/>
                <w:sz w:val="20"/>
                <w:szCs w:val="18"/>
              </w:rPr>
              <w:t>ACR50 response Week 24 for UST and Week 12-16 for comparators: indirect comparison</w:t>
            </w:r>
          </w:p>
        </w:tc>
      </w:tr>
      <w:tr w:rsidR="00D93824" w:rsidRPr="00777FA8" w:rsidTr="00D93824">
        <w:trPr>
          <w:trHeight w:val="105"/>
        </w:trPr>
        <w:tc>
          <w:tcPr>
            <w:tcW w:w="942" w:type="pct"/>
            <w:gridSpan w:val="3"/>
            <w:vMerge w:val="restart"/>
            <w:shd w:val="clear" w:color="auto" w:fill="auto"/>
            <w:vAlign w:val="center"/>
          </w:tcPr>
          <w:p w:rsidR="00D93824" w:rsidRPr="00777FA8" w:rsidRDefault="00D93824" w:rsidP="00400BC2">
            <w:pPr>
              <w:keepNext/>
              <w:rPr>
                <w:rFonts w:ascii="Arial Narrow" w:hAnsi="Arial Narrow"/>
                <w:color w:val="000000"/>
                <w:sz w:val="20"/>
                <w:szCs w:val="18"/>
              </w:rPr>
            </w:pPr>
          </w:p>
        </w:tc>
        <w:tc>
          <w:tcPr>
            <w:tcW w:w="420" w:type="pct"/>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UST</w:t>
            </w:r>
          </w:p>
        </w:tc>
        <w:tc>
          <w:tcPr>
            <w:tcW w:w="420" w:type="pct"/>
            <w:gridSpan w:val="2"/>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PBO</w:t>
            </w:r>
          </w:p>
        </w:tc>
        <w:tc>
          <w:tcPr>
            <w:tcW w:w="441" w:type="pct"/>
            <w:gridSpan w:val="2"/>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ADA</w:t>
            </w:r>
          </w:p>
        </w:tc>
        <w:tc>
          <w:tcPr>
            <w:tcW w:w="915" w:type="pct"/>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RR</w:t>
            </w:r>
          </w:p>
          <w:p w:rsidR="00D93824" w:rsidRPr="00777FA8" w:rsidRDefault="00D93824" w:rsidP="00400BC2">
            <w:pPr>
              <w:keepNext/>
              <w:jc w:val="center"/>
              <w:rPr>
                <w:rFonts w:ascii="Arial Narrow" w:hAnsi="Arial Narrow"/>
                <w:color w:val="000000"/>
                <w:sz w:val="20"/>
                <w:szCs w:val="18"/>
              </w:rPr>
            </w:pPr>
            <w:r w:rsidRPr="00777FA8">
              <w:rPr>
                <w:rFonts w:ascii="Arial Narrow" w:hAnsi="Arial Narrow"/>
                <w:b/>
                <w:color w:val="000000"/>
                <w:sz w:val="20"/>
                <w:szCs w:val="18"/>
              </w:rPr>
              <w:t>(95% CI)</w:t>
            </w:r>
          </w:p>
        </w:tc>
        <w:tc>
          <w:tcPr>
            <w:tcW w:w="983" w:type="pct"/>
            <w:gridSpan w:val="4"/>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Event rate/100 patients</w:t>
            </w:r>
          </w:p>
        </w:tc>
        <w:tc>
          <w:tcPr>
            <w:tcW w:w="879" w:type="pct"/>
            <w:gridSpan w:val="2"/>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RD</w:t>
            </w:r>
          </w:p>
          <w:p w:rsidR="00D93824" w:rsidRPr="00777FA8" w:rsidRDefault="00D93824" w:rsidP="00400BC2">
            <w:pPr>
              <w:keepNext/>
              <w:jc w:val="center"/>
              <w:rPr>
                <w:rFonts w:ascii="Arial Narrow" w:hAnsi="Arial Narrow"/>
                <w:color w:val="000000"/>
                <w:sz w:val="20"/>
                <w:szCs w:val="18"/>
              </w:rPr>
            </w:pPr>
            <w:r w:rsidRPr="00777FA8">
              <w:rPr>
                <w:rFonts w:ascii="Arial Narrow" w:hAnsi="Arial Narrow"/>
                <w:b/>
                <w:color w:val="000000"/>
                <w:sz w:val="20"/>
                <w:szCs w:val="18"/>
              </w:rPr>
              <w:t>(95% CI)</w:t>
            </w:r>
          </w:p>
        </w:tc>
      </w:tr>
      <w:tr w:rsidR="00D93824" w:rsidRPr="00777FA8" w:rsidTr="00D93824">
        <w:trPr>
          <w:trHeight w:val="70"/>
        </w:trPr>
        <w:tc>
          <w:tcPr>
            <w:tcW w:w="942" w:type="pct"/>
            <w:gridSpan w:val="3"/>
            <w:vMerge/>
            <w:shd w:val="clear" w:color="auto" w:fill="auto"/>
            <w:vAlign w:val="center"/>
          </w:tcPr>
          <w:p w:rsidR="00D93824" w:rsidRPr="00777FA8" w:rsidRDefault="00D93824" w:rsidP="00400BC2">
            <w:pPr>
              <w:keepNext/>
              <w:rPr>
                <w:rFonts w:ascii="Arial Narrow" w:hAnsi="Arial Narrow"/>
                <w:color w:val="000000"/>
                <w:sz w:val="20"/>
                <w:szCs w:val="18"/>
              </w:rPr>
            </w:pPr>
          </w:p>
        </w:tc>
        <w:tc>
          <w:tcPr>
            <w:tcW w:w="420" w:type="pct"/>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420" w:type="pct"/>
            <w:gridSpan w:val="2"/>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441" w:type="pct"/>
            <w:gridSpan w:val="2"/>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915" w:type="pct"/>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328" w:type="pc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UST</w:t>
            </w:r>
          </w:p>
        </w:tc>
        <w:tc>
          <w:tcPr>
            <w:tcW w:w="327" w:type="pct"/>
            <w:gridSpan w:val="2"/>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PBO</w:t>
            </w:r>
          </w:p>
        </w:tc>
        <w:tc>
          <w:tcPr>
            <w:tcW w:w="328" w:type="pc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ADA</w:t>
            </w:r>
          </w:p>
        </w:tc>
        <w:tc>
          <w:tcPr>
            <w:tcW w:w="879" w:type="pct"/>
            <w:gridSpan w:val="2"/>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r>
      <w:tr w:rsidR="00D93824" w:rsidRPr="00777FA8" w:rsidTr="00D93824">
        <w:tc>
          <w:tcPr>
            <w:tcW w:w="942" w:type="pct"/>
            <w:gridSpan w:val="3"/>
            <w:shd w:val="clear" w:color="auto" w:fill="auto"/>
            <w:vAlign w:val="center"/>
          </w:tcPr>
          <w:p w:rsidR="00D93824" w:rsidRPr="00777FA8" w:rsidRDefault="00D93824" w:rsidP="008E386F">
            <w:pPr>
              <w:keepNext/>
              <w:rPr>
                <w:rFonts w:ascii="Arial Narrow" w:hAnsi="Arial Narrow"/>
                <w:color w:val="000000"/>
                <w:sz w:val="20"/>
                <w:szCs w:val="18"/>
              </w:rPr>
            </w:pPr>
            <w:r w:rsidRPr="00777FA8">
              <w:rPr>
                <w:rFonts w:ascii="Arial Narrow" w:hAnsi="Arial Narrow"/>
                <w:sz w:val="20"/>
              </w:rPr>
              <w:t>Meta-analysis (UST 45&amp;90mg)</w:t>
            </w:r>
          </w:p>
        </w:tc>
        <w:tc>
          <w:tcPr>
            <w:tcW w:w="420" w:type="pct"/>
            <w:shd w:val="clear" w:color="auto" w:fill="auto"/>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0" w:type="pct"/>
            <w:gridSpan w:val="2"/>
            <w:shd w:val="clear" w:color="auto" w:fill="auto"/>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41" w:type="pct"/>
            <w:gridSpan w:val="2"/>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15" w:type="pct"/>
            <w:shd w:val="clear" w:color="auto" w:fill="auto"/>
            <w:vAlign w:val="center"/>
          </w:tcPr>
          <w:p w:rsidR="00D93824" w:rsidRPr="00523FDD" w:rsidRDefault="00523FDD" w:rsidP="00400BC2">
            <w:pPr>
              <w:keepNext/>
              <w:jc w:val="center"/>
              <w:rPr>
                <w:rFonts w:ascii="Arial Narrow" w:hAnsi="Arial Narrow"/>
                <w:b/>
                <w:sz w:val="20"/>
                <w:szCs w:val="18"/>
                <w:highlight w:val="black"/>
              </w:rPr>
            </w:pPr>
            <w:r>
              <w:rPr>
                <w:rFonts w:ascii="Arial Narrow" w:hAnsi="Arial Narrow"/>
                <w:b/>
                <w:bCs/>
                <w:iCs/>
                <w:noProof/>
                <w:color w:val="000000"/>
                <w:sz w:val="20"/>
                <w:highlight w:val="black"/>
              </w:rPr>
              <w:t>''''''''' ''''''''''' ''''''''''</w:t>
            </w:r>
          </w:p>
        </w:tc>
        <w:tc>
          <w:tcPr>
            <w:tcW w:w="328" w:type="pct"/>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7" w:type="pct"/>
            <w:gridSpan w:val="2"/>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8" w:type="pct"/>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9" w:type="pct"/>
            <w:gridSpan w:val="2"/>
            <w:shd w:val="clear" w:color="auto" w:fill="auto"/>
          </w:tcPr>
          <w:p w:rsidR="00D93824" w:rsidRPr="00523FDD" w:rsidRDefault="00523FDD" w:rsidP="00400BC2">
            <w:pPr>
              <w:keepNext/>
              <w:jc w:val="center"/>
              <w:rPr>
                <w:rFonts w:ascii="Arial Narrow" w:hAnsi="Arial Narrow"/>
                <w:b/>
                <w:color w:val="000000"/>
                <w:sz w:val="20"/>
                <w:szCs w:val="18"/>
                <w:highlight w:val="black"/>
              </w:rPr>
            </w:pPr>
            <w:r>
              <w:rPr>
                <w:rFonts w:ascii="Arial Narrow" w:hAnsi="Arial Narrow"/>
                <w:b/>
                <w:bCs/>
                <w:iCs/>
                <w:noProof/>
                <w:color w:val="000000"/>
                <w:sz w:val="20"/>
                <w:highlight w:val="black"/>
              </w:rPr>
              <w:t>''''''''' '''''''''' ''''''''''</w:t>
            </w:r>
          </w:p>
        </w:tc>
      </w:tr>
      <w:tr w:rsidR="00D93824" w:rsidRPr="00777FA8" w:rsidTr="00D93824">
        <w:tc>
          <w:tcPr>
            <w:tcW w:w="942" w:type="pct"/>
            <w:gridSpan w:val="3"/>
            <w:shd w:val="clear" w:color="auto" w:fill="auto"/>
            <w:vAlign w:val="center"/>
          </w:tcPr>
          <w:p w:rsidR="00D93824" w:rsidRPr="00777FA8" w:rsidRDefault="00D93824" w:rsidP="00400BC2">
            <w:pPr>
              <w:keepNext/>
              <w:rPr>
                <w:rFonts w:ascii="Arial Narrow" w:hAnsi="Arial Narrow"/>
                <w:color w:val="000000"/>
                <w:sz w:val="20"/>
                <w:szCs w:val="18"/>
              </w:rPr>
            </w:pPr>
            <w:r w:rsidRPr="00777FA8">
              <w:rPr>
                <w:rFonts w:ascii="Arial Narrow" w:hAnsi="Arial Narrow"/>
                <w:color w:val="000000"/>
                <w:sz w:val="20"/>
                <w:szCs w:val="18"/>
              </w:rPr>
              <w:t>Meta-analysis (ADA)</w:t>
            </w:r>
          </w:p>
        </w:tc>
        <w:tc>
          <w:tcPr>
            <w:tcW w:w="420" w:type="pct"/>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0" w:type="pct"/>
            <w:gridSpan w:val="2"/>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41" w:type="pct"/>
            <w:gridSpan w:val="2"/>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15" w:type="pct"/>
            <w:shd w:val="clear" w:color="auto" w:fill="auto"/>
            <w:vAlign w:val="center"/>
          </w:tcPr>
          <w:p w:rsidR="00D93824" w:rsidRPr="00523FDD" w:rsidRDefault="00523FDD" w:rsidP="00400BC2">
            <w:pPr>
              <w:keepNext/>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c>
          <w:tcPr>
            <w:tcW w:w="328" w:type="pct"/>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7" w:type="pct"/>
            <w:gridSpan w:val="2"/>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8" w:type="pct"/>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9" w:type="pct"/>
            <w:gridSpan w:val="2"/>
            <w:shd w:val="clear" w:color="auto" w:fill="auto"/>
            <w:vAlign w:val="center"/>
          </w:tcPr>
          <w:p w:rsidR="00D93824" w:rsidRPr="00523FDD" w:rsidRDefault="00523FDD" w:rsidP="00400BC2">
            <w:pPr>
              <w:keepNext/>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r>
      <w:tr w:rsidR="00D93824" w:rsidRPr="00777FA8" w:rsidTr="00D93824">
        <w:tc>
          <w:tcPr>
            <w:tcW w:w="2223" w:type="pct"/>
            <w:gridSpan w:val="8"/>
            <w:tcBorders>
              <w:bottom w:val="single" w:sz="4" w:space="0" w:color="auto"/>
            </w:tcBorders>
            <w:shd w:val="clear" w:color="auto" w:fill="auto"/>
            <w:vAlign w:val="center"/>
          </w:tcPr>
          <w:p w:rsidR="00D93824" w:rsidRPr="00777FA8" w:rsidRDefault="00D93824" w:rsidP="00400BC2">
            <w:pPr>
              <w:keepNext/>
              <w:rPr>
                <w:rFonts w:ascii="Arial Narrow" w:hAnsi="Arial Narrow"/>
                <w:color w:val="000000"/>
                <w:sz w:val="20"/>
                <w:szCs w:val="18"/>
                <w:lang w:val="fr-FR"/>
              </w:rPr>
            </w:pPr>
            <w:r w:rsidRPr="00777FA8">
              <w:rPr>
                <w:rFonts w:ascii="Arial Narrow" w:hAnsi="Arial Narrow"/>
                <w:color w:val="000000"/>
                <w:sz w:val="20"/>
                <w:szCs w:val="18"/>
                <w:lang w:val="fr-FR"/>
              </w:rPr>
              <w:t>Indirect comparison: UST versus ADA</w:t>
            </w:r>
          </w:p>
        </w:tc>
        <w:tc>
          <w:tcPr>
            <w:tcW w:w="915" w:type="pct"/>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b/>
                <w:color w:val="000000"/>
                <w:sz w:val="20"/>
                <w:szCs w:val="18"/>
                <w:highlight w:val="black"/>
              </w:rPr>
            </w:pPr>
            <w:r>
              <w:rPr>
                <w:rFonts w:ascii="Arial Narrow" w:hAnsi="Arial Narrow"/>
                <w:b/>
                <w:bCs/>
                <w:noProof/>
                <w:color w:val="000000"/>
                <w:sz w:val="20"/>
                <w:highlight w:val="black"/>
              </w:rPr>
              <w:t>''''''''' ''''''''''' '''''''''''</w:t>
            </w:r>
          </w:p>
        </w:tc>
        <w:tc>
          <w:tcPr>
            <w:tcW w:w="983" w:type="pct"/>
            <w:gridSpan w:val="4"/>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9"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b/>
                <w:bCs/>
                <w:noProof/>
                <w:color w:val="000000"/>
                <w:sz w:val="20"/>
                <w:highlight w:val="black"/>
              </w:rPr>
              <w:t>'''''''''' ''''''''''''' ''''''''''</w:t>
            </w:r>
          </w:p>
        </w:tc>
      </w:tr>
      <w:tr w:rsidR="00D93824" w:rsidRPr="00777FA8" w:rsidTr="00D93824">
        <w:trPr>
          <w:trHeight w:val="252"/>
        </w:trPr>
        <w:tc>
          <w:tcPr>
            <w:tcW w:w="919" w:type="pct"/>
            <w:vMerge w:val="restart"/>
            <w:shd w:val="clear" w:color="auto" w:fill="auto"/>
            <w:vAlign w:val="center"/>
          </w:tcPr>
          <w:p w:rsidR="00D93824" w:rsidRPr="00777FA8" w:rsidRDefault="00D93824" w:rsidP="00400BC2">
            <w:pPr>
              <w:keepNext/>
              <w:rPr>
                <w:rFonts w:ascii="Arial Narrow" w:hAnsi="Arial Narrow"/>
                <w:color w:val="000000"/>
                <w:sz w:val="20"/>
                <w:szCs w:val="18"/>
                <w:lang w:val="fr-FR"/>
              </w:rPr>
            </w:pPr>
          </w:p>
        </w:tc>
        <w:tc>
          <w:tcPr>
            <w:tcW w:w="443" w:type="pct"/>
            <w:gridSpan w:val="3"/>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UST</w:t>
            </w:r>
          </w:p>
        </w:tc>
        <w:tc>
          <w:tcPr>
            <w:tcW w:w="420" w:type="pct"/>
            <w:gridSpan w:val="2"/>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PBO</w:t>
            </w:r>
          </w:p>
        </w:tc>
        <w:tc>
          <w:tcPr>
            <w:tcW w:w="441" w:type="pct"/>
            <w:gridSpan w:val="2"/>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ETN</w:t>
            </w:r>
          </w:p>
        </w:tc>
        <w:tc>
          <w:tcPr>
            <w:tcW w:w="915" w:type="pct"/>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RR</w:t>
            </w:r>
          </w:p>
          <w:p w:rsidR="00D93824" w:rsidRPr="00777FA8" w:rsidRDefault="00D93824" w:rsidP="00400BC2">
            <w:pPr>
              <w:keepNext/>
              <w:jc w:val="center"/>
              <w:rPr>
                <w:rFonts w:ascii="Arial Narrow" w:hAnsi="Arial Narrow"/>
                <w:color w:val="000000"/>
                <w:sz w:val="20"/>
                <w:szCs w:val="18"/>
              </w:rPr>
            </w:pPr>
            <w:r w:rsidRPr="00777FA8">
              <w:rPr>
                <w:rFonts w:ascii="Arial Narrow" w:hAnsi="Arial Narrow"/>
                <w:b/>
                <w:color w:val="000000"/>
                <w:sz w:val="20"/>
                <w:szCs w:val="18"/>
              </w:rPr>
              <w:t>(95% CI)</w:t>
            </w:r>
          </w:p>
        </w:tc>
        <w:tc>
          <w:tcPr>
            <w:tcW w:w="983" w:type="pct"/>
            <w:gridSpan w:val="4"/>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Event rate/100 patients</w:t>
            </w:r>
          </w:p>
        </w:tc>
        <w:tc>
          <w:tcPr>
            <w:tcW w:w="879" w:type="pct"/>
            <w:gridSpan w:val="2"/>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RD</w:t>
            </w:r>
          </w:p>
          <w:p w:rsidR="00D93824" w:rsidRPr="00777FA8" w:rsidRDefault="00D93824" w:rsidP="00400BC2">
            <w:pPr>
              <w:keepNext/>
              <w:jc w:val="center"/>
              <w:rPr>
                <w:rFonts w:ascii="Arial Narrow" w:hAnsi="Arial Narrow"/>
                <w:color w:val="000000"/>
                <w:sz w:val="20"/>
                <w:szCs w:val="18"/>
              </w:rPr>
            </w:pPr>
            <w:r w:rsidRPr="00777FA8">
              <w:rPr>
                <w:rFonts w:ascii="Arial Narrow" w:hAnsi="Arial Narrow"/>
                <w:b/>
                <w:color w:val="000000"/>
                <w:sz w:val="20"/>
                <w:szCs w:val="18"/>
              </w:rPr>
              <w:t>(95% CI)</w:t>
            </w:r>
          </w:p>
        </w:tc>
      </w:tr>
      <w:tr w:rsidR="00D93824" w:rsidRPr="00777FA8" w:rsidTr="00D93824">
        <w:trPr>
          <w:trHeight w:val="204"/>
        </w:trPr>
        <w:tc>
          <w:tcPr>
            <w:tcW w:w="919" w:type="pct"/>
            <w:vMerge/>
            <w:shd w:val="clear" w:color="auto" w:fill="auto"/>
            <w:vAlign w:val="center"/>
          </w:tcPr>
          <w:p w:rsidR="00D93824" w:rsidRPr="00777FA8" w:rsidRDefault="00D93824" w:rsidP="00400BC2">
            <w:pPr>
              <w:keepNext/>
              <w:rPr>
                <w:rFonts w:ascii="Arial Narrow" w:hAnsi="Arial Narrow"/>
                <w:color w:val="000000"/>
                <w:sz w:val="20"/>
                <w:szCs w:val="18"/>
                <w:lang w:val="fr-FR"/>
              </w:rPr>
            </w:pPr>
          </w:p>
        </w:tc>
        <w:tc>
          <w:tcPr>
            <w:tcW w:w="443" w:type="pct"/>
            <w:gridSpan w:val="3"/>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420" w:type="pct"/>
            <w:gridSpan w:val="2"/>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441" w:type="pct"/>
            <w:gridSpan w:val="2"/>
            <w:vMerge/>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915" w:type="pct"/>
            <w:vMerge/>
            <w:tcBorders>
              <w:bottom w:val="single" w:sz="4" w:space="0" w:color="auto"/>
            </w:tcBorders>
            <w:shd w:val="clear" w:color="auto" w:fill="auto"/>
            <w:vAlign w:val="center"/>
          </w:tcPr>
          <w:p w:rsidR="00D93824" w:rsidRPr="00777FA8" w:rsidRDefault="00D93824" w:rsidP="00400BC2">
            <w:pPr>
              <w:keepNext/>
              <w:jc w:val="center"/>
              <w:rPr>
                <w:rFonts w:ascii="Arial Narrow" w:hAnsi="Arial Narrow"/>
                <w:b/>
                <w:color w:val="000000"/>
                <w:sz w:val="20"/>
                <w:szCs w:val="18"/>
              </w:rPr>
            </w:pPr>
          </w:p>
        </w:tc>
        <w:tc>
          <w:tcPr>
            <w:tcW w:w="328" w:type="pc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UST</w:t>
            </w:r>
          </w:p>
        </w:tc>
        <w:tc>
          <w:tcPr>
            <w:tcW w:w="327" w:type="pct"/>
            <w:gridSpan w:val="2"/>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PBO</w:t>
            </w:r>
          </w:p>
        </w:tc>
        <w:tc>
          <w:tcPr>
            <w:tcW w:w="328" w:type="pc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ETN</w:t>
            </w:r>
          </w:p>
        </w:tc>
        <w:tc>
          <w:tcPr>
            <w:tcW w:w="879" w:type="pct"/>
            <w:gridSpan w:val="2"/>
            <w:vMerge/>
            <w:tcBorders>
              <w:bottom w:val="single" w:sz="4" w:space="0" w:color="auto"/>
            </w:tcBorders>
            <w:shd w:val="clear" w:color="auto" w:fill="auto"/>
            <w:vAlign w:val="center"/>
          </w:tcPr>
          <w:p w:rsidR="00D93824" w:rsidRPr="00777FA8" w:rsidRDefault="00D93824" w:rsidP="00400BC2">
            <w:pPr>
              <w:keepNext/>
              <w:jc w:val="center"/>
              <w:rPr>
                <w:rFonts w:ascii="Arial Narrow" w:hAnsi="Arial Narrow"/>
                <w:color w:val="000000"/>
                <w:sz w:val="20"/>
                <w:szCs w:val="18"/>
              </w:rPr>
            </w:pPr>
          </w:p>
        </w:tc>
      </w:tr>
      <w:tr w:rsidR="00D93824" w:rsidRPr="00777FA8" w:rsidTr="00D93824">
        <w:tc>
          <w:tcPr>
            <w:tcW w:w="919" w:type="pct"/>
            <w:shd w:val="clear" w:color="auto" w:fill="auto"/>
            <w:vAlign w:val="center"/>
          </w:tcPr>
          <w:p w:rsidR="00D93824" w:rsidRPr="00777FA8" w:rsidRDefault="00D93824" w:rsidP="008E386F">
            <w:pPr>
              <w:keepNext/>
              <w:rPr>
                <w:rFonts w:ascii="Arial Narrow" w:hAnsi="Arial Narrow"/>
                <w:color w:val="000000"/>
                <w:sz w:val="20"/>
                <w:szCs w:val="18"/>
              </w:rPr>
            </w:pPr>
            <w:r w:rsidRPr="00777FA8">
              <w:rPr>
                <w:rFonts w:ascii="Arial Narrow" w:hAnsi="Arial Narrow"/>
                <w:sz w:val="20"/>
              </w:rPr>
              <w:t>Meta-analysis (UST 45&amp;90mg)</w:t>
            </w:r>
          </w:p>
        </w:tc>
        <w:tc>
          <w:tcPr>
            <w:tcW w:w="443" w:type="pct"/>
            <w:gridSpan w:val="3"/>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0" w:type="pct"/>
            <w:gridSpan w:val="2"/>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41" w:type="pct"/>
            <w:gridSpan w:val="2"/>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15" w:type="pct"/>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b/>
                <w:sz w:val="20"/>
                <w:szCs w:val="18"/>
                <w:highlight w:val="black"/>
              </w:rPr>
            </w:pPr>
            <w:r>
              <w:rPr>
                <w:rFonts w:ascii="Arial Narrow" w:hAnsi="Arial Narrow"/>
                <w:b/>
                <w:bCs/>
                <w:iCs/>
                <w:noProof/>
                <w:color w:val="000000"/>
                <w:sz w:val="20"/>
                <w:highlight w:val="black"/>
              </w:rPr>
              <w:t>'''''''' '''''''''''' '''''''''''</w:t>
            </w:r>
          </w:p>
        </w:tc>
        <w:tc>
          <w:tcPr>
            <w:tcW w:w="328" w:type="pct"/>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7" w:type="pct"/>
            <w:gridSpan w:val="2"/>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8" w:type="pct"/>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9"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b/>
                <w:color w:val="000000"/>
                <w:sz w:val="20"/>
                <w:szCs w:val="18"/>
                <w:highlight w:val="black"/>
              </w:rPr>
            </w:pPr>
            <w:r>
              <w:rPr>
                <w:rFonts w:ascii="Arial Narrow" w:hAnsi="Arial Narrow"/>
                <w:b/>
                <w:bCs/>
                <w:iCs/>
                <w:noProof/>
                <w:color w:val="000000"/>
                <w:sz w:val="20"/>
                <w:highlight w:val="black"/>
              </w:rPr>
              <w:t>''''''''' ''''''''''' ''''''''''</w:t>
            </w:r>
          </w:p>
        </w:tc>
      </w:tr>
      <w:tr w:rsidR="00D93824" w:rsidRPr="00777FA8" w:rsidTr="00D93824">
        <w:tc>
          <w:tcPr>
            <w:tcW w:w="919" w:type="pct"/>
            <w:tcBorders>
              <w:bottom w:val="single" w:sz="4" w:space="0" w:color="auto"/>
            </w:tcBorders>
            <w:shd w:val="clear" w:color="auto" w:fill="auto"/>
            <w:vAlign w:val="center"/>
          </w:tcPr>
          <w:p w:rsidR="00D93824" w:rsidRPr="00777FA8" w:rsidRDefault="00D93824" w:rsidP="00400BC2">
            <w:pPr>
              <w:keepNext/>
              <w:rPr>
                <w:rFonts w:ascii="Arial Narrow" w:hAnsi="Arial Narrow"/>
                <w:color w:val="000000"/>
                <w:sz w:val="20"/>
                <w:szCs w:val="18"/>
                <w:lang w:val="fr-FR"/>
              </w:rPr>
            </w:pPr>
            <w:r w:rsidRPr="00777FA8">
              <w:rPr>
                <w:rFonts w:ascii="Arial Narrow" w:hAnsi="Arial Narrow"/>
                <w:color w:val="000000"/>
                <w:sz w:val="20"/>
                <w:szCs w:val="18"/>
                <w:lang w:val="fr-FR"/>
              </w:rPr>
              <w:t>Meta-analysis (ETN)</w:t>
            </w:r>
          </w:p>
        </w:tc>
        <w:tc>
          <w:tcPr>
            <w:tcW w:w="443" w:type="pct"/>
            <w:gridSpan w:val="3"/>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lang w:val="fr-FR"/>
              </w:rPr>
            </w:pPr>
            <w:r>
              <w:rPr>
                <w:rFonts w:ascii="Arial Narrow" w:hAnsi="Arial Narrow"/>
                <w:noProof/>
                <w:color w:val="000000"/>
                <w:sz w:val="20"/>
                <w:szCs w:val="18"/>
                <w:highlight w:val="black"/>
                <w:lang w:val="fr-FR"/>
              </w:rPr>
              <w:t>'''</w:t>
            </w:r>
          </w:p>
        </w:tc>
        <w:tc>
          <w:tcPr>
            <w:tcW w:w="420"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lang w:val="fr-FR"/>
              </w:rPr>
            </w:pPr>
            <w:r>
              <w:rPr>
                <w:rFonts w:ascii="Arial Narrow" w:hAnsi="Arial Narrow"/>
                <w:noProof/>
                <w:color w:val="000000"/>
                <w:sz w:val="20"/>
                <w:szCs w:val="18"/>
                <w:highlight w:val="black"/>
                <w:lang w:val="fr-FR"/>
              </w:rPr>
              <w:t>''''''''''''</w:t>
            </w:r>
          </w:p>
        </w:tc>
        <w:tc>
          <w:tcPr>
            <w:tcW w:w="441"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lang w:val="fr-FR"/>
              </w:rPr>
            </w:pPr>
            <w:r>
              <w:rPr>
                <w:rFonts w:ascii="Arial Narrow" w:hAnsi="Arial Narrow"/>
                <w:noProof/>
                <w:color w:val="000000"/>
                <w:sz w:val="20"/>
                <w:szCs w:val="18"/>
                <w:highlight w:val="black"/>
                <w:lang w:val="fr-FR"/>
              </w:rPr>
              <w:t>''''''''''''''''</w:t>
            </w:r>
            <w:r w:rsidR="00D93824" w:rsidRPr="00523FDD">
              <w:rPr>
                <w:rFonts w:ascii="Arial Narrow" w:hAnsi="Arial Narrow"/>
                <w:color w:val="000000"/>
                <w:sz w:val="20"/>
                <w:szCs w:val="18"/>
                <w:highlight w:val="black"/>
                <w:lang w:val="fr-FR"/>
              </w:rPr>
              <w:t xml:space="preserve"> </w:t>
            </w:r>
          </w:p>
        </w:tc>
        <w:tc>
          <w:tcPr>
            <w:tcW w:w="915" w:type="pct"/>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highlight w:val="black"/>
              </w:rPr>
            </w:pPr>
            <w:r>
              <w:rPr>
                <w:rFonts w:ascii="Arial Narrow" w:hAnsi="Arial Narrow"/>
                <w:b/>
                <w:bCs/>
                <w:iCs/>
                <w:noProof/>
                <w:color w:val="000000"/>
                <w:sz w:val="20"/>
                <w:highlight w:val="black"/>
              </w:rPr>
              <w:t>''''''''''' '''''''''' ''''''''''''</w:t>
            </w:r>
          </w:p>
        </w:tc>
        <w:tc>
          <w:tcPr>
            <w:tcW w:w="328" w:type="pct"/>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7"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8" w:type="pct"/>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9"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b/>
                <w:bCs/>
                <w:iCs/>
                <w:noProof/>
                <w:color w:val="000000"/>
                <w:sz w:val="20"/>
                <w:highlight w:val="black"/>
              </w:rPr>
              <w:t>'''''''' '''''''''''' '''''''''</w:t>
            </w:r>
          </w:p>
        </w:tc>
      </w:tr>
      <w:tr w:rsidR="00D93824" w:rsidRPr="00777FA8" w:rsidTr="00D93824">
        <w:tc>
          <w:tcPr>
            <w:tcW w:w="2223" w:type="pct"/>
            <w:gridSpan w:val="8"/>
            <w:tcBorders>
              <w:bottom w:val="single" w:sz="4" w:space="0" w:color="auto"/>
            </w:tcBorders>
            <w:shd w:val="clear" w:color="auto" w:fill="auto"/>
            <w:vAlign w:val="center"/>
          </w:tcPr>
          <w:p w:rsidR="00D93824" w:rsidRPr="00777FA8" w:rsidRDefault="00D93824" w:rsidP="00400BC2">
            <w:pPr>
              <w:keepNext/>
              <w:rPr>
                <w:rFonts w:ascii="Arial Narrow" w:hAnsi="Arial Narrow"/>
                <w:color w:val="000000"/>
                <w:sz w:val="20"/>
                <w:szCs w:val="18"/>
                <w:lang w:val="fr-FR"/>
              </w:rPr>
            </w:pPr>
            <w:r w:rsidRPr="00777FA8">
              <w:rPr>
                <w:rFonts w:ascii="Arial Narrow" w:hAnsi="Arial Narrow"/>
                <w:color w:val="000000"/>
                <w:sz w:val="20"/>
                <w:szCs w:val="18"/>
                <w:lang w:val="fr-FR"/>
              </w:rPr>
              <w:t>Indirect comparison: UST versus ETN</w:t>
            </w:r>
          </w:p>
        </w:tc>
        <w:tc>
          <w:tcPr>
            <w:tcW w:w="915" w:type="pct"/>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highlight w:val="black"/>
              </w:rPr>
            </w:pPr>
            <w:r>
              <w:rPr>
                <w:rFonts w:ascii="Arial Narrow" w:hAnsi="Arial Narrow"/>
                <w:b/>
                <w:bCs/>
                <w:noProof/>
                <w:color w:val="000000"/>
                <w:sz w:val="20"/>
                <w:highlight w:val="black"/>
              </w:rPr>
              <w:t>'''''''' ''''''''''' '''''''''</w:t>
            </w:r>
          </w:p>
        </w:tc>
        <w:tc>
          <w:tcPr>
            <w:tcW w:w="983" w:type="pct"/>
            <w:gridSpan w:val="4"/>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9"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b/>
                <w:bCs/>
                <w:noProof/>
                <w:color w:val="000000"/>
                <w:sz w:val="20"/>
                <w:highlight w:val="black"/>
              </w:rPr>
              <w:t>'''''''''' '''''''''''' ''''''''''''</w:t>
            </w:r>
          </w:p>
        </w:tc>
      </w:tr>
      <w:tr w:rsidR="00D93824" w:rsidRPr="00777FA8" w:rsidTr="00D93824">
        <w:trPr>
          <w:trHeight w:val="228"/>
        </w:trPr>
        <w:tc>
          <w:tcPr>
            <w:tcW w:w="926" w:type="pct"/>
            <w:gridSpan w:val="2"/>
            <w:vMerge w:val="restart"/>
            <w:shd w:val="clear" w:color="auto" w:fill="auto"/>
            <w:vAlign w:val="center"/>
          </w:tcPr>
          <w:p w:rsidR="00D93824" w:rsidRPr="00777FA8" w:rsidRDefault="00D93824" w:rsidP="00400BC2">
            <w:pPr>
              <w:keepNext/>
              <w:rPr>
                <w:rFonts w:ascii="Arial Narrow" w:hAnsi="Arial Narrow"/>
                <w:color w:val="000000"/>
                <w:sz w:val="20"/>
                <w:szCs w:val="18"/>
                <w:lang w:val="fr-FR"/>
              </w:rPr>
            </w:pPr>
          </w:p>
        </w:tc>
        <w:tc>
          <w:tcPr>
            <w:tcW w:w="437" w:type="pct"/>
            <w:gridSpan w:val="2"/>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UST</w:t>
            </w:r>
          </w:p>
        </w:tc>
        <w:tc>
          <w:tcPr>
            <w:tcW w:w="427" w:type="pct"/>
            <w:gridSpan w:val="3"/>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PBO</w:t>
            </w:r>
          </w:p>
        </w:tc>
        <w:tc>
          <w:tcPr>
            <w:tcW w:w="433" w:type="pct"/>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18"/>
                <w:szCs w:val="18"/>
              </w:rPr>
              <w:t>bDMARD</w:t>
            </w:r>
          </w:p>
        </w:tc>
        <w:tc>
          <w:tcPr>
            <w:tcW w:w="915" w:type="pct"/>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RR</w:t>
            </w:r>
          </w:p>
          <w:p w:rsidR="00D93824" w:rsidRPr="00777FA8" w:rsidRDefault="00D93824" w:rsidP="00400BC2">
            <w:pPr>
              <w:keepNext/>
              <w:jc w:val="center"/>
              <w:rPr>
                <w:rFonts w:ascii="Arial Narrow" w:hAnsi="Arial Narrow"/>
                <w:color w:val="000000"/>
                <w:sz w:val="20"/>
                <w:szCs w:val="18"/>
              </w:rPr>
            </w:pPr>
            <w:r w:rsidRPr="00777FA8">
              <w:rPr>
                <w:rFonts w:ascii="Arial Narrow" w:hAnsi="Arial Narrow"/>
                <w:b/>
                <w:color w:val="000000"/>
                <w:sz w:val="20"/>
                <w:szCs w:val="18"/>
              </w:rPr>
              <w:t>(95% CI)</w:t>
            </w:r>
          </w:p>
        </w:tc>
        <w:tc>
          <w:tcPr>
            <w:tcW w:w="983" w:type="pct"/>
            <w:gridSpan w:val="4"/>
            <w:tcBorders>
              <w:bottom w:val="single" w:sz="4" w:space="0" w:color="auto"/>
            </w:tcBorders>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 xml:space="preserve">Event rate/100 patients* </w:t>
            </w:r>
          </w:p>
        </w:tc>
        <w:tc>
          <w:tcPr>
            <w:tcW w:w="879" w:type="pct"/>
            <w:gridSpan w:val="2"/>
            <w:vMerge w:val="restar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RD</w:t>
            </w:r>
          </w:p>
          <w:p w:rsidR="00D93824" w:rsidRPr="00777FA8" w:rsidRDefault="00D93824" w:rsidP="00400BC2">
            <w:pPr>
              <w:keepNext/>
              <w:jc w:val="center"/>
              <w:rPr>
                <w:rFonts w:ascii="Arial Narrow" w:hAnsi="Arial Narrow"/>
                <w:color w:val="000000"/>
                <w:sz w:val="20"/>
                <w:szCs w:val="18"/>
              </w:rPr>
            </w:pPr>
            <w:r w:rsidRPr="00777FA8">
              <w:rPr>
                <w:rFonts w:ascii="Arial Narrow" w:hAnsi="Arial Narrow"/>
                <w:b/>
                <w:color w:val="000000"/>
                <w:sz w:val="20"/>
                <w:szCs w:val="18"/>
              </w:rPr>
              <w:t>(95% CI)</w:t>
            </w:r>
          </w:p>
        </w:tc>
      </w:tr>
      <w:tr w:rsidR="00D93824" w:rsidRPr="00777FA8" w:rsidTr="00D93824">
        <w:trPr>
          <w:trHeight w:val="228"/>
        </w:trPr>
        <w:tc>
          <w:tcPr>
            <w:tcW w:w="926" w:type="pct"/>
            <w:gridSpan w:val="2"/>
            <w:vMerge/>
            <w:shd w:val="clear" w:color="auto" w:fill="auto"/>
            <w:vAlign w:val="center"/>
          </w:tcPr>
          <w:p w:rsidR="00D93824" w:rsidRPr="00777FA8" w:rsidRDefault="00D93824" w:rsidP="00400BC2">
            <w:pPr>
              <w:keepNext/>
              <w:rPr>
                <w:rFonts w:ascii="Arial Narrow" w:hAnsi="Arial Narrow"/>
                <w:color w:val="000000"/>
                <w:sz w:val="20"/>
                <w:szCs w:val="18"/>
                <w:lang w:val="fr-FR"/>
              </w:rPr>
            </w:pPr>
          </w:p>
        </w:tc>
        <w:tc>
          <w:tcPr>
            <w:tcW w:w="437" w:type="pct"/>
            <w:gridSpan w:val="2"/>
            <w:vMerge/>
            <w:shd w:val="clear" w:color="auto" w:fill="auto"/>
            <w:vAlign w:val="center"/>
          </w:tcPr>
          <w:p w:rsidR="00D93824" w:rsidRPr="00777FA8" w:rsidRDefault="00D93824" w:rsidP="00400BC2">
            <w:pPr>
              <w:keepNext/>
              <w:jc w:val="center"/>
              <w:rPr>
                <w:rFonts w:ascii="Arial Narrow" w:hAnsi="Arial Narrow"/>
                <w:color w:val="000000"/>
                <w:sz w:val="20"/>
                <w:szCs w:val="18"/>
                <w:lang w:val="fr-FR"/>
              </w:rPr>
            </w:pPr>
          </w:p>
        </w:tc>
        <w:tc>
          <w:tcPr>
            <w:tcW w:w="427" w:type="pct"/>
            <w:gridSpan w:val="3"/>
            <w:vMerge/>
            <w:shd w:val="clear" w:color="auto" w:fill="auto"/>
            <w:vAlign w:val="center"/>
          </w:tcPr>
          <w:p w:rsidR="00D93824" w:rsidRPr="00777FA8" w:rsidRDefault="00D93824" w:rsidP="00400BC2">
            <w:pPr>
              <w:keepNext/>
              <w:jc w:val="center"/>
              <w:rPr>
                <w:rFonts w:ascii="Arial Narrow" w:hAnsi="Arial Narrow"/>
                <w:color w:val="000000"/>
                <w:sz w:val="20"/>
                <w:szCs w:val="18"/>
                <w:lang w:val="fr-FR"/>
              </w:rPr>
            </w:pPr>
          </w:p>
        </w:tc>
        <w:tc>
          <w:tcPr>
            <w:tcW w:w="433" w:type="pct"/>
            <w:vMerge/>
            <w:shd w:val="clear" w:color="auto" w:fill="auto"/>
            <w:vAlign w:val="center"/>
          </w:tcPr>
          <w:p w:rsidR="00D93824" w:rsidRPr="00777FA8" w:rsidRDefault="00D93824" w:rsidP="00400BC2">
            <w:pPr>
              <w:keepNext/>
              <w:jc w:val="center"/>
              <w:rPr>
                <w:rFonts w:ascii="Arial Narrow" w:hAnsi="Arial Narrow"/>
                <w:color w:val="000000"/>
                <w:sz w:val="20"/>
                <w:szCs w:val="18"/>
                <w:lang w:val="fr-FR"/>
              </w:rPr>
            </w:pPr>
          </w:p>
        </w:tc>
        <w:tc>
          <w:tcPr>
            <w:tcW w:w="915" w:type="pct"/>
            <w:vMerge/>
            <w:tcBorders>
              <w:bottom w:val="single" w:sz="4" w:space="0" w:color="auto"/>
            </w:tcBorders>
            <w:shd w:val="clear" w:color="auto" w:fill="auto"/>
            <w:vAlign w:val="center"/>
          </w:tcPr>
          <w:p w:rsidR="00D93824" w:rsidRPr="00777FA8" w:rsidRDefault="00D93824" w:rsidP="00400BC2">
            <w:pPr>
              <w:jc w:val="center"/>
              <w:rPr>
                <w:rFonts w:ascii="Arial Narrow" w:hAnsi="Arial Narrow"/>
                <w:sz w:val="20"/>
              </w:rPr>
            </w:pPr>
          </w:p>
        </w:tc>
        <w:tc>
          <w:tcPr>
            <w:tcW w:w="328" w:type="pc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CZP</w:t>
            </w:r>
          </w:p>
        </w:tc>
        <w:tc>
          <w:tcPr>
            <w:tcW w:w="327" w:type="pct"/>
            <w:gridSpan w:val="2"/>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PBO</w:t>
            </w:r>
          </w:p>
        </w:tc>
        <w:tc>
          <w:tcPr>
            <w:tcW w:w="328" w:type="pct"/>
            <w:shd w:val="clear" w:color="auto" w:fill="auto"/>
            <w:vAlign w:val="center"/>
          </w:tcPr>
          <w:p w:rsidR="00D93824" w:rsidRPr="00777FA8" w:rsidRDefault="00D93824" w:rsidP="00400BC2">
            <w:pPr>
              <w:keepNext/>
              <w:jc w:val="center"/>
              <w:rPr>
                <w:rFonts w:ascii="Arial Narrow" w:hAnsi="Arial Narrow"/>
                <w:b/>
                <w:color w:val="000000"/>
                <w:sz w:val="20"/>
                <w:szCs w:val="18"/>
              </w:rPr>
            </w:pPr>
            <w:r w:rsidRPr="00777FA8">
              <w:rPr>
                <w:rFonts w:ascii="Arial Narrow" w:hAnsi="Arial Narrow"/>
                <w:b/>
                <w:color w:val="000000"/>
                <w:sz w:val="20"/>
                <w:szCs w:val="18"/>
              </w:rPr>
              <w:t>bD</w:t>
            </w:r>
          </w:p>
        </w:tc>
        <w:tc>
          <w:tcPr>
            <w:tcW w:w="879" w:type="pct"/>
            <w:gridSpan w:val="2"/>
            <w:vMerge/>
            <w:tcBorders>
              <w:bottom w:val="single" w:sz="4" w:space="0" w:color="auto"/>
            </w:tcBorders>
            <w:shd w:val="clear" w:color="auto" w:fill="auto"/>
            <w:vAlign w:val="center"/>
          </w:tcPr>
          <w:p w:rsidR="00D93824" w:rsidRPr="00777FA8" w:rsidRDefault="00D93824" w:rsidP="00400BC2">
            <w:pPr>
              <w:keepNext/>
              <w:jc w:val="center"/>
              <w:rPr>
                <w:rFonts w:ascii="Arial Narrow" w:hAnsi="Arial Narrow"/>
                <w:color w:val="000000"/>
                <w:sz w:val="20"/>
                <w:szCs w:val="18"/>
              </w:rPr>
            </w:pPr>
          </w:p>
        </w:tc>
      </w:tr>
      <w:tr w:rsidR="00D93824" w:rsidRPr="00777FA8" w:rsidTr="00D93824">
        <w:tc>
          <w:tcPr>
            <w:tcW w:w="926" w:type="pct"/>
            <w:gridSpan w:val="2"/>
            <w:shd w:val="clear" w:color="auto" w:fill="auto"/>
            <w:vAlign w:val="center"/>
          </w:tcPr>
          <w:p w:rsidR="00D93824" w:rsidRPr="00777FA8" w:rsidRDefault="00D93824" w:rsidP="00400BC2">
            <w:pPr>
              <w:keepNext/>
              <w:rPr>
                <w:rFonts w:ascii="Arial Narrow" w:hAnsi="Arial Narrow"/>
                <w:color w:val="000000"/>
                <w:sz w:val="20"/>
                <w:szCs w:val="18"/>
              </w:rPr>
            </w:pPr>
            <w:r w:rsidRPr="00777FA8">
              <w:rPr>
                <w:rFonts w:ascii="Arial Narrow" w:hAnsi="Arial Narrow"/>
                <w:sz w:val="20"/>
              </w:rPr>
              <w:t>Meta-analysis (UST 45&amp;90mg)</w:t>
            </w:r>
          </w:p>
        </w:tc>
        <w:tc>
          <w:tcPr>
            <w:tcW w:w="437" w:type="pct"/>
            <w:gridSpan w:val="2"/>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7" w:type="pct"/>
            <w:gridSpan w:val="3"/>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33" w:type="pct"/>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15" w:type="pct"/>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b/>
                <w:sz w:val="20"/>
                <w:szCs w:val="18"/>
                <w:highlight w:val="black"/>
              </w:rPr>
            </w:pPr>
            <w:r>
              <w:rPr>
                <w:rFonts w:ascii="Arial Narrow" w:hAnsi="Arial Narrow"/>
                <w:b/>
                <w:bCs/>
                <w:iCs/>
                <w:noProof/>
                <w:color w:val="000000"/>
                <w:sz w:val="20"/>
                <w:highlight w:val="black"/>
              </w:rPr>
              <w:t>''''''''' '''''''''' ''''''''''</w:t>
            </w:r>
          </w:p>
        </w:tc>
        <w:tc>
          <w:tcPr>
            <w:tcW w:w="328" w:type="pct"/>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7" w:type="pct"/>
            <w:gridSpan w:val="2"/>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8" w:type="pct"/>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9"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b/>
                <w:color w:val="000000"/>
                <w:sz w:val="20"/>
                <w:szCs w:val="18"/>
                <w:highlight w:val="black"/>
              </w:rPr>
            </w:pPr>
            <w:r>
              <w:rPr>
                <w:rFonts w:ascii="Arial Narrow" w:hAnsi="Arial Narrow"/>
                <w:b/>
                <w:bCs/>
                <w:iCs/>
                <w:noProof/>
                <w:color w:val="000000"/>
                <w:sz w:val="20"/>
                <w:highlight w:val="black"/>
              </w:rPr>
              <w:t>'''''''' ''''''''''' '''''''''''</w:t>
            </w:r>
          </w:p>
        </w:tc>
      </w:tr>
      <w:tr w:rsidR="00D93824" w:rsidRPr="00777FA8" w:rsidTr="00D93824">
        <w:tc>
          <w:tcPr>
            <w:tcW w:w="926" w:type="pct"/>
            <w:gridSpan w:val="2"/>
            <w:tcBorders>
              <w:bottom w:val="single" w:sz="4" w:space="0" w:color="auto"/>
            </w:tcBorders>
            <w:shd w:val="clear" w:color="auto" w:fill="auto"/>
            <w:vAlign w:val="center"/>
          </w:tcPr>
          <w:p w:rsidR="00D93824" w:rsidRPr="00777FA8" w:rsidRDefault="00D93824" w:rsidP="00400BC2">
            <w:pPr>
              <w:keepNext/>
              <w:rPr>
                <w:rFonts w:ascii="Arial Narrow" w:hAnsi="Arial Narrow"/>
                <w:color w:val="000000"/>
                <w:sz w:val="20"/>
                <w:szCs w:val="18"/>
                <w:lang w:val="fr-FR"/>
              </w:rPr>
            </w:pPr>
            <w:r w:rsidRPr="00777FA8">
              <w:rPr>
                <w:rFonts w:ascii="Arial Narrow" w:hAnsi="Arial Narrow"/>
                <w:sz w:val="20"/>
              </w:rPr>
              <w:t>Meta-analysis (ADA, ETN, GOL, INX)</w:t>
            </w:r>
          </w:p>
        </w:tc>
        <w:tc>
          <w:tcPr>
            <w:tcW w:w="437"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lang w:val="fr-FR"/>
              </w:rPr>
            </w:pPr>
            <w:r>
              <w:rPr>
                <w:rFonts w:ascii="Arial Narrow" w:hAnsi="Arial Narrow"/>
                <w:noProof/>
                <w:color w:val="000000"/>
                <w:sz w:val="20"/>
                <w:szCs w:val="18"/>
                <w:highlight w:val="black"/>
                <w:lang w:val="fr-FR"/>
              </w:rPr>
              <w:t>'''</w:t>
            </w:r>
          </w:p>
        </w:tc>
        <w:tc>
          <w:tcPr>
            <w:tcW w:w="427" w:type="pct"/>
            <w:gridSpan w:val="3"/>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lang w:val="fr-FR"/>
              </w:rPr>
            </w:pPr>
            <w:r>
              <w:rPr>
                <w:rFonts w:ascii="Arial Narrow" w:hAnsi="Arial Narrow"/>
                <w:noProof/>
                <w:color w:val="000000"/>
                <w:sz w:val="20"/>
                <w:szCs w:val="18"/>
                <w:highlight w:val="black"/>
                <w:lang w:val="fr-FR"/>
              </w:rPr>
              <w:t>'''''''''''''''''</w:t>
            </w:r>
          </w:p>
        </w:tc>
        <w:tc>
          <w:tcPr>
            <w:tcW w:w="433" w:type="pct"/>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lang w:val="fr-FR"/>
              </w:rPr>
            </w:pPr>
            <w:r>
              <w:rPr>
                <w:rFonts w:ascii="Arial Narrow" w:hAnsi="Arial Narrow"/>
                <w:noProof/>
                <w:color w:val="000000"/>
                <w:sz w:val="20"/>
                <w:szCs w:val="18"/>
                <w:highlight w:val="black"/>
                <w:lang w:val="fr-FR"/>
              </w:rPr>
              <w:t>''''''''''''''''''''</w:t>
            </w:r>
          </w:p>
        </w:tc>
        <w:tc>
          <w:tcPr>
            <w:tcW w:w="915" w:type="pct"/>
            <w:tcBorders>
              <w:bottom w:val="single" w:sz="4" w:space="0" w:color="auto"/>
            </w:tcBorders>
            <w:shd w:val="clear" w:color="auto" w:fill="auto"/>
            <w:vAlign w:val="center"/>
          </w:tcPr>
          <w:p w:rsidR="00D93824" w:rsidRPr="00523FDD" w:rsidRDefault="00523FDD" w:rsidP="00400BC2">
            <w:pPr>
              <w:jc w:val="center"/>
              <w:rPr>
                <w:rFonts w:ascii="Arial Narrow" w:hAnsi="Arial Narrow"/>
                <w:sz w:val="20"/>
                <w:highlight w:val="black"/>
              </w:rPr>
            </w:pPr>
            <w:r>
              <w:rPr>
                <w:rFonts w:ascii="Arial Narrow" w:hAnsi="Arial Narrow"/>
                <w:b/>
                <w:bCs/>
                <w:noProof/>
                <w:color w:val="000000"/>
                <w:sz w:val="20"/>
                <w:highlight w:val="black"/>
              </w:rPr>
              <w:t>'''''''''' '''''''''''' '''''''''''''</w:t>
            </w:r>
          </w:p>
        </w:tc>
        <w:tc>
          <w:tcPr>
            <w:tcW w:w="328" w:type="pct"/>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7"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28" w:type="pct"/>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9"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b/>
                <w:bCs/>
                <w:noProof/>
                <w:color w:val="000000"/>
                <w:sz w:val="20"/>
                <w:highlight w:val="black"/>
              </w:rPr>
              <w:t>''''''''' ''''''''''' '''''''''</w:t>
            </w:r>
          </w:p>
        </w:tc>
      </w:tr>
      <w:tr w:rsidR="00D93824" w:rsidRPr="00777FA8" w:rsidTr="00D93824">
        <w:tc>
          <w:tcPr>
            <w:tcW w:w="2223" w:type="pct"/>
            <w:gridSpan w:val="8"/>
            <w:tcBorders>
              <w:bottom w:val="single" w:sz="4" w:space="0" w:color="auto"/>
            </w:tcBorders>
            <w:shd w:val="clear" w:color="auto" w:fill="auto"/>
            <w:vAlign w:val="center"/>
          </w:tcPr>
          <w:p w:rsidR="00D93824" w:rsidRPr="00777FA8" w:rsidRDefault="00D93824" w:rsidP="00400BC2">
            <w:pPr>
              <w:keepNext/>
              <w:rPr>
                <w:rFonts w:ascii="Arial Narrow" w:hAnsi="Arial Narrow"/>
                <w:color w:val="000000"/>
                <w:sz w:val="20"/>
                <w:szCs w:val="18"/>
                <w:lang w:val="fr-FR"/>
              </w:rPr>
            </w:pPr>
            <w:r w:rsidRPr="00777FA8">
              <w:rPr>
                <w:rFonts w:ascii="Arial Narrow" w:hAnsi="Arial Narrow"/>
                <w:color w:val="000000"/>
                <w:sz w:val="20"/>
                <w:szCs w:val="18"/>
                <w:lang w:val="fr-FR"/>
              </w:rPr>
              <w:t xml:space="preserve">Indirect comparison: UST versus </w:t>
            </w:r>
            <w:r w:rsidRPr="00777FA8">
              <w:rPr>
                <w:rFonts w:ascii="Arial Narrow" w:hAnsi="Arial Narrow"/>
                <w:sz w:val="20"/>
              </w:rPr>
              <w:t>(ADA, ETN, GOL, INX)</w:t>
            </w:r>
          </w:p>
        </w:tc>
        <w:tc>
          <w:tcPr>
            <w:tcW w:w="915" w:type="pct"/>
            <w:tcBorders>
              <w:bottom w:val="single" w:sz="4" w:space="0" w:color="auto"/>
            </w:tcBorders>
            <w:shd w:val="clear" w:color="auto" w:fill="auto"/>
            <w:vAlign w:val="center"/>
          </w:tcPr>
          <w:p w:rsidR="00D93824" w:rsidRPr="00523FDD" w:rsidRDefault="00523FDD" w:rsidP="00400BC2">
            <w:pPr>
              <w:jc w:val="center"/>
              <w:rPr>
                <w:rFonts w:ascii="Arial Narrow" w:hAnsi="Arial Narrow"/>
                <w:sz w:val="20"/>
                <w:highlight w:val="black"/>
              </w:rPr>
            </w:pPr>
            <w:r>
              <w:rPr>
                <w:rFonts w:ascii="Arial Narrow" w:hAnsi="Arial Narrow"/>
                <w:b/>
                <w:bCs/>
                <w:noProof/>
                <w:color w:val="000000"/>
                <w:sz w:val="20"/>
                <w:highlight w:val="black"/>
              </w:rPr>
              <w:t>''''''''' '''''''''''' '''''''''''</w:t>
            </w:r>
          </w:p>
        </w:tc>
        <w:tc>
          <w:tcPr>
            <w:tcW w:w="983" w:type="pct"/>
            <w:gridSpan w:val="4"/>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9" w:type="pct"/>
            <w:gridSpan w:val="2"/>
            <w:tcBorders>
              <w:bottom w:val="single" w:sz="4" w:space="0" w:color="auto"/>
            </w:tcBorders>
            <w:shd w:val="clear" w:color="auto" w:fill="auto"/>
            <w:vAlign w:val="center"/>
          </w:tcPr>
          <w:p w:rsidR="00D93824" w:rsidRPr="00523FDD" w:rsidRDefault="00523FDD" w:rsidP="00400BC2">
            <w:pPr>
              <w:keepNext/>
              <w:jc w:val="center"/>
              <w:rPr>
                <w:rFonts w:ascii="Arial Narrow" w:hAnsi="Arial Narrow"/>
                <w:color w:val="000000"/>
                <w:sz w:val="20"/>
                <w:szCs w:val="18"/>
                <w:highlight w:val="black"/>
              </w:rPr>
            </w:pPr>
            <w:r>
              <w:rPr>
                <w:rFonts w:ascii="Arial Narrow" w:hAnsi="Arial Narrow"/>
                <w:b/>
                <w:bCs/>
                <w:noProof/>
                <w:color w:val="000000"/>
                <w:sz w:val="20"/>
                <w:highlight w:val="black"/>
              </w:rPr>
              <w:t>'''''''''' '''''''''''' ''''''''''''</w:t>
            </w:r>
          </w:p>
        </w:tc>
      </w:tr>
    </w:tbl>
    <w:p w:rsidR="00D93824" w:rsidRPr="00777FA8" w:rsidRDefault="00D93824" w:rsidP="00D93824">
      <w:pPr>
        <w:ind w:left="709"/>
        <w:rPr>
          <w:rFonts w:ascii="Arial Narrow" w:hAnsi="Arial Narrow"/>
          <w:bCs/>
          <w:sz w:val="20"/>
        </w:rPr>
      </w:pPr>
      <w:r w:rsidRPr="00777FA8">
        <w:rPr>
          <w:rFonts w:ascii="Arial Narrow" w:hAnsi="Arial Narrow"/>
          <w:bCs/>
          <w:sz w:val="20"/>
        </w:rPr>
        <w:t>Abbreviations: bDMARD=</w:t>
      </w:r>
      <w:r w:rsidRPr="00777FA8">
        <w:rPr>
          <w:rFonts w:ascii="Arial Narrow" w:hAnsi="Arial Narrow"/>
          <w:sz w:val="20"/>
        </w:rPr>
        <w:t xml:space="preserve"> Meta-analysis (ADA, ETN, GOL, INX); bD=bDMARD</w:t>
      </w:r>
    </w:p>
    <w:p w:rsidR="00D93824" w:rsidRPr="00777FA8" w:rsidRDefault="00D93824" w:rsidP="00D93824">
      <w:pPr>
        <w:rPr>
          <w:rFonts w:ascii="Arial Narrow" w:hAnsi="Arial Narrow"/>
          <w:b/>
          <w:bCs/>
          <w:sz w:val="20"/>
        </w:rPr>
      </w:pPr>
    </w:p>
    <w:p w:rsidR="00D93824" w:rsidRPr="00777FA8" w:rsidRDefault="00D93824" w:rsidP="00D93824">
      <w:pPr>
        <w:pStyle w:val="ListParagraph"/>
        <w:widowControl/>
        <w:numPr>
          <w:ilvl w:val="1"/>
          <w:numId w:val="13"/>
        </w:numPr>
      </w:pPr>
      <w:r w:rsidRPr="00777FA8">
        <w:t>On the basis of indirect evidence presented by the submission, for every 100 anti</w:t>
      </w:r>
      <w:r w:rsidR="000A75D6" w:rsidRPr="00777FA8">
        <w:noBreakHyphen/>
      </w:r>
      <w:r w:rsidRPr="00777FA8">
        <w:t xml:space="preserve">TNF-α naïve patients treated with </w:t>
      </w:r>
      <w:r w:rsidR="00DC1B44" w:rsidRPr="00777FA8">
        <w:t xml:space="preserve">UST </w:t>
      </w:r>
      <w:r w:rsidRPr="00777FA8">
        <w:t>in comparison to:</w:t>
      </w:r>
    </w:p>
    <w:p w:rsidR="00D93824" w:rsidRPr="00777FA8" w:rsidRDefault="00DC1B44" w:rsidP="00D93824">
      <w:pPr>
        <w:pStyle w:val="ListParagraph"/>
        <w:numPr>
          <w:ilvl w:val="0"/>
          <w:numId w:val="44"/>
        </w:numPr>
        <w:ind w:left="993" w:hanging="284"/>
      </w:pPr>
      <w:r w:rsidRPr="00777FA8">
        <w:t>ADA</w:t>
      </w:r>
      <w:r w:rsidR="00D93824" w:rsidRPr="00777FA8">
        <w:t>: approximately 11 fewer patients would have achieved ACR50 over 24 weeks compared with over 12 weeks;</w:t>
      </w:r>
    </w:p>
    <w:p w:rsidR="00D93824" w:rsidRPr="00777FA8" w:rsidRDefault="00DC1B44" w:rsidP="00D93824">
      <w:pPr>
        <w:pStyle w:val="ListParagraph"/>
        <w:widowControl/>
        <w:numPr>
          <w:ilvl w:val="0"/>
          <w:numId w:val="44"/>
        </w:numPr>
        <w:ind w:left="993" w:hanging="284"/>
      </w:pPr>
      <w:r w:rsidRPr="00777FA8">
        <w:t>ETN</w:t>
      </w:r>
      <w:r w:rsidR="00D93824" w:rsidRPr="00777FA8">
        <w:t>: approximately 20 fewer patients would have achieved ACR50 over 24</w:t>
      </w:r>
      <w:r w:rsidR="000A75D6" w:rsidRPr="00777FA8">
        <w:t> </w:t>
      </w:r>
      <w:r w:rsidR="00D93824" w:rsidRPr="00777FA8">
        <w:t>weeks compared with over 12 weeks; and</w:t>
      </w:r>
    </w:p>
    <w:p w:rsidR="00D93824" w:rsidRPr="00777FA8" w:rsidRDefault="00D93824" w:rsidP="00D93824">
      <w:pPr>
        <w:pStyle w:val="ListParagraph"/>
        <w:widowControl/>
        <w:numPr>
          <w:ilvl w:val="0"/>
          <w:numId w:val="44"/>
        </w:numPr>
        <w:ind w:left="993" w:hanging="284"/>
        <w:rPr>
          <w:b/>
          <w:bCs/>
          <w:sz w:val="20"/>
        </w:rPr>
      </w:pPr>
      <w:r w:rsidRPr="00777FA8">
        <w:t>All bDMARDs: approximately 15 fewer patients would have achieved ACR50 over 24 weeks compared with over 12-16 weeks.</w:t>
      </w:r>
    </w:p>
    <w:p w:rsidR="00D93824" w:rsidRPr="00777FA8" w:rsidRDefault="00D93824" w:rsidP="00D93824">
      <w:pPr>
        <w:rPr>
          <w:b/>
          <w:bCs/>
          <w:sz w:val="20"/>
        </w:rPr>
      </w:pPr>
    </w:p>
    <w:p w:rsidR="00D93824" w:rsidRPr="00777FA8" w:rsidRDefault="00D93824" w:rsidP="00D93824">
      <w:pPr>
        <w:pStyle w:val="ListParagraph"/>
        <w:widowControl/>
        <w:numPr>
          <w:ilvl w:val="1"/>
          <w:numId w:val="13"/>
        </w:numPr>
      </w:pPr>
      <w:r w:rsidRPr="00777FA8">
        <w:t>An assessment of the comparative harms was not conducted as the adverse events were not reported at comparable time points in the trials.</w:t>
      </w:r>
    </w:p>
    <w:p w:rsidR="00696785" w:rsidRDefault="00696785" w:rsidP="00FC1884">
      <w:pPr>
        <w:rPr>
          <w:i/>
        </w:rPr>
      </w:pPr>
    </w:p>
    <w:p w:rsidR="00B60939" w:rsidRPr="007D3A7E" w:rsidRDefault="00B60939" w:rsidP="007D3A7E">
      <w:pPr>
        <w:pStyle w:val="BodyText"/>
        <w:rPr>
          <w:b/>
        </w:rPr>
      </w:pPr>
      <w:bookmarkStart w:id="11" w:name="_Toc398544307"/>
      <w:r w:rsidRPr="007D3A7E">
        <w:rPr>
          <w:b/>
        </w:rPr>
        <w:t>Clinical claim</w:t>
      </w:r>
      <w:bookmarkEnd w:id="11"/>
    </w:p>
    <w:p w:rsidR="00B60939" w:rsidRPr="003A19F9" w:rsidRDefault="00B60939" w:rsidP="007C413F"/>
    <w:p w:rsidR="00F619B0" w:rsidRPr="009F4468" w:rsidRDefault="00F619B0" w:rsidP="00F619B0">
      <w:pPr>
        <w:pStyle w:val="ListParagraph"/>
        <w:widowControl/>
        <w:numPr>
          <w:ilvl w:val="1"/>
          <w:numId w:val="13"/>
        </w:numPr>
      </w:pPr>
      <w:r w:rsidRPr="003A19F9">
        <w:t xml:space="preserve">The submission </w:t>
      </w:r>
      <w:r w:rsidR="00D74FC2" w:rsidRPr="003A19F9">
        <w:t>describe</w:t>
      </w:r>
      <w:r w:rsidR="00D74FC2">
        <w:t>d</w:t>
      </w:r>
      <w:r w:rsidR="00D74FC2" w:rsidRPr="003A19F9">
        <w:t xml:space="preserve"> </w:t>
      </w:r>
      <w:r w:rsidR="00DC1B44">
        <w:t>UST</w:t>
      </w:r>
      <w:r w:rsidR="00DC1B44" w:rsidRPr="003A19F9">
        <w:t xml:space="preserve"> </w:t>
      </w:r>
      <w:r w:rsidRPr="003A19F9">
        <w:t xml:space="preserve">as inferior in terms of comparative effectiveness and equivalent in terms of comparative safety over </w:t>
      </w:r>
      <w:r w:rsidR="00DC1B44">
        <w:t>ADA</w:t>
      </w:r>
      <w:r w:rsidRPr="009F4468">
        <w:t xml:space="preserve">.  </w:t>
      </w:r>
      <w:r w:rsidR="008F7F26" w:rsidRPr="009F4468">
        <w:t xml:space="preserve">The ESC considered that this </w:t>
      </w:r>
      <w:r w:rsidRPr="009F4468">
        <w:t xml:space="preserve">claim </w:t>
      </w:r>
      <w:r w:rsidR="009F4468">
        <w:t>was</w:t>
      </w:r>
      <w:r w:rsidR="009F4468" w:rsidRPr="009F4468">
        <w:t xml:space="preserve"> </w:t>
      </w:r>
      <w:r w:rsidRPr="009F4468">
        <w:t>appropriate.</w:t>
      </w:r>
    </w:p>
    <w:p w:rsidR="00D7647E" w:rsidRPr="003A19F9" w:rsidRDefault="00D7647E" w:rsidP="00D7647E">
      <w:pPr>
        <w:pStyle w:val="ListParagraph"/>
        <w:widowControl/>
      </w:pPr>
    </w:p>
    <w:p w:rsidR="00F619B0" w:rsidRPr="003A19F9" w:rsidRDefault="00F619B0" w:rsidP="007647D3">
      <w:pPr>
        <w:pStyle w:val="ListParagraph"/>
        <w:widowControl/>
        <w:numPr>
          <w:ilvl w:val="1"/>
          <w:numId w:val="13"/>
        </w:numPr>
      </w:pPr>
      <w:r w:rsidRPr="003A19F9">
        <w:lastRenderedPageBreak/>
        <w:t xml:space="preserve">With respect to efficacy, the submission also </w:t>
      </w:r>
      <w:r w:rsidR="00D74FC2">
        <w:t>made</w:t>
      </w:r>
      <w:r w:rsidR="00D74FC2" w:rsidRPr="003A19F9">
        <w:t xml:space="preserve"> </w:t>
      </w:r>
      <w:r w:rsidRPr="003A19F9">
        <w:t xml:space="preserve">the following specific claims: </w:t>
      </w:r>
    </w:p>
    <w:p w:rsidR="00EC0CF4" w:rsidRPr="00777FA8" w:rsidRDefault="00EC0CF4" w:rsidP="00EC0CF4">
      <w:pPr>
        <w:pStyle w:val="ListParagraph"/>
        <w:numPr>
          <w:ilvl w:val="0"/>
          <w:numId w:val="47"/>
        </w:numPr>
        <w:ind w:left="993" w:right="135" w:hanging="284"/>
        <w:rPr>
          <w:iCs/>
        </w:rPr>
      </w:pPr>
      <w:r w:rsidRPr="00777FA8">
        <w:t xml:space="preserve">UST </w:t>
      </w:r>
      <w:r w:rsidRPr="00777FA8">
        <w:rPr>
          <w:iCs/>
        </w:rPr>
        <w:t xml:space="preserve">is less effective than ADA at inducing a joint response in the initial treatment period (24 weeks) as assessed by ACR50. The </w:t>
      </w:r>
      <w:r w:rsidR="00BA5110">
        <w:rPr>
          <w:iCs/>
        </w:rPr>
        <w:t xml:space="preserve">PBAC concurred with the </w:t>
      </w:r>
      <w:r w:rsidRPr="00777FA8">
        <w:rPr>
          <w:iCs/>
        </w:rPr>
        <w:t xml:space="preserve">ESC </w:t>
      </w:r>
      <w:r w:rsidR="00BA5110">
        <w:rPr>
          <w:iCs/>
        </w:rPr>
        <w:t xml:space="preserve">and </w:t>
      </w:r>
      <w:r w:rsidRPr="00777FA8">
        <w:rPr>
          <w:iCs/>
        </w:rPr>
        <w:t>agreed with this claim.</w:t>
      </w:r>
    </w:p>
    <w:p w:rsidR="00EC0CF4" w:rsidRPr="00D55821" w:rsidRDefault="00EC0CF4" w:rsidP="00493CC1">
      <w:pPr>
        <w:pStyle w:val="ListParagraph"/>
        <w:numPr>
          <w:ilvl w:val="0"/>
          <w:numId w:val="47"/>
        </w:numPr>
        <w:ind w:left="993" w:right="135" w:hanging="284"/>
        <w:rPr>
          <w:iCs/>
        </w:rPr>
      </w:pPr>
      <w:r w:rsidRPr="00D55821">
        <w:rPr>
          <w:iCs/>
        </w:rPr>
        <w:t xml:space="preserve">UST is as effective as ADA at inducing a skin response in the initial treatment period (24 weeks) as assessed by PASI75. The ESC noted that although none of the differences were statistically significant, the point estimates in the indirect comparison generally favoured ADA over UST. </w:t>
      </w:r>
      <w:r w:rsidR="00D55821" w:rsidRPr="00D55821">
        <w:rPr>
          <w:iCs/>
        </w:rPr>
        <w:t>Overall, t</w:t>
      </w:r>
      <w:r w:rsidR="00493CC1" w:rsidRPr="00D55821">
        <w:rPr>
          <w:iCs/>
        </w:rPr>
        <w:t>he PBAC considered that the</w:t>
      </w:r>
      <w:r w:rsidR="0057775C" w:rsidRPr="00D55821">
        <w:rPr>
          <w:iCs/>
        </w:rPr>
        <w:t xml:space="preserve"> efficacy of </w:t>
      </w:r>
      <w:r w:rsidR="00493CC1" w:rsidRPr="00D55821">
        <w:rPr>
          <w:iCs/>
        </w:rPr>
        <w:t>UST</w:t>
      </w:r>
      <w:r w:rsidR="0057775C" w:rsidRPr="00D55821">
        <w:rPr>
          <w:iCs/>
        </w:rPr>
        <w:t xml:space="preserve"> </w:t>
      </w:r>
      <w:r w:rsidR="00D55821" w:rsidRPr="00D55821">
        <w:rPr>
          <w:iCs/>
        </w:rPr>
        <w:t xml:space="preserve">in </w:t>
      </w:r>
      <w:r w:rsidR="0057775C" w:rsidRPr="00D55821">
        <w:rPr>
          <w:iCs/>
        </w:rPr>
        <w:t>psoriasis is probably non-inferior to adalimumab and other TNF inhibitors</w:t>
      </w:r>
      <w:r w:rsidR="00D55821" w:rsidRPr="00D55821">
        <w:rPr>
          <w:iCs/>
        </w:rPr>
        <w:t>.</w:t>
      </w:r>
      <w:r w:rsidR="00493CC1" w:rsidRPr="00D55821">
        <w:rPr>
          <w:iCs/>
        </w:rPr>
        <w:t xml:space="preserve"> </w:t>
      </w:r>
    </w:p>
    <w:p w:rsidR="00EC0CF4" w:rsidRPr="00777FA8" w:rsidRDefault="00EC0CF4" w:rsidP="00EC0CF4">
      <w:pPr>
        <w:pStyle w:val="ListParagraph"/>
        <w:numPr>
          <w:ilvl w:val="0"/>
          <w:numId w:val="47"/>
        </w:numPr>
        <w:tabs>
          <w:tab w:val="left" w:pos="284"/>
        </w:tabs>
        <w:ind w:left="993" w:hanging="284"/>
      </w:pPr>
      <w:r w:rsidRPr="00493CC1">
        <w:rPr>
          <w:iCs/>
        </w:rPr>
        <w:t>T</w:t>
      </w:r>
      <w:r w:rsidRPr="00777FA8">
        <w:t>he proportion of UST-treated patients with joint and skin responses continues to increase over time (through to 52 and 100 weeks) and achieves a response similar to that of ADA, albei</w:t>
      </w:r>
      <w:r w:rsidR="00EF3DE6" w:rsidRPr="00777FA8">
        <w:t>t over a longer period of time.</w:t>
      </w:r>
      <w:r w:rsidRPr="00493CC1">
        <w:rPr>
          <w:iCs/>
        </w:rPr>
        <w:t xml:space="preserve"> </w:t>
      </w:r>
      <w:r w:rsidR="00EF3DE6" w:rsidRPr="00493CC1">
        <w:rPr>
          <w:iCs/>
        </w:rPr>
        <w:t xml:space="preserve">The ESC noted that this claim is based on a comparison of maintenance of response in a clinical trial of ustekinumab and persistence with adalimumab from a sample of PBS data. </w:t>
      </w:r>
      <w:r w:rsidR="00493CC1" w:rsidRPr="00493CC1">
        <w:rPr>
          <w:iCs/>
        </w:rPr>
        <w:t xml:space="preserve">As </w:t>
      </w:r>
      <w:r w:rsidR="00D55821">
        <w:rPr>
          <w:iCs/>
        </w:rPr>
        <w:t>detailed</w:t>
      </w:r>
      <w:r w:rsidR="00493CC1" w:rsidRPr="00493CC1">
        <w:rPr>
          <w:iCs/>
        </w:rPr>
        <w:t xml:space="preserve"> above, t</w:t>
      </w:r>
      <w:r w:rsidR="00493CC1">
        <w:t xml:space="preserve">he PBAC agreed with the ESC that </w:t>
      </w:r>
      <w:r w:rsidR="00314E82">
        <w:t>the</w:t>
      </w:r>
      <w:r w:rsidR="00493CC1">
        <w:t xml:space="preserve"> comparison may favour UST. </w:t>
      </w:r>
    </w:p>
    <w:p w:rsidR="0076168A" w:rsidRDefault="0076168A" w:rsidP="00727474">
      <w:pPr>
        <w:tabs>
          <w:tab w:val="left" w:pos="284"/>
        </w:tabs>
      </w:pPr>
    </w:p>
    <w:p w:rsidR="00727474" w:rsidRPr="0076168A" w:rsidRDefault="009F676F" w:rsidP="0076168A">
      <w:pPr>
        <w:tabs>
          <w:tab w:val="left" w:pos="284"/>
        </w:tabs>
        <w:ind w:left="709"/>
        <w:rPr>
          <w:i/>
        </w:rPr>
      </w:pPr>
      <w:r w:rsidRPr="0076168A">
        <w:rPr>
          <w:i/>
        </w:rPr>
        <w:t>For more detail on PBAC’s view, see section 7 “PBAC outcome”</w:t>
      </w:r>
      <w:r w:rsidR="0076168A">
        <w:rPr>
          <w:i/>
        </w:rPr>
        <w:t>.</w:t>
      </w:r>
    </w:p>
    <w:p w:rsidR="002B5FDA" w:rsidRPr="003A19F9" w:rsidRDefault="002B5FDA" w:rsidP="00F619B0">
      <w:pPr>
        <w:pStyle w:val="ListParagraph"/>
      </w:pPr>
    </w:p>
    <w:p w:rsidR="00B60939" w:rsidRPr="007D3A7E" w:rsidRDefault="00B60939" w:rsidP="007D3A7E">
      <w:pPr>
        <w:pStyle w:val="BodyText"/>
        <w:rPr>
          <w:b/>
        </w:rPr>
      </w:pPr>
      <w:bookmarkStart w:id="12" w:name="_Toc398544308"/>
      <w:r w:rsidRPr="007D3A7E">
        <w:rPr>
          <w:b/>
        </w:rPr>
        <w:t>Economic analysis</w:t>
      </w:r>
      <w:bookmarkEnd w:id="12"/>
      <w:r w:rsidR="00491B3A" w:rsidRPr="007D3A7E">
        <w:rPr>
          <w:b/>
        </w:rPr>
        <w:t xml:space="preserve"> </w:t>
      </w:r>
    </w:p>
    <w:p w:rsidR="00B60939" w:rsidRPr="003A19F9" w:rsidRDefault="00B60939" w:rsidP="00B60939">
      <w:pPr>
        <w:ind w:left="720" w:hanging="720"/>
        <w:rPr>
          <w:iCs/>
          <w:szCs w:val="22"/>
        </w:rPr>
      </w:pPr>
    </w:p>
    <w:p w:rsidR="006D3A92" w:rsidRDefault="00C05245" w:rsidP="00C05245">
      <w:pPr>
        <w:pStyle w:val="ListParagraph"/>
        <w:widowControl/>
        <w:numPr>
          <w:ilvl w:val="1"/>
          <w:numId w:val="13"/>
        </w:numPr>
      </w:pPr>
      <w:r w:rsidRPr="003A19F9">
        <w:rPr>
          <w:iCs/>
        </w:rPr>
        <w:t xml:space="preserve">The submission </w:t>
      </w:r>
      <w:r w:rsidR="00DD69EF" w:rsidRPr="003A19F9">
        <w:rPr>
          <w:iCs/>
        </w:rPr>
        <w:t>present</w:t>
      </w:r>
      <w:r w:rsidR="00DD69EF">
        <w:rPr>
          <w:iCs/>
        </w:rPr>
        <w:t xml:space="preserve">ed </w:t>
      </w:r>
      <w:r w:rsidRPr="003A19F9">
        <w:rPr>
          <w:iCs/>
        </w:rPr>
        <w:t>a two part economic evaluation based on the results of the indirect</w:t>
      </w:r>
      <w:r w:rsidRPr="003A19F9">
        <w:t xml:space="preserve"> comparisons between UST and </w:t>
      </w:r>
      <w:r w:rsidRPr="00DD69EF">
        <w:t>ADA: 1) a modelled</w:t>
      </w:r>
      <w:r w:rsidRPr="003A19F9">
        <w:t xml:space="preserve"> economic analysis for the initiation period to determine a cost for UST that would give a similar cost per responder compared to ADA and 2) a cost minimisation analysis for continuing therapy between UST and ADA. </w:t>
      </w:r>
      <w:r w:rsidR="005251D2">
        <w:t xml:space="preserve"> </w:t>
      </w:r>
    </w:p>
    <w:p w:rsidR="009B68D2" w:rsidRDefault="009B68D2" w:rsidP="009B68D2">
      <w:pPr>
        <w:pStyle w:val="ListParagraph"/>
        <w:widowControl/>
      </w:pPr>
    </w:p>
    <w:p w:rsidR="00C05245" w:rsidRPr="003A19F9" w:rsidRDefault="00C05245" w:rsidP="00C05245">
      <w:pPr>
        <w:pStyle w:val="ListParagraph"/>
        <w:widowControl/>
        <w:numPr>
          <w:ilvl w:val="1"/>
          <w:numId w:val="13"/>
        </w:numPr>
      </w:pPr>
      <w:r w:rsidRPr="003A19F9">
        <w:t xml:space="preserve">A summary of the economic evaluations presented is summarised in </w:t>
      </w:r>
      <w:r w:rsidR="003A7689">
        <w:t>the following t</w:t>
      </w:r>
      <w:r w:rsidRPr="003A19F9">
        <w:t>able</w:t>
      </w:r>
      <w:r w:rsidR="005B5D5E" w:rsidRPr="003A19F9">
        <w:t>.</w:t>
      </w:r>
    </w:p>
    <w:p w:rsidR="00C05245" w:rsidRPr="003A19F9" w:rsidRDefault="00C05245" w:rsidP="00C05245"/>
    <w:p w:rsidR="00C05245" w:rsidRPr="003A19F9" w:rsidRDefault="00C05245" w:rsidP="00C05245">
      <w:pPr>
        <w:ind w:firstLine="709"/>
        <w:rPr>
          <w:rFonts w:ascii="Arial Narrow" w:hAnsi="Arial Narrow"/>
          <w:b/>
          <w:sz w:val="20"/>
        </w:rPr>
      </w:pPr>
      <w:r w:rsidRPr="003A19F9">
        <w:rPr>
          <w:rFonts w:ascii="Arial Narrow" w:hAnsi="Arial Narrow"/>
          <w:b/>
          <w:sz w:val="20"/>
        </w:rPr>
        <w:t>Summary of economic evaluations</w:t>
      </w:r>
    </w:p>
    <w:tbl>
      <w:tblPr>
        <w:tblW w:w="8505" w:type="dxa"/>
        <w:tblInd w:w="737" w:type="dxa"/>
        <w:tblLayout w:type="fixed"/>
        <w:tblCellMar>
          <w:left w:w="28" w:type="dxa"/>
          <w:right w:w="28" w:type="dxa"/>
        </w:tblCellMar>
        <w:tblLook w:val="04A0" w:firstRow="1" w:lastRow="0" w:firstColumn="1" w:lastColumn="0" w:noHBand="0" w:noVBand="1"/>
      </w:tblPr>
      <w:tblGrid>
        <w:gridCol w:w="2155"/>
        <w:gridCol w:w="1275"/>
        <w:gridCol w:w="1701"/>
        <w:gridCol w:w="1106"/>
        <w:gridCol w:w="2268"/>
      </w:tblGrid>
      <w:tr w:rsidR="00C05245" w:rsidRPr="003A19F9" w:rsidTr="001071D8">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245" w:rsidRPr="003A19F9" w:rsidRDefault="00C05245" w:rsidP="009615FC">
            <w:pPr>
              <w:rPr>
                <w:rFonts w:ascii="Arial Narrow" w:hAnsi="Arial Narrow"/>
                <w:b/>
                <w:sz w:val="20"/>
              </w:rPr>
            </w:pPr>
            <w:r w:rsidRPr="003A19F9">
              <w:rPr>
                <w:rFonts w:ascii="Arial Narrow" w:hAnsi="Arial Narrow"/>
                <w:b/>
                <w:sz w:val="20"/>
              </w:rPr>
              <w:t>Time frame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5245" w:rsidRPr="003A19F9" w:rsidRDefault="00C05245" w:rsidP="009615FC">
            <w:pPr>
              <w:jc w:val="center"/>
              <w:rPr>
                <w:rFonts w:ascii="Arial Narrow" w:hAnsi="Arial Narrow"/>
                <w:b/>
                <w:sz w:val="20"/>
              </w:rPr>
            </w:pPr>
            <w:r w:rsidRPr="003A19F9">
              <w:rPr>
                <w:rFonts w:ascii="Arial Narrow" w:hAnsi="Arial Narrow"/>
                <w:b/>
                <w:sz w:val="20"/>
              </w:rPr>
              <w:t>Evidence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05245" w:rsidRPr="003A19F9" w:rsidRDefault="00C05245" w:rsidP="009615FC">
            <w:pPr>
              <w:jc w:val="center"/>
              <w:rPr>
                <w:rFonts w:ascii="Arial Narrow" w:hAnsi="Arial Narrow"/>
                <w:b/>
                <w:sz w:val="20"/>
              </w:rPr>
            </w:pPr>
            <w:r w:rsidRPr="003A19F9">
              <w:rPr>
                <w:rFonts w:ascii="Arial Narrow" w:hAnsi="Arial Narrow"/>
                <w:b/>
                <w:sz w:val="20"/>
              </w:rPr>
              <w:t>Main Outcomes</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C05245" w:rsidRPr="003A19F9" w:rsidRDefault="00C05245" w:rsidP="009615FC">
            <w:pPr>
              <w:jc w:val="center"/>
              <w:rPr>
                <w:rFonts w:ascii="Arial Narrow" w:hAnsi="Arial Narrow"/>
                <w:b/>
                <w:sz w:val="20"/>
              </w:rPr>
            </w:pPr>
            <w:r w:rsidRPr="003A19F9">
              <w:rPr>
                <w:rFonts w:ascii="Arial Narrow" w:hAnsi="Arial Narrow"/>
                <w:b/>
                <w:sz w:val="20"/>
              </w:rPr>
              <w:t>Costs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05245" w:rsidRPr="003A19F9" w:rsidRDefault="00C05245" w:rsidP="009615FC">
            <w:pPr>
              <w:jc w:val="center"/>
              <w:rPr>
                <w:rFonts w:ascii="Arial Narrow" w:hAnsi="Arial Narrow"/>
                <w:b/>
                <w:sz w:val="20"/>
              </w:rPr>
            </w:pPr>
            <w:r w:rsidRPr="003A19F9">
              <w:rPr>
                <w:rFonts w:ascii="Arial Narrow" w:hAnsi="Arial Narrow"/>
                <w:b/>
                <w:sz w:val="20"/>
              </w:rPr>
              <w:t>Method</w:t>
            </w:r>
          </w:p>
        </w:tc>
      </w:tr>
      <w:tr w:rsidR="00C05245" w:rsidRPr="003A19F9" w:rsidTr="001071D8">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C05245" w:rsidRPr="003A19F9" w:rsidRDefault="00C05245" w:rsidP="009615FC">
            <w:pPr>
              <w:rPr>
                <w:rFonts w:ascii="Arial Narrow" w:hAnsi="Arial Narrow"/>
                <w:b/>
                <w:sz w:val="20"/>
              </w:rPr>
            </w:pPr>
            <w:r w:rsidRPr="003A19F9">
              <w:rPr>
                <w:rFonts w:ascii="Arial Narrow" w:hAnsi="Arial Narrow"/>
                <w:b/>
                <w:sz w:val="20"/>
              </w:rPr>
              <w:t>Initial treatment</w:t>
            </w:r>
          </w:p>
          <w:p w:rsidR="00C05245" w:rsidRPr="003A19F9" w:rsidRDefault="00C05245" w:rsidP="009615FC">
            <w:pPr>
              <w:rPr>
                <w:rFonts w:ascii="Arial Narrow" w:hAnsi="Arial Narrow"/>
                <w:sz w:val="20"/>
              </w:rPr>
            </w:pPr>
            <w:r w:rsidRPr="003A19F9">
              <w:rPr>
                <w:rFonts w:ascii="Arial Narrow" w:hAnsi="Arial Narrow"/>
                <w:sz w:val="20"/>
              </w:rPr>
              <w:t>Ustekinumab: 28 weeks*</w:t>
            </w:r>
          </w:p>
          <w:p w:rsidR="00C05245" w:rsidRPr="003A19F9" w:rsidRDefault="00C05245" w:rsidP="009615FC">
            <w:pPr>
              <w:rPr>
                <w:rFonts w:ascii="Arial Narrow" w:hAnsi="Arial Narrow"/>
                <w:sz w:val="20"/>
              </w:rPr>
            </w:pPr>
            <w:r w:rsidRPr="003A19F9">
              <w:rPr>
                <w:rFonts w:ascii="Arial Narrow" w:hAnsi="Arial Narrow"/>
                <w:sz w:val="20"/>
              </w:rPr>
              <w:t>Adalimumab: 16 weeks</w:t>
            </w:r>
          </w:p>
        </w:tc>
        <w:tc>
          <w:tcPr>
            <w:tcW w:w="1275" w:type="dxa"/>
            <w:tcBorders>
              <w:top w:val="nil"/>
              <w:left w:val="nil"/>
              <w:bottom w:val="single" w:sz="4" w:space="0" w:color="auto"/>
              <w:right w:val="single" w:sz="4" w:space="0" w:color="auto"/>
            </w:tcBorders>
            <w:shd w:val="clear" w:color="auto" w:fill="auto"/>
            <w:noWrap/>
            <w:vAlign w:val="center"/>
            <w:hideMark/>
          </w:tcPr>
          <w:p w:rsidR="00C05245" w:rsidRPr="003A19F9" w:rsidRDefault="00C05245" w:rsidP="009615FC">
            <w:pPr>
              <w:jc w:val="center"/>
              <w:rPr>
                <w:rFonts w:ascii="Arial Narrow" w:hAnsi="Arial Narrow"/>
                <w:sz w:val="20"/>
              </w:rPr>
            </w:pPr>
            <w:r w:rsidRPr="003A19F9">
              <w:rPr>
                <w:rFonts w:ascii="Arial Narrow" w:hAnsi="Arial Narrow"/>
                <w:sz w:val="20"/>
              </w:rPr>
              <w:t>Trial based</w:t>
            </w:r>
          </w:p>
        </w:tc>
        <w:tc>
          <w:tcPr>
            <w:tcW w:w="1701" w:type="dxa"/>
            <w:tcBorders>
              <w:top w:val="nil"/>
              <w:left w:val="nil"/>
              <w:bottom w:val="single" w:sz="4" w:space="0" w:color="auto"/>
              <w:right w:val="single" w:sz="4" w:space="0" w:color="auto"/>
            </w:tcBorders>
            <w:shd w:val="clear" w:color="auto" w:fill="auto"/>
            <w:vAlign w:val="center"/>
            <w:hideMark/>
          </w:tcPr>
          <w:p w:rsidR="00C05245" w:rsidRPr="003A19F9" w:rsidRDefault="00C05245" w:rsidP="009615FC">
            <w:pPr>
              <w:jc w:val="center"/>
              <w:rPr>
                <w:rFonts w:ascii="Arial Narrow" w:hAnsi="Arial Narrow"/>
                <w:sz w:val="20"/>
              </w:rPr>
            </w:pPr>
            <w:r w:rsidRPr="003A19F9">
              <w:rPr>
                <w:rFonts w:ascii="Arial Narrow" w:hAnsi="Arial Narrow"/>
                <w:sz w:val="20"/>
              </w:rPr>
              <w:t>ACR 50</w:t>
            </w:r>
          </w:p>
          <w:p w:rsidR="00C05245" w:rsidRPr="003A19F9" w:rsidRDefault="00C05245" w:rsidP="009615FC">
            <w:pPr>
              <w:jc w:val="center"/>
              <w:rPr>
                <w:rFonts w:ascii="Arial Narrow" w:hAnsi="Arial Narrow"/>
                <w:sz w:val="20"/>
              </w:rPr>
            </w:pPr>
            <w:r w:rsidRPr="003A19F9">
              <w:rPr>
                <w:rFonts w:ascii="Arial Narrow" w:hAnsi="Arial Narrow"/>
                <w:sz w:val="20"/>
              </w:rPr>
              <w:t>PASI 75</w:t>
            </w:r>
          </w:p>
        </w:tc>
        <w:tc>
          <w:tcPr>
            <w:tcW w:w="1106" w:type="dxa"/>
            <w:tcBorders>
              <w:top w:val="nil"/>
              <w:left w:val="nil"/>
              <w:bottom w:val="single" w:sz="4" w:space="0" w:color="auto"/>
              <w:right w:val="single" w:sz="4" w:space="0" w:color="auto"/>
            </w:tcBorders>
            <w:shd w:val="clear" w:color="auto" w:fill="auto"/>
            <w:vAlign w:val="center"/>
            <w:hideMark/>
          </w:tcPr>
          <w:p w:rsidR="00C05245" w:rsidRPr="003A19F9" w:rsidRDefault="00C05245" w:rsidP="009615FC">
            <w:pPr>
              <w:jc w:val="center"/>
              <w:rPr>
                <w:rFonts w:ascii="Arial Narrow" w:hAnsi="Arial Narrow"/>
                <w:sz w:val="20"/>
              </w:rPr>
            </w:pPr>
            <w:r w:rsidRPr="003A19F9">
              <w:rPr>
                <w:rFonts w:ascii="Arial Narrow" w:hAnsi="Arial Narrow"/>
                <w:sz w:val="20"/>
              </w:rPr>
              <w:t>Drug acquisition</w:t>
            </w:r>
          </w:p>
        </w:tc>
        <w:tc>
          <w:tcPr>
            <w:tcW w:w="2268" w:type="dxa"/>
            <w:tcBorders>
              <w:top w:val="nil"/>
              <w:left w:val="nil"/>
              <w:bottom w:val="single" w:sz="4" w:space="0" w:color="auto"/>
              <w:right w:val="single" w:sz="4" w:space="0" w:color="auto"/>
            </w:tcBorders>
            <w:shd w:val="clear" w:color="auto" w:fill="auto"/>
            <w:noWrap/>
            <w:vAlign w:val="center"/>
            <w:hideMark/>
          </w:tcPr>
          <w:p w:rsidR="00C05245" w:rsidRPr="003A19F9" w:rsidRDefault="00C05245" w:rsidP="009615FC">
            <w:pPr>
              <w:jc w:val="left"/>
              <w:rPr>
                <w:rFonts w:ascii="Arial Narrow" w:hAnsi="Arial Narrow"/>
                <w:sz w:val="20"/>
              </w:rPr>
            </w:pPr>
            <w:r w:rsidRPr="003A19F9">
              <w:rPr>
                <w:rFonts w:ascii="Arial Narrow" w:hAnsi="Arial Narrow"/>
                <w:sz w:val="20"/>
              </w:rPr>
              <w:t xml:space="preserve">Calculate the price for ustekinumab </w:t>
            </w:r>
            <w:r w:rsidRPr="00A4040E">
              <w:rPr>
                <w:rFonts w:ascii="Arial Narrow" w:hAnsi="Arial Narrow"/>
                <w:sz w:val="20"/>
              </w:rPr>
              <w:t>at which the cost per responder is the same as adalimumab.</w:t>
            </w:r>
          </w:p>
        </w:tc>
      </w:tr>
      <w:tr w:rsidR="00C05245" w:rsidRPr="003A19F9" w:rsidTr="001071D8">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C05245" w:rsidRPr="003A19F9" w:rsidRDefault="00C05245" w:rsidP="009615FC">
            <w:pPr>
              <w:rPr>
                <w:rFonts w:ascii="Arial Narrow" w:hAnsi="Arial Narrow"/>
                <w:b/>
                <w:sz w:val="20"/>
              </w:rPr>
            </w:pPr>
            <w:r w:rsidRPr="003A19F9">
              <w:rPr>
                <w:rFonts w:ascii="Arial Narrow" w:hAnsi="Arial Narrow"/>
                <w:b/>
                <w:sz w:val="20"/>
              </w:rPr>
              <w:t>Continuing treatment</w:t>
            </w:r>
          </w:p>
          <w:p w:rsidR="00C05245" w:rsidRPr="003A19F9" w:rsidRDefault="00C05245" w:rsidP="009615FC">
            <w:pPr>
              <w:rPr>
                <w:rFonts w:ascii="Arial Narrow" w:hAnsi="Arial Narrow"/>
                <w:sz w:val="20"/>
              </w:rPr>
            </w:pPr>
            <w:r w:rsidRPr="003A19F9">
              <w:rPr>
                <w:rFonts w:ascii="Arial Narrow" w:hAnsi="Arial Narrow"/>
                <w:sz w:val="20"/>
              </w:rPr>
              <w:t>Ustekinumab: 24 weeks*</w:t>
            </w:r>
          </w:p>
          <w:p w:rsidR="00C05245" w:rsidRPr="003A19F9" w:rsidRDefault="00C05245" w:rsidP="009615FC">
            <w:pPr>
              <w:rPr>
                <w:rFonts w:ascii="Arial Narrow" w:hAnsi="Arial Narrow"/>
                <w:sz w:val="20"/>
              </w:rPr>
            </w:pPr>
            <w:r w:rsidRPr="003A19F9">
              <w:rPr>
                <w:rFonts w:ascii="Arial Narrow" w:hAnsi="Arial Narrow"/>
                <w:sz w:val="20"/>
              </w:rPr>
              <w:t>Adalimumab: 24 weeks</w:t>
            </w:r>
          </w:p>
        </w:tc>
        <w:tc>
          <w:tcPr>
            <w:tcW w:w="1275" w:type="dxa"/>
            <w:tcBorders>
              <w:top w:val="nil"/>
              <w:left w:val="nil"/>
              <w:bottom w:val="single" w:sz="4" w:space="0" w:color="auto"/>
              <w:right w:val="single" w:sz="4" w:space="0" w:color="auto"/>
            </w:tcBorders>
            <w:shd w:val="clear" w:color="auto" w:fill="auto"/>
            <w:vAlign w:val="center"/>
            <w:hideMark/>
          </w:tcPr>
          <w:p w:rsidR="00C05245" w:rsidRPr="003A19F9" w:rsidRDefault="00C05245" w:rsidP="009615FC">
            <w:pPr>
              <w:jc w:val="center"/>
              <w:rPr>
                <w:rFonts w:ascii="Arial Narrow" w:hAnsi="Arial Narrow"/>
                <w:sz w:val="20"/>
              </w:rPr>
            </w:pPr>
            <w:r w:rsidRPr="003A19F9">
              <w:rPr>
                <w:rFonts w:ascii="Arial Narrow" w:hAnsi="Arial Narrow"/>
                <w:sz w:val="20"/>
              </w:rPr>
              <w:t>IPD analysis and analysis of PBS utilisation</w:t>
            </w:r>
          </w:p>
        </w:tc>
        <w:tc>
          <w:tcPr>
            <w:tcW w:w="1701" w:type="dxa"/>
            <w:tcBorders>
              <w:top w:val="nil"/>
              <w:left w:val="nil"/>
              <w:bottom w:val="single" w:sz="4" w:space="0" w:color="auto"/>
              <w:right w:val="single" w:sz="4" w:space="0" w:color="auto"/>
            </w:tcBorders>
            <w:shd w:val="clear" w:color="auto" w:fill="auto"/>
            <w:noWrap/>
            <w:vAlign w:val="center"/>
            <w:hideMark/>
          </w:tcPr>
          <w:p w:rsidR="00C05245" w:rsidRPr="003A19F9" w:rsidRDefault="00C05245" w:rsidP="009615FC">
            <w:pPr>
              <w:jc w:val="center"/>
              <w:rPr>
                <w:rFonts w:ascii="Arial Narrow" w:hAnsi="Arial Narrow"/>
                <w:sz w:val="20"/>
              </w:rPr>
            </w:pPr>
            <w:r w:rsidRPr="003A19F9">
              <w:rPr>
                <w:rFonts w:ascii="Arial Narrow" w:hAnsi="Arial Narrow"/>
                <w:sz w:val="20"/>
              </w:rPr>
              <w:t>ACR 50 (UST)</w:t>
            </w:r>
          </w:p>
          <w:p w:rsidR="00C05245" w:rsidRPr="003A19F9" w:rsidRDefault="00C05245" w:rsidP="009615FC">
            <w:pPr>
              <w:jc w:val="center"/>
              <w:rPr>
                <w:rFonts w:ascii="Arial Narrow" w:hAnsi="Arial Narrow"/>
                <w:sz w:val="20"/>
              </w:rPr>
            </w:pPr>
            <w:r w:rsidRPr="003A19F9">
              <w:rPr>
                <w:rFonts w:ascii="Arial Narrow" w:hAnsi="Arial Narrow"/>
                <w:sz w:val="20"/>
              </w:rPr>
              <w:t>PBS persistence data (ADA)</w:t>
            </w:r>
          </w:p>
        </w:tc>
        <w:tc>
          <w:tcPr>
            <w:tcW w:w="1106" w:type="dxa"/>
            <w:tcBorders>
              <w:top w:val="nil"/>
              <w:left w:val="nil"/>
              <w:bottom w:val="single" w:sz="4" w:space="0" w:color="auto"/>
              <w:right w:val="single" w:sz="4" w:space="0" w:color="auto"/>
            </w:tcBorders>
            <w:shd w:val="clear" w:color="auto" w:fill="auto"/>
            <w:vAlign w:val="center"/>
            <w:hideMark/>
          </w:tcPr>
          <w:p w:rsidR="00C05245" w:rsidRPr="003A19F9" w:rsidRDefault="00C05245" w:rsidP="007870B9">
            <w:pPr>
              <w:jc w:val="center"/>
              <w:rPr>
                <w:rFonts w:ascii="Arial Narrow" w:hAnsi="Arial Narrow"/>
                <w:sz w:val="20"/>
              </w:rPr>
            </w:pPr>
            <w:r w:rsidRPr="003A19F9">
              <w:rPr>
                <w:rFonts w:ascii="Arial Narrow" w:hAnsi="Arial Narrow"/>
                <w:sz w:val="20"/>
              </w:rPr>
              <w:t>Drug acquisition</w:t>
            </w:r>
          </w:p>
        </w:tc>
        <w:tc>
          <w:tcPr>
            <w:tcW w:w="2268" w:type="dxa"/>
            <w:tcBorders>
              <w:top w:val="nil"/>
              <w:left w:val="nil"/>
              <w:bottom w:val="single" w:sz="4" w:space="0" w:color="auto"/>
              <w:right w:val="single" w:sz="4" w:space="0" w:color="auto"/>
            </w:tcBorders>
            <w:shd w:val="clear" w:color="auto" w:fill="auto"/>
            <w:noWrap/>
            <w:vAlign w:val="center"/>
            <w:hideMark/>
          </w:tcPr>
          <w:p w:rsidR="00C05245" w:rsidRPr="003A19F9" w:rsidRDefault="00C05245" w:rsidP="009615FC">
            <w:pPr>
              <w:rPr>
                <w:rFonts w:ascii="Arial Narrow" w:hAnsi="Arial Narrow"/>
                <w:sz w:val="20"/>
              </w:rPr>
            </w:pPr>
            <w:r w:rsidRPr="00A4040E">
              <w:rPr>
                <w:rFonts w:ascii="Arial Narrow" w:hAnsi="Arial Narrow"/>
                <w:sz w:val="20"/>
              </w:rPr>
              <w:t>Cost minimisation</w:t>
            </w:r>
          </w:p>
        </w:tc>
      </w:tr>
    </w:tbl>
    <w:p w:rsidR="00C05245" w:rsidRPr="003A19F9" w:rsidRDefault="00C05245" w:rsidP="00C05245">
      <w:pPr>
        <w:ind w:left="851" w:hanging="142"/>
        <w:rPr>
          <w:rFonts w:ascii="Arial Narrow" w:hAnsi="Arial Narrow"/>
          <w:sz w:val="18"/>
        </w:rPr>
      </w:pPr>
      <w:r w:rsidRPr="003A19F9">
        <w:rPr>
          <w:rFonts w:ascii="Arial Narrow" w:hAnsi="Arial Narrow"/>
          <w:sz w:val="18"/>
        </w:rPr>
        <w:t>*</w:t>
      </w:r>
      <w:r w:rsidRPr="003A19F9">
        <w:rPr>
          <w:rFonts w:ascii="Arial Narrow" w:hAnsi="Arial Narrow"/>
          <w:sz w:val="18"/>
        </w:rPr>
        <w:tab/>
        <w:t>meta-analysed data for both 45 mg and 90 mg ustekinumab.  ACR American College of Rheumatology score, ADA adalimumab, PASI Psoriasis area and severity index, PBS Pharmaceutical Benefits Scheme, PsARC Psoriatic arthritis response criteria UST ustekinumab; IPD=individual patient data.</w:t>
      </w:r>
    </w:p>
    <w:p w:rsidR="00C05245" w:rsidRPr="003A19F9" w:rsidRDefault="00C05245" w:rsidP="00C05245">
      <w:pPr>
        <w:widowControl/>
        <w:ind w:left="851" w:hanging="142"/>
        <w:rPr>
          <w:rFonts w:ascii="Arial Narrow" w:hAnsi="Arial Narrow"/>
          <w:sz w:val="18"/>
          <w:szCs w:val="18"/>
        </w:rPr>
      </w:pPr>
      <w:r w:rsidRPr="003A19F9">
        <w:rPr>
          <w:rFonts w:ascii="Arial Narrow" w:hAnsi="Arial Narrow"/>
          <w:sz w:val="18"/>
          <w:szCs w:val="18"/>
        </w:rPr>
        <w:t>Source: Table D.1, p130 of the submission.</w:t>
      </w:r>
    </w:p>
    <w:p w:rsidR="00275C5A" w:rsidRPr="003A19F9" w:rsidRDefault="00275C5A" w:rsidP="00275C5A">
      <w:pPr>
        <w:widowControl/>
        <w:rPr>
          <w:szCs w:val="22"/>
        </w:rPr>
      </w:pPr>
    </w:p>
    <w:p w:rsidR="00E82AAC" w:rsidRPr="00777FA8" w:rsidRDefault="009B68D2" w:rsidP="00E82AAC">
      <w:pPr>
        <w:pStyle w:val="ListParagraph"/>
        <w:widowControl/>
        <w:numPr>
          <w:ilvl w:val="1"/>
          <w:numId w:val="13"/>
        </w:numPr>
      </w:pPr>
      <w:r w:rsidRPr="00777FA8">
        <w:t>T</w:t>
      </w:r>
      <w:r w:rsidR="00E82AAC" w:rsidRPr="00777FA8">
        <w:t>he steps involved</w:t>
      </w:r>
      <w:r w:rsidRPr="00777FA8">
        <w:t xml:space="preserve"> to calculate initial treatment cost effectiveness analysis</w:t>
      </w:r>
      <w:r w:rsidR="00E82AAC" w:rsidRPr="00777FA8">
        <w:t xml:space="preserve"> </w:t>
      </w:r>
      <w:r w:rsidRPr="00777FA8">
        <w:t xml:space="preserve">presented </w:t>
      </w:r>
      <w:r w:rsidR="00E82AAC" w:rsidRPr="00777FA8">
        <w:t xml:space="preserve">in the submissions’ estimation of a price for UST </w:t>
      </w:r>
      <w:r w:rsidR="00AF33E2" w:rsidRPr="00777FA8">
        <w:t xml:space="preserve">are </w:t>
      </w:r>
      <w:r w:rsidR="00E82AAC" w:rsidRPr="00777FA8">
        <w:t>described below:</w:t>
      </w:r>
    </w:p>
    <w:p w:rsidR="00E82AAC" w:rsidRPr="00777FA8" w:rsidRDefault="00E82AAC" w:rsidP="008F7F26">
      <w:pPr>
        <w:pStyle w:val="ListParagraph"/>
        <w:numPr>
          <w:ilvl w:val="0"/>
          <w:numId w:val="33"/>
        </w:numPr>
        <w:tabs>
          <w:tab w:val="left" w:pos="284"/>
        </w:tabs>
        <w:ind w:left="993" w:hanging="284"/>
      </w:pPr>
      <w:r w:rsidRPr="00777FA8">
        <w:t xml:space="preserve">Calculate the incremental cost per additional responder over placebo (i.e. ICERs) for each outcome for </w:t>
      </w:r>
      <w:r w:rsidR="00DC1B44" w:rsidRPr="00777FA8">
        <w:t>ADA</w:t>
      </w:r>
      <w:r w:rsidRPr="00777FA8">
        <w:t>.</w:t>
      </w:r>
    </w:p>
    <w:p w:rsidR="00E82AAC" w:rsidRPr="00777FA8" w:rsidRDefault="00E82AAC" w:rsidP="008F7F26">
      <w:pPr>
        <w:pStyle w:val="ListParagraph"/>
        <w:numPr>
          <w:ilvl w:val="0"/>
          <w:numId w:val="33"/>
        </w:numPr>
        <w:tabs>
          <w:tab w:val="left" w:pos="284"/>
        </w:tabs>
        <w:ind w:left="993" w:hanging="284"/>
      </w:pPr>
      <w:r w:rsidRPr="00777FA8">
        <w:t xml:space="preserve">Using the risk difference associated with </w:t>
      </w:r>
      <w:r w:rsidR="00466C10" w:rsidRPr="00777FA8">
        <w:t>UST</w:t>
      </w:r>
      <w:r w:rsidRPr="00777FA8">
        <w:t xml:space="preserve"> v</w:t>
      </w:r>
      <w:r w:rsidR="008F7F26" w:rsidRPr="00777FA8">
        <w:t>ersus</w:t>
      </w:r>
      <w:r w:rsidRPr="00777FA8">
        <w:t xml:space="preserve"> placebo for each outcome, calculate the price of </w:t>
      </w:r>
      <w:r w:rsidR="00466C10" w:rsidRPr="00777FA8">
        <w:t>UST</w:t>
      </w:r>
      <w:r w:rsidRPr="00777FA8">
        <w:t xml:space="preserve"> for the initial treatment period at which the incremental cost per additional responder over placebo is equal to that of </w:t>
      </w:r>
      <w:r w:rsidR="00DC1B44" w:rsidRPr="00777FA8">
        <w:t xml:space="preserve">ADA </w:t>
      </w:r>
      <w:r w:rsidRPr="00777FA8">
        <w:t xml:space="preserve">for each </w:t>
      </w:r>
      <w:r w:rsidRPr="00777FA8">
        <w:lastRenderedPageBreak/>
        <w:t>outcome.</w:t>
      </w:r>
    </w:p>
    <w:p w:rsidR="00E82AAC" w:rsidRPr="00777FA8" w:rsidRDefault="00E82AAC" w:rsidP="008F7F26">
      <w:pPr>
        <w:pStyle w:val="ListParagraph"/>
        <w:numPr>
          <w:ilvl w:val="0"/>
          <w:numId w:val="33"/>
        </w:numPr>
        <w:tabs>
          <w:tab w:val="left" w:pos="284"/>
        </w:tabs>
        <w:ind w:left="993" w:hanging="284"/>
      </w:pPr>
      <w:r w:rsidRPr="00777FA8">
        <w:t>Finally, a weighted price based upon both skin involvement and joint involvement is calculated.</w:t>
      </w:r>
    </w:p>
    <w:p w:rsidR="009B68D2" w:rsidRPr="00A440FC" w:rsidRDefault="009B68D2" w:rsidP="009B68D2">
      <w:pPr>
        <w:pStyle w:val="ListParagraph"/>
        <w:tabs>
          <w:tab w:val="left" w:pos="284"/>
        </w:tabs>
      </w:pPr>
    </w:p>
    <w:p w:rsidR="00275C5A" w:rsidRPr="003A19F9" w:rsidRDefault="00C05245" w:rsidP="003F3625">
      <w:pPr>
        <w:pStyle w:val="ListParagraph"/>
        <w:widowControl/>
        <w:numPr>
          <w:ilvl w:val="1"/>
          <w:numId w:val="13"/>
        </w:numPr>
        <w:rPr>
          <w:szCs w:val="22"/>
        </w:rPr>
      </w:pPr>
      <w:r w:rsidRPr="003A19F9">
        <w:t>The results of Part 1 and Part 2 of the economic evalua</w:t>
      </w:r>
      <w:r w:rsidR="007A6933">
        <w:t xml:space="preserve">tion are presented in </w:t>
      </w:r>
      <w:r w:rsidR="003A7689">
        <w:t xml:space="preserve">the following </w:t>
      </w:r>
      <w:r w:rsidR="00380B14">
        <w:t>table and the table on page 15</w:t>
      </w:r>
      <w:r w:rsidR="00F05240">
        <w:t>, respectively.</w:t>
      </w:r>
    </w:p>
    <w:p w:rsidR="00C05245" w:rsidRPr="003A19F9" w:rsidRDefault="00C05245" w:rsidP="00C05245">
      <w:pPr>
        <w:pStyle w:val="ListParagraph"/>
        <w:widowControl/>
        <w:rPr>
          <w:szCs w:val="22"/>
        </w:rPr>
      </w:pPr>
    </w:p>
    <w:p w:rsidR="00C05245" w:rsidRPr="003A19F9" w:rsidRDefault="00C05245" w:rsidP="007647D3">
      <w:pPr>
        <w:keepNext/>
        <w:ind w:firstLine="709"/>
        <w:rPr>
          <w:rFonts w:ascii="Arial Narrow" w:hAnsi="Arial Narrow"/>
          <w:b/>
          <w:bCs/>
          <w:sz w:val="20"/>
        </w:rPr>
      </w:pPr>
      <w:r w:rsidRPr="003A19F9">
        <w:rPr>
          <w:rFonts w:ascii="Arial Narrow" w:hAnsi="Arial Narrow"/>
          <w:b/>
          <w:bCs/>
          <w:sz w:val="20"/>
        </w:rPr>
        <w:t xml:space="preserve">Cost per additional responder for adalimumab by outcome </w:t>
      </w:r>
    </w:p>
    <w:tbl>
      <w:tblPr>
        <w:tblW w:w="4682" w:type="pct"/>
        <w:tblInd w:w="737" w:type="dxa"/>
        <w:tblLayout w:type="fixed"/>
        <w:tblCellMar>
          <w:left w:w="28" w:type="dxa"/>
          <w:right w:w="28" w:type="dxa"/>
        </w:tblCellMar>
        <w:tblLook w:val="04A0" w:firstRow="1" w:lastRow="0" w:firstColumn="1" w:lastColumn="0" w:noHBand="0" w:noVBand="1"/>
      </w:tblPr>
      <w:tblGrid>
        <w:gridCol w:w="860"/>
        <w:gridCol w:w="1015"/>
        <w:gridCol w:w="2204"/>
        <w:gridCol w:w="1097"/>
        <w:gridCol w:w="918"/>
        <w:gridCol w:w="1277"/>
        <w:gridCol w:w="1133"/>
      </w:tblGrid>
      <w:tr w:rsidR="00C05245" w:rsidRPr="003A19F9" w:rsidTr="001071D8">
        <w:tc>
          <w:tcPr>
            <w:tcW w:w="505" w:type="pct"/>
            <w:vMerge w:val="restart"/>
            <w:tcBorders>
              <w:top w:val="single" w:sz="4" w:space="0" w:color="auto"/>
              <w:left w:val="single" w:sz="4" w:space="0" w:color="auto"/>
              <w:right w:val="single" w:sz="4" w:space="0" w:color="auto"/>
            </w:tcBorders>
            <w:shd w:val="clear" w:color="auto" w:fill="auto"/>
            <w:noWrap/>
            <w:vAlign w:val="center"/>
            <w:hideMark/>
          </w:tcPr>
          <w:p w:rsidR="00C05245" w:rsidRPr="003A19F9" w:rsidRDefault="00C05245" w:rsidP="007647D3">
            <w:pPr>
              <w:keepNext/>
              <w:rPr>
                <w:rFonts w:ascii="Arial Narrow" w:hAnsi="Arial Narrow"/>
                <w:b/>
                <w:bCs/>
                <w:sz w:val="18"/>
                <w:szCs w:val="18"/>
              </w:rPr>
            </w:pPr>
            <w:r w:rsidRPr="003A19F9">
              <w:rPr>
                <w:rFonts w:ascii="Arial Narrow" w:hAnsi="Arial Narrow"/>
                <w:b/>
                <w:bCs/>
                <w:sz w:val="18"/>
                <w:szCs w:val="18"/>
              </w:rPr>
              <w:t>Outcome</w:t>
            </w:r>
          </w:p>
        </w:tc>
        <w:tc>
          <w:tcPr>
            <w:tcW w:w="597"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C05245" w:rsidRPr="003A19F9" w:rsidRDefault="00C05245" w:rsidP="007647D3">
            <w:pPr>
              <w:keepNext/>
              <w:jc w:val="center"/>
              <w:rPr>
                <w:rFonts w:ascii="Arial Narrow" w:hAnsi="Arial Narrow"/>
                <w:b/>
                <w:bCs/>
                <w:sz w:val="18"/>
                <w:szCs w:val="18"/>
              </w:rPr>
            </w:pPr>
            <w:r w:rsidRPr="003A19F9">
              <w:rPr>
                <w:rFonts w:ascii="Arial Narrow" w:hAnsi="Arial Narrow"/>
                <w:b/>
                <w:bCs/>
                <w:sz w:val="18"/>
                <w:szCs w:val="18"/>
              </w:rPr>
              <w:t>Incremental RD (response to initial ADA versus placebo)</w:t>
            </w:r>
          </w:p>
        </w:tc>
        <w:tc>
          <w:tcPr>
            <w:tcW w:w="1296"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5245" w:rsidRPr="003A19F9" w:rsidRDefault="00C05245" w:rsidP="007647D3">
            <w:pPr>
              <w:keepNext/>
              <w:jc w:val="center"/>
              <w:rPr>
                <w:rFonts w:ascii="Arial Narrow" w:hAnsi="Arial Narrow"/>
                <w:b/>
                <w:bCs/>
                <w:sz w:val="18"/>
                <w:szCs w:val="18"/>
              </w:rPr>
            </w:pPr>
            <w:r w:rsidRPr="003A19F9">
              <w:rPr>
                <w:rFonts w:ascii="Arial Narrow" w:hAnsi="Arial Narrow"/>
                <w:b/>
                <w:bCs/>
                <w:sz w:val="18"/>
                <w:szCs w:val="18"/>
              </w:rPr>
              <w:t>Cost of ADA</w:t>
            </w:r>
          </w:p>
          <w:p w:rsidR="00C05245" w:rsidRPr="003A19F9" w:rsidRDefault="00C05245" w:rsidP="007647D3">
            <w:pPr>
              <w:keepNext/>
              <w:jc w:val="center"/>
              <w:rPr>
                <w:rFonts w:ascii="Arial Narrow" w:hAnsi="Arial Narrow"/>
                <w:b/>
                <w:bCs/>
                <w:sz w:val="18"/>
                <w:szCs w:val="18"/>
              </w:rPr>
            </w:pPr>
            <w:r w:rsidRPr="003A19F9">
              <w:rPr>
                <w:rFonts w:ascii="Arial Narrow" w:hAnsi="Arial Narrow"/>
                <w:b/>
                <w:bCs/>
                <w:sz w:val="18"/>
                <w:szCs w:val="18"/>
              </w:rPr>
              <w:t>for initial therapy (providing 16 weeks of therapy)</w:t>
            </w:r>
          </w:p>
        </w:tc>
        <w:tc>
          <w:tcPr>
            <w:tcW w:w="645"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5245" w:rsidRPr="003A19F9" w:rsidRDefault="00C05245" w:rsidP="007647D3">
            <w:pPr>
              <w:keepNext/>
              <w:jc w:val="center"/>
              <w:rPr>
                <w:rFonts w:ascii="Arial Narrow" w:hAnsi="Arial Narrow"/>
                <w:b/>
                <w:bCs/>
                <w:sz w:val="18"/>
                <w:szCs w:val="18"/>
              </w:rPr>
            </w:pPr>
            <w:r w:rsidRPr="003A19F9">
              <w:rPr>
                <w:rFonts w:ascii="Arial Narrow" w:hAnsi="Arial Narrow"/>
                <w:b/>
                <w:bCs/>
                <w:sz w:val="18"/>
                <w:szCs w:val="18"/>
              </w:rPr>
              <w:t>Cost per additional responder for ADA</w:t>
            </w:r>
          </w:p>
        </w:tc>
        <w:tc>
          <w:tcPr>
            <w:tcW w:w="540" w:type="pct"/>
            <w:tcBorders>
              <w:top w:val="single" w:sz="4" w:space="0" w:color="auto"/>
              <w:left w:val="single" w:sz="4" w:space="0" w:color="auto"/>
              <w:right w:val="single" w:sz="4" w:space="0" w:color="auto"/>
            </w:tcBorders>
            <w:shd w:val="clear" w:color="000000" w:fill="FFFFFF"/>
            <w:vAlign w:val="center"/>
          </w:tcPr>
          <w:p w:rsidR="00C05245" w:rsidRPr="003A19F9" w:rsidRDefault="00C05245" w:rsidP="007647D3">
            <w:pPr>
              <w:keepNext/>
              <w:jc w:val="center"/>
              <w:rPr>
                <w:rFonts w:ascii="Arial Narrow" w:hAnsi="Arial Narrow"/>
                <w:b/>
                <w:bCs/>
                <w:sz w:val="18"/>
                <w:szCs w:val="18"/>
              </w:rPr>
            </w:pPr>
            <w:r w:rsidRPr="003A19F9">
              <w:rPr>
                <w:rFonts w:ascii="Arial Narrow" w:hAnsi="Arial Narrow"/>
                <w:b/>
                <w:bCs/>
                <w:sz w:val="18"/>
                <w:szCs w:val="18"/>
              </w:rPr>
              <w:t>Incremental RD</w:t>
            </w:r>
            <w:r w:rsidRPr="003A19F9">
              <w:rPr>
                <w:rFonts w:ascii="Arial Narrow" w:hAnsi="Arial Narrow"/>
                <w:b/>
                <w:bCs/>
                <w:sz w:val="18"/>
                <w:szCs w:val="18"/>
                <w:vertAlign w:val="superscript"/>
              </w:rPr>
              <w:t>a</w:t>
            </w:r>
          </w:p>
        </w:tc>
        <w:tc>
          <w:tcPr>
            <w:tcW w:w="751" w:type="pct"/>
            <w:tcBorders>
              <w:top w:val="single" w:sz="4" w:space="0" w:color="auto"/>
              <w:left w:val="single" w:sz="4" w:space="0" w:color="auto"/>
              <w:right w:val="single" w:sz="4" w:space="0" w:color="auto"/>
            </w:tcBorders>
            <w:shd w:val="clear" w:color="000000" w:fill="FFFFFF"/>
            <w:vAlign w:val="center"/>
          </w:tcPr>
          <w:p w:rsidR="00C05245" w:rsidRPr="003A19F9" w:rsidRDefault="00C05245" w:rsidP="007647D3">
            <w:pPr>
              <w:keepNext/>
              <w:jc w:val="center"/>
              <w:rPr>
                <w:rFonts w:ascii="Arial Narrow" w:hAnsi="Arial Narrow"/>
                <w:b/>
                <w:bCs/>
                <w:sz w:val="18"/>
                <w:szCs w:val="18"/>
              </w:rPr>
            </w:pPr>
            <w:r w:rsidRPr="003A19F9">
              <w:rPr>
                <w:rFonts w:ascii="Arial Narrow" w:hAnsi="Arial Narrow"/>
                <w:b/>
                <w:bCs/>
                <w:sz w:val="18"/>
                <w:szCs w:val="18"/>
              </w:rPr>
              <w:t>Cost of UST for initial therapy to achieve equal cost effectiveness</w:t>
            </w:r>
          </w:p>
        </w:tc>
        <w:tc>
          <w:tcPr>
            <w:tcW w:w="666" w:type="pct"/>
            <w:tcBorders>
              <w:top w:val="single" w:sz="4" w:space="0" w:color="auto"/>
              <w:left w:val="single" w:sz="4" w:space="0" w:color="auto"/>
              <w:right w:val="single" w:sz="4" w:space="0" w:color="auto"/>
            </w:tcBorders>
            <w:shd w:val="clear" w:color="000000" w:fill="FFFFFF"/>
            <w:vAlign w:val="center"/>
          </w:tcPr>
          <w:p w:rsidR="00C05245" w:rsidRPr="003A19F9" w:rsidRDefault="00C05245" w:rsidP="007647D3">
            <w:pPr>
              <w:keepNext/>
              <w:jc w:val="center"/>
              <w:rPr>
                <w:rFonts w:ascii="Arial Narrow" w:hAnsi="Arial Narrow"/>
                <w:b/>
                <w:bCs/>
                <w:sz w:val="18"/>
                <w:szCs w:val="18"/>
              </w:rPr>
            </w:pPr>
            <w:r w:rsidRPr="003A19F9">
              <w:rPr>
                <w:rFonts w:ascii="Arial Narrow" w:hAnsi="Arial Narrow"/>
                <w:b/>
                <w:bCs/>
                <w:sz w:val="18"/>
                <w:szCs w:val="18"/>
              </w:rPr>
              <w:t>Cost per dose of UST to achieve equal cost per additional responder (DPMQ)</w:t>
            </w:r>
          </w:p>
        </w:tc>
      </w:tr>
      <w:tr w:rsidR="00C05245" w:rsidRPr="003A19F9" w:rsidTr="001071D8">
        <w:tc>
          <w:tcPr>
            <w:tcW w:w="505" w:type="pct"/>
            <w:vMerge/>
            <w:tcBorders>
              <w:left w:val="single" w:sz="4" w:space="0" w:color="auto"/>
              <w:bottom w:val="single" w:sz="4" w:space="0" w:color="000000"/>
              <w:right w:val="single" w:sz="4" w:space="0" w:color="auto"/>
            </w:tcBorders>
            <w:vAlign w:val="center"/>
          </w:tcPr>
          <w:p w:rsidR="00C05245" w:rsidRPr="003A19F9" w:rsidRDefault="00C05245" w:rsidP="007647D3">
            <w:pPr>
              <w:keepNext/>
              <w:jc w:val="center"/>
              <w:rPr>
                <w:rFonts w:ascii="Arial Narrow" w:hAnsi="Arial Narrow"/>
                <w:sz w:val="20"/>
              </w:rPr>
            </w:pPr>
          </w:p>
        </w:tc>
        <w:tc>
          <w:tcPr>
            <w:tcW w:w="597" w:type="pct"/>
            <w:tcBorders>
              <w:top w:val="single" w:sz="4" w:space="0" w:color="auto"/>
              <w:left w:val="single" w:sz="4" w:space="0" w:color="auto"/>
              <w:bottom w:val="single" w:sz="4" w:space="0" w:color="000000"/>
              <w:right w:val="single" w:sz="4" w:space="0" w:color="auto"/>
            </w:tcBorders>
            <w:vAlign w:val="center"/>
          </w:tcPr>
          <w:p w:rsidR="00C05245" w:rsidRPr="003A19F9" w:rsidRDefault="00C05245" w:rsidP="007647D3">
            <w:pPr>
              <w:keepNext/>
              <w:jc w:val="center"/>
              <w:rPr>
                <w:rFonts w:ascii="Arial Narrow" w:hAnsi="Arial Narrow"/>
                <w:b/>
                <w:bCs/>
                <w:sz w:val="20"/>
              </w:rPr>
            </w:pPr>
            <w:r w:rsidRPr="003A19F9">
              <w:rPr>
                <w:rFonts w:ascii="Arial Narrow" w:hAnsi="Arial Narrow"/>
                <w:b/>
                <w:bCs/>
                <w:sz w:val="20"/>
              </w:rPr>
              <w:t>A</w:t>
            </w:r>
          </w:p>
        </w:tc>
        <w:tc>
          <w:tcPr>
            <w:tcW w:w="1296" w:type="pct"/>
            <w:tcBorders>
              <w:top w:val="single" w:sz="4" w:space="0" w:color="auto"/>
              <w:left w:val="single" w:sz="4" w:space="0" w:color="auto"/>
              <w:bottom w:val="single" w:sz="4" w:space="0" w:color="000000"/>
              <w:right w:val="single" w:sz="4" w:space="0" w:color="auto"/>
            </w:tcBorders>
            <w:vAlign w:val="center"/>
          </w:tcPr>
          <w:p w:rsidR="00C05245" w:rsidRPr="003A19F9" w:rsidRDefault="00C05245" w:rsidP="007647D3">
            <w:pPr>
              <w:keepNext/>
              <w:jc w:val="center"/>
              <w:rPr>
                <w:rFonts w:ascii="Arial Narrow" w:hAnsi="Arial Narrow"/>
                <w:b/>
                <w:bCs/>
                <w:sz w:val="20"/>
              </w:rPr>
            </w:pPr>
            <w:r w:rsidRPr="003A19F9">
              <w:rPr>
                <w:rFonts w:ascii="Arial Narrow" w:hAnsi="Arial Narrow"/>
                <w:b/>
                <w:bCs/>
                <w:sz w:val="20"/>
              </w:rPr>
              <w:t>B</w:t>
            </w:r>
          </w:p>
        </w:tc>
        <w:tc>
          <w:tcPr>
            <w:tcW w:w="645" w:type="pct"/>
            <w:tcBorders>
              <w:top w:val="single" w:sz="4" w:space="0" w:color="auto"/>
              <w:left w:val="single" w:sz="4" w:space="0" w:color="auto"/>
              <w:bottom w:val="single" w:sz="4" w:space="0" w:color="000000"/>
              <w:right w:val="single" w:sz="4" w:space="0" w:color="auto"/>
            </w:tcBorders>
            <w:vAlign w:val="center"/>
          </w:tcPr>
          <w:p w:rsidR="00C05245" w:rsidRPr="003A19F9" w:rsidRDefault="00C05245" w:rsidP="007647D3">
            <w:pPr>
              <w:keepNext/>
              <w:jc w:val="center"/>
              <w:rPr>
                <w:rFonts w:ascii="Arial Narrow" w:hAnsi="Arial Narrow"/>
                <w:b/>
                <w:bCs/>
                <w:sz w:val="20"/>
              </w:rPr>
            </w:pPr>
            <w:r w:rsidRPr="003A19F9">
              <w:rPr>
                <w:rFonts w:ascii="Arial Narrow" w:hAnsi="Arial Narrow"/>
                <w:b/>
                <w:bCs/>
                <w:sz w:val="20"/>
              </w:rPr>
              <w:t>C = B /A</w:t>
            </w:r>
          </w:p>
        </w:tc>
        <w:tc>
          <w:tcPr>
            <w:tcW w:w="540" w:type="pct"/>
            <w:tcBorders>
              <w:top w:val="single" w:sz="4" w:space="0" w:color="auto"/>
              <w:left w:val="single" w:sz="4" w:space="0" w:color="auto"/>
              <w:bottom w:val="single" w:sz="4" w:space="0" w:color="000000"/>
              <w:right w:val="single" w:sz="4" w:space="0" w:color="auto"/>
            </w:tcBorders>
            <w:vAlign w:val="center"/>
          </w:tcPr>
          <w:p w:rsidR="00C05245" w:rsidRPr="003A19F9" w:rsidRDefault="00C05245" w:rsidP="007647D3">
            <w:pPr>
              <w:keepNext/>
              <w:jc w:val="center"/>
              <w:rPr>
                <w:rFonts w:ascii="Arial Narrow" w:hAnsi="Arial Narrow"/>
                <w:b/>
                <w:bCs/>
                <w:sz w:val="20"/>
              </w:rPr>
            </w:pPr>
            <w:r w:rsidRPr="003A19F9">
              <w:rPr>
                <w:rFonts w:ascii="Arial Narrow" w:hAnsi="Arial Narrow"/>
                <w:b/>
                <w:bCs/>
                <w:sz w:val="20"/>
              </w:rPr>
              <w:t>D</w:t>
            </w:r>
          </w:p>
        </w:tc>
        <w:tc>
          <w:tcPr>
            <w:tcW w:w="751" w:type="pct"/>
            <w:tcBorders>
              <w:top w:val="single" w:sz="4" w:space="0" w:color="auto"/>
              <w:left w:val="single" w:sz="4" w:space="0" w:color="auto"/>
              <w:bottom w:val="single" w:sz="4" w:space="0" w:color="000000"/>
              <w:right w:val="single" w:sz="4" w:space="0" w:color="auto"/>
            </w:tcBorders>
            <w:vAlign w:val="center"/>
          </w:tcPr>
          <w:p w:rsidR="00C05245" w:rsidRPr="003A19F9" w:rsidRDefault="00C05245" w:rsidP="007647D3">
            <w:pPr>
              <w:keepNext/>
              <w:jc w:val="center"/>
              <w:rPr>
                <w:rFonts w:ascii="Arial Narrow" w:hAnsi="Arial Narrow"/>
                <w:b/>
                <w:bCs/>
                <w:sz w:val="20"/>
              </w:rPr>
            </w:pPr>
            <w:r w:rsidRPr="003A19F9">
              <w:rPr>
                <w:rFonts w:ascii="Arial Narrow" w:hAnsi="Arial Narrow"/>
                <w:b/>
                <w:bCs/>
                <w:sz w:val="20"/>
              </w:rPr>
              <w:t>E= DxC</w:t>
            </w:r>
          </w:p>
        </w:tc>
        <w:tc>
          <w:tcPr>
            <w:tcW w:w="666" w:type="pct"/>
            <w:tcBorders>
              <w:top w:val="single" w:sz="4" w:space="0" w:color="auto"/>
              <w:left w:val="single" w:sz="4" w:space="0" w:color="auto"/>
              <w:bottom w:val="single" w:sz="4" w:space="0" w:color="000000"/>
              <w:right w:val="single" w:sz="4" w:space="0" w:color="auto"/>
            </w:tcBorders>
            <w:vAlign w:val="center"/>
          </w:tcPr>
          <w:p w:rsidR="00C05245" w:rsidRPr="003A19F9" w:rsidRDefault="00C05245" w:rsidP="007647D3">
            <w:pPr>
              <w:keepNext/>
              <w:jc w:val="center"/>
              <w:rPr>
                <w:rFonts w:ascii="Arial Narrow" w:hAnsi="Arial Narrow"/>
                <w:b/>
                <w:bCs/>
                <w:sz w:val="20"/>
              </w:rPr>
            </w:pPr>
            <w:r w:rsidRPr="003A19F9">
              <w:rPr>
                <w:rFonts w:ascii="Arial Narrow" w:hAnsi="Arial Narrow"/>
                <w:b/>
                <w:bCs/>
                <w:sz w:val="20"/>
              </w:rPr>
              <w:t>F=E/3 doses</w:t>
            </w:r>
          </w:p>
        </w:tc>
      </w:tr>
      <w:tr w:rsidR="00C05245" w:rsidRPr="003A19F9" w:rsidTr="001071D8">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05245" w:rsidRPr="003A19F9" w:rsidRDefault="00C05245" w:rsidP="007647D3">
            <w:pPr>
              <w:keepNext/>
              <w:rPr>
                <w:rFonts w:ascii="Arial Narrow" w:hAnsi="Arial Narrow"/>
                <w:sz w:val="20"/>
              </w:rPr>
            </w:pPr>
            <w:r w:rsidRPr="003A19F9">
              <w:rPr>
                <w:rFonts w:ascii="Arial Narrow" w:hAnsi="Arial Narrow"/>
                <w:sz w:val="20"/>
              </w:rPr>
              <w:t xml:space="preserve">ACR 20 </w:t>
            </w:r>
          </w:p>
        </w:tc>
        <w:tc>
          <w:tcPr>
            <w:tcW w:w="597" w:type="pct"/>
            <w:tcBorders>
              <w:top w:val="nil"/>
              <w:left w:val="nil"/>
              <w:bottom w:val="single" w:sz="4" w:space="0" w:color="auto"/>
              <w:right w:val="single" w:sz="4" w:space="0" w:color="auto"/>
            </w:tcBorders>
            <w:shd w:val="clear" w:color="auto" w:fill="auto"/>
            <w:noWrap/>
            <w:vAlign w:val="center"/>
            <w:hideMark/>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12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5245" w:rsidRPr="003A19F9" w:rsidRDefault="00C05245" w:rsidP="007647D3">
            <w:pPr>
              <w:keepNext/>
              <w:jc w:val="center"/>
              <w:rPr>
                <w:rFonts w:ascii="Arial Narrow" w:hAnsi="Arial Narrow"/>
                <w:sz w:val="20"/>
              </w:rPr>
            </w:pPr>
            <w:r w:rsidRPr="003A19F9">
              <w:rPr>
                <w:rFonts w:ascii="Arial Narrow" w:hAnsi="Arial Narrow"/>
                <w:sz w:val="20"/>
              </w:rPr>
              <w:t xml:space="preserve">DPMQ for ADA is </w:t>
            </w:r>
            <w:r w:rsidR="00523FDD">
              <w:rPr>
                <w:rFonts w:ascii="Arial Narrow" w:hAnsi="Arial Narrow"/>
                <w:noProof/>
                <w:color w:val="000000"/>
                <w:sz w:val="20"/>
                <w:highlight w:val="black"/>
              </w:rPr>
              <w:t>''''''''''''''''''''''''</w:t>
            </w:r>
            <w:r w:rsidRPr="003A19F9">
              <w:rPr>
                <w:rFonts w:ascii="Arial Narrow" w:hAnsi="Arial Narrow"/>
                <w:sz w:val="20"/>
              </w:rPr>
              <w:t xml:space="preserve"> for 2 doses, four packs are required for initiation therapy</w:t>
            </w:r>
          </w:p>
          <w:p w:rsidR="00C05245" w:rsidRPr="003A19F9" w:rsidRDefault="00C05245" w:rsidP="007647D3">
            <w:pPr>
              <w:keepNext/>
              <w:jc w:val="center"/>
              <w:rPr>
                <w:rFonts w:ascii="Arial Narrow" w:hAnsi="Arial Narrow"/>
                <w:sz w:val="20"/>
              </w:rPr>
            </w:pPr>
            <w:r w:rsidRPr="003A19F9">
              <w:rPr>
                <w:rFonts w:ascii="Arial Narrow" w:hAnsi="Arial Narrow"/>
                <w:sz w:val="20"/>
              </w:rPr>
              <w:t xml:space="preserve">Total cost for initiation is: </w:t>
            </w:r>
            <w:r w:rsidR="00523FDD">
              <w:rPr>
                <w:rFonts w:ascii="Arial Narrow" w:hAnsi="Arial Narrow"/>
                <w:noProof/>
                <w:color w:val="000000"/>
                <w:sz w:val="20"/>
                <w:highlight w:val="black"/>
              </w:rPr>
              <w:t>'''''''''''''''''''''''' ''' ''''''' '''''''''''''''''''''</w:t>
            </w:r>
          </w:p>
        </w:tc>
        <w:tc>
          <w:tcPr>
            <w:tcW w:w="645" w:type="pct"/>
            <w:tcBorders>
              <w:top w:val="nil"/>
              <w:left w:val="nil"/>
              <w:bottom w:val="single" w:sz="4" w:space="0" w:color="auto"/>
              <w:right w:val="single" w:sz="4" w:space="0" w:color="auto"/>
            </w:tcBorders>
            <w:shd w:val="clear" w:color="auto" w:fill="auto"/>
            <w:noWrap/>
            <w:vAlign w:val="center"/>
            <w:hideMark/>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540"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751"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666"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r>
      <w:tr w:rsidR="00C05245" w:rsidRPr="003A19F9" w:rsidTr="001071D8">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05245" w:rsidRPr="003A19F9" w:rsidRDefault="00C05245" w:rsidP="007647D3">
            <w:pPr>
              <w:keepNext/>
              <w:rPr>
                <w:rFonts w:ascii="Arial Narrow" w:hAnsi="Arial Narrow"/>
                <w:sz w:val="20"/>
              </w:rPr>
            </w:pPr>
            <w:r w:rsidRPr="003A19F9">
              <w:rPr>
                <w:rFonts w:ascii="Arial Narrow" w:hAnsi="Arial Narrow"/>
                <w:sz w:val="20"/>
              </w:rPr>
              <w:t xml:space="preserve">ACR 50* </w:t>
            </w:r>
          </w:p>
        </w:tc>
        <w:tc>
          <w:tcPr>
            <w:tcW w:w="597" w:type="pct"/>
            <w:tcBorders>
              <w:top w:val="nil"/>
              <w:left w:val="nil"/>
              <w:bottom w:val="single" w:sz="4" w:space="0" w:color="auto"/>
              <w:right w:val="single" w:sz="4" w:space="0" w:color="auto"/>
            </w:tcBorders>
            <w:shd w:val="clear" w:color="auto" w:fill="auto"/>
            <w:noWrap/>
            <w:vAlign w:val="center"/>
            <w:hideMark/>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1296" w:type="pct"/>
            <w:vMerge/>
            <w:tcBorders>
              <w:top w:val="nil"/>
              <w:left w:val="single" w:sz="4" w:space="0" w:color="auto"/>
              <w:bottom w:val="single" w:sz="4" w:space="0" w:color="000000"/>
              <w:right w:val="single" w:sz="4" w:space="0" w:color="auto"/>
            </w:tcBorders>
            <w:vAlign w:val="center"/>
            <w:hideMark/>
          </w:tcPr>
          <w:p w:rsidR="00C05245" w:rsidRPr="003A19F9" w:rsidRDefault="00C05245" w:rsidP="007647D3">
            <w:pPr>
              <w:keepNext/>
              <w:jc w:val="center"/>
              <w:rPr>
                <w:rFonts w:ascii="Arial Narrow" w:hAnsi="Arial Narrow"/>
                <w:sz w:val="20"/>
              </w:rPr>
            </w:pPr>
          </w:p>
        </w:tc>
        <w:tc>
          <w:tcPr>
            <w:tcW w:w="645" w:type="pct"/>
            <w:tcBorders>
              <w:top w:val="nil"/>
              <w:left w:val="nil"/>
              <w:bottom w:val="single" w:sz="4" w:space="0" w:color="auto"/>
              <w:right w:val="single" w:sz="4" w:space="0" w:color="auto"/>
            </w:tcBorders>
            <w:shd w:val="clear" w:color="auto" w:fill="auto"/>
            <w:noWrap/>
            <w:vAlign w:val="center"/>
            <w:hideMark/>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540"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751"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666"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r>
      <w:tr w:rsidR="00C05245" w:rsidRPr="003A19F9" w:rsidTr="001071D8">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05245" w:rsidRPr="003A19F9" w:rsidRDefault="00C05245" w:rsidP="007647D3">
            <w:pPr>
              <w:keepNext/>
              <w:rPr>
                <w:rFonts w:ascii="Arial Narrow" w:hAnsi="Arial Narrow"/>
                <w:sz w:val="20"/>
              </w:rPr>
            </w:pPr>
            <w:r w:rsidRPr="003A19F9">
              <w:rPr>
                <w:rFonts w:ascii="Arial Narrow" w:hAnsi="Arial Narrow"/>
                <w:sz w:val="20"/>
              </w:rPr>
              <w:t xml:space="preserve">ACR 70 </w:t>
            </w:r>
          </w:p>
        </w:tc>
        <w:tc>
          <w:tcPr>
            <w:tcW w:w="597" w:type="pct"/>
            <w:tcBorders>
              <w:top w:val="nil"/>
              <w:left w:val="nil"/>
              <w:bottom w:val="single" w:sz="4" w:space="0" w:color="auto"/>
              <w:right w:val="single" w:sz="4" w:space="0" w:color="auto"/>
            </w:tcBorders>
            <w:shd w:val="clear" w:color="auto" w:fill="auto"/>
            <w:noWrap/>
            <w:vAlign w:val="center"/>
            <w:hideMark/>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1296" w:type="pct"/>
            <w:vMerge/>
            <w:tcBorders>
              <w:top w:val="nil"/>
              <w:left w:val="single" w:sz="4" w:space="0" w:color="auto"/>
              <w:bottom w:val="single" w:sz="4" w:space="0" w:color="000000"/>
              <w:right w:val="single" w:sz="4" w:space="0" w:color="auto"/>
            </w:tcBorders>
            <w:vAlign w:val="center"/>
            <w:hideMark/>
          </w:tcPr>
          <w:p w:rsidR="00C05245" w:rsidRPr="003A19F9" w:rsidRDefault="00C05245" w:rsidP="007647D3">
            <w:pPr>
              <w:keepNext/>
              <w:jc w:val="center"/>
              <w:rPr>
                <w:rFonts w:ascii="Arial Narrow" w:hAnsi="Arial Narrow"/>
                <w:sz w:val="20"/>
              </w:rPr>
            </w:pPr>
          </w:p>
        </w:tc>
        <w:tc>
          <w:tcPr>
            <w:tcW w:w="645" w:type="pct"/>
            <w:tcBorders>
              <w:top w:val="nil"/>
              <w:left w:val="nil"/>
              <w:bottom w:val="single" w:sz="4" w:space="0" w:color="auto"/>
              <w:right w:val="single" w:sz="4" w:space="0" w:color="auto"/>
            </w:tcBorders>
            <w:shd w:val="clear" w:color="auto" w:fill="auto"/>
            <w:noWrap/>
            <w:vAlign w:val="center"/>
            <w:hideMark/>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540"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751"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666"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r>
      <w:tr w:rsidR="00C05245" w:rsidRPr="003A19F9" w:rsidTr="001071D8">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05245" w:rsidRPr="003A19F9" w:rsidRDefault="00C05245" w:rsidP="007647D3">
            <w:pPr>
              <w:keepNext/>
              <w:rPr>
                <w:rFonts w:ascii="Arial Narrow" w:hAnsi="Arial Narrow"/>
                <w:sz w:val="20"/>
              </w:rPr>
            </w:pPr>
            <w:r w:rsidRPr="003A19F9">
              <w:rPr>
                <w:rFonts w:ascii="Arial Narrow" w:hAnsi="Arial Narrow"/>
                <w:sz w:val="20"/>
              </w:rPr>
              <w:t>PASI 75*</w:t>
            </w:r>
          </w:p>
        </w:tc>
        <w:tc>
          <w:tcPr>
            <w:tcW w:w="597" w:type="pct"/>
            <w:tcBorders>
              <w:top w:val="nil"/>
              <w:left w:val="nil"/>
              <w:bottom w:val="single" w:sz="4" w:space="0" w:color="auto"/>
              <w:right w:val="single" w:sz="4" w:space="0" w:color="auto"/>
            </w:tcBorders>
            <w:shd w:val="clear" w:color="auto" w:fill="auto"/>
            <w:noWrap/>
            <w:vAlign w:val="center"/>
            <w:hideMark/>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1296" w:type="pct"/>
            <w:vMerge/>
            <w:tcBorders>
              <w:top w:val="nil"/>
              <w:left w:val="single" w:sz="4" w:space="0" w:color="auto"/>
              <w:bottom w:val="single" w:sz="4" w:space="0" w:color="000000"/>
              <w:right w:val="single" w:sz="4" w:space="0" w:color="auto"/>
            </w:tcBorders>
            <w:vAlign w:val="center"/>
            <w:hideMark/>
          </w:tcPr>
          <w:p w:rsidR="00C05245" w:rsidRPr="003A19F9" w:rsidRDefault="00C05245" w:rsidP="007647D3">
            <w:pPr>
              <w:keepNext/>
              <w:jc w:val="center"/>
              <w:rPr>
                <w:rFonts w:ascii="Arial Narrow" w:hAnsi="Arial Narrow"/>
                <w:sz w:val="20"/>
              </w:rPr>
            </w:pPr>
          </w:p>
        </w:tc>
        <w:tc>
          <w:tcPr>
            <w:tcW w:w="645" w:type="pct"/>
            <w:tcBorders>
              <w:top w:val="nil"/>
              <w:left w:val="nil"/>
              <w:bottom w:val="single" w:sz="4" w:space="0" w:color="auto"/>
              <w:right w:val="single" w:sz="4" w:space="0" w:color="auto"/>
            </w:tcBorders>
            <w:shd w:val="clear" w:color="auto" w:fill="auto"/>
            <w:noWrap/>
            <w:vAlign w:val="center"/>
            <w:hideMark/>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540"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751"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666"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r>
      <w:tr w:rsidR="00C05245" w:rsidRPr="003A19F9" w:rsidTr="001071D8">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05245" w:rsidRPr="003A19F9" w:rsidRDefault="00C05245" w:rsidP="007647D3">
            <w:pPr>
              <w:keepNext/>
              <w:rPr>
                <w:rFonts w:ascii="Arial Narrow" w:hAnsi="Arial Narrow"/>
                <w:sz w:val="20"/>
              </w:rPr>
            </w:pPr>
            <w:r w:rsidRPr="003A19F9">
              <w:rPr>
                <w:rFonts w:ascii="Arial Narrow" w:hAnsi="Arial Narrow"/>
                <w:sz w:val="20"/>
              </w:rPr>
              <w:t>PsARC</w:t>
            </w:r>
          </w:p>
        </w:tc>
        <w:tc>
          <w:tcPr>
            <w:tcW w:w="597" w:type="pct"/>
            <w:tcBorders>
              <w:top w:val="nil"/>
              <w:left w:val="nil"/>
              <w:bottom w:val="single" w:sz="4" w:space="0" w:color="auto"/>
              <w:right w:val="single" w:sz="4" w:space="0" w:color="auto"/>
            </w:tcBorders>
            <w:shd w:val="clear" w:color="auto" w:fill="auto"/>
            <w:noWrap/>
            <w:vAlign w:val="center"/>
            <w:hideMark/>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1296" w:type="pct"/>
            <w:vMerge/>
            <w:tcBorders>
              <w:top w:val="nil"/>
              <w:left w:val="single" w:sz="4" w:space="0" w:color="auto"/>
              <w:bottom w:val="single" w:sz="4" w:space="0" w:color="auto"/>
              <w:right w:val="single" w:sz="4" w:space="0" w:color="auto"/>
            </w:tcBorders>
            <w:vAlign w:val="center"/>
            <w:hideMark/>
          </w:tcPr>
          <w:p w:rsidR="00C05245" w:rsidRPr="003A19F9" w:rsidRDefault="00C05245" w:rsidP="007647D3">
            <w:pPr>
              <w:keepNext/>
              <w:jc w:val="center"/>
              <w:rPr>
                <w:rFonts w:ascii="Arial Narrow" w:hAnsi="Arial Narrow"/>
                <w:sz w:val="20"/>
              </w:rPr>
            </w:pPr>
          </w:p>
        </w:tc>
        <w:tc>
          <w:tcPr>
            <w:tcW w:w="645" w:type="pct"/>
            <w:tcBorders>
              <w:top w:val="nil"/>
              <w:left w:val="nil"/>
              <w:bottom w:val="single" w:sz="4" w:space="0" w:color="auto"/>
              <w:right w:val="single" w:sz="4" w:space="0" w:color="auto"/>
            </w:tcBorders>
            <w:shd w:val="clear" w:color="auto" w:fill="auto"/>
            <w:noWrap/>
            <w:vAlign w:val="center"/>
            <w:hideMark/>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540"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751"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c>
          <w:tcPr>
            <w:tcW w:w="666" w:type="pct"/>
            <w:tcBorders>
              <w:top w:val="nil"/>
              <w:left w:val="nil"/>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r>
      <w:tr w:rsidR="00C05245" w:rsidRPr="003A19F9" w:rsidTr="001071D8">
        <w:tc>
          <w:tcPr>
            <w:tcW w:w="4334"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05245" w:rsidRPr="003A19F9" w:rsidRDefault="00C05245" w:rsidP="007647D3">
            <w:pPr>
              <w:keepNext/>
              <w:jc w:val="right"/>
              <w:rPr>
                <w:rFonts w:ascii="Arial Narrow" w:hAnsi="Arial Narrow"/>
                <w:sz w:val="20"/>
              </w:rPr>
            </w:pPr>
            <w:r w:rsidRPr="003A19F9">
              <w:rPr>
                <w:rFonts w:ascii="Arial Narrow" w:hAnsi="Arial Narrow"/>
                <w:sz w:val="20"/>
              </w:rPr>
              <w:t>Estimated DPMQ of UST using 50:50 weight of ACR50 and PASI75 outcomes</w:t>
            </w:r>
          </w:p>
        </w:tc>
        <w:tc>
          <w:tcPr>
            <w:tcW w:w="666" w:type="pct"/>
            <w:tcBorders>
              <w:top w:val="single" w:sz="4" w:space="0" w:color="auto"/>
              <w:left w:val="single" w:sz="4" w:space="0" w:color="auto"/>
              <w:bottom w:val="single" w:sz="4" w:space="0" w:color="auto"/>
              <w:right w:val="single" w:sz="4" w:space="0" w:color="auto"/>
            </w:tcBorders>
            <w:vAlign w:val="center"/>
          </w:tcPr>
          <w:p w:rsidR="00C05245" w:rsidRPr="00523FDD" w:rsidRDefault="00523FDD" w:rsidP="007647D3">
            <w:pPr>
              <w:keepNext/>
              <w:jc w:val="center"/>
              <w:rPr>
                <w:rFonts w:ascii="Arial Narrow" w:hAnsi="Arial Narrow"/>
                <w:sz w:val="20"/>
                <w:highlight w:val="black"/>
              </w:rPr>
            </w:pPr>
            <w:r>
              <w:rPr>
                <w:rFonts w:ascii="Arial Narrow" w:hAnsi="Arial Narrow"/>
                <w:noProof/>
                <w:color w:val="000000"/>
                <w:sz w:val="20"/>
                <w:highlight w:val="black"/>
              </w:rPr>
              <w:t>'''''''''''''''''''''''</w:t>
            </w:r>
          </w:p>
        </w:tc>
      </w:tr>
      <w:tr w:rsidR="00C05245" w:rsidRPr="003A19F9" w:rsidTr="001071D8">
        <w:tc>
          <w:tcPr>
            <w:tcW w:w="4334"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05245" w:rsidRPr="003A19F9" w:rsidRDefault="00C05245" w:rsidP="007647D3">
            <w:pPr>
              <w:keepNext/>
              <w:jc w:val="right"/>
              <w:rPr>
                <w:rFonts w:ascii="Arial Narrow" w:hAnsi="Arial Narrow"/>
                <w:b/>
                <w:bCs/>
                <w:sz w:val="20"/>
              </w:rPr>
            </w:pPr>
            <w:r w:rsidRPr="003A19F9">
              <w:rPr>
                <w:rFonts w:ascii="Arial Narrow" w:hAnsi="Arial Narrow"/>
                <w:b/>
                <w:bCs/>
                <w:sz w:val="20"/>
              </w:rPr>
              <w:t xml:space="preserve">Estimated DPMQ of UST using </w:t>
            </w:r>
            <w:r w:rsidR="00523FDD">
              <w:rPr>
                <w:rFonts w:ascii="Arial Narrow" w:hAnsi="Arial Narrow"/>
                <w:b/>
                <w:bCs/>
                <w:noProof/>
                <w:color w:val="000000"/>
                <w:sz w:val="20"/>
                <w:highlight w:val="black"/>
              </w:rPr>
              <w:t>''''''''''''</w:t>
            </w:r>
            <w:r w:rsidRPr="003A19F9">
              <w:rPr>
                <w:rFonts w:ascii="Arial Narrow" w:hAnsi="Arial Narrow"/>
                <w:b/>
                <w:bCs/>
                <w:sz w:val="20"/>
              </w:rPr>
              <w:t xml:space="preserve"> weight of ACR50 outcome</w:t>
            </w:r>
          </w:p>
        </w:tc>
        <w:tc>
          <w:tcPr>
            <w:tcW w:w="666" w:type="pct"/>
            <w:tcBorders>
              <w:top w:val="single" w:sz="4" w:space="0" w:color="auto"/>
              <w:left w:val="single" w:sz="4" w:space="0" w:color="auto"/>
              <w:bottom w:val="single" w:sz="4" w:space="0" w:color="auto"/>
              <w:right w:val="single" w:sz="4" w:space="0" w:color="auto"/>
            </w:tcBorders>
            <w:vAlign w:val="center"/>
          </w:tcPr>
          <w:p w:rsidR="00C05245" w:rsidRPr="00523FDD" w:rsidRDefault="00523FDD" w:rsidP="007647D3">
            <w:pPr>
              <w:keepNext/>
              <w:jc w:val="center"/>
              <w:rPr>
                <w:rFonts w:ascii="Arial Narrow" w:hAnsi="Arial Narrow"/>
                <w:b/>
                <w:bCs/>
                <w:sz w:val="20"/>
                <w:highlight w:val="black"/>
              </w:rPr>
            </w:pPr>
            <w:r>
              <w:rPr>
                <w:rFonts w:ascii="Arial Narrow" w:hAnsi="Arial Narrow"/>
                <w:b/>
                <w:bCs/>
                <w:noProof/>
                <w:color w:val="000000"/>
                <w:sz w:val="20"/>
                <w:highlight w:val="black"/>
              </w:rPr>
              <w:t>'''''''''''''''''''</w:t>
            </w:r>
          </w:p>
        </w:tc>
      </w:tr>
    </w:tbl>
    <w:p w:rsidR="00C05245" w:rsidRPr="003A19F9" w:rsidRDefault="00C05245" w:rsidP="006341F2">
      <w:pPr>
        <w:ind w:left="709"/>
        <w:rPr>
          <w:rFonts w:ascii="Arial Narrow" w:hAnsi="Arial Narrow"/>
          <w:sz w:val="18"/>
          <w:szCs w:val="18"/>
        </w:rPr>
      </w:pPr>
      <w:r w:rsidRPr="003A19F9">
        <w:rPr>
          <w:rFonts w:ascii="Arial Narrow" w:hAnsi="Arial Narrow"/>
          <w:sz w:val="18"/>
          <w:szCs w:val="18"/>
        </w:rPr>
        <w:t>Abbreviations: ACR American College of Rheumatology score, ADA adalimumab, PASI Psoriasis area and severity index, PsARC Psoriatic arthritis response criteria</w:t>
      </w:r>
      <w:r w:rsidR="006341F2" w:rsidRPr="003A19F9">
        <w:rPr>
          <w:rFonts w:ascii="Arial Narrow" w:hAnsi="Arial Narrow"/>
          <w:sz w:val="18"/>
          <w:szCs w:val="18"/>
        </w:rPr>
        <w:t xml:space="preserve"> </w:t>
      </w:r>
      <w:r w:rsidRPr="003A19F9">
        <w:rPr>
          <w:rFonts w:ascii="Arial Narrow" w:hAnsi="Arial Narrow"/>
          <w:sz w:val="18"/>
          <w:szCs w:val="18"/>
          <w:vertAlign w:val="superscript"/>
        </w:rPr>
        <w:t>a</w:t>
      </w:r>
      <w:r w:rsidRPr="003A19F9">
        <w:rPr>
          <w:rFonts w:ascii="Arial Narrow" w:hAnsi="Arial Narrow"/>
          <w:sz w:val="18"/>
          <w:szCs w:val="18"/>
        </w:rPr>
        <w:tab/>
        <w:t>(response to initial UST versus placebo)</w:t>
      </w:r>
      <w:r w:rsidR="006341F2" w:rsidRPr="003A19F9">
        <w:rPr>
          <w:rFonts w:ascii="Arial Narrow" w:hAnsi="Arial Narrow"/>
          <w:sz w:val="18"/>
          <w:szCs w:val="18"/>
        </w:rPr>
        <w:t xml:space="preserve"> </w:t>
      </w:r>
      <w:r w:rsidRPr="003A19F9">
        <w:rPr>
          <w:rFonts w:ascii="Arial Narrow" w:hAnsi="Arial Narrow"/>
          <w:sz w:val="18"/>
          <w:szCs w:val="18"/>
        </w:rPr>
        <w:t>Source: Tables D.5 and D.6, p136 of the submission.  Sheet ‘Cost effectiveness Initial”, Section_D_Ustekinumab_v_Adalimumab.xls</w:t>
      </w:r>
    </w:p>
    <w:p w:rsidR="009B68D2" w:rsidRDefault="009B68D2" w:rsidP="00AF63ED">
      <w:pPr>
        <w:pStyle w:val="ListParagraph"/>
        <w:widowControl/>
        <w:rPr>
          <w:iCs/>
        </w:rPr>
      </w:pPr>
    </w:p>
    <w:p w:rsidR="006341F2" w:rsidRPr="00660C85" w:rsidRDefault="006341F2" w:rsidP="00670D01">
      <w:pPr>
        <w:pStyle w:val="ListParagraph"/>
        <w:widowControl/>
        <w:numPr>
          <w:ilvl w:val="1"/>
          <w:numId w:val="13"/>
        </w:numPr>
      </w:pPr>
      <w:r w:rsidRPr="00670D01">
        <w:t xml:space="preserve">Although a cost per additional responder is summarised for each outcome, the weighted price of UST for initiation therapy over 28 weeks </w:t>
      </w:r>
      <w:r w:rsidR="0012724D" w:rsidRPr="00670D01">
        <w:t xml:space="preserve">was </w:t>
      </w:r>
      <w:r w:rsidRPr="00670D01">
        <w:t xml:space="preserve">determined by assuming a </w:t>
      </w:r>
      <w:r w:rsidR="00523FDD">
        <w:rPr>
          <w:noProof/>
          <w:color w:val="000000"/>
          <w:highlight w:val="black"/>
        </w:rPr>
        <w:t>''''''''''''</w:t>
      </w:r>
      <w:r w:rsidRPr="00670D01">
        <w:t xml:space="preserve"> weight of ACR50 and PASI75 outcomes.  </w:t>
      </w:r>
      <w:r w:rsidR="00314E82">
        <w:t xml:space="preserve">The PBAC </w:t>
      </w:r>
      <w:r w:rsidR="00475EAF">
        <w:t xml:space="preserve">considered the </w:t>
      </w:r>
      <w:r w:rsidR="00523FDD">
        <w:rPr>
          <w:noProof/>
          <w:color w:val="000000"/>
          <w:highlight w:val="black"/>
        </w:rPr>
        <w:t>''''''''''''</w:t>
      </w:r>
      <w:r w:rsidR="0076168A">
        <w:t xml:space="preserve"> weight </w:t>
      </w:r>
      <w:r w:rsidR="00481645">
        <w:t>assumption</w:t>
      </w:r>
      <w:r w:rsidR="0076168A">
        <w:t xml:space="preserve"> </w:t>
      </w:r>
      <w:r w:rsidR="00475EAF">
        <w:t xml:space="preserve">was not </w:t>
      </w:r>
      <w:r w:rsidRPr="00670D01">
        <w:t>an appropriate basis to de</w:t>
      </w:r>
      <w:r w:rsidR="00721AB2">
        <w:t xml:space="preserve">termine the price of UST on the PBS. </w:t>
      </w:r>
      <w:r w:rsidR="00721AB2" w:rsidRPr="00660C85">
        <w:t>A</w:t>
      </w:r>
      <w:r w:rsidRPr="00660C85">
        <w:t xml:space="preserve">lthough psoriasis outcomes may be an important component of PsA, psoriasis outcomes or PASI75 are not relied on by the PBS to determine response to treatments for PsA.  As per the submission’s own arguments, the most important outcome for determining PBS response is ACR50, thus this </w:t>
      </w:r>
      <w:r w:rsidR="0012724D" w:rsidRPr="00660C85">
        <w:t xml:space="preserve">should be </w:t>
      </w:r>
      <w:r w:rsidRPr="00660C85">
        <w:t xml:space="preserve">the only outcome </w:t>
      </w:r>
      <w:r w:rsidR="0012724D" w:rsidRPr="00660C85">
        <w:t xml:space="preserve">to </w:t>
      </w:r>
      <w:r w:rsidRPr="00660C85">
        <w:t>be relied on</w:t>
      </w:r>
      <w:r w:rsidR="00AF63ED" w:rsidRPr="00660C85">
        <w:t xml:space="preserve"> for determining a DPMQ for UST</w:t>
      </w:r>
      <w:r w:rsidR="00475EAF">
        <w:t>.</w:t>
      </w:r>
    </w:p>
    <w:p w:rsidR="00362FD7" w:rsidRPr="00660C85" w:rsidRDefault="00362FD7" w:rsidP="00362FD7">
      <w:pPr>
        <w:pStyle w:val="ListParagraph"/>
        <w:widowControl/>
      </w:pPr>
    </w:p>
    <w:p w:rsidR="00427E6A" w:rsidRPr="00777FA8" w:rsidRDefault="00362FD7" w:rsidP="00427E6A">
      <w:pPr>
        <w:pStyle w:val="ListParagraph"/>
        <w:numPr>
          <w:ilvl w:val="1"/>
          <w:numId w:val="13"/>
        </w:numPr>
        <w:rPr>
          <w:iCs/>
        </w:rPr>
      </w:pPr>
      <w:r w:rsidRPr="00660C85">
        <w:t xml:space="preserve">The PSCR acknowledged </w:t>
      </w:r>
      <w:r w:rsidR="00BA6CEE" w:rsidRPr="00660C85">
        <w:t xml:space="preserve">(p3) </w:t>
      </w:r>
      <w:r w:rsidRPr="00660C85">
        <w:t>that the continuing criteria are based on achieving an ACR50. However, the response argued that as PsA is a disease of the joints, tendons and skin</w:t>
      </w:r>
      <w:r w:rsidR="00424820">
        <w:t>,</w:t>
      </w:r>
      <w:r w:rsidR="00424820" w:rsidRPr="00660C85">
        <w:t xml:space="preserve"> basing</w:t>
      </w:r>
      <w:r w:rsidRPr="00660C85">
        <w:t xml:space="preserve"> the price for UST on achieving ACR50 alone would implicitly reduce the value of any skin improvements associated with UST.</w:t>
      </w:r>
      <w:r w:rsidR="00E25701" w:rsidRPr="00660C85">
        <w:t xml:space="preserve"> </w:t>
      </w:r>
      <w:r w:rsidR="00471534" w:rsidRPr="00660C85">
        <w:rPr>
          <w:iCs/>
        </w:rPr>
        <w:t xml:space="preserve">The ESC considered that given the importance of the joint outcome in the eligibility criteria for continuing treatment with UST, a conservative approach would set the price based </w:t>
      </w:r>
      <w:r w:rsidR="00427E6A" w:rsidRPr="00660C85">
        <w:rPr>
          <w:iCs/>
        </w:rPr>
        <w:t xml:space="preserve">only on the </w:t>
      </w:r>
      <w:r w:rsidR="00471534" w:rsidRPr="00660C85">
        <w:rPr>
          <w:iCs/>
        </w:rPr>
        <w:t>ACR50 outcome.</w:t>
      </w:r>
      <w:r w:rsidR="00471534" w:rsidRPr="00777FA8">
        <w:rPr>
          <w:iCs/>
        </w:rPr>
        <w:t xml:space="preserve"> The PBAC </w:t>
      </w:r>
      <w:r w:rsidR="00976BFD">
        <w:rPr>
          <w:iCs/>
        </w:rPr>
        <w:t>agreed with the ESC that</w:t>
      </w:r>
      <w:r w:rsidR="00471534" w:rsidRPr="00777FA8">
        <w:rPr>
          <w:iCs/>
        </w:rPr>
        <w:t xml:space="preserve"> it would be </w:t>
      </w:r>
      <w:r w:rsidR="00976BFD">
        <w:rPr>
          <w:iCs/>
        </w:rPr>
        <w:t xml:space="preserve">more </w:t>
      </w:r>
      <w:r w:rsidR="00471534" w:rsidRPr="00777FA8">
        <w:rPr>
          <w:iCs/>
        </w:rPr>
        <w:t xml:space="preserve">appropriate </w:t>
      </w:r>
      <w:r w:rsidR="00976BFD">
        <w:rPr>
          <w:iCs/>
        </w:rPr>
        <w:t xml:space="preserve">for the </w:t>
      </w:r>
      <w:r w:rsidR="00481645">
        <w:rPr>
          <w:iCs/>
        </w:rPr>
        <w:t xml:space="preserve">calculation of the </w:t>
      </w:r>
      <w:r w:rsidR="00976BFD">
        <w:rPr>
          <w:iCs/>
        </w:rPr>
        <w:t>price</w:t>
      </w:r>
      <w:r w:rsidR="002B5FDA">
        <w:rPr>
          <w:iCs/>
        </w:rPr>
        <w:t xml:space="preserve"> to</w:t>
      </w:r>
      <w:r w:rsidR="00976BFD">
        <w:rPr>
          <w:iCs/>
        </w:rPr>
        <w:t xml:space="preserve"> be based on </w:t>
      </w:r>
      <w:r w:rsidR="00660C85">
        <w:rPr>
          <w:iCs/>
        </w:rPr>
        <w:t>t</w:t>
      </w:r>
      <w:r w:rsidR="00976BFD">
        <w:rPr>
          <w:iCs/>
        </w:rPr>
        <w:t>he ACR50 outcome</w:t>
      </w:r>
      <w:r w:rsidR="00660C85">
        <w:rPr>
          <w:iCs/>
        </w:rPr>
        <w:t xml:space="preserve"> alone</w:t>
      </w:r>
      <w:r w:rsidR="00976BFD">
        <w:rPr>
          <w:iCs/>
        </w:rPr>
        <w:t xml:space="preserve">. </w:t>
      </w:r>
    </w:p>
    <w:p w:rsidR="0057775C" w:rsidRPr="00777FA8" w:rsidRDefault="0057775C" w:rsidP="00500118">
      <w:pPr>
        <w:pStyle w:val="ListParagraph"/>
        <w:widowControl/>
        <w:rPr>
          <w:iCs/>
        </w:rPr>
      </w:pPr>
    </w:p>
    <w:p w:rsidR="00106461" w:rsidRPr="00777FA8" w:rsidRDefault="00E25701" w:rsidP="00670D01">
      <w:pPr>
        <w:pStyle w:val="ListParagraph"/>
        <w:widowControl/>
        <w:numPr>
          <w:ilvl w:val="1"/>
          <w:numId w:val="13"/>
        </w:numPr>
      </w:pPr>
      <w:r w:rsidRPr="00777FA8">
        <w:t>T</w:t>
      </w:r>
      <w:r w:rsidR="00721AB2" w:rsidRPr="00777FA8">
        <w:t>he</w:t>
      </w:r>
      <w:r w:rsidR="00475EAF">
        <w:t xml:space="preserve"> evaluation noted that the</w:t>
      </w:r>
      <w:r w:rsidR="00721AB2" w:rsidRPr="00777FA8">
        <w:t xml:space="preserve"> submission’s analysis </w:t>
      </w:r>
      <w:r w:rsidRPr="00777FA8">
        <w:t xml:space="preserve">also </w:t>
      </w:r>
      <w:r w:rsidR="00721AB2" w:rsidRPr="00777FA8">
        <w:t xml:space="preserve">did not </w:t>
      </w:r>
      <w:r w:rsidR="00362FD7" w:rsidRPr="00777FA8">
        <w:t xml:space="preserve">take </w:t>
      </w:r>
      <w:r w:rsidR="00721AB2" w:rsidRPr="00777FA8">
        <w:t>into account potential QALY decrements associated with UST therapy</w:t>
      </w:r>
      <w:r w:rsidR="00362FD7" w:rsidRPr="00777FA8">
        <w:t>. S</w:t>
      </w:r>
      <w:r w:rsidR="00721AB2" w:rsidRPr="00777FA8">
        <w:t>ince longer treatment would be required with UST to attain a response, even with an additional 12 weeks of therapy, fewer patients treated with UST attain a response than those treated with ADA ove</w:t>
      </w:r>
      <w:r w:rsidR="00362FD7" w:rsidRPr="00777FA8">
        <w:t>r 12 </w:t>
      </w:r>
      <w:r w:rsidR="00721AB2" w:rsidRPr="00777FA8">
        <w:t xml:space="preserve">weeks. Accordingly, the price at </w:t>
      </w:r>
      <w:r w:rsidR="00106461" w:rsidRPr="00777FA8">
        <w:t xml:space="preserve">which UST </w:t>
      </w:r>
      <w:r w:rsidR="00721AB2" w:rsidRPr="00777FA8">
        <w:t>is</w:t>
      </w:r>
      <w:r w:rsidR="00106461" w:rsidRPr="00777FA8">
        <w:t xml:space="preserve"> cost</w:t>
      </w:r>
      <w:r w:rsidR="001D0252" w:rsidRPr="00777FA8">
        <w:t>-</w:t>
      </w:r>
      <w:r w:rsidR="00106461" w:rsidRPr="00777FA8">
        <w:t>effective versus ADA</w:t>
      </w:r>
      <w:r w:rsidR="00721AB2" w:rsidRPr="00777FA8">
        <w:t xml:space="preserve"> has been overestimated</w:t>
      </w:r>
      <w:r w:rsidR="00106461" w:rsidRPr="00777FA8">
        <w:t xml:space="preserve">. </w:t>
      </w:r>
    </w:p>
    <w:p w:rsidR="00010F63" w:rsidRPr="00777FA8" w:rsidRDefault="00010F63" w:rsidP="00670D01">
      <w:pPr>
        <w:pStyle w:val="ListParagraph"/>
        <w:widowControl/>
      </w:pPr>
    </w:p>
    <w:p w:rsidR="0038143F" w:rsidRPr="00B7719D" w:rsidRDefault="00010F63" w:rsidP="00B7719D">
      <w:pPr>
        <w:pStyle w:val="ListParagraph"/>
        <w:widowControl/>
        <w:numPr>
          <w:ilvl w:val="1"/>
          <w:numId w:val="13"/>
        </w:numPr>
      </w:pPr>
      <w:r w:rsidRPr="00777FA8">
        <w:lastRenderedPageBreak/>
        <w:t>The PSCR</w:t>
      </w:r>
      <w:r w:rsidR="00BA6CEE" w:rsidRPr="00777FA8">
        <w:t xml:space="preserve"> </w:t>
      </w:r>
      <w:r w:rsidRPr="00777FA8">
        <w:t xml:space="preserve">calculated </w:t>
      </w:r>
      <w:r w:rsidR="00362FD7" w:rsidRPr="00777FA8">
        <w:t xml:space="preserve">the time difference </w:t>
      </w:r>
      <w:r w:rsidRPr="00777FA8">
        <w:t xml:space="preserve">in </w:t>
      </w:r>
      <w:r w:rsidR="00362FD7" w:rsidRPr="00777FA8">
        <w:t xml:space="preserve">the ACR50 health state for </w:t>
      </w:r>
      <w:r w:rsidRPr="00777FA8">
        <w:t>patients who received UST</w:t>
      </w:r>
      <w:r w:rsidR="00362FD7" w:rsidRPr="00777FA8">
        <w:t xml:space="preserve"> to be </w:t>
      </w:r>
      <w:r w:rsidR="00523FDD">
        <w:rPr>
          <w:noProof/>
          <w:color w:val="000000"/>
          <w:highlight w:val="black"/>
        </w:rPr>
        <w:t>'''''''''''' ''''''''''''' ''''''' ''''''''''' ''''''''''''''''</w:t>
      </w:r>
      <w:r w:rsidRPr="00777FA8">
        <w:t xml:space="preserve"> less compared with ADA treated patients. </w:t>
      </w:r>
      <w:r w:rsidR="00362FD7" w:rsidRPr="00777FA8">
        <w:t xml:space="preserve">The ESC considered that this </w:t>
      </w:r>
      <w:r w:rsidR="0038143F" w:rsidRPr="00777FA8">
        <w:t>estimate ignore</w:t>
      </w:r>
      <w:r w:rsidR="00EF7638" w:rsidRPr="00777FA8">
        <w:t>s</w:t>
      </w:r>
      <w:r w:rsidR="00B7719D">
        <w:t xml:space="preserve"> the fact that after 12 </w:t>
      </w:r>
      <w:r w:rsidR="0038143F" w:rsidRPr="00777FA8">
        <w:t>weeks, ADA non-responders could switch to an alternate bDMARD, whereas patients treated with UST must</w:t>
      </w:r>
      <w:r w:rsidR="00532931" w:rsidRPr="00777FA8">
        <w:t xml:space="preserve"> persist with it for another 12 </w:t>
      </w:r>
      <w:r w:rsidR="0038143F" w:rsidRPr="00777FA8">
        <w:t>weeks to determine response</w:t>
      </w:r>
      <w:r w:rsidR="007A6933" w:rsidRPr="00777FA8">
        <w:t>.</w:t>
      </w:r>
      <w:r w:rsidR="0038143F" w:rsidRPr="00777FA8">
        <w:t xml:space="preserve"> All currently PBS listed bDMARDs are more effective than </w:t>
      </w:r>
      <w:r w:rsidR="00110EA3" w:rsidRPr="00777FA8">
        <w:t>UST</w:t>
      </w:r>
      <w:r w:rsidR="0038143F" w:rsidRPr="00777FA8">
        <w:t xml:space="preserve"> with respect to ACR50 </w:t>
      </w:r>
      <w:r w:rsidR="0038143F" w:rsidRPr="00B7719D">
        <w:t>response</w:t>
      </w:r>
      <w:r w:rsidR="00B7719D">
        <w:t xml:space="preserve"> (as illustrated in the table of ACR50</w:t>
      </w:r>
      <w:r w:rsidR="00B7719D" w:rsidRPr="00B7719D">
        <w:t xml:space="preserve"> response at Week 24 for UST and Week 12 for ADA across the randomised trials</w:t>
      </w:r>
      <w:r w:rsidR="00B7719D">
        <w:t>)</w:t>
      </w:r>
      <w:r w:rsidR="00362FD7" w:rsidRPr="00B7719D">
        <w:t>.</w:t>
      </w:r>
    </w:p>
    <w:p w:rsidR="00DB4E04" w:rsidRPr="00777FA8" w:rsidRDefault="00DB4E04" w:rsidP="00106461">
      <w:pPr>
        <w:rPr>
          <w:iCs/>
        </w:rPr>
      </w:pPr>
    </w:p>
    <w:p w:rsidR="00C05245" w:rsidRPr="00777FA8" w:rsidRDefault="00C05245" w:rsidP="00532931">
      <w:pPr>
        <w:keepNext/>
        <w:widowControl/>
        <w:ind w:firstLine="709"/>
        <w:jc w:val="left"/>
        <w:rPr>
          <w:rFonts w:ascii="Arial Narrow" w:hAnsi="Arial Narrow"/>
          <w:b/>
          <w:bCs/>
          <w:sz w:val="20"/>
        </w:rPr>
      </w:pPr>
      <w:r w:rsidRPr="00777FA8">
        <w:rPr>
          <w:rFonts w:ascii="Arial Narrow" w:hAnsi="Arial Narrow"/>
          <w:b/>
          <w:bCs/>
          <w:sz w:val="20"/>
        </w:rPr>
        <w:t>Cost minimisation analysis of UST versus ADA for continuing therapy</w:t>
      </w:r>
    </w:p>
    <w:tbl>
      <w:tblPr>
        <w:tblW w:w="8363" w:type="dxa"/>
        <w:tblInd w:w="737" w:type="dxa"/>
        <w:tblLayout w:type="fixed"/>
        <w:tblCellMar>
          <w:left w:w="28" w:type="dxa"/>
          <w:right w:w="28" w:type="dxa"/>
        </w:tblCellMar>
        <w:tblLook w:val="04A0" w:firstRow="1" w:lastRow="0" w:firstColumn="1" w:lastColumn="0" w:noHBand="0" w:noVBand="1"/>
      </w:tblPr>
      <w:tblGrid>
        <w:gridCol w:w="3891"/>
        <w:gridCol w:w="2223"/>
        <w:gridCol w:w="2249"/>
      </w:tblGrid>
      <w:tr w:rsidR="00C05245" w:rsidRPr="00777FA8" w:rsidTr="001071D8">
        <w:trPr>
          <w:trHeight w:val="248"/>
        </w:trPr>
        <w:tc>
          <w:tcPr>
            <w:tcW w:w="3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left"/>
              <w:rPr>
                <w:rFonts w:ascii="Arial Narrow" w:hAnsi="Arial Narrow" w:cs="Times New Roman"/>
                <w:snapToGrid/>
                <w:color w:val="000000"/>
                <w:sz w:val="20"/>
                <w:lang w:eastAsia="zh-CN"/>
              </w:rPr>
            </w:pP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center"/>
              <w:rPr>
                <w:rFonts w:ascii="Arial Narrow" w:hAnsi="Arial Narrow" w:cs="Times New Roman"/>
                <w:b/>
                <w:bCs/>
                <w:snapToGrid/>
                <w:color w:val="000000"/>
                <w:sz w:val="20"/>
                <w:lang w:eastAsia="zh-CN"/>
              </w:rPr>
            </w:pPr>
            <w:r w:rsidRPr="00777FA8">
              <w:rPr>
                <w:rFonts w:ascii="Arial Narrow" w:hAnsi="Arial Narrow" w:cs="Times New Roman"/>
                <w:b/>
                <w:bCs/>
                <w:snapToGrid/>
                <w:color w:val="000000"/>
                <w:sz w:val="20"/>
                <w:lang w:eastAsia="zh-CN"/>
              </w:rPr>
              <w:t>Adalimumab</w:t>
            </w:r>
          </w:p>
        </w:tc>
        <w:tc>
          <w:tcPr>
            <w:tcW w:w="2249" w:type="dxa"/>
            <w:tcBorders>
              <w:top w:val="single" w:sz="4" w:space="0" w:color="auto"/>
              <w:left w:val="nil"/>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center"/>
              <w:rPr>
                <w:rFonts w:ascii="Arial Narrow" w:hAnsi="Arial Narrow" w:cs="Times New Roman"/>
                <w:b/>
                <w:bCs/>
                <w:snapToGrid/>
                <w:color w:val="000000"/>
                <w:sz w:val="20"/>
                <w:lang w:eastAsia="zh-CN"/>
              </w:rPr>
            </w:pPr>
            <w:r w:rsidRPr="00777FA8">
              <w:rPr>
                <w:rFonts w:ascii="Arial Narrow" w:hAnsi="Arial Narrow" w:cs="Times New Roman"/>
                <w:b/>
                <w:bCs/>
                <w:snapToGrid/>
                <w:color w:val="000000"/>
                <w:sz w:val="20"/>
                <w:lang w:eastAsia="zh-CN"/>
              </w:rPr>
              <w:t>Ustekinumab</w:t>
            </w:r>
          </w:p>
        </w:tc>
      </w:tr>
      <w:tr w:rsidR="00C05245" w:rsidRPr="00777FA8" w:rsidTr="001071D8">
        <w:trPr>
          <w:trHeight w:val="267"/>
        </w:trPr>
        <w:tc>
          <w:tcPr>
            <w:tcW w:w="83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245" w:rsidRPr="00777FA8" w:rsidRDefault="00C05245" w:rsidP="00532931">
            <w:pPr>
              <w:keepNext/>
              <w:widowControl/>
              <w:jc w:val="left"/>
              <w:rPr>
                <w:rFonts w:ascii="Arial Narrow" w:hAnsi="Arial Narrow" w:cs="Times New Roman"/>
                <w:b/>
                <w:bCs/>
                <w:snapToGrid/>
                <w:color w:val="000000"/>
                <w:sz w:val="20"/>
                <w:lang w:eastAsia="zh-CN"/>
              </w:rPr>
            </w:pPr>
            <w:r w:rsidRPr="00777FA8">
              <w:rPr>
                <w:rFonts w:ascii="Arial Narrow" w:hAnsi="Arial Narrow" w:cs="Times New Roman"/>
                <w:b/>
                <w:bCs/>
                <w:snapToGrid/>
                <w:color w:val="000000"/>
                <w:sz w:val="20"/>
                <w:lang w:eastAsia="zh-CN"/>
              </w:rPr>
              <w:t>Continuing Treatment Calculations</w:t>
            </w:r>
          </w:p>
        </w:tc>
      </w:tr>
      <w:tr w:rsidR="00C05245" w:rsidRPr="00777FA8" w:rsidTr="001071D8">
        <w:trPr>
          <w:trHeight w:val="248"/>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left"/>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Number of doses</w:t>
            </w:r>
          </w:p>
        </w:tc>
        <w:tc>
          <w:tcPr>
            <w:tcW w:w="2223" w:type="dxa"/>
            <w:tcBorders>
              <w:top w:val="nil"/>
              <w:left w:val="nil"/>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center"/>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12</w:t>
            </w:r>
          </w:p>
        </w:tc>
        <w:tc>
          <w:tcPr>
            <w:tcW w:w="2249" w:type="dxa"/>
            <w:tcBorders>
              <w:top w:val="nil"/>
              <w:left w:val="nil"/>
              <w:bottom w:val="single" w:sz="4" w:space="0" w:color="auto"/>
              <w:right w:val="single" w:sz="4" w:space="0" w:color="auto"/>
            </w:tcBorders>
            <w:shd w:val="clear" w:color="auto" w:fill="auto"/>
            <w:noWrap/>
            <w:vAlign w:val="bottom"/>
            <w:hideMark/>
          </w:tcPr>
          <w:p w:rsidR="00C05245" w:rsidRPr="00523FDD" w:rsidRDefault="00523FDD" w:rsidP="00532931">
            <w:pPr>
              <w:keepNext/>
              <w:widowControl/>
              <w:jc w:val="center"/>
              <w:rPr>
                <w:rFonts w:ascii="Arial Narrow" w:hAnsi="Arial Narrow" w:cs="Times New Roman"/>
                <w:snapToGrid/>
                <w:color w:val="000000"/>
                <w:sz w:val="20"/>
                <w:highlight w:val="black"/>
                <w:lang w:eastAsia="zh-CN"/>
              </w:rPr>
            </w:pPr>
            <w:r>
              <w:rPr>
                <w:rFonts w:ascii="Arial Narrow" w:hAnsi="Arial Narrow" w:cs="Times New Roman"/>
                <w:noProof/>
                <w:snapToGrid/>
                <w:color w:val="000000"/>
                <w:sz w:val="20"/>
                <w:highlight w:val="black"/>
                <w:lang w:eastAsia="zh-CN"/>
              </w:rPr>
              <w:t>''''</w:t>
            </w:r>
          </w:p>
        </w:tc>
      </w:tr>
      <w:tr w:rsidR="00C05245" w:rsidRPr="00777FA8" w:rsidTr="001071D8">
        <w:trPr>
          <w:trHeight w:val="248"/>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left"/>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Cost of drug per dose (Dispensed price per dose)</w:t>
            </w:r>
          </w:p>
        </w:tc>
        <w:tc>
          <w:tcPr>
            <w:tcW w:w="2223" w:type="dxa"/>
            <w:tcBorders>
              <w:top w:val="nil"/>
              <w:left w:val="nil"/>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center"/>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$887.29</w:t>
            </w:r>
          </w:p>
        </w:tc>
        <w:tc>
          <w:tcPr>
            <w:tcW w:w="2249" w:type="dxa"/>
            <w:tcBorders>
              <w:top w:val="nil"/>
              <w:left w:val="nil"/>
              <w:bottom w:val="single" w:sz="4" w:space="0" w:color="auto"/>
              <w:right w:val="single" w:sz="4" w:space="0" w:color="auto"/>
            </w:tcBorders>
            <w:shd w:val="clear" w:color="auto" w:fill="D9D9D9" w:themeFill="background1" w:themeFillShade="D9"/>
            <w:noWrap/>
            <w:vAlign w:val="bottom"/>
            <w:hideMark/>
          </w:tcPr>
          <w:p w:rsidR="00C05245" w:rsidRPr="00523FDD" w:rsidRDefault="00523FDD" w:rsidP="00532931">
            <w:pPr>
              <w:keepNext/>
              <w:widowControl/>
              <w:jc w:val="center"/>
              <w:rPr>
                <w:rFonts w:ascii="Arial Narrow" w:hAnsi="Arial Narrow" w:cs="Times New Roman"/>
                <w:snapToGrid/>
                <w:color w:val="000000"/>
                <w:sz w:val="20"/>
                <w:highlight w:val="black"/>
                <w:lang w:eastAsia="zh-CN"/>
              </w:rPr>
            </w:pPr>
            <w:r>
              <w:rPr>
                <w:rFonts w:ascii="Arial Narrow" w:hAnsi="Arial Narrow" w:cs="Times New Roman"/>
                <w:noProof/>
                <w:snapToGrid/>
                <w:color w:val="000000"/>
                <w:sz w:val="20"/>
                <w:highlight w:val="black"/>
                <w:lang w:eastAsia="zh-CN"/>
              </w:rPr>
              <w:t>'''''''''''' '''''''' '''''''''''' '''' ''' '''''''''''''''''''</w:t>
            </w:r>
          </w:p>
        </w:tc>
      </w:tr>
      <w:tr w:rsidR="00C05245" w:rsidRPr="00777FA8" w:rsidTr="001071D8">
        <w:trPr>
          <w:trHeight w:val="267"/>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left"/>
              <w:rPr>
                <w:rFonts w:ascii="Arial Narrow" w:hAnsi="Arial Narrow" w:cs="Times New Roman"/>
                <w:b/>
                <w:bCs/>
                <w:snapToGrid/>
                <w:color w:val="000000"/>
                <w:sz w:val="20"/>
                <w:lang w:eastAsia="zh-CN"/>
              </w:rPr>
            </w:pPr>
            <w:r w:rsidRPr="00777FA8">
              <w:rPr>
                <w:rFonts w:ascii="Arial Narrow" w:hAnsi="Arial Narrow" w:cs="Times New Roman"/>
                <w:b/>
                <w:bCs/>
                <w:snapToGrid/>
                <w:color w:val="000000"/>
                <w:sz w:val="20"/>
                <w:lang w:eastAsia="zh-CN"/>
              </w:rPr>
              <w:t>Total Cost</w:t>
            </w:r>
          </w:p>
        </w:tc>
        <w:tc>
          <w:tcPr>
            <w:tcW w:w="4472" w:type="dxa"/>
            <w:gridSpan w:val="2"/>
            <w:tcBorders>
              <w:top w:val="single" w:sz="4" w:space="0" w:color="auto"/>
              <w:left w:val="nil"/>
              <w:bottom w:val="single" w:sz="4" w:space="0" w:color="auto"/>
              <w:right w:val="single" w:sz="4" w:space="0" w:color="auto"/>
            </w:tcBorders>
            <w:shd w:val="clear" w:color="auto" w:fill="auto"/>
            <w:noWrap/>
            <w:vAlign w:val="bottom"/>
            <w:hideMark/>
          </w:tcPr>
          <w:p w:rsidR="00C05245" w:rsidRPr="00523FDD" w:rsidRDefault="00523FDD" w:rsidP="00532931">
            <w:pPr>
              <w:keepNext/>
              <w:widowControl/>
              <w:jc w:val="center"/>
              <w:rPr>
                <w:rFonts w:ascii="Arial Narrow" w:hAnsi="Arial Narrow" w:cs="Times New Roman"/>
                <w:b/>
                <w:bCs/>
                <w:snapToGrid/>
                <w:color w:val="000000"/>
                <w:sz w:val="20"/>
                <w:highlight w:val="black"/>
                <w:lang w:eastAsia="zh-CN"/>
              </w:rPr>
            </w:pPr>
            <w:r>
              <w:rPr>
                <w:rFonts w:ascii="Arial Narrow" w:hAnsi="Arial Narrow" w:cs="Times New Roman"/>
                <w:b/>
                <w:bCs/>
                <w:noProof/>
                <w:snapToGrid/>
                <w:color w:val="000000"/>
                <w:sz w:val="20"/>
                <w:highlight w:val="black"/>
                <w:lang w:eastAsia="zh-CN"/>
              </w:rPr>
              <w:t>''''''''''''''''''''</w:t>
            </w:r>
          </w:p>
        </w:tc>
      </w:tr>
      <w:tr w:rsidR="00C05245" w:rsidRPr="00777FA8" w:rsidTr="001071D8">
        <w:trPr>
          <w:trHeight w:val="248"/>
        </w:trPr>
        <w:tc>
          <w:tcPr>
            <w:tcW w:w="83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245" w:rsidRPr="00777FA8" w:rsidRDefault="00C05245" w:rsidP="00532931">
            <w:pPr>
              <w:keepNext/>
              <w:widowControl/>
              <w:jc w:val="center"/>
              <w:rPr>
                <w:rFonts w:ascii="Arial Narrow" w:hAnsi="Arial Narrow" w:cs="Times New Roman"/>
                <w:b/>
                <w:bCs/>
                <w:snapToGrid/>
                <w:color w:val="000000"/>
                <w:sz w:val="20"/>
                <w:lang w:eastAsia="zh-CN"/>
              </w:rPr>
            </w:pPr>
            <w:r w:rsidRPr="00777FA8">
              <w:rPr>
                <w:rFonts w:ascii="Arial Narrow" w:hAnsi="Arial Narrow" w:cs="Times New Roman"/>
                <w:b/>
                <w:bCs/>
                <w:snapToGrid/>
                <w:color w:val="000000"/>
                <w:sz w:val="20"/>
                <w:lang w:eastAsia="zh-CN"/>
              </w:rPr>
              <w:t>Cost calculations at current list price</w:t>
            </w:r>
          </w:p>
        </w:tc>
      </w:tr>
      <w:tr w:rsidR="00C05245" w:rsidRPr="00777FA8" w:rsidTr="001071D8">
        <w:trPr>
          <w:trHeight w:val="248"/>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left"/>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Dispensed price per dose</w:t>
            </w:r>
          </w:p>
        </w:tc>
        <w:tc>
          <w:tcPr>
            <w:tcW w:w="2223" w:type="dxa"/>
            <w:tcBorders>
              <w:top w:val="nil"/>
              <w:left w:val="nil"/>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center"/>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$887.29</w:t>
            </w:r>
          </w:p>
        </w:tc>
        <w:tc>
          <w:tcPr>
            <w:tcW w:w="2249" w:type="dxa"/>
            <w:tcBorders>
              <w:top w:val="nil"/>
              <w:left w:val="nil"/>
              <w:bottom w:val="single" w:sz="4" w:space="0" w:color="auto"/>
              <w:right w:val="single" w:sz="4" w:space="0" w:color="auto"/>
            </w:tcBorders>
            <w:shd w:val="clear" w:color="auto" w:fill="auto"/>
            <w:noWrap/>
            <w:vAlign w:val="bottom"/>
            <w:hideMark/>
          </w:tcPr>
          <w:p w:rsidR="00C05245" w:rsidRPr="00523FDD" w:rsidRDefault="00523FDD" w:rsidP="00532931">
            <w:pPr>
              <w:keepNext/>
              <w:widowControl/>
              <w:jc w:val="center"/>
              <w:rPr>
                <w:rFonts w:ascii="Arial Narrow" w:hAnsi="Arial Narrow" w:cs="Times New Roman"/>
                <w:snapToGrid/>
                <w:color w:val="000000"/>
                <w:sz w:val="20"/>
                <w:highlight w:val="black"/>
                <w:lang w:eastAsia="zh-CN"/>
              </w:rPr>
            </w:pPr>
            <w:r>
              <w:rPr>
                <w:rFonts w:ascii="Arial Narrow" w:hAnsi="Arial Narrow" w:cs="Times New Roman"/>
                <w:noProof/>
                <w:snapToGrid/>
                <w:color w:val="000000"/>
                <w:sz w:val="20"/>
                <w:highlight w:val="black"/>
                <w:lang w:eastAsia="zh-CN"/>
              </w:rPr>
              <w:t>''''''''''''''''''''''</w:t>
            </w:r>
          </w:p>
        </w:tc>
      </w:tr>
      <w:tr w:rsidR="00C05245" w:rsidRPr="00777FA8" w:rsidTr="001071D8">
        <w:trPr>
          <w:trHeight w:val="248"/>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left"/>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 xml:space="preserve">Total Cost </w:t>
            </w:r>
          </w:p>
        </w:tc>
        <w:tc>
          <w:tcPr>
            <w:tcW w:w="2223" w:type="dxa"/>
            <w:tcBorders>
              <w:top w:val="nil"/>
              <w:left w:val="nil"/>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center"/>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$10,647.42</w:t>
            </w:r>
          </w:p>
        </w:tc>
        <w:tc>
          <w:tcPr>
            <w:tcW w:w="2249" w:type="dxa"/>
            <w:tcBorders>
              <w:top w:val="nil"/>
              <w:left w:val="nil"/>
              <w:bottom w:val="single" w:sz="4" w:space="0" w:color="auto"/>
              <w:right w:val="single" w:sz="4" w:space="0" w:color="auto"/>
            </w:tcBorders>
            <w:shd w:val="clear" w:color="auto" w:fill="auto"/>
            <w:noWrap/>
            <w:vAlign w:val="bottom"/>
            <w:hideMark/>
          </w:tcPr>
          <w:p w:rsidR="00C05245" w:rsidRPr="00523FDD" w:rsidRDefault="00523FDD" w:rsidP="00532931">
            <w:pPr>
              <w:keepNext/>
              <w:widowControl/>
              <w:jc w:val="center"/>
              <w:rPr>
                <w:rFonts w:ascii="Arial Narrow" w:hAnsi="Arial Narrow" w:cs="Times New Roman"/>
                <w:snapToGrid/>
                <w:color w:val="000000"/>
                <w:sz w:val="20"/>
                <w:highlight w:val="black"/>
                <w:lang w:eastAsia="zh-CN"/>
              </w:rPr>
            </w:pPr>
            <w:r>
              <w:rPr>
                <w:rFonts w:ascii="Arial Narrow" w:hAnsi="Arial Narrow" w:cs="Times New Roman"/>
                <w:noProof/>
                <w:snapToGrid/>
                <w:color w:val="000000"/>
                <w:sz w:val="20"/>
                <w:highlight w:val="black"/>
                <w:lang w:eastAsia="zh-CN"/>
              </w:rPr>
              <w:t>''''''''''''''''''''''</w:t>
            </w:r>
          </w:p>
        </w:tc>
      </w:tr>
      <w:tr w:rsidR="00C05245" w:rsidRPr="00777FA8" w:rsidTr="001071D8">
        <w:trPr>
          <w:trHeight w:val="267"/>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left"/>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Savings accrued over 6 months with current price</w:t>
            </w:r>
          </w:p>
        </w:tc>
        <w:tc>
          <w:tcPr>
            <w:tcW w:w="2223" w:type="dxa"/>
            <w:tcBorders>
              <w:top w:val="nil"/>
              <w:left w:val="nil"/>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center"/>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NA</w:t>
            </w:r>
          </w:p>
        </w:tc>
        <w:tc>
          <w:tcPr>
            <w:tcW w:w="2249" w:type="dxa"/>
            <w:tcBorders>
              <w:top w:val="nil"/>
              <w:left w:val="nil"/>
              <w:bottom w:val="single" w:sz="4" w:space="0" w:color="auto"/>
              <w:right w:val="single" w:sz="4" w:space="0" w:color="auto"/>
            </w:tcBorders>
            <w:shd w:val="clear" w:color="auto" w:fill="auto"/>
            <w:noWrap/>
            <w:vAlign w:val="bottom"/>
            <w:hideMark/>
          </w:tcPr>
          <w:p w:rsidR="00C05245" w:rsidRPr="00523FDD" w:rsidRDefault="00523FDD" w:rsidP="00532931">
            <w:pPr>
              <w:keepNext/>
              <w:widowControl/>
              <w:jc w:val="center"/>
              <w:rPr>
                <w:rFonts w:ascii="Arial Narrow" w:hAnsi="Arial Narrow" w:cs="Times New Roman"/>
                <w:snapToGrid/>
                <w:color w:val="000000"/>
                <w:sz w:val="20"/>
                <w:highlight w:val="black"/>
                <w:lang w:eastAsia="zh-CN"/>
              </w:rPr>
            </w:pPr>
            <w:r>
              <w:rPr>
                <w:rFonts w:ascii="Arial Narrow" w:hAnsi="Arial Narrow" w:cs="Times New Roman"/>
                <w:noProof/>
                <w:snapToGrid/>
                <w:color w:val="000000"/>
                <w:sz w:val="20"/>
                <w:highlight w:val="black"/>
                <w:lang w:eastAsia="zh-CN"/>
              </w:rPr>
              <w:t>''''''''''''''''''''''''</w:t>
            </w:r>
          </w:p>
        </w:tc>
      </w:tr>
      <w:tr w:rsidR="00C05245" w:rsidRPr="00777FA8" w:rsidTr="001071D8">
        <w:trPr>
          <w:trHeight w:val="267"/>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left"/>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Savings expressed as % with current price</w:t>
            </w:r>
          </w:p>
        </w:tc>
        <w:tc>
          <w:tcPr>
            <w:tcW w:w="2223" w:type="dxa"/>
            <w:tcBorders>
              <w:top w:val="nil"/>
              <w:left w:val="nil"/>
              <w:bottom w:val="single" w:sz="4" w:space="0" w:color="auto"/>
              <w:right w:val="single" w:sz="4" w:space="0" w:color="auto"/>
            </w:tcBorders>
            <w:shd w:val="clear" w:color="auto" w:fill="auto"/>
            <w:noWrap/>
            <w:vAlign w:val="bottom"/>
            <w:hideMark/>
          </w:tcPr>
          <w:p w:rsidR="00C05245" w:rsidRPr="00777FA8" w:rsidRDefault="00C05245" w:rsidP="00532931">
            <w:pPr>
              <w:keepNext/>
              <w:widowControl/>
              <w:jc w:val="center"/>
              <w:rPr>
                <w:rFonts w:ascii="Arial Narrow" w:hAnsi="Arial Narrow" w:cs="Times New Roman"/>
                <w:snapToGrid/>
                <w:color w:val="000000"/>
                <w:sz w:val="20"/>
                <w:lang w:eastAsia="zh-CN"/>
              </w:rPr>
            </w:pPr>
            <w:r w:rsidRPr="00777FA8">
              <w:rPr>
                <w:rFonts w:ascii="Arial Narrow" w:hAnsi="Arial Narrow" w:cs="Times New Roman"/>
                <w:snapToGrid/>
                <w:color w:val="000000"/>
                <w:sz w:val="20"/>
                <w:lang w:eastAsia="zh-CN"/>
              </w:rPr>
              <w:t>NA</w:t>
            </w:r>
          </w:p>
        </w:tc>
        <w:tc>
          <w:tcPr>
            <w:tcW w:w="2249" w:type="dxa"/>
            <w:tcBorders>
              <w:top w:val="nil"/>
              <w:left w:val="nil"/>
              <w:bottom w:val="single" w:sz="4" w:space="0" w:color="auto"/>
              <w:right w:val="single" w:sz="4" w:space="0" w:color="auto"/>
            </w:tcBorders>
            <w:shd w:val="clear" w:color="auto" w:fill="auto"/>
            <w:noWrap/>
            <w:vAlign w:val="bottom"/>
            <w:hideMark/>
          </w:tcPr>
          <w:p w:rsidR="00C05245" w:rsidRPr="00523FDD" w:rsidRDefault="00523FDD" w:rsidP="00532931">
            <w:pPr>
              <w:keepNext/>
              <w:widowControl/>
              <w:jc w:val="center"/>
              <w:rPr>
                <w:rFonts w:ascii="Arial Narrow" w:hAnsi="Arial Narrow" w:cs="Times New Roman"/>
                <w:snapToGrid/>
                <w:color w:val="000000"/>
                <w:sz w:val="20"/>
                <w:highlight w:val="black"/>
                <w:lang w:eastAsia="zh-CN"/>
              </w:rPr>
            </w:pPr>
            <w:r>
              <w:rPr>
                <w:rFonts w:ascii="Arial Narrow" w:hAnsi="Arial Narrow" w:cs="Times New Roman"/>
                <w:noProof/>
                <w:snapToGrid/>
                <w:color w:val="000000"/>
                <w:sz w:val="20"/>
                <w:highlight w:val="black"/>
                <w:lang w:eastAsia="zh-CN"/>
              </w:rPr>
              <w:t>'''''''''''</w:t>
            </w:r>
          </w:p>
        </w:tc>
      </w:tr>
    </w:tbl>
    <w:p w:rsidR="00C05245" w:rsidRPr="00777FA8" w:rsidRDefault="00C05245" w:rsidP="00C05245">
      <w:pPr>
        <w:widowControl/>
        <w:ind w:firstLine="709"/>
        <w:jc w:val="left"/>
        <w:rPr>
          <w:rFonts w:ascii="Arial Narrow" w:hAnsi="Arial Narrow"/>
          <w:sz w:val="20"/>
        </w:rPr>
      </w:pPr>
      <w:r w:rsidRPr="00777FA8">
        <w:rPr>
          <w:rFonts w:ascii="Arial Narrow" w:hAnsi="Arial Narrow"/>
          <w:sz w:val="20"/>
        </w:rPr>
        <w:t>Source: Table D.7, p138 of the submission and Section D Excel workbook accompanying the submission.</w:t>
      </w:r>
    </w:p>
    <w:p w:rsidR="00275C5A" w:rsidRPr="00777FA8" w:rsidRDefault="00275C5A" w:rsidP="00275C5A">
      <w:pPr>
        <w:widowControl/>
        <w:rPr>
          <w:szCs w:val="22"/>
        </w:rPr>
      </w:pPr>
    </w:p>
    <w:p w:rsidR="009B68D2" w:rsidRPr="00777FA8" w:rsidRDefault="009B68D2" w:rsidP="00670D01">
      <w:pPr>
        <w:pStyle w:val="ListParagraph"/>
        <w:widowControl/>
        <w:numPr>
          <w:ilvl w:val="1"/>
          <w:numId w:val="13"/>
        </w:numPr>
      </w:pPr>
      <w:r w:rsidRPr="00777FA8">
        <w:t xml:space="preserve">The submission did not clearly state the dose relativity between ADA </w:t>
      </w:r>
      <w:r w:rsidR="00532931" w:rsidRPr="00777FA8">
        <w:t>and UST for continuing therapy.</w:t>
      </w:r>
      <w:r w:rsidR="00A801B3" w:rsidRPr="00777FA8">
        <w:t xml:space="preserve"> </w:t>
      </w:r>
      <w:r w:rsidRPr="00777FA8">
        <w:t>Based on the data presented, it was assumed that the submission was claiming a dose relativity of: UST45mg or 90mg every 12 weeks</w:t>
      </w:r>
      <w:r w:rsidR="00532931" w:rsidRPr="00777FA8">
        <w:t>;</w:t>
      </w:r>
      <w:r w:rsidRPr="00777FA8">
        <w:t xml:space="preserve"> ADA 40mg every 2 weeks.</w:t>
      </w:r>
    </w:p>
    <w:p w:rsidR="00F05240" w:rsidRDefault="00F05240" w:rsidP="00F05240">
      <w:pPr>
        <w:pStyle w:val="PBACHeading1"/>
        <w:numPr>
          <w:ilvl w:val="0"/>
          <w:numId w:val="0"/>
        </w:numPr>
        <w:ind w:left="720"/>
        <w:rPr>
          <w:b w:val="0"/>
          <w:i/>
        </w:rPr>
      </w:pPr>
    </w:p>
    <w:p w:rsidR="00F05240" w:rsidRPr="00F05240" w:rsidRDefault="00F05240" w:rsidP="00F05240">
      <w:pPr>
        <w:pStyle w:val="PBACHeading1"/>
        <w:numPr>
          <w:ilvl w:val="0"/>
          <w:numId w:val="0"/>
        </w:numPr>
        <w:ind w:left="720"/>
        <w:rPr>
          <w:b w:val="0"/>
          <w:i/>
        </w:rPr>
      </w:pPr>
      <w:r w:rsidRPr="00F05240">
        <w:rPr>
          <w:b w:val="0"/>
          <w:i/>
        </w:rPr>
        <w:t>For more detail on PBAC’s view, see section 7 “PBAC outcome.</w:t>
      </w:r>
    </w:p>
    <w:p w:rsidR="00A86E8B" w:rsidRPr="003A19F9" w:rsidRDefault="00A86E8B" w:rsidP="00A86E8B">
      <w:pPr>
        <w:widowControl/>
        <w:rPr>
          <w:szCs w:val="22"/>
        </w:rPr>
      </w:pPr>
    </w:p>
    <w:p w:rsidR="00C25D9C" w:rsidRPr="007D3A7E" w:rsidRDefault="00A8122C" w:rsidP="007D3A7E">
      <w:pPr>
        <w:pStyle w:val="BodyText"/>
        <w:rPr>
          <w:b/>
        </w:rPr>
      </w:pPr>
      <w:bookmarkStart w:id="13" w:name="_Toc398544309"/>
      <w:r w:rsidRPr="007D3A7E">
        <w:rPr>
          <w:b/>
        </w:rPr>
        <w:t>Drug cost/patient/course</w:t>
      </w:r>
      <w:bookmarkEnd w:id="13"/>
    </w:p>
    <w:p w:rsidR="00C25D9C" w:rsidRPr="003A19F9" w:rsidRDefault="00C25D9C" w:rsidP="00C25D9C">
      <w:pPr>
        <w:widowControl/>
        <w:rPr>
          <w:szCs w:val="22"/>
        </w:rPr>
      </w:pPr>
    </w:p>
    <w:p w:rsidR="00B60939" w:rsidRPr="003A19F9" w:rsidRDefault="00523FDD" w:rsidP="001456B0">
      <w:pPr>
        <w:pStyle w:val="ListParagraph"/>
        <w:widowControl/>
        <w:numPr>
          <w:ilvl w:val="1"/>
          <w:numId w:val="13"/>
        </w:numPr>
        <w:rPr>
          <w:szCs w:val="22"/>
        </w:rPr>
      </w:pPr>
      <w:r>
        <w:rPr>
          <w:noProof/>
          <w:color w:val="000000"/>
          <w:highlight w:val="black"/>
        </w:rPr>
        <w:t>'''''''''''''''''''''''''</w:t>
      </w:r>
      <w:r w:rsidR="00A8122C" w:rsidRPr="003A19F9">
        <w:t xml:space="preserve"> over 28 weeks for initial therapy and </w:t>
      </w:r>
      <w:r>
        <w:rPr>
          <w:noProof/>
          <w:color w:val="000000"/>
          <w:highlight w:val="black"/>
        </w:rPr>
        <w:t>''''''''''''''''''''''''</w:t>
      </w:r>
      <w:r w:rsidR="00A8122C" w:rsidRPr="003A19F9">
        <w:t xml:space="preserve"> over 24 weeks for continuation therapy.</w:t>
      </w:r>
      <w:r w:rsidR="00A8122C" w:rsidRPr="003A19F9">
        <w:rPr>
          <w:color w:val="3366FF"/>
          <w:szCs w:val="22"/>
        </w:rPr>
        <w:t xml:space="preserve"> </w:t>
      </w:r>
    </w:p>
    <w:p w:rsidR="00A8122C" w:rsidRDefault="00A8122C" w:rsidP="00A8122C">
      <w:pPr>
        <w:pStyle w:val="ListParagraph"/>
        <w:widowControl/>
        <w:rPr>
          <w:szCs w:val="22"/>
        </w:rPr>
      </w:pPr>
    </w:p>
    <w:p w:rsidR="00B60939" w:rsidRPr="007D3A7E" w:rsidRDefault="00B60939" w:rsidP="007D3A7E">
      <w:pPr>
        <w:pStyle w:val="BodyText"/>
        <w:rPr>
          <w:b/>
        </w:rPr>
      </w:pPr>
      <w:bookmarkStart w:id="14" w:name="_Toc398544310"/>
      <w:r w:rsidRPr="007D3A7E">
        <w:rPr>
          <w:b/>
        </w:rPr>
        <w:t>Estimated PBS usage &amp; financial implications</w:t>
      </w:r>
      <w:bookmarkEnd w:id="14"/>
    </w:p>
    <w:p w:rsidR="00B60939" w:rsidRPr="003A19F9" w:rsidRDefault="00B60939" w:rsidP="00B60939">
      <w:pPr>
        <w:ind w:left="720" w:hanging="720"/>
        <w:rPr>
          <w:b/>
          <w:szCs w:val="22"/>
        </w:rPr>
      </w:pPr>
    </w:p>
    <w:p w:rsidR="003A19F9" w:rsidRPr="003A19F9" w:rsidRDefault="00A8122C" w:rsidP="00A8122C">
      <w:pPr>
        <w:pStyle w:val="ListParagraph"/>
        <w:widowControl/>
        <w:numPr>
          <w:ilvl w:val="1"/>
          <w:numId w:val="13"/>
        </w:numPr>
        <w:rPr>
          <w:iCs/>
          <w:szCs w:val="22"/>
        </w:rPr>
      </w:pPr>
      <w:r w:rsidRPr="003A19F9">
        <w:t xml:space="preserve">This submission </w:t>
      </w:r>
      <w:r w:rsidR="003A19F9">
        <w:t xml:space="preserve">was not </w:t>
      </w:r>
      <w:r w:rsidR="00C25D9C" w:rsidRPr="003A19F9">
        <w:t>considered by DUSC</w:t>
      </w:r>
      <w:r w:rsidR="00C25D9C" w:rsidRPr="003A19F9">
        <w:rPr>
          <w:color w:val="0070C0"/>
        </w:rPr>
        <w:t xml:space="preserve">. </w:t>
      </w:r>
    </w:p>
    <w:p w:rsidR="003A19F9" w:rsidRPr="003A19F9" w:rsidRDefault="003A19F9" w:rsidP="003A19F9">
      <w:pPr>
        <w:pStyle w:val="ListParagraph"/>
        <w:widowControl/>
        <w:rPr>
          <w:iCs/>
          <w:szCs w:val="22"/>
        </w:rPr>
      </w:pPr>
    </w:p>
    <w:p w:rsidR="00C25D9C" w:rsidRPr="003A19F9" w:rsidRDefault="00A8122C" w:rsidP="00A8122C">
      <w:pPr>
        <w:pStyle w:val="ListParagraph"/>
        <w:widowControl/>
        <w:numPr>
          <w:ilvl w:val="1"/>
          <w:numId w:val="13"/>
        </w:numPr>
        <w:rPr>
          <w:iCs/>
          <w:szCs w:val="22"/>
        </w:rPr>
      </w:pPr>
      <w:r w:rsidRPr="003A19F9">
        <w:rPr>
          <w:iCs/>
        </w:rPr>
        <w:t xml:space="preserve">Appropriately, a market share approach </w:t>
      </w:r>
      <w:r w:rsidR="00492292">
        <w:rPr>
          <w:iCs/>
        </w:rPr>
        <w:t>was</w:t>
      </w:r>
      <w:r w:rsidRPr="003A19F9">
        <w:rPr>
          <w:iCs/>
        </w:rPr>
        <w:t xml:space="preserve"> used to estimate the financial impact of </w:t>
      </w:r>
      <w:r w:rsidR="00466C10">
        <w:rPr>
          <w:iCs/>
        </w:rPr>
        <w:t>UST</w:t>
      </w:r>
      <w:r w:rsidRPr="003A19F9">
        <w:rPr>
          <w:iCs/>
        </w:rPr>
        <w:t xml:space="preserve"> listing.</w:t>
      </w:r>
    </w:p>
    <w:p w:rsidR="00A8122C" w:rsidRPr="003A19F9" w:rsidRDefault="00A8122C" w:rsidP="00A8122C">
      <w:pPr>
        <w:pStyle w:val="ListParagraph"/>
        <w:widowControl/>
        <w:rPr>
          <w:szCs w:val="22"/>
        </w:rPr>
      </w:pPr>
    </w:p>
    <w:p w:rsidR="00C25D9C" w:rsidRPr="003A19F9" w:rsidRDefault="00C25D9C" w:rsidP="00A801B3">
      <w:pPr>
        <w:keepNext/>
        <w:ind w:firstLine="709"/>
        <w:rPr>
          <w:rStyle w:val="CommentReference"/>
        </w:rPr>
      </w:pPr>
      <w:r w:rsidRPr="003A19F9">
        <w:rPr>
          <w:rStyle w:val="CommentReference"/>
        </w:rPr>
        <w:lastRenderedPageBreak/>
        <w:t>Estimated use and financial implications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52"/>
        <w:gridCol w:w="1158"/>
        <w:gridCol w:w="1159"/>
        <w:gridCol w:w="1158"/>
        <w:gridCol w:w="1159"/>
        <w:gridCol w:w="1277"/>
      </w:tblGrid>
      <w:tr w:rsidR="00A8122C" w:rsidRPr="003A19F9" w:rsidTr="001071D8">
        <w:trPr>
          <w:trHeight w:val="131"/>
          <w:tblHeader/>
        </w:trPr>
        <w:tc>
          <w:tcPr>
            <w:tcW w:w="2452" w:type="dxa"/>
            <w:tcBorders>
              <w:top w:val="single" w:sz="4" w:space="0" w:color="auto"/>
              <w:left w:val="single" w:sz="4" w:space="0" w:color="auto"/>
              <w:bottom w:val="single" w:sz="4" w:space="0" w:color="auto"/>
              <w:right w:val="single" w:sz="4" w:space="0" w:color="auto"/>
            </w:tcBorders>
          </w:tcPr>
          <w:p w:rsidR="00A8122C" w:rsidRPr="003A19F9" w:rsidRDefault="00A8122C" w:rsidP="00A801B3">
            <w:pPr>
              <w:keepNext/>
              <w:tabs>
                <w:tab w:val="left" w:pos="142"/>
              </w:tabs>
              <w:snapToGrid w:val="0"/>
              <w:rPr>
                <w:rFonts w:ascii="Arial Narrow" w:hAnsi="Arial Narrow"/>
                <w:b/>
                <w:sz w:val="20"/>
              </w:rPr>
            </w:pPr>
          </w:p>
        </w:tc>
        <w:tc>
          <w:tcPr>
            <w:tcW w:w="1158"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snapToGrid w:val="0"/>
              <w:jc w:val="center"/>
              <w:rPr>
                <w:rFonts w:ascii="Arial Narrow" w:hAnsi="Arial Narrow"/>
                <w:b/>
                <w:sz w:val="20"/>
              </w:rPr>
            </w:pPr>
            <w:r w:rsidRPr="003A19F9">
              <w:rPr>
                <w:rFonts w:ascii="Arial Narrow" w:hAnsi="Arial Narrow"/>
                <w:b/>
                <w:sz w:val="20"/>
              </w:rPr>
              <w:t>Year 1</w:t>
            </w:r>
          </w:p>
        </w:tc>
        <w:tc>
          <w:tcPr>
            <w:tcW w:w="1159"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snapToGrid w:val="0"/>
              <w:jc w:val="center"/>
              <w:rPr>
                <w:rFonts w:ascii="Arial Narrow" w:hAnsi="Arial Narrow"/>
                <w:b/>
                <w:sz w:val="20"/>
              </w:rPr>
            </w:pPr>
            <w:r w:rsidRPr="003A19F9">
              <w:rPr>
                <w:rFonts w:ascii="Arial Narrow" w:hAnsi="Arial Narrow"/>
                <w:b/>
                <w:sz w:val="20"/>
              </w:rPr>
              <w:t>Year 2</w:t>
            </w:r>
          </w:p>
        </w:tc>
        <w:tc>
          <w:tcPr>
            <w:tcW w:w="1158"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snapToGrid w:val="0"/>
              <w:jc w:val="center"/>
              <w:rPr>
                <w:rFonts w:ascii="Arial Narrow" w:hAnsi="Arial Narrow"/>
                <w:b/>
                <w:sz w:val="20"/>
              </w:rPr>
            </w:pPr>
            <w:r w:rsidRPr="003A19F9">
              <w:rPr>
                <w:rFonts w:ascii="Arial Narrow" w:hAnsi="Arial Narrow"/>
                <w:b/>
                <w:sz w:val="20"/>
              </w:rPr>
              <w:t>Year 3</w:t>
            </w:r>
          </w:p>
        </w:tc>
        <w:tc>
          <w:tcPr>
            <w:tcW w:w="1159"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snapToGrid w:val="0"/>
              <w:jc w:val="center"/>
              <w:rPr>
                <w:rFonts w:ascii="Arial Narrow" w:hAnsi="Arial Narrow"/>
                <w:b/>
                <w:sz w:val="20"/>
              </w:rPr>
            </w:pPr>
            <w:r w:rsidRPr="003A19F9">
              <w:rPr>
                <w:rFonts w:ascii="Arial Narrow" w:hAnsi="Arial Narrow"/>
                <w:b/>
                <w:sz w:val="20"/>
              </w:rPr>
              <w:t>Year 4</w:t>
            </w:r>
          </w:p>
        </w:tc>
        <w:tc>
          <w:tcPr>
            <w:tcW w:w="1277"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snapToGrid w:val="0"/>
              <w:jc w:val="center"/>
              <w:rPr>
                <w:rFonts w:ascii="Arial Narrow" w:hAnsi="Arial Narrow"/>
                <w:b/>
                <w:sz w:val="20"/>
              </w:rPr>
            </w:pPr>
            <w:r w:rsidRPr="003A19F9">
              <w:rPr>
                <w:rFonts w:ascii="Arial Narrow" w:hAnsi="Arial Narrow"/>
                <w:b/>
                <w:sz w:val="20"/>
              </w:rPr>
              <w:t>Year 5</w:t>
            </w:r>
          </w:p>
        </w:tc>
      </w:tr>
      <w:tr w:rsidR="00A8122C" w:rsidRPr="003A19F9" w:rsidTr="001071D8">
        <w:trPr>
          <w:trHeight w:val="131"/>
        </w:trPr>
        <w:tc>
          <w:tcPr>
            <w:tcW w:w="8363" w:type="dxa"/>
            <w:gridSpan w:val="6"/>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snapToGrid w:val="0"/>
              <w:jc w:val="left"/>
              <w:rPr>
                <w:rFonts w:ascii="Arial Narrow" w:hAnsi="Arial Narrow"/>
                <w:b/>
                <w:bCs/>
                <w:color w:val="000000"/>
                <w:sz w:val="20"/>
              </w:rPr>
            </w:pPr>
            <w:r w:rsidRPr="003A19F9">
              <w:rPr>
                <w:rFonts w:ascii="Arial Narrow" w:hAnsi="Arial Narrow"/>
                <w:b/>
                <w:bCs/>
                <w:color w:val="000000"/>
                <w:sz w:val="20"/>
              </w:rPr>
              <w:t xml:space="preserve">E.2: Estimated use of </w:t>
            </w:r>
            <w:r w:rsidR="00B555F8" w:rsidRPr="003A19F9">
              <w:rPr>
                <w:rFonts w:ascii="Arial Narrow" w:hAnsi="Arial Narrow"/>
                <w:b/>
                <w:bCs/>
                <w:color w:val="000000"/>
                <w:sz w:val="20"/>
              </w:rPr>
              <w:t xml:space="preserve">UST </w:t>
            </w:r>
            <w:r w:rsidRPr="003A19F9">
              <w:rPr>
                <w:rFonts w:ascii="Arial Narrow" w:hAnsi="Arial Narrow"/>
                <w:b/>
                <w:bCs/>
                <w:color w:val="000000"/>
                <w:sz w:val="20"/>
              </w:rPr>
              <w:t>and cost to PBS/RPBS</w:t>
            </w:r>
          </w:p>
        </w:tc>
      </w:tr>
      <w:tr w:rsidR="00A8122C" w:rsidRPr="003A19F9" w:rsidTr="001071D8">
        <w:trPr>
          <w:trHeight w:val="150"/>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rPr>
                <w:rFonts w:ascii="Arial Narrow" w:hAnsi="Arial Narrow"/>
                <w:sz w:val="20"/>
              </w:rPr>
            </w:pPr>
            <w:r w:rsidRPr="003A19F9">
              <w:rPr>
                <w:rFonts w:ascii="Arial Narrow" w:hAnsi="Arial Narrow"/>
                <w:sz w:val="20"/>
              </w:rPr>
              <w:t>Sc TNF-</w:t>
            </w:r>
            <w:r w:rsidRPr="003A19F9">
              <w:rPr>
                <w:rFonts w:ascii="Arial Narrow" w:hAnsi="Arial Narrow"/>
                <w:sz w:val="20"/>
              </w:rPr>
              <w:sym w:font="Symbol" w:char="F061"/>
            </w:r>
            <w:r w:rsidRPr="003A19F9">
              <w:rPr>
                <w:rFonts w:ascii="Arial Narrow" w:hAnsi="Arial Narrow"/>
                <w:sz w:val="20"/>
              </w:rPr>
              <w:t xml:space="preserve"> scripts for PsA</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131"/>
        </w:trPr>
        <w:tc>
          <w:tcPr>
            <w:tcW w:w="2452"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3A19F9" w:rsidRDefault="00A8122C" w:rsidP="00A801B3">
            <w:pPr>
              <w:keepNext/>
              <w:tabs>
                <w:tab w:val="left" w:pos="142"/>
              </w:tabs>
              <w:snapToGrid w:val="0"/>
              <w:rPr>
                <w:rFonts w:ascii="Arial Narrow" w:hAnsi="Arial Narrow"/>
                <w:sz w:val="20"/>
              </w:rPr>
            </w:pPr>
            <w:r w:rsidRPr="003A19F9">
              <w:rPr>
                <w:rFonts w:ascii="Arial Narrow" w:hAnsi="Arial Narrow"/>
                <w:sz w:val="20"/>
              </w:rPr>
              <w:t>Patients who will uptake UST</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131"/>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ind w:left="152"/>
              <w:rPr>
                <w:rFonts w:ascii="Arial Narrow" w:hAnsi="Arial Narrow"/>
                <w:sz w:val="20"/>
              </w:rPr>
            </w:pPr>
            <w:r w:rsidRPr="003A19F9">
              <w:rPr>
                <w:rFonts w:ascii="Arial Narrow" w:hAnsi="Arial Narrow"/>
                <w:sz w:val="20"/>
              </w:rPr>
              <w:t>New initiations</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140"/>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ind w:left="152"/>
              <w:rPr>
                <w:rFonts w:ascii="Arial Narrow" w:hAnsi="Arial Narrow"/>
                <w:sz w:val="20"/>
              </w:rPr>
            </w:pPr>
            <w:r w:rsidRPr="003A19F9">
              <w:rPr>
                <w:rFonts w:ascii="Arial Narrow" w:hAnsi="Arial Narrow"/>
                <w:sz w:val="20"/>
              </w:rPr>
              <w:t>Switching therapies</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131"/>
        </w:trPr>
        <w:tc>
          <w:tcPr>
            <w:tcW w:w="2452"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3A19F9" w:rsidRDefault="00A8122C" w:rsidP="00A801B3">
            <w:pPr>
              <w:keepNext/>
              <w:tabs>
                <w:tab w:val="left" w:pos="142"/>
              </w:tabs>
              <w:snapToGrid w:val="0"/>
              <w:rPr>
                <w:rFonts w:ascii="Arial Narrow" w:hAnsi="Arial Narrow"/>
                <w:sz w:val="20"/>
              </w:rPr>
            </w:pPr>
            <w:r w:rsidRPr="003A19F9">
              <w:rPr>
                <w:rFonts w:ascii="Arial Narrow" w:hAnsi="Arial Narrow"/>
                <w:sz w:val="20"/>
              </w:rPr>
              <w:t>UST scripts</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131"/>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ind w:left="152"/>
              <w:rPr>
                <w:rFonts w:ascii="Arial Narrow" w:hAnsi="Arial Narrow"/>
                <w:sz w:val="20"/>
              </w:rPr>
            </w:pPr>
            <w:r w:rsidRPr="003A19F9">
              <w:rPr>
                <w:rFonts w:ascii="Arial Narrow" w:hAnsi="Arial Narrow"/>
                <w:sz w:val="20"/>
              </w:rPr>
              <w:t>Initial</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131"/>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ind w:left="152"/>
              <w:rPr>
                <w:rFonts w:ascii="Arial Narrow" w:hAnsi="Arial Narrow"/>
                <w:sz w:val="20"/>
              </w:rPr>
            </w:pPr>
            <w:r w:rsidRPr="003A19F9">
              <w:rPr>
                <w:rFonts w:ascii="Arial Narrow" w:hAnsi="Arial Narrow"/>
                <w:sz w:val="20"/>
              </w:rPr>
              <w:t>Continuing</w:t>
            </w:r>
          </w:p>
        </w:tc>
        <w:tc>
          <w:tcPr>
            <w:tcW w:w="1158" w:type="dxa"/>
            <w:tcBorders>
              <w:top w:val="single" w:sz="4" w:space="0" w:color="auto"/>
              <w:left w:val="single" w:sz="4" w:space="0" w:color="auto"/>
              <w:bottom w:val="single" w:sz="4" w:space="0" w:color="auto"/>
              <w:right w:val="single" w:sz="4" w:space="0" w:color="auto"/>
            </w:tcBorders>
            <w:vAlign w:val="center"/>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140"/>
        </w:trPr>
        <w:tc>
          <w:tcPr>
            <w:tcW w:w="2452"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3A19F9" w:rsidRDefault="00A8122C" w:rsidP="00A801B3">
            <w:pPr>
              <w:keepNext/>
              <w:tabs>
                <w:tab w:val="left" w:pos="142"/>
              </w:tabs>
              <w:snapToGrid w:val="0"/>
              <w:rPr>
                <w:rFonts w:ascii="Arial Narrow" w:hAnsi="Arial Narrow"/>
                <w:sz w:val="20"/>
                <w:vertAlign w:val="superscript"/>
              </w:rPr>
            </w:pPr>
            <w:r w:rsidRPr="003A19F9">
              <w:rPr>
                <w:rFonts w:ascii="Arial Narrow" w:hAnsi="Arial Narrow"/>
                <w:sz w:val="20"/>
              </w:rPr>
              <w:t>UST cost to PBS/RPBS</w:t>
            </w:r>
            <w:r w:rsidRPr="003A19F9">
              <w:rPr>
                <w:rFonts w:ascii="Arial Narrow" w:hAnsi="Arial Narrow"/>
                <w:sz w:val="20"/>
                <w:vertAlign w:val="superscript"/>
              </w:rPr>
              <w:t>a</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131"/>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ind w:left="152"/>
              <w:rPr>
                <w:rFonts w:ascii="Arial Narrow" w:hAnsi="Arial Narrow"/>
                <w:sz w:val="20"/>
              </w:rPr>
            </w:pPr>
            <w:r w:rsidRPr="003A19F9">
              <w:rPr>
                <w:rFonts w:ascii="Arial Narrow" w:hAnsi="Arial Narrow"/>
                <w:sz w:val="20"/>
              </w:rPr>
              <w:t>Initial</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131"/>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ind w:left="152"/>
              <w:rPr>
                <w:rFonts w:ascii="Arial Narrow" w:hAnsi="Arial Narrow"/>
                <w:sz w:val="20"/>
              </w:rPr>
            </w:pPr>
            <w:r w:rsidRPr="003A19F9">
              <w:rPr>
                <w:rFonts w:ascii="Arial Narrow" w:hAnsi="Arial Narrow"/>
                <w:sz w:val="20"/>
              </w:rPr>
              <w:t>Continuing</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150"/>
        </w:trPr>
        <w:tc>
          <w:tcPr>
            <w:tcW w:w="8363" w:type="dxa"/>
            <w:gridSpan w:val="6"/>
            <w:tcBorders>
              <w:top w:val="single" w:sz="4" w:space="0" w:color="auto"/>
              <w:left w:val="single" w:sz="4" w:space="0" w:color="auto"/>
              <w:bottom w:val="single" w:sz="4" w:space="0" w:color="auto"/>
              <w:right w:val="single" w:sz="4" w:space="0" w:color="auto"/>
            </w:tcBorders>
            <w:vAlign w:val="center"/>
            <w:hideMark/>
          </w:tcPr>
          <w:p w:rsidR="00A8122C" w:rsidRPr="003A19F9" w:rsidRDefault="00A8122C" w:rsidP="00A801B3">
            <w:pPr>
              <w:keepNext/>
              <w:snapToGrid w:val="0"/>
              <w:jc w:val="left"/>
              <w:rPr>
                <w:rFonts w:ascii="Arial Narrow" w:hAnsi="Arial Narrow"/>
                <w:b/>
                <w:color w:val="000000"/>
                <w:sz w:val="20"/>
              </w:rPr>
            </w:pPr>
            <w:r w:rsidRPr="003A19F9">
              <w:rPr>
                <w:rFonts w:ascii="Arial Narrow" w:hAnsi="Arial Narrow"/>
                <w:b/>
                <w:color w:val="000000"/>
                <w:sz w:val="20"/>
              </w:rPr>
              <w:t>E.3: Estimated change in ADA as proxy for all other PBS listed SC TNF-</w:t>
            </w:r>
            <w:r w:rsidRPr="003A19F9">
              <w:rPr>
                <w:rFonts w:ascii="Arial Narrow" w:hAnsi="Arial Narrow"/>
                <w:b/>
                <w:color w:val="000000"/>
                <w:sz w:val="20"/>
              </w:rPr>
              <w:sym w:font="Symbol" w:char="F061"/>
            </w:r>
            <w:r w:rsidRPr="003A19F9">
              <w:rPr>
                <w:rFonts w:ascii="Arial Narrow" w:hAnsi="Arial Narrow"/>
                <w:b/>
                <w:color w:val="000000"/>
                <w:sz w:val="20"/>
              </w:rPr>
              <w:t xml:space="preserve"> inhibitors and cost to PBS/RPBS assuming UST initial therapy will replace 28 weeks of ADA and UST continuing therapy will replace 24 weeks of ADA</w:t>
            </w:r>
          </w:p>
        </w:tc>
      </w:tr>
      <w:tr w:rsidR="00A8122C" w:rsidRPr="003A19F9" w:rsidTr="001071D8">
        <w:trPr>
          <w:trHeight w:val="86"/>
        </w:trPr>
        <w:tc>
          <w:tcPr>
            <w:tcW w:w="2452"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3A19F9" w:rsidRDefault="00A8122C" w:rsidP="00A801B3">
            <w:pPr>
              <w:keepNext/>
              <w:tabs>
                <w:tab w:val="left" w:pos="142"/>
              </w:tabs>
              <w:snapToGrid w:val="0"/>
              <w:rPr>
                <w:rFonts w:ascii="Arial Narrow" w:hAnsi="Arial Narrow"/>
                <w:sz w:val="20"/>
                <w:lang w:val="fr-FR"/>
              </w:rPr>
            </w:pPr>
            <w:r w:rsidRPr="003A19F9">
              <w:rPr>
                <w:rFonts w:ascii="Arial Narrow" w:hAnsi="Arial Narrow"/>
                <w:sz w:val="20"/>
                <w:lang w:val="fr-FR"/>
              </w:rPr>
              <w:t>ADA scripts(2 doses per script)</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86"/>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ind w:left="152"/>
              <w:rPr>
                <w:rFonts w:ascii="Arial Narrow" w:hAnsi="Arial Narrow"/>
                <w:sz w:val="20"/>
              </w:rPr>
            </w:pPr>
            <w:r w:rsidRPr="003A19F9">
              <w:rPr>
                <w:rFonts w:ascii="Arial Narrow" w:hAnsi="Arial Narrow"/>
                <w:sz w:val="20"/>
              </w:rPr>
              <w:t>28 weeks of ADA replaced</w:t>
            </w:r>
          </w:p>
        </w:tc>
        <w:tc>
          <w:tcPr>
            <w:tcW w:w="1158"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86"/>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ind w:left="152"/>
              <w:rPr>
                <w:rFonts w:ascii="Arial Narrow" w:hAnsi="Arial Narrow"/>
                <w:sz w:val="20"/>
              </w:rPr>
            </w:pPr>
            <w:r w:rsidRPr="003A19F9">
              <w:rPr>
                <w:rFonts w:ascii="Arial Narrow" w:hAnsi="Arial Narrow"/>
                <w:sz w:val="20"/>
              </w:rPr>
              <w:t>24 weeks of ADA replaced</w:t>
            </w:r>
          </w:p>
        </w:tc>
        <w:tc>
          <w:tcPr>
            <w:tcW w:w="1158"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86"/>
        </w:trPr>
        <w:tc>
          <w:tcPr>
            <w:tcW w:w="2452"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3A19F9" w:rsidRDefault="00A8122C" w:rsidP="00A801B3">
            <w:pPr>
              <w:keepNext/>
              <w:tabs>
                <w:tab w:val="left" w:pos="142"/>
              </w:tabs>
              <w:snapToGrid w:val="0"/>
              <w:rPr>
                <w:rFonts w:ascii="Arial Narrow" w:hAnsi="Arial Narrow"/>
                <w:sz w:val="20"/>
                <w:vertAlign w:val="superscript"/>
              </w:rPr>
            </w:pPr>
            <w:r w:rsidRPr="003A19F9">
              <w:rPr>
                <w:rFonts w:ascii="Arial Narrow" w:hAnsi="Arial Narrow"/>
                <w:sz w:val="20"/>
              </w:rPr>
              <w:t>ADA cost to PBS/RPBS</w:t>
            </w:r>
            <w:r w:rsidRPr="003A19F9">
              <w:rPr>
                <w:rFonts w:ascii="Arial Narrow" w:hAnsi="Arial Narrow"/>
                <w:sz w:val="20"/>
                <w:vertAlign w:val="superscript"/>
              </w:rPr>
              <w:t>a</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86"/>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ind w:left="152"/>
              <w:rPr>
                <w:rFonts w:ascii="Arial Narrow" w:hAnsi="Arial Narrow"/>
                <w:sz w:val="20"/>
              </w:rPr>
            </w:pPr>
            <w:r w:rsidRPr="003A19F9">
              <w:rPr>
                <w:rFonts w:ascii="Arial Narrow" w:hAnsi="Arial Narrow"/>
                <w:sz w:val="20"/>
              </w:rPr>
              <w:t>28 weeks of ADA replaced</w:t>
            </w:r>
          </w:p>
        </w:tc>
        <w:tc>
          <w:tcPr>
            <w:tcW w:w="1158"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86"/>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ind w:left="152"/>
              <w:rPr>
                <w:rFonts w:ascii="Arial Narrow" w:hAnsi="Arial Narrow"/>
                <w:sz w:val="20"/>
              </w:rPr>
            </w:pPr>
            <w:r w:rsidRPr="003A19F9">
              <w:rPr>
                <w:rFonts w:ascii="Arial Narrow" w:hAnsi="Arial Narrow"/>
                <w:sz w:val="20"/>
              </w:rPr>
              <w:t>24 weeks of ADA replaced</w:t>
            </w:r>
          </w:p>
        </w:tc>
        <w:tc>
          <w:tcPr>
            <w:tcW w:w="1158"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vAlign w:val="bottom"/>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86"/>
        </w:trPr>
        <w:tc>
          <w:tcPr>
            <w:tcW w:w="8363" w:type="dxa"/>
            <w:gridSpan w:val="6"/>
            <w:tcBorders>
              <w:top w:val="single" w:sz="4" w:space="0" w:color="auto"/>
              <w:left w:val="single" w:sz="4" w:space="0" w:color="auto"/>
              <w:bottom w:val="single" w:sz="4" w:space="0" w:color="auto"/>
              <w:right w:val="single" w:sz="4" w:space="0" w:color="auto"/>
            </w:tcBorders>
            <w:vAlign w:val="center"/>
            <w:hideMark/>
          </w:tcPr>
          <w:p w:rsidR="00A8122C" w:rsidRPr="003A19F9" w:rsidRDefault="00A8122C" w:rsidP="00A801B3">
            <w:pPr>
              <w:keepNext/>
              <w:snapToGrid w:val="0"/>
              <w:jc w:val="left"/>
              <w:rPr>
                <w:rFonts w:ascii="Arial Narrow" w:hAnsi="Arial Narrow"/>
                <w:b/>
                <w:color w:val="000000"/>
                <w:sz w:val="20"/>
              </w:rPr>
            </w:pPr>
            <w:r w:rsidRPr="003A19F9">
              <w:rPr>
                <w:rFonts w:ascii="Arial Narrow" w:hAnsi="Arial Narrow"/>
                <w:b/>
                <w:color w:val="000000"/>
                <w:sz w:val="20"/>
              </w:rPr>
              <w:t>E.4: Estimated net cost to the PBS/RPBS</w:t>
            </w:r>
          </w:p>
        </w:tc>
      </w:tr>
      <w:tr w:rsidR="00A8122C" w:rsidRPr="003A19F9" w:rsidTr="001071D8">
        <w:trPr>
          <w:trHeight w:val="86"/>
        </w:trPr>
        <w:tc>
          <w:tcPr>
            <w:tcW w:w="2452"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3A19F9" w:rsidRDefault="00A8122C" w:rsidP="00A801B3">
            <w:pPr>
              <w:keepNext/>
              <w:tabs>
                <w:tab w:val="left" w:pos="142"/>
              </w:tabs>
              <w:snapToGrid w:val="0"/>
              <w:rPr>
                <w:rFonts w:ascii="Arial Narrow" w:hAnsi="Arial Narrow"/>
                <w:sz w:val="20"/>
              </w:rPr>
            </w:pPr>
            <w:r w:rsidRPr="003A19F9">
              <w:rPr>
                <w:rFonts w:ascii="Arial Narrow" w:hAnsi="Arial Narrow"/>
                <w:sz w:val="20"/>
              </w:rPr>
              <w:t>Net cost to PBS/RPBS</w:t>
            </w:r>
            <w:r w:rsidRPr="003A19F9">
              <w:rPr>
                <w:rFonts w:ascii="Arial Narrow" w:hAnsi="Arial Narrow"/>
                <w:sz w:val="20"/>
                <w:vertAlign w:val="superscript"/>
              </w:rPr>
              <w:t xml:space="preserve">a </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86"/>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jc w:val="center"/>
              <w:rPr>
                <w:rFonts w:ascii="Arial Narrow" w:hAnsi="Arial Narrow"/>
                <w:sz w:val="20"/>
              </w:rPr>
            </w:pPr>
            <w:r w:rsidRPr="003A19F9">
              <w:rPr>
                <w:rFonts w:ascii="Arial Narrow" w:hAnsi="Arial Narrow"/>
                <w:sz w:val="20"/>
              </w:rPr>
              <w:t>28 weeks of ADA replaced</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A8122C" w:rsidRPr="003A19F9" w:rsidTr="001071D8">
        <w:trPr>
          <w:trHeight w:val="86"/>
        </w:trPr>
        <w:tc>
          <w:tcPr>
            <w:tcW w:w="2452" w:type="dxa"/>
            <w:tcBorders>
              <w:top w:val="single" w:sz="4" w:space="0" w:color="auto"/>
              <w:left w:val="single" w:sz="4" w:space="0" w:color="auto"/>
              <w:bottom w:val="single" w:sz="4" w:space="0" w:color="auto"/>
              <w:right w:val="single" w:sz="4" w:space="0" w:color="auto"/>
            </w:tcBorders>
            <w:hideMark/>
          </w:tcPr>
          <w:p w:rsidR="00A8122C" w:rsidRPr="003A19F9" w:rsidRDefault="00A8122C" w:rsidP="00A801B3">
            <w:pPr>
              <w:keepNext/>
              <w:tabs>
                <w:tab w:val="left" w:pos="142"/>
              </w:tabs>
              <w:snapToGrid w:val="0"/>
              <w:jc w:val="center"/>
              <w:rPr>
                <w:rFonts w:ascii="Arial Narrow" w:hAnsi="Arial Narrow"/>
                <w:sz w:val="20"/>
              </w:rPr>
            </w:pPr>
            <w:r w:rsidRPr="003A19F9">
              <w:rPr>
                <w:rFonts w:ascii="Arial Narrow" w:hAnsi="Arial Narrow"/>
                <w:sz w:val="20"/>
              </w:rPr>
              <w:t>24 weeks of ADA replaced</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8"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159"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277" w:type="dxa"/>
            <w:tcBorders>
              <w:top w:val="single" w:sz="4" w:space="0" w:color="auto"/>
              <w:left w:val="single" w:sz="4" w:space="0" w:color="auto"/>
              <w:bottom w:val="single" w:sz="4" w:space="0" w:color="auto"/>
              <w:right w:val="single" w:sz="4" w:space="0" w:color="auto"/>
            </w:tcBorders>
            <w:hideMark/>
          </w:tcPr>
          <w:p w:rsidR="00A8122C" w:rsidRPr="00523FDD" w:rsidRDefault="00523FDD" w:rsidP="00A801B3">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bl>
    <w:p w:rsidR="00A8122C" w:rsidRPr="003A19F9" w:rsidRDefault="00A8122C" w:rsidP="00A801B3">
      <w:pPr>
        <w:keepNext/>
        <w:tabs>
          <w:tab w:val="left" w:pos="180"/>
        </w:tabs>
        <w:ind w:left="709"/>
        <w:rPr>
          <w:rFonts w:ascii="Arial Narrow" w:hAnsi="Arial Narrow"/>
          <w:sz w:val="18"/>
        </w:rPr>
      </w:pPr>
      <w:r w:rsidRPr="003A19F9">
        <w:rPr>
          <w:rFonts w:ascii="Arial Narrow" w:hAnsi="Arial Narrow"/>
          <w:sz w:val="18"/>
          <w:vertAlign w:val="superscript"/>
        </w:rPr>
        <w:t>a</w:t>
      </w:r>
      <w:r w:rsidRPr="003A19F9">
        <w:rPr>
          <w:rFonts w:ascii="Arial Narrow" w:hAnsi="Arial Narrow"/>
          <w:sz w:val="18"/>
          <w:vertAlign w:val="superscript"/>
        </w:rPr>
        <w:tab/>
      </w:r>
      <w:r w:rsidR="00AF63ED" w:rsidRPr="003A19F9">
        <w:rPr>
          <w:rFonts w:ascii="Arial Narrow" w:hAnsi="Arial Narrow"/>
          <w:sz w:val="18"/>
        </w:rPr>
        <w:t>Net of patient co-payments, SC=subcutaneous injection</w:t>
      </w:r>
    </w:p>
    <w:p w:rsidR="00A8122C" w:rsidRPr="003A19F9" w:rsidRDefault="00A8122C" w:rsidP="003D5E62">
      <w:pPr>
        <w:tabs>
          <w:tab w:val="left" w:pos="180"/>
        </w:tabs>
        <w:ind w:left="709"/>
        <w:rPr>
          <w:rFonts w:ascii="Arial Narrow" w:hAnsi="Arial Narrow"/>
          <w:sz w:val="18"/>
        </w:rPr>
      </w:pPr>
      <w:r w:rsidRPr="003A19F9">
        <w:rPr>
          <w:rFonts w:ascii="Arial Narrow" w:hAnsi="Arial Narrow"/>
          <w:sz w:val="18"/>
        </w:rPr>
        <w:t>Source: pp146-155 of the submission.</w:t>
      </w:r>
    </w:p>
    <w:p w:rsidR="00A8122C" w:rsidRPr="003A19F9" w:rsidRDefault="00A8122C" w:rsidP="005D044D">
      <w:pPr>
        <w:ind w:firstLine="709"/>
        <w:rPr>
          <w:rStyle w:val="CommentReference"/>
        </w:rPr>
      </w:pPr>
    </w:p>
    <w:p w:rsidR="003D5E62" w:rsidRPr="003A19F9" w:rsidRDefault="003D5E62" w:rsidP="00AF63ED">
      <w:pPr>
        <w:pStyle w:val="ListParagraph"/>
        <w:widowControl/>
        <w:numPr>
          <w:ilvl w:val="1"/>
          <w:numId w:val="13"/>
        </w:numPr>
        <w:rPr>
          <w:iCs/>
          <w:szCs w:val="22"/>
        </w:rPr>
      </w:pPr>
      <w:r w:rsidRPr="003A19F9">
        <w:rPr>
          <w:iCs/>
          <w:szCs w:val="22"/>
        </w:rPr>
        <w:t xml:space="preserve">The numbers of scripts may be inaccurate due to: 1) the estimated size of the bDMARD market, a relatively flat increase </w:t>
      </w:r>
      <w:r w:rsidR="00110EA3">
        <w:rPr>
          <w:iCs/>
          <w:szCs w:val="22"/>
        </w:rPr>
        <w:t>was</w:t>
      </w:r>
      <w:r w:rsidRPr="003A19F9">
        <w:rPr>
          <w:iCs/>
          <w:szCs w:val="22"/>
        </w:rPr>
        <w:t xml:space="preserve"> assumed in the submission; 2) the assumed uptake rates for UST (based on sponsor’s prior experience with infliximab and golimumab for PsA); 3) the numbers of patients likely to be switching to UST, the </w:t>
      </w:r>
      <w:r w:rsidR="00AF63ED" w:rsidRPr="003A19F9">
        <w:rPr>
          <w:iCs/>
          <w:szCs w:val="22"/>
        </w:rPr>
        <w:t xml:space="preserve">dataset used by the </w:t>
      </w:r>
      <w:r w:rsidRPr="003A19F9">
        <w:rPr>
          <w:iCs/>
          <w:szCs w:val="22"/>
        </w:rPr>
        <w:t xml:space="preserve">submission </w:t>
      </w:r>
      <w:r w:rsidR="00110EA3">
        <w:rPr>
          <w:iCs/>
          <w:szCs w:val="22"/>
        </w:rPr>
        <w:t>did</w:t>
      </w:r>
      <w:r w:rsidR="00110EA3" w:rsidRPr="003A19F9">
        <w:rPr>
          <w:iCs/>
          <w:szCs w:val="22"/>
        </w:rPr>
        <w:t xml:space="preserve"> </w:t>
      </w:r>
      <w:r w:rsidRPr="003A19F9">
        <w:rPr>
          <w:iCs/>
          <w:szCs w:val="22"/>
        </w:rPr>
        <w:t xml:space="preserve">not include patients who </w:t>
      </w:r>
      <w:r w:rsidR="00AF63ED" w:rsidRPr="003A19F9">
        <w:rPr>
          <w:iCs/>
          <w:szCs w:val="22"/>
        </w:rPr>
        <w:t xml:space="preserve">are </w:t>
      </w:r>
      <w:r w:rsidRPr="003A19F9">
        <w:rPr>
          <w:iCs/>
          <w:szCs w:val="22"/>
        </w:rPr>
        <w:t>re-entering treatment with biologicals after a prolonged break.</w:t>
      </w:r>
    </w:p>
    <w:p w:rsidR="003D5E62" w:rsidRPr="003A19F9" w:rsidRDefault="003D5E62" w:rsidP="003D5E62">
      <w:pPr>
        <w:pStyle w:val="ListParagraph"/>
        <w:widowControl/>
        <w:rPr>
          <w:iCs/>
          <w:szCs w:val="22"/>
        </w:rPr>
      </w:pPr>
    </w:p>
    <w:p w:rsidR="003D5E62" w:rsidRPr="003A19F9" w:rsidRDefault="003D5E62" w:rsidP="003D5E62">
      <w:pPr>
        <w:pStyle w:val="ListParagraph"/>
        <w:widowControl/>
        <w:numPr>
          <w:ilvl w:val="1"/>
          <w:numId w:val="13"/>
        </w:numPr>
        <w:rPr>
          <w:iCs/>
          <w:szCs w:val="22"/>
        </w:rPr>
      </w:pPr>
      <w:r w:rsidRPr="003A19F9">
        <w:rPr>
          <w:iCs/>
          <w:szCs w:val="22"/>
        </w:rPr>
        <w:t xml:space="preserve">The submission’s estimate of the cost of listing of UST for PsA may not be entirely reasonable due to: 1) inappropriate estimation of the cost offsets associated with substituted therapies with ADA.  It </w:t>
      </w:r>
      <w:r w:rsidR="00C57CC8">
        <w:rPr>
          <w:iCs/>
          <w:szCs w:val="22"/>
        </w:rPr>
        <w:t>was</w:t>
      </w:r>
      <w:r w:rsidR="00C57CC8" w:rsidRPr="003A19F9">
        <w:rPr>
          <w:iCs/>
          <w:szCs w:val="22"/>
        </w:rPr>
        <w:t xml:space="preserve"> </w:t>
      </w:r>
      <w:r w:rsidRPr="003A19F9">
        <w:rPr>
          <w:iCs/>
          <w:szCs w:val="22"/>
        </w:rPr>
        <w:t>inappropriate to assume that an initial course of UST would displace 28 weeks of therapy with ADA, this is because the assessment of ADA treatment efficacy occurs at week 12, and those who do not respond will not continue treatment.  Although the patients may switch to an alternate bDMARD, this is unlikely to happen immediately and some patient</w:t>
      </w:r>
      <w:r w:rsidR="00AF63ED" w:rsidRPr="003A19F9">
        <w:rPr>
          <w:iCs/>
          <w:szCs w:val="22"/>
        </w:rPr>
        <w:t>s</w:t>
      </w:r>
      <w:r w:rsidRPr="003A19F9">
        <w:rPr>
          <w:iCs/>
          <w:szCs w:val="22"/>
        </w:rPr>
        <w:t xml:space="preserve"> would have reached their maximum number of treatments in a biologic cycle and would have to discontinue treatment for 5 years; 2) the omission of potential additional cost for help with injections.  The lack an auto-injector presentation for UST may result in greater services being required for UST administration versus </w:t>
      </w:r>
      <w:r w:rsidR="00110EA3">
        <w:rPr>
          <w:iCs/>
          <w:szCs w:val="22"/>
        </w:rPr>
        <w:t>ADA</w:t>
      </w:r>
      <w:r w:rsidR="00110EA3" w:rsidRPr="003A19F9">
        <w:rPr>
          <w:iCs/>
          <w:szCs w:val="22"/>
        </w:rPr>
        <w:t xml:space="preserve"> </w:t>
      </w:r>
      <w:r w:rsidRPr="003A19F9">
        <w:rPr>
          <w:iCs/>
          <w:szCs w:val="22"/>
        </w:rPr>
        <w:t xml:space="preserve">or </w:t>
      </w:r>
      <w:r w:rsidR="00110EA3">
        <w:rPr>
          <w:iCs/>
          <w:szCs w:val="22"/>
        </w:rPr>
        <w:t>ETC</w:t>
      </w:r>
      <w:r w:rsidR="00110EA3" w:rsidRPr="003A19F9">
        <w:rPr>
          <w:iCs/>
          <w:szCs w:val="22"/>
        </w:rPr>
        <w:t xml:space="preserve"> </w:t>
      </w:r>
      <w:r w:rsidRPr="003A19F9">
        <w:rPr>
          <w:iCs/>
          <w:szCs w:val="22"/>
        </w:rPr>
        <w:t>wher</w:t>
      </w:r>
      <w:r w:rsidR="00356748">
        <w:rPr>
          <w:iCs/>
          <w:szCs w:val="22"/>
        </w:rPr>
        <w:t>e an auto </w:t>
      </w:r>
      <w:r w:rsidRPr="003A19F9">
        <w:rPr>
          <w:iCs/>
          <w:szCs w:val="22"/>
        </w:rPr>
        <w:t xml:space="preserve">injector pen is available.  </w:t>
      </w:r>
      <w:r w:rsidR="00AF63ED" w:rsidRPr="003A19F9">
        <w:rPr>
          <w:iCs/>
          <w:szCs w:val="22"/>
        </w:rPr>
        <w:t>However fewer injections are required with UST.</w:t>
      </w:r>
    </w:p>
    <w:p w:rsidR="003D5E62" w:rsidRPr="003A19F9" w:rsidRDefault="003D5E62" w:rsidP="003D5E62">
      <w:pPr>
        <w:pStyle w:val="ListParagraph"/>
        <w:rPr>
          <w:iCs/>
          <w:szCs w:val="22"/>
        </w:rPr>
      </w:pPr>
    </w:p>
    <w:p w:rsidR="003D5E62" w:rsidRPr="003A19F9" w:rsidRDefault="003D5E62" w:rsidP="005C29EE">
      <w:pPr>
        <w:pStyle w:val="ListParagraph"/>
        <w:widowControl/>
        <w:numPr>
          <w:ilvl w:val="1"/>
          <w:numId w:val="13"/>
        </w:numPr>
        <w:rPr>
          <w:iCs/>
          <w:szCs w:val="22"/>
        </w:rPr>
      </w:pPr>
      <w:r w:rsidRPr="003A19F9">
        <w:rPr>
          <w:iCs/>
          <w:szCs w:val="22"/>
        </w:rPr>
        <w:t xml:space="preserve">The submission </w:t>
      </w:r>
      <w:r w:rsidR="00C57CC8" w:rsidRPr="003A19F9">
        <w:rPr>
          <w:iCs/>
          <w:szCs w:val="22"/>
        </w:rPr>
        <w:t>predict</w:t>
      </w:r>
      <w:r w:rsidR="00C57CC8">
        <w:rPr>
          <w:iCs/>
          <w:szCs w:val="22"/>
        </w:rPr>
        <w:t>ed</w:t>
      </w:r>
      <w:r w:rsidR="00C57CC8" w:rsidRPr="003A19F9">
        <w:rPr>
          <w:iCs/>
          <w:szCs w:val="22"/>
        </w:rPr>
        <w:t xml:space="preserve"> </w:t>
      </w:r>
      <w:r w:rsidRPr="003A19F9">
        <w:rPr>
          <w:iCs/>
          <w:szCs w:val="22"/>
        </w:rPr>
        <w:t xml:space="preserve">a net saving of </w:t>
      </w:r>
      <w:r w:rsidR="00110EA3">
        <w:rPr>
          <w:iCs/>
          <w:szCs w:val="22"/>
        </w:rPr>
        <w:t>UST</w:t>
      </w:r>
      <w:r w:rsidR="00110EA3" w:rsidRPr="003A19F9">
        <w:rPr>
          <w:iCs/>
          <w:szCs w:val="22"/>
        </w:rPr>
        <w:t xml:space="preserve"> </w:t>
      </w:r>
      <w:r w:rsidRPr="003A19F9">
        <w:rPr>
          <w:iCs/>
          <w:szCs w:val="22"/>
        </w:rPr>
        <w:t>to th</w:t>
      </w:r>
      <w:r w:rsidR="00432C0A">
        <w:rPr>
          <w:iCs/>
          <w:szCs w:val="22"/>
        </w:rPr>
        <w:t xml:space="preserve">e government over 5 years of </w:t>
      </w:r>
      <w:r w:rsidR="00357653">
        <w:rPr>
          <w:iCs/>
          <w:szCs w:val="22"/>
        </w:rPr>
        <w:t>less than $10 million</w:t>
      </w:r>
      <w:r w:rsidR="00432C0A">
        <w:rPr>
          <w:iCs/>
          <w:szCs w:val="22"/>
        </w:rPr>
        <w:t xml:space="preserve">. </w:t>
      </w:r>
      <w:r w:rsidRPr="003A19F9">
        <w:rPr>
          <w:iCs/>
          <w:szCs w:val="22"/>
        </w:rPr>
        <w:t>This is driven mostly by the assum</w:t>
      </w:r>
      <w:r w:rsidR="00432C0A">
        <w:rPr>
          <w:iCs/>
          <w:szCs w:val="22"/>
        </w:rPr>
        <w:t>ed cost savings of replacing 28 </w:t>
      </w:r>
      <w:r w:rsidRPr="003A19F9">
        <w:rPr>
          <w:iCs/>
          <w:szCs w:val="22"/>
        </w:rPr>
        <w:t>weeks of treatment</w:t>
      </w:r>
      <w:r w:rsidR="00AF63ED" w:rsidRPr="003A19F9">
        <w:rPr>
          <w:iCs/>
          <w:szCs w:val="22"/>
        </w:rPr>
        <w:t xml:space="preserve"> with ADA</w:t>
      </w:r>
      <w:r w:rsidR="00356748">
        <w:rPr>
          <w:iCs/>
          <w:szCs w:val="22"/>
        </w:rPr>
        <w:t>.</w:t>
      </w:r>
      <w:r w:rsidR="00AF63ED" w:rsidRPr="003A19F9">
        <w:rPr>
          <w:iCs/>
          <w:szCs w:val="22"/>
        </w:rPr>
        <w:t xml:space="preserve"> </w:t>
      </w:r>
      <w:r w:rsidR="00356748">
        <w:rPr>
          <w:iCs/>
          <w:szCs w:val="22"/>
        </w:rPr>
        <w:t>A</w:t>
      </w:r>
      <w:r w:rsidR="00AF63ED" w:rsidRPr="003A19F9">
        <w:rPr>
          <w:iCs/>
          <w:szCs w:val="22"/>
        </w:rPr>
        <w:t xml:space="preserve">s discussed </w:t>
      </w:r>
      <w:r w:rsidR="00C57CC8">
        <w:rPr>
          <w:iCs/>
          <w:szCs w:val="22"/>
        </w:rPr>
        <w:t>above</w:t>
      </w:r>
      <w:r w:rsidR="00356748">
        <w:rPr>
          <w:iCs/>
          <w:szCs w:val="22"/>
        </w:rPr>
        <w:t>,</w:t>
      </w:r>
      <w:r w:rsidR="00C57CC8">
        <w:rPr>
          <w:iCs/>
          <w:szCs w:val="22"/>
        </w:rPr>
        <w:t xml:space="preserve"> </w:t>
      </w:r>
      <w:r w:rsidR="00AF63ED" w:rsidRPr="003A19F9">
        <w:rPr>
          <w:iCs/>
          <w:szCs w:val="22"/>
        </w:rPr>
        <w:t xml:space="preserve">this </w:t>
      </w:r>
      <w:r w:rsidR="00356748">
        <w:rPr>
          <w:iCs/>
          <w:szCs w:val="22"/>
        </w:rPr>
        <w:t>is</w:t>
      </w:r>
      <w:r w:rsidR="00C57CC8" w:rsidRPr="003A19F9">
        <w:rPr>
          <w:iCs/>
          <w:szCs w:val="22"/>
        </w:rPr>
        <w:t xml:space="preserve"> </w:t>
      </w:r>
      <w:r w:rsidRPr="003A19F9">
        <w:rPr>
          <w:iCs/>
          <w:szCs w:val="22"/>
        </w:rPr>
        <w:t xml:space="preserve">based </w:t>
      </w:r>
      <w:r w:rsidR="00432C0A">
        <w:rPr>
          <w:iCs/>
          <w:szCs w:val="22"/>
        </w:rPr>
        <w:t xml:space="preserve">on </w:t>
      </w:r>
      <w:r w:rsidRPr="003A19F9">
        <w:rPr>
          <w:iCs/>
          <w:szCs w:val="22"/>
        </w:rPr>
        <w:t xml:space="preserve">an </w:t>
      </w:r>
      <w:r w:rsidRPr="003A19F9">
        <w:rPr>
          <w:iCs/>
          <w:szCs w:val="22"/>
        </w:rPr>
        <w:lastRenderedPageBreak/>
        <w:t xml:space="preserve">unreasonable </w:t>
      </w:r>
      <w:r w:rsidR="000A5FEC" w:rsidRPr="003A19F9">
        <w:rPr>
          <w:iCs/>
          <w:szCs w:val="22"/>
        </w:rPr>
        <w:t>assumption;</w:t>
      </w:r>
      <w:r w:rsidRPr="003A19F9">
        <w:rPr>
          <w:iCs/>
          <w:szCs w:val="22"/>
        </w:rPr>
        <w:t xml:space="preserve"> the actual saving to PBS</w:t>
      </w:r>
      <w:r w:rsidR="005C29EE" w:rsidRPr="003A19F9">
        <w:rPr>
          <w:iCs/>
          <w:szCs w:val="22"/>
        </w:rPr>
        <w:t xml:space="preserve"> </w:t>
      </w:r>
      <w:r w:rsidR="00C57CC8">
        <w:rPr>
          <w:iCs/>
          <w:szCs w:val="22"/>
        </w:rPr>
        <w:t>would be</w:t>
      </w:r>
      <w:r w:rsidR="00C57CC8" w:rsidRPr="003A19F9">
        <w:rPr>
          <w:iCs/>
          <w:szCs w:val="22"/>
        </w:rPr>
        <w:t xml:space="preserve"> </w:t>
      </w:r>
      <w:r w:rsidR="005C29EE" w:rsidRPr="003A19F9">
        <w:rPr>
          <w:iCs/>
          <w:szCs w:val="22"/>
        </w:rPr>
        <w:t>likely much less than predicted</w:t>
      </w:r>
      <w:r w:rsidRPr="003A19F9">
        <w:rPr>
          <w:iCs/>
          <w:szCs w:val="22"/>
        </w:rPr>
        <w:t>.</w:t>
      </w:r>
    </w:p>
    <w:p w:rsidR="003D5E62" w:rsidRDefault="003D5E62" w:rsidP="003D5E62">
      <w:pPr>
        <w:pStyle w:val="ListParagraph"/>
        <w:widowControl/>
        <w:rPr>
          <w:iCs/>
          <w:szCs w:val="22"/>
        </w:rPr>
      </w:pPr>
    </w:p>
    <w:p w:rsidR="00576972" w:rsidRPr="007D3A7E" w:rsidRDefault="00576972" w:rsidP="007D3A7E">
      <w:pPr>
        <w:pStyle w:val="BodyText"/>
        <w:rPr>
          <w:b/>
        </w:rPr>
      </w:pPr>
      <w:bookmarkStart w:id="15" w:name="_Toc398544311"/>
      <w:r w:rsidRPr="007D3A7E">
        <w:rPr>
          <w:b/>
        </w:rPr>
        <w:t>Quality Use of Medicines</w:t>
      </w:r>
      <w:bookmarkEnd w:id="15"/>
    </w:p>
    <w:p w:rsidR="00576972" w:rsidRPr="003A19F9" w:rsidRDefault="00576972" w:rsidP="00576972">
      <w:pPr>
        <w:widowControl/>
        <w:rPr>
          <w:szCs w:val="22"/>
        </w:rPr>
      </w:pPr>
    </w:p>
    <w:p w:rsidR="00C57CC8" w:rsidRPr="003A19F9" w:rsidRDefault="003D5E62" w:rsidP="00576972">
      <w:pPr>
        <w:pStyle w:val="ListParagraph"/>
        <w:widowControl/>
        <w:numPr>
          <w:ilvl w:val="1"/>
          <w:numId w:val="13"/>
        </w:numPr>
        <w:rPr>
          <w:szCs w:val="22"/>
        </w:rPr>
      </w:pPr>
      <w:r w:rsidRPr="003A19F9">
        <w:t xml:space="preserve">Quality use of medicine initiatives </w:t>
      </w:r>
      <w:r w:rsidR="00C57CC8">
        <w:t>were</w:t>
      </w:r>
      <w:r w:rsidR="00C57CC8" w:rsidRPr="003A19F9">
        <w:t xml:space="preserve"> </w:t>
      </w:r>
      <w:r w:rsidRPr="003A19F9">
        <w:t xml:space="preserve">proposed for </w:t>
      </w:r>
      <w:r w:rsidR="00110EA3">
        <w:t>UST</w:t>
      </w:r>
      <w:r w:rsidR="00110EA3" w:rsidRPr="003A19F9">
        <w:t xml:space="preserve"> </w:t>
      </w:r>
      <w:r w:rsidRPr="003A19F9">
        <w:t xml:space="preserve">with the main goal of educating and supporting healthcare professionals and consumers to ensure appropriate use.  </w:t>
      </w:r>
    </w:p>
    <w:p w:rsidR="00576972" w:rsidRDefault="00576972" w:rsidP="00C57CC8">
      <w:pPr>
        <w:pStyle w:val="ListParagraph"/>
        <w:widowControl/>
        <w:rPr>
          <w:szCs w:val="22"/>
        </w:rPr>
      </w:pPr>
    </w:p>
    <w:p w:rsidR="00576972" w:rsidRPr="007D3A7E" w:rsidRDefault="00576972" w:rsidP="007D3A7E">
      <w:pPr>
        <w:pStyle w:val="BodyText"/>
        <w:rPr>
          <w:b/>
        </w:rPr>
      </w:pPr>
      <w:bookmarkStart w:id="16" w:name="_Toc398544312"/>
      <w:r w:rsidRPr="007D3A7E">
        <w:rPr>
          <w:b/>
        </w:rPr>
        <w:t>Financial Management – Risk Sharing Arrangements</w:t>
      </w:r>
      <w:bookmarkEnd w:id="16"/>
    </w:p>
    <w:p w:rsidR="00C25D9C" w:rsidRPr="003A19F9" w:rsidRDefault="00C25D9C" w:rsidP="00576972">
      <w:pPr>
        <w:widowControl/>
        <w:rPr>
          <w:szCs w:val="22"/>
        </w:rPr>
      </w:pPr>
    </w:p>
    <w:p w:rsidR="002B5FDA" w:rsidRPr="00523FDD" w:rsidRDefault="00523FDD" w:rsidP="00523FDD">
      <w:pPr>
        <w:widowControl/>
        <w:ind w:left="720" w:hanging="720"/>
        <w:rPr>
          <w:szCs w:val="22"/>
          <w:highlight w:val="black"/>
        </w:rPr>
      </w:pPr>
      <w:r>
        <w:rPr>
          <w:noProof/>
          <w:color w:val="000000"/>
          <w:szCs w:val="22"/>
          <w:highlight w:val="black"/>
        </w:rPr>
        <w:t xml:space="preserve">'''''''''''''''''' ''' '''''''''''''''''' '''''''''''' ''''''' ''''''''''' '''''''''' '''''''''''''''''''''' '''''' '''''''''''''' ''''''''' ''''''''''''''''''''''' ''''''''''''''''''''''' ''''' '''''''''''' ''''''' ''''''''''''''''''''''''' ''''''''''''''''''''''' ''''''''' ''''''''' '''''''''''''''' '''''''''''''''''''''''' '''''' ''''''' ''''' '''''''''''' ''''''' '''''''' '''''''''''''''''''' '''''''''''' '''' ''''''''''' '''' ''''''''''''''''''' ''''''''''''''''''  ''''''''''''''''''''''''''''' ''' '''''''''''''''''''''''' ''' ''''''''''''''' '''' ''''''''''''''''''''''''''''' '''''' '''''''''''''''''''' ''''''''' ''''''''''''' '''''''''''''''' '''''''''' ''''''''' '''''' '''''''''' '''''''''''''''''' ''' ''' '''''' ''''''' '''''''''''' '''' ''''''''''' '''''''' ''''''''''''' ''' ''''''''''' '''''''''''''''''''''''' '''''''''' ''''''' ''''''''' '''' '''''''''''''''''''''''' '''' ''''''''''''''''''' '''''''''' '''''''''''''' ''''''''''''''''' '''''''' ''''''''''''' ''''''''''' ''''''''''''''' '''''' ''''''''''''''''''''''''' ''''' '''''''''''''''''' '''''''''''''''' ''''''''''' ''''''''''''''' </w:t>
      </w:r>
    </w:p>
    <w:p w:rsidR="00E02748" w:rsidRDefault="00E02748" w:rsidP="007D3A7E">
      <w:pPr>
        <w:pStyle w:val="BodyText"/>
      </w:pPr>
    </w:p>
    <w:p w:rsidR="00D31F54" w:rsidRDefault="00D31F54" w:rsidP="007D3A7E">
      <w:pPr>
        <w:pStyle w:val="BodyText"/>
        <w:rPr>
          <w:b/>
          <w:bCs/>
          <w:szCs w:val="22"/>
        </w:rPr>
      </w:pPr>
    </w:p>
    <w:p w:rsidR="00D31F54" w:rsidRPr="007C413F" w:rsidRDefault="00D31F54" w:rsidP="007C413F">
      <w:pPr>
        <w:pStyle w:val="ListParagraph"/>
        <w:widowControl/>
        <w:numPr>
          <w:ilvl w:val="0"/>
          <w:numId w:val="13"/>
        </w:numPr>
        <w:rPr>
          <w:b/>
          <w:szCs w:val="22"/>
        </w:rPr>
      </w:pPr>
      <w:r w:rsidRPr="007C413F">
        <w:rPr>
          <w:b/>
          <w:szCs w:val="22"/>
        </w:rPr>
        <w:t>PBAC Outcome</w:t>
      </w:r>
    </w:p>
    <w:p w:rsidR="00D31F54" w:rsidRPr="00D31F54" w:rsidRDefault="00D31F54" w:rsidP="00D31F54">
      <w:pPr>
        <w:contextualSpacing/>
        <w:rPr>
          <w:b/>
          <w:bCs/>
          <w:szCs w:val="22"/>
          <w:lang w:val="en-GB"/>
        </w:rPr>
      </w:pPr>
    </w:p>
    <w:p w:rsidR="006A2247" w:rsidRDefault="006A2247" w:rsidP="00E37C70">
      <w:pPr>
        <w:pStyle w:val="ListParagraph"/>
        <w:widowControl/>
        <w:numPr>
          <w:ilvl w:val="1"/>
          <w:numId w:val="13"/>
        </w:numPr>
      </w:pPr>
      <w:r w:rsidRPr="006A2247">
        <w:t>The PBAC reject</w:t>
      </w:r>
      <w:r w:rsidR="007574FB">
        <w:t>ed</w:t>
      </w:r>
      <w:r w:rsidRPr="006A2247">
        <w:t xml:space="preserve"> a request to list UST as </w:t>
      </w:r>
      <w:r w:rsidRPr="006A2247">
        <w:rPr>
          <w:bCs/>
          <w:lang w:val="en-GB"/>
        </w:rPr>
        <w:t xml:space="preserve">an Authority Required benefit </w:t>
      </w:r>
      <w:r w:rsidRPr="006A2247">
        <w:t xml:space="preserve">for the treatment of PsA on </w:t>
      </w:r>
      <w:r w:rsidR="00A82DA1">
        <w:t>the</w:t>
      </w:r>
      <w:r w:rsidRPr="006A2247">
        <w:t xml:space="preserve"> basis of </w:t>
      </w:r>
      <w:r w:rsidR="00E37C70">
        <w:t>evidence of inferior effectiveness to ADA</w:t>
      </w:r>
      <w:r w:rsidR="00D55821">
        <w:t>, particularly in terms of joint response,</w:t>
      </w:r>
      <w:r w:rsidR="00E37C70">
        <w:t xml:space="preserve"> and </w:t>
      </w:r>
      <w:r w:rsidR="00A82DA1">
        <w:t xml:space="preserve">a lack of </w:t>
      </w:r>
      <w:r w:rsidRPr="006A2247">
        <w:t>compelling evidence of clinical need</w:t>
      </w:r>
      <w:r w:rsidR="00D55821">
        <w:t xml:space="preserve"> </w:t>
      </w:r>
      <w:r w:rsidRPr="006A2247">
        <w:t xml:space="preserve">despite its different mechanism of action </w:t>
      </w:r>
      <w:r w:rsidR="00660C85">
        <w:t>to</w:t>
      </w:r>
      <w:r w:rsidRPr="006A2247">
        <w:t xml:space="preserve"> the anti-TNF-α agents </w:t>
      </w:r>
      <w:r w:rsidR="00E37C70" w:rsidRPr="00E37C70">
        <w:t xml:space="preserve">currently PBS listed </w:t>
      </w:r>
      <w:r w:rsidRPr="006A2247">
        <w:t xml:space="preserve">for </w:t>
      </w:r>
      <w:r w:rsidR="00660C85">
        <w:t xml:space="preserve">the treatment of </w:t>
      </w:r>
      <w:r w:rsidRPr="006A2247">
        <w:t>PsA.</w:t>
      </w:r>
    </w:p>
    <w:p w:rsidR="00C8194B" w:rsidRDefault="00C8194B" w:rsidP="00C8194B">
      <w:pPr>
        <w:pStyle w:val="ListParagraph"/>
        <w:widowControl/>
      </w:pPr>
    </w:p>
    <w:p w:rsidR="00C8194B" w:rsidRPr="006A2247" w:rsidRDefault="00D55821" w:rsidP="00D55821">
      <w:pPr>
        <w:pStyle w:val="ListParagraph"/>
        <w:widowControl/>
        <w:numPr>
          <w:ilvl w:val="1"/>
          <w:numId w:val="13"/>
        </w:numPr>
      </w:pPr>
      <w:r w:rsidRPr="00D55821">
        <w:rPr>
          <w:szCs w:val="22"/>
        </w:rPr>
        <w:t xml:space="preserve">The PBAC considered that there are two key components involved in PsA, arthritis and psoriasis. In regards to UST’s role in treating the arthritis component of PsA, the PBAC agreed that UST is inferior in joint response rate compared with the TNF-α inhibitors that are currently PBS-listed for the treatment of PsA. In regards to UST’s role in treating the psoriasis component of PsA, </w:t>
      </w:r>
      <w:r>
        <w:rPr>
          <w:szCs w:val="22"/>
        </w:rPr>
        <w:t xml:space="preserve">the PBAC noted that </w:t>
      </w:r>
      <w:r w:rsidRPr="00D55821">
        <w:rPr>
          <w:szCs w:val="22"/>
        </w:rPr>
        <w:t>UST has a separate PBS listing for the treatment of psoriasis. The PBAC, therefore, questioned the place in therapy for UST in the treatment of PsA</w:t>
      </w:r>
      <w:r>
        <w:rPr>
          <w:szCs w:val="22"/>
        </w:rPr>
        <w:t>.</w:t>
      </w:r>
    </w:p>
    <w:p w:rsidR="006A2247" w:rsidRPr="006A2247" w:rsidRDefault="006A2247" w:rsidP="006A2247">
      <w:pPr>
        <w:pStyle w:val="PBACHeading1"/>
        <w:numPr>
          <w:ilvl w:val="0"/>
          <w:numId w:val="0"/>
        </w:numPr>
        <w:ind w:left="720"/>
        <w:rPr>
          <w:b w:val="0"/>
          <w:snapToGrid/>
        </w:rPr>
      </w:pPr>
    </w:p>
    <w:p w:rsidR="006A2247" w:rsidRPr="006A2247" w:rsidRDefault="006A2247" w:rsidP="006A2247">
      <w:pPr>
        <w:pStyle w:val="ListParagraph"/>
        <w:widowControl/>
        <w:numPr>
          <w:ilvl w:val="1"/>
          <w:numId w:val="13"/>
        </w:numPr>
      </w:pPr>
      <w:r w:rsidRPr="006A2247">
        <w:t xml:space="preserve">The PBAC considered that ADA was appropriately nominated as the appropriate main comparator. The PBAC also considered that </w:t>
      </w:r>
      <w:r w:rsidR="007A68B7">
        <w:t>ETC</w:t>
      </w:r>
      <w:r w:rsidRPr="006A2247">
        <w:t xml:space="preserve"> and </w:t>
      </w:r>
      <w:r w:rsidR="007A68B7">
        <w:t>GOL</w:t>
      </w:r>
      <w:r w:rsidRPr="006A2247">
        <w:t xml:space="preserve"> would be appropriate secondary comparators. </w:t>
      </w:r>
    </w:p>
    <w:p w:rsidR="006A2247" w:rsidRPr="006A2247" w:rsidRDefault="006A2247" w:rsidP="006A2247">
      <w:pPr>
        <w:pStyle w:val="PBACHeading1"/>
        <w:numPr>
          <w:ilvl w:val="0"/>
          <w:numId w:val="0"/>
        </w:numPr>
        <w:ind w:left="720"/>
        <w:rPr>
          <w:b w:val="0"/>
        </w:rPr>
      </w:pPr>
    </w:p>
    <w:p w:rsidR="006A2247" w:rsidRPr="0036273D" w:rsidRDefault="006A2247" w:rsidP="006A2247">
      <w:pPr>
        <w:pStyle w:val="ListParagraph"/>
        <w:widowControl/>
        <w:numPr>
          <w:ilvl w:val="1"/>
          <w:numId w:val="13"/>
        </w:numPr>
        <w:rPr>
          <w:lang w:val="en-US" w:eastAsia="en-AU"/>
        </w:rPr>
      </w:pPr>
      <w:r w:rsidRPr="0036273D">
        <w:t>The PBAC noted the submission presented an indirect comparison of UST and ADA using data from two head-to-head trials comparing UST (PSUMMIT-1 and PSUMMIT-2) to placebo (n=927) and two head-to-head trials comparing ADA (ADA1 and ADA2) to placebo (n=413).</w:t>
      </w:r>
      <w:r w:rsidRPr="0036273D">
        <w:rPr>
          <w:i/>
        </w:rPr>
        <w:t xml:space="preserve"> </w:t>
      </w:r>
      <w:r w:rsidRPr="0036273D">
        <w:t xml:space="preserve">The submission nominated </w:t>
      </w:r>
      <w:r w:rsidRPr="0036273D">
        <w:rPr>
          <w:iCs/>
        </w:rPr>
        <w:t>ACR50, at</w:t>
      </w:r>
      <w:r w:rsidRPr="0036273D">
        <w:t xml:space="preserve"> 24</w:t>
      </w:r>
      <w:r w:rsidR="00AD278F">
        <w:t> </w:t>
      </w:r>
      <w:r w:rsidRPr="0036273D">
        <w:t>weeks for UST and 12 weeks for ADA,</w:t>
      </w:r>
      <w:r w:rsidRPr="0036273D">
        <w:rPr>
          <w:iCs/>
        </w:rPr>
        <w:t xml:space="preserve"> as the primary outcome; and</w:t>
      </w:r>
      <w:r w:rsidRPr="0036273D">
        <w:t xml:space="preserve"> ACR20, ACR70, PASI75, HAQ-DI and PsARC as secondary outcomes.   </w:t>
      </w:r>
      <w:r w:rsidRPr="0036273D">
        <w:rPr>
          <w:lang w:eastAsia="en-AU"/>
        </w:rPr>
        <w:t xml:space="preserve"> </w:t>
      </w:r>
    </w:p>
    <w:p w:rsidR="006A2247" w:rsidRPr="0036273D" w:rsidRDefault="006A2247" w:rsidP="006A2247">
      <w:pPr>
        <w:pStyle w:val="PBACHeading1"/>
        <w:numPr>
          <w:ilvl w:val="0"/>
          <w:numId w:val="0"/>
        </w:numPr>
        <w:ind w:left="720"/>
        <w:rPr>
          <w:b w:val="0"/>
        </w:rPr>
      </w:pPr>
    </w:p>
    <w:p w:rsidR="006A2247" w:rsidRPr="0036273D" w:rsidRDefault="006A2247" w:rsidP="006A2247">
      <w:pPr>
        <w:pStyle w:val="ListParagraph"/>
        <w:widowControl/>
        <w:numPr>
          <w:ilvl w:val="1"/>
          <w:numId w:val="13"/>
        </w:numPr>
      </w:pPr>
      <w:r w:rsidRPr="0036273D">
        <w:t>Since the outcome used to determine eligibility for continuing treatment in the current PBS listed restriction for PsA is a combination of ACR50 and ACR20, the PBAC agreed with the ESC that ACR50 was the outcome of most interest. ACR50 is more stringent than ACR20 and reflects to a greater degree the criteria for the current PBS eligibility for continuing treatment with a bDMARD.</w:t>
      </w:r>
    </w:p>
    <w:p w:rsidR="006A2247" w:rsidRPr="0036273D" w:rsidRDefault="006A2247" w:rsidP="006A2247">
      <w:pPr>
        <w:pStyle w:val="PBACHeading1"/>
        <w:numPr>
          <w:ilvl w:val="0"/>
          <w:numId w:val="0"/>
        </w:numPr>
        <w:ind w:left="720"/>
        <w:rPr>
          <w:b w:val="0"/>
        </w:rPr>
      </w:pPr>
    </w:p>
    <w:p w:rsidR="006A2247" w:rsidRPr="0036273D" w:rsidRDefault="006A2247" w:rsidP="006A2247">
      <w:pPr>
        <w:pStyle w:val="ListParagraph"/>
        <w:widowControl/>
        <w:numPr>
          <w:ilvl w:val="1"/>
          <w:numId w:val="13"/>
        </w:numPr>
        <w:rPr>
          <w:i/>
          <w:lang w:val="en-US"/>
        </w:rPr>
      </w:pPr>
      <w:r w:rsidRPr="0036273D">
        <w:t xml:space="preserve">Based on the data presented, the PBAC </w:t>
      </w:r>
      <w:r w:rsidR="00F03298">
        <w:t>noted</w:t>
      </w:r>
      <w:r w:rsidRPr="0036273D">
        <w:t xml:space="preserve"> that </w:t>
      </w:r>
      <w:r w:rsidR="005641E0">
        <w:t>all point estimates</w:t>
      </w:r>
      <w:r w:rsidRPr="0036273D">
        <w:t xml:space="preserve"> </w:t>
      </w:r>
      <w:r w:rsidR="00F03298">
        <w:t>for</w:t>
      </w:r>
      <w:r w:rsidRPr="0036273D">
        <w:t xml:space="preserve"> ACR50 and ACR20 favoured ADA, reaching statistical significance based on the relative risk statistic for the comparisons of UST 45mg and the pooled UST 45mg and 90mg versus ADA in both the overall (anti-TNF- α experienced and naïve patients) and TNF-α inhibitor naïve</w:t>
      </w:r>
      <w:r w:rsidR="005641E0">
        <w:t xml:space="preserve"> </w:t>
      </w:r>
      <w:r w:rsidRPr="0036273D">
        <w:t>populations</w:t>
      </w:r>
      <w:r w:rsidR="005641E0">
        <w:rPr>
          <w:i/>
          <w:color w:val="4F81BD" w:themeColor="accent1"/>
        </w:rPr>
        <w:t>.</w:t>
      </w:r>
      <w:r w:rsidRPr="0036273D">
        <w:rPr>
          <w:color w:val="4F81BD" w:themeColor="accent1"/>
        </w:rPr>
        <w:t xml:space="preserve"> </w:t>
      </w:r>
      <w:r w:rsidRPr="0036273D">
        <w:t xml:space="preserve">The PBAC </w:t>
      </w:r>
      <w:r w:rsidR="00F03298">
        <w:t xml:space="preserve">also </w:t>
      </w:r>
      <w:r w:rsidRPr="0036273D">
        <w:t xml:space="preserve">noted that the time taken to achieve maximum ACR50 and ACR20 responses were longer with UST compared </w:t>
      </w:r>
      <w:r w:rsidR="009757CF">
        <w:t>to</w:t>
      </w:r>
      <w:r w:rsidRPr="0036273D">
        <w:t xml:space="preserve"> ADA</w:t>
      </w:r>
      <w:r w:rsidR="005641E0">
        <w:t>.</w:t>
      </w:r>
      <w:r w:rsidR="00440179">
        <w:rPr>
          <w:i/>
          <w:color w:val="4F81BD" w:themeColor="accent1"/>
        </w:rPr>
        <w:t xml:space="preserve"> </w:t>
      </w:r>
      <w:r w:rsidR="00440179">
        <w:t xml:space="preserve">The PBAC also noted that the placebo rate for ACR50 outcome, </w:t>
      </w:r>
      <w:r w:rsidR="00A11EFD">
        <w:t>on</w:t>
      </w:r>
      <w:r w:rsidR="00440179">
        <w:t xml:space="preserve"> average, is higher in the UST </w:t>
      </w:r>
      <w:r w:rsidR="00A11EFD">
        <w:t xml:space="preserve">trials </w:t>
      </w:r>
      <w:r w:rsidR="00440179">
        <w:t>compared to the ADA trials (</w:t>
      </w:r>
      <w:r w:rsidR="00523FDD">
        <w:rPr>
          <w:noProof/>
          <w:color w:val="000000"/>
          <w:highlight w:val="black"/>
        </w:rPr>
        <w:t>'''''''''''''</w:t>
      </w:r>
      <w:r w:rsidR="00440179">
        <w:t xml:space="preserve"> v.s. </w:t>
      </w:r>
      <w:r w:rsidR="00523FDD">
        <w:rPr>
          <w:noProof/>
          <w:color w:val="000000"/>
          <w:highlight w:val="black"/>
        </w:rPr>
        <w:t>''''''''''''</w:t>
      </w:r>
      <w:r w:rsidR="00440179">
        <w:t>)</w:t>
      </w:r>
      <w:r w:rsidR="00A11EFD">
        <w:t xml:space="preserve">. </w:t>
      </w:r>
      <w:r w:rsidR="005641E0">
        <w:t>Although t</w:t>
      </w:r>
      <w:r w:rsidR="00A11EFD">
        <w:t xml:space="preserve">he PBAC </w:t>
      </w:r>
      <w:r w:rsidR="005641E0">
        <w:t>considered</w:t>
      </w:r>
      <w:r w:rsidR="00A11EFD">
        <w:t xml:space="preserve"> that </w:t>
      </w:r>
      <w:r w:rsidR="00440179">
        <w:t>there is no obvious</w:t>
      </w:r>
      <w:r w:rsidR="00440179" w:rsidRPr="00882C54">
        <w:t xml:space="preserve"> explanation for the different placebo response rates</w:t>
      </w:r>
      <w:r w:rsidR="00440179">
        <w:t xml:space="preserve"> between </w:t>
      </w:r>
      <w:r w:rsidR="005641E0">
        <w:t xml:space="preserve">the </w:t>
      </w:r>
      <w:r w:rsidR="00440179">
        <w:t>UST and ADA trials</w:t>
      </w:r>
      <w:r w:rsidR="005641E0">
        <w:t>, this finding did not influence the Committee’s overall conclusion of inferiority.</w:t>
      </w:r>
    </w:p>
    <w:p w:rsidR="006A2247" w:rsidRPr="0036273D" w:rsidRDefault="006A2247" w:rsidP="006A2247">
      <w:pPr>
        <w:pStyle w:val="PBACHeading1"/>
        <w:numPr>
          <w:ilvl w:val="0"/>
          <w:numId w:val="0"/>
        </w:numPr>
        <w:ind w:left="720"/>
        <w:rPr>
          <w:b w:val="0"/>
        </w:rPr>
      </w:pPr>
    </w:p>
    <w:p w:rsidR="006A2247" w:rsidRPr="0036273D" w:rsidRDefault="006A2247" w:rsidP="005641E0">
      <w:pPr>
        <w:pStyle w:val="ListParagraph"/>
        <w:widowControl/>
        <w:numPr>
          <w:ilvl w:val="1"/>
          <w:numId w:val="13"/>
        </w:numPr>
      </w:pPr>
      <w:r w:rsidRPr="0036273D">
        <w:t xml:space="preserve">The PBAC noted the submission presented PASI75 response at Week 24 for UST and Week 12 for ADA for patients with ≥3% body surface area with psoriasis as a supportive analysis. The PBAC </w:t>
      </w:r>
      <w:r w:rsidR="005641E0">
        <w:t>noted</w:t>
      </w:r>
      <w:r w:rsidR="005641E0" w:rsidRPr="0036273D">
        <w:t xml:space="preserve"> </w:t>
      </w:r>
      <w:r w:rsidRPr="0036273D">
        <w:t xml:space="preserve">that whilst both UST and ADA were more effective than placebo in terms of PASI75 response, </w:t>
      </w:r>
      <w:r w:rsidR="005641E0">
        <w:t>and</w:t>
      </w:r>
      <w:r w:rsidRPr="0036273D">
        <w:t xml:space="preserve"> all point estimates also favoured ADA</w:t>
      </w:r>
      <w:r w:rsidR="005641E0">
        <w:t>, there were no</w:t>
      </w:r>
      <w:r w:rsidR="005641E0" w:rsidRPr="005641E0">
        <w:t xml:space="preserve"> statistically significant differences between UST and ADA</w:t>
      </w:r>
      <w:r w:rsidRPr="0036273D">
        <w:t>.</w:t>
      </w:r>
      <w:r w:rsidR="00A11EFD">
        <w:t xml:space="preserve"> The PBAC considered that </w:t>
      </w:r>
      <w:r w:rsidR="00A11EFD" w:rsidRPr="0036273D">
        <w:t xml:space="preserve">UST </w:t>
      </w:r>
      <w:r w:rsidR="00F03298">
        <w:t>in</w:t>
      </w:r>
      <w:r w:rsidR="00A11EFD" w:rsidRPr="0036273D">
        <w:t xml:space="preserve"> psoriasis</w:t>
      </w:r>
      <w:r w:rsidR="00A102C3">
        <w:t xml:space="preserve"> </w:t>
      </w:r>
      <w:r w:rsidR="005C3A78">
        <w:t>is</w:t>
      </w:r>
      <w:r w:rsidR="005641E0">
        <w:t>,</w:t>
      </w:r>
      <w:r w:rsidR="005C3A78">
        <w:t xml:space="preserve"> </w:t>
      </w:r>
      <w:r w:rsidR="00A102C3">
        <w:t>on balance</w:t>
      </w:r>
      <w:r w:rsidR="005641E0">
        <w:t>,</w:t>
      </w:r>
      <w:r w:rsidR="00424820">
        <w:t xml:space="preserve"> probably non</w:t>
      </w:r>
      <w:r w:rsidR="00424820">
        <w:noBreakHyphen/>
      </w:r>
      <w:r w:rsidR="00A11EFD" w:rsidRPr="0036273D">
        <w:t>inferior to ADA and other TNF inhibitors</w:t>
      </w:r>
      <w:r w:rsidR="005C3A78">
        <w:t xml:space="preserve"> in terms of effectiv</w:t>
      </w:r>
      <w:r w:rsidR="00A102C3">
        <w:t>e</w:t>
      </w:r>
      <w:r w:rsidR="005C3A78">
        <w:t>ness</w:t>
      </w:r>
      <w:r w:rsidR="005641E0">
        <w:t>.</w:t>
      </w:r>
    </w:p>
    <w:p w:rsidR="006A2247" w:rsidRPr="0036273D" w:rsidRDefault="006A2247" w:rsidP="006A2247">
      <w:pPr>
        <w:pStyle w:val="PBACHeading1"/>
        <w:numPr>
          <w:ilvl w:val="0"/>
          <w:numId w:val="0"/>
        </w:numPr>
        <w:ind w:left="720"/>
        <w:rPr>
          <w:b w:val="0"/>
          <w:snapToGrid/>
        </w:rPr>
      </w:pPr>
    </w:p>
    <w:p w:rsidR="006A2247" w:rsidRPr="003970E4" w:rsidRDefault="006A2247" w:rsidP="006A2247">
      <w:pPr>
        <w:pStyle w:val="ListParagraph"/>
        <w:widowControl/>
        <w:numPr>
          <w:ilvl w:val="1"/>
          <w:numId w:val="13"/>
        </w:numPr>
        <w:rPr>
          <w:lang w:val="en-US"/>
        </w:rPr>
      </w:pPr>
      <w:r w:rsidRPr="0036273D">
        <w:t>Based on the indirect comparison, of comparative benefits</w:t>
      </w:r>
      <w:r w:rsidR="003970E4">
        <w:t xml:space="preserve"> (ACR50)</w:t>
      </w:r>
      <w:r w:rsidRPr="0036273D">
        <w:t xml:space="preserve"> for patients who are TNF-α inhibitor naïve in the UST trials (ITT) versus </w:t>
      </w:r>
      <w:r w:rsidRPr="004D145D">
        <w:t>ENT</w:t>
      </w:r>
      <w:r w:rsidRPr="0036273D">
        <w:t xml:space="preserve"> and all bDMARDs</w:t>
      </w:r>
      <w:r w:rsidR="00E15FE1">
        <w:t xml:space="preserve"> (</w:t>
      </w:r>
      <w:r w:rsidR="00C57196" w:rsidRPr="0036273D">
        <w:t>conducted by the evaluators</w:t>
      </w:r>
      <w:r w:rsidR="00C57196">
        <w:t xml:space="preserve">; </w:t>
      </w:r>
      <w:r w:rsidR="00E15FE1">
        <w:t xml:space="preserve">see </w:t>
      </w:r>
      <w:r w:rsidR="009F49AF">
        <w:t>section 6.23</w:t>
      </w:r>
      <w:r w:rsidR="00E15FE1">
        <w:t>)</w:t>
      </w:r>
      <w:r w:rsidRPr="0036273D">
        <w:t xml:space="preserve">, the PBAC considered that UST </w:t>
      </w:r>
      <w:r w:rsidR="005C3A78">
        <w:t>in</w:t>
      </w:r>
      <w:r w:rsidRPr="0036273D">
        <w:t xml:space="preserve"> PsA is </w:t>
      </w:r>
      <w:r w:rsidR="004D145D">
        <w:t xml:space="preserve">also </w:t>
      </w:r>
      <w:r w:rsidR="009F49AF">
        <w:t>inferior to</w:t>
      </w:r>
      <w:r w:rsidRPr="0036273D">
        <w:t xml:space="preserve"> </w:t>
      </w:r>
      <w:r w:rsidR="004D145D">
        <w:t>ENT</w:t>
      </w:r>
      <w:r w:rsidR="004D145D" w:rsidRPr="0036273D">
        <w:t xml:space="preserve"> </w:t>
      </w:r>
      <w:r w:rsidRPr="0036273D">
        <w:t>and other TNF inhibitors</w:t>
      </w:r>
      <w:r w:rsidR="005C3A78">
        <w:t xml:space="preserve"> in terms of effectiveness</w:t>
      </w:r>
      <w:r w:rsidR="00A11EFD">
        <w:t>.</w:t>
      </w:r>
    </w:p>
    <w:p w:rsidR="003970E4" w:rsidRPr="0036273D" w:rsidRDefault="003970E4" w:rsidP="003970E4">
      <w:pPr>
        <w:pStyle w:val="ListParagraph"/>
        <w:widowControl/>
        <w:rPr>
          <w:lang w:val="en-US"/>
        </w:rPr>
      </w:pPr>
    </w:p>
    <w:p w:rsidR="006A2247" w:rsidRPr="0036273D" w:rsidRDefault="006A2247" w:rsidP="006A2247">
      <w:pPr>
        <w:pStyle w:val="ListParagraph"/>
        <w:widowControl/>
        <w:numPr>
          <w:ilvl w:val="1"/>
          <w:numId w:val="13"/>
        </w:numPr>
        <w:rPr>
          <w:i/>
          <w:lang w:val="en-US"/>
        </w:rPr>
      </w:pPr>
      <w:r w:rsidRPr="0036273D">
        <w:t>The PBAC noted the incidence of adverse events observed with UST and ADA w</w:t>
      </w:r>
      <w:r w:rsidR="005C3A78">
        <w:t>as</w:t>
      </w:r>
      <w:r w:rsidRPr="0036273D">
        <w:t xml:space="preserve"> similar during the placebo-controlled period, with the majority of adverse events transitory and of mild or moderate severity.  The adverse event profile</w:t>
      </w:r>
      <w:r w:rsidR="005C3A78">
        <w:t>s</w:t>
      </w:r>
      <w:r w:rsidRPr="0036273D">
        <w:t xml:space="preserve"> observed with UST and ADA were </w:t>
      </w:r>
      <w:r w:rsidR="005C3A78">
        <w:t xml:space="preserve">also </w:t>
      </w:r>
      <w:r w:rsidRPr="0036273D">
        <w:t xml:space="preserve">similar, the most commonly reported adverse events were nasopharyngitis, upper respiratory tract infection and headache, but with a higher incidence observed in patients treated with ADA likely due to the longer duration of reported safety data.  </w:t>
      </w:r>
    </w:p>
    <w:p w:rsidR="006A2247" w:rsidRPr="0036273D" w:rsidRDefault="006A2247" w:rsidP="006A2247">
      <w:pPr>
        <w:pStyle w:val="PBACHeading1"/>
        <w:numPr>
          <w:ilvl w:val="0"/>
          <w:numId w:val="0"/>
        </w:numPr>
        <w:ind w:left="720"/>
        <w:rPr>
          <w:b w:val="0"/>
        </w:rPr>
      </w:pPr>
    </w:p>
    <w:p w:rsidR="00D4490E" w:rsidRPr="00D4490E" w:rsidRDefault="00975EBE" w:rsidP="00D4490E">
      <w:pPr>
        <w:pStyle w:val="ListParagraph"/>
        <w:widowControl/>
        <w:numPr>
          <w:ilvl w:val="1"/>
          <w:numId w:val="13"/>
        </w:numPr>
        <w:rPr>
          <w:lang w:val="en-US" w:eastAsia="en-AU"/>
        </w:rPr>
      </w:pPr>
      <w:r>
        <w:t xml:space="preserve">The </w:t>
      </w:r>
      <w:r w:rsidR="006A2247" w:rsidRPr="0036273D">
        <w:t xml:space="preserve">PBAC </w:t>
      </w:r>
      <w:r w:rsidR="004D145D" w:rsidRPr="0036273D">
        <w:t>a</w:t>
      </w:r>
      <w:r w:rsidR="004D145D">
        <w:t>greed with</w:t>
      </w:r>
      <w:r w:rsidR="004D145D" w:rsidRPr="0036273D">
        <w:t xml:space="preserve"> </w:t>
      </w:r>
      <w:r w:rsidR="006A2247" w:rsidRPr="0036273D">
        <w:t>the submission’s claim that UST is inferior to ADA in terms of comparative effectiveness and equivalent in term of comparative safety</w:t>
      </w:r>
      <w:r>
        <w:t>. However</w:t>
      </w:r>
      <w:r w:rsidR="006A2247" w:rsidRPr="0036273D">
        <w:t xml:space="preserve">, the PBAC </w:t>
      </w:r>
      <w:r w:rsidR="004D145D">
        <w:t>did not accept</w:t>
      </w:r>
      <w:r w:rsidR="006A2247" w:rsidRPr="0036273D">
        <w:t xml:space="preserve"> the </w:t>
      </w:r>
      <w:r w:rsidR="004D145D">
        <w:t xml:space="preserve">submission’s </w:t>
      </w:r>
      <w:r w:rsidR="006A2247" w:rsidRPr="0036273D">
        <w:t xml:space="preserve">claim </w:t>
      </w:r>
      <w:r>
        <w:t>that</w:t>
      </w:r>
      <w:r w:rsidR="006A2247" w:rsidRPr="0036273D">
        <w:t xml:space="preserve"> the proportion of UST-treated patients with joint and skin responses increase</w:t>
      </w:r>
      <w:r>
        <w:t>s</w:t>
      </w:r>
      <w:r w:rsidR="006A2247" w:rsidRPr="0036273D">
        <w:t xml:space="preserve"> over time (through to 52 and 100 weeks) and achieves a response similar to that of ADA, albeit over a longer period of time.</w:t>
      </w:r>
      <w:r w:rsidR="006A2247" w:rsidRPr="0036273D">
        <w:rPr>
          <w:iCs/>
        </w:rPr>
        <w:t xml:space="preserve"> The PBAC agreed with the ESC that this claim was based on an asymmetrical comparison of maintenance of response in a clinical trial of UST and persistence with ADA from a sample of PBS data.</w:t>
      </w:r>
    </w:p>
    <w:p w:rsidR="006A2247" w:rsidRPr="00B648E4" w:rsidRDefault="006A2247" w:rsidP="00B648E4">
      <w:pPr>
        <w:pStyle w:val="ListParagraph"/>
        <w:widowControl/>
        <w:rPr>
          <w:lang w:val="en-US" w:eastAsia="en-AU"/>
        </w:rPr>
      </w:pPr>
      <w:r w:rsidRPr="0036273D">
        <w:rPr>
          <w:iCs/>
        </w:rPr>
        <w:t xml:space="preserve"> </w:t>
      </w:r>
    </w:p>
    <w:p w:rsidR="00D4490E" w:rsidRPr="00424820" w:rsidRDefault="00D4490E" w:rsidP="00424820">
      <w:pPr>
        <w:pStyle w:val="ListParagraph"/>
        <w:widowControl/>
        <w:numPr>
          <w:ilvl w:val="1"/>
          <w:numId w:val="13"/>
        </w:numPr>
      </w:pPr>
      <w:r>
        <w:t xml:space="preserve">The PBAC noted that the submission presented the economic evaluation in two parts, a form of cost effectiveness analysis for the initiation phase and a cost minimisation for the continuing phase The PBAC considered this approach was not appropriate and recalled that it has not previously accepted different prices for initiation and continuing therapy </w:t>
      </w:r>
      <w:r w:rsidR="005C3A78">
        <w:t>with</w:t>
      </w:r>
      <w:r>
        <w:t xml:space="preserve"> any of the bDMARDs that it </w:t>
      </w:r>
      <w:r w:rsidR="005C3A78">
        <w:t xml:space="preserve">has </w:t>
      </w:r>
      <w:r>
        <w:t xml:space="preserve">recommended for PBS listing for PsA. </w:t>
      </w:r>
    </w:p>
    <w:p w:rsidR="00584302" w:rsidRDefault="00584302" w:rsidP="004D145D">
      <w:pPr>
        <w:pStyle w:val="ListParagraph"/>
        <w:widowControl/>
      </w:pPr>
    </w:p>
    <w:p w:rsidR="00D4490E" w:rsidRDefault="00D4490E" w:rsidP="00D4490E">
      <w:pPr>
        <w:pStyle w:val="ListParagraph"/>
        <w:widowControl/>
        <w:numPr>
          <w:ilvl w:val="1"/>
          <w:numId w:val="13"/>
        </w:numPr>
        <w:rPr>
          <w:lang w:val="en-US"/>
        </w:rPr>
      </w:pPr>
      <w:r>
        <w:lastRenderedPageBreak/>
        <w:t xml:space="preserve">The PBAC further noted that the submission applied a </w:t>
      </w:r>
      <w:r w:rsidR="00523FDD">
        <w:rPr>
          <w:noProof/>
          <w:color w:val="000000"/>
          <w:highlight w:val="black"/>
        </w:rPr>
        <w:t>''''''''''''''</w:t>
      </w:r>
      <w:r>
        <w:t xml:space="preserve"> weighted price based upon both skin involvement (PASI75 outcome) and joint involvement (ACR50 outcome) in the cost effectiveness analysis for the initiation phase. </w:t>
      </w:r>
    </w:p>
    <w:p w:rsidR="00D4490E" w:rsidRDefault="00D4490E" w:rsidP="00D4490E"/>
    <w:p w:rsidR="00D4490E" w:rsidRPr="00581326" w:rsidRDefault="000B295B" w:rsidP="006B3E8D">
      <w:pPr>
        <w:pStyle w:val="ListParagraph"/>
        <w:widowControl/>
        <w:numPr>
          <w:ilvl w:val="1"/>
          <w:numId w:val="13"/>
        </w:numPr>
        <w:rPr>
          <w:snapToGrid/>
        </w:rPr>
      </w:pPr>
      <w:r>
        <w:t>The PBAC noted t</w:t>
      </w:r>
      <w:r w:rsidR="00D4490E">
        <w:t>he PSCR argued that as PsA is a disease of the joints, tendons and skin</w:t>
      </w:r>
      <w:r w:rsidR="005C3A78">
        <w:t>,</w:t>
      </w:r>
      <w:r w:rsidR="00D4490E">
        <w:t xml:space="preserve"> therefore </w:t>
      </w:r>
      <w:r w:rsidR="00481645">
        <w:t>to base</w:t>
      </w:r>
      <w:r w:rsidR="00D4490E">
        <w:t xml:space="preserve"> the price </w:t>
      </w:r>
      <w:r w:rsidR="00481645">
        <w:t>of</w:t>
      </w:r>
      <w:r w:rsidR="00D4490E">
        <w:t xml:space="preserve"> UST on achieving ACR50 alone would implicitly reduce the value of any skin improvements associated with UST.</w:t>
      </w:r>
      <w:r w:rsidR="00A11EFD">
        <w:t xml:space="preserve"> The PBAC recalled that </w:t>
      </w:r>
      <w:r w:rsidR="00A11EFD" w:rsidRPr="006B3E8D">
        <w:rPr>
          <w:lang w:val="en-US"/>
        </w:rPr>
        <w:t xml:space="preserve">the utility gain of an improvement in psoriasis has not been previously considered in PsA applications. </w:t>
      </w:r>
      <w:r w:rsidR="006B3E8D" w:rsidRPr="006B3E8D">
        <w:rPr>
          <w:lang w:val="en-US"/>
        </w:rPr>
        <w:t xml:space="preserve">Furthermore, </w:t>
      </w:r>
      <w:r w:rsidR="00D4490E">
        <w:t xml:space="preserve">the PBAC noted </w:t>
      </w:r>
      <w:r>
        <w:t xml:space="preserve">that </w:t>
      </w:r>
      <w:r w:rsidR="00D4490E">
        <w:t xml:space="preserve">an article by </w:t>
      </w:r>
      <w:r w:rsidR="00D4490E" w:rsidRPr="00B7719D">
        <w:t>Cohen</w:t>
      </w:r>
      <w:r w:rsidR="00D4490E">
        <w:t xml:space="preserve">, </w:t>
      </w:r>
      <w:r w:rsidR="00D4490E" w:rsidRPr="00B7719D">
        <w:t>Reda</w:t>
      </w:r>
      <w:r w:rsidR="00424820">
        <w:t xml:space="preserve"> and</w:t>
      </w:r>
      <w:r w:rsidR="00D4490E">
        <w:t xml:space="preserve"> </w:t>
      </w:r>
      <w:r w:rsidR="00D4490E" w:rsidRPr="00B7719D">
        <w:t xml:space="preserve">Clegg </w:t>
      </w:r>
      <w:r w:rsidR="00424820">
        <w:t>(</w:t>
      </w:r>
      <w:r w:rsidR="00D4490E" w:rsidRPr="00523FDD">
        <w:t>The Journal of Rheumatology 1999, 26(8):1752-1756</w:t>
      </w:r>
      <w:r w:rsidR="00424820">
        <w:t>)</w:t>
      </w:r>
      <w:r w:rsidR="00D4490E">
        <w:t xml:space="preserve"> described the relationship between psoriasis and PsA is </w:t>
      </w:r>
      <w:r w:rsidR="009F6009">
        <w:t>weak</w:t>
      </w:r>
      <w:r w:rsidR="00D4490E" w:rsidRPr="006B3E8D">
        <w:rPr>
          <w:i/>
        </w:rPr>
        <w:t xml:space="preserve"> </w:t>
      </w:r>
      <w:r w:rsidR="00D4490E">
        <w:t>and that many patients with severe PsA do not have sever</w:t>
      </w:r>
      <w:r w:rsidR="00B7719D">
        <w:t xml:space="preserve">e psoriasis. </w:t>
      </w:r>
      <w:r w:rsidR="00D4490E" w:rsidRPr="006B3E8D">
        <w:rPr>
          <w:i/>
          <w:color w:val="4F81BD" w:themeColor="accent1"/>
        </w:rPr>
        <w:t xml:space="preserve"> </w:t>
      </w:r>
      <w:r w:rsidR="00481645" w:rsidRPr="00481645">
        <w:t>Hence, t</w:t>
      </w:r>
      <w:r w:rsidR="00D4490E" w:rsidRPr="00481645">
        <w:t xml:space="preserve">he </w:t>
      </w:r>
      <w:r w:rsidR="00D4490E">
        <w:t xml:space="preserve">PBAC considered </w:t>
      </w:r>
      <w:r w:rsidR="00143C9F">
        <w:t xml:space="preserve">that </w:t>
      </w:r>
      <w:r w:rsidR="00D4490E">
        <w:t xml:space="preserve">the </w:t>
      </w:r>
      <w:r w:rsidR="00143C9F">
        <w:t xml:space="preserve">sponsor’s argument is not valid; and that an appropriate basis to determine the price of UST is on ACR50 </w:t>
      </w:r>
      <w:r w:rsidR="00481645">
        <w:t xml:space="preserve">outcome </w:t>
      </w:r>
      <w:r w:rsidR="00143C9F">
        <w:t>alone.</w:t>
      </w:r>
      <w:r w:rsidR="000126E2">
        <w:t xml:space="preserve"> </w:t>
      </w:r>
    </w:p>
    <w:p w:rsidR="00581326" w:rsidRDefault="00581326" w:rsidP="00581326">
      <w:pPr>
        <w:pStyle w:val="ListParagraph"/>
        <w:widowControl/>
        <w:rPr>
          <w:snapToGrid/>
        </w:rPr>
      </w:pPr>
    </w:p>
    <w:p w:rsidR="00B648E4" w:rsidRPr="0036273D" w:rsidRDefault="00581326" w:rsidP="006A2247">
      <w:pPr>
        <w:pStyle w:val="ListParagraph"/>
        <w:widowControl/>
        <w:numPr>
          <w:ilvl w:val="1"/>
          <w:numId w:val="13"/>
        </w:numPr>
        <w:rPr>
          <w:lang w:val="en-US" w:eastAsia="en-AU"/>
        </w:rPr>
      </w:pPr>
      <w:r>
        <w:rPr>
          <w:lang w:val="en-US" w:eastAsia="en-AU"/>
        </w:rPr>
        <w:t>The PBAC noted that this submission is eligible for an Independent Review.</w:t>
      </w:r>
    </w:p>
    <w:p w:rsidR="00D31F54" w:rsidRPr="00D31F54" w:rsidRDefault="00D31F54" w:rsidP="00D31F54">
      <w:pPr>
        <w:rPr>
          <w:b/>
          <w:szCs w:val="22"/>
          <w:lang w:val="en-GB"/>
        </w:rPr>
      </w:pPr>
    </w:p>
    <w:p w:rsidR="00D31F54" w:rsidRPr="00D31F54" w:rsidRDefault="00D31F54" w:rsidP="00D31F54">
      <w:pPr>
        <w:rPr>
          <w:b/>
          <w:bCs/>
          <w:szCs w:val="22"/>
          <w:lang w:val="en-GB"/>
        </w:rPr>
      </w:pPr>
    </w:p>
    <w:p w:rsidR="00D31F54" w:rsidRPr="00D31F54" w:rsidRDefault="00D31F54" w:rsidP="00D31F54">
      <w:pPr>
        <w:rPr>
          <w:b/>
          <w:bCs/>
          <w:szCs w:val="22"/>
          <w:lang w:val="en-GB"/>
        </w:rPr>
      </w:pPr>
      <w:r w:rsidRPr="00D31F54">
        <w:rPr>
          <w:b/>
          <w:bCs/>
          <w:szCs w:val="22"/>
          <w:lang w:val="en-GB"/>
        </w:rPr>
        <w:t>Outcome:</w:t>
      </w:r>
    </w:p>
    <w:p w:rsidR="00D31F54" w:rsidRPr="00D31F54" w:rsidRDefault="00D31F54" w:rsidP="00D31F54">
      <w:pPr>
        <w:rPr>
          <w:bCs/>
          <w:szCs w:val="22"/>
          <w:lang w:val="en-GB"/>
        </w:rPr>
      </w:pPr>
      <w:r w:rsidRPr="00D31F54">
        <w:rPr>
          <w:bCs/>
          <w:szCs w:val="22"/>
          <w:lang w:val="en-GB"/>
        </w:rPr>
        <w:t xml:space="preserve">Rejected </w:t>
      </w:r>
    </w:p>
    <w:p w:rsidR="00D31F54" w:rsidRDefault="00D31F54" w:rsidP="00D31F54">
      <w:pPr>
        <w:rPr>
          <w:bCs/>
          <w:szCs w:val="22"/>
          <w:lang w:val="en-GB"/>
        </w:rPr>
      </w:pPr>
    </w:p>
    <w:p w:rsidR="00F87374" w:rsidRDefault="00F87374" w:rsidP="00D31F54">
      <w:pPr>
        <w:rPr>
          <w:bCs/>
          <w:szCs w:val="22"/>
          <w:lang w:val="en-GB"/>
        </w:rPr>
      </w:pPr>
    </w:p>
    <w:p w:rsidR="00D23B4A" w:rsidRDefault="00D23B4A" w:rsidP="00D23B4A">
      <w:pPr>
        <w:pStyle w:val="ListParagraph"/>
        <w:widowControl/>
        <w:numPr>
          <w:ilvl w:val="0"/>
          <w:numId w:val="13"/>
        </w:numPr>
        <w:rPr>
          <w:b/>
        </w:rPr>
      </w:pPr>
      <w:r w:rsidRPr="00D4420F">
        <w:rPr>
          <w:b/>
        </w:rPr>
        <w:t>Context for Decision</w:t>
      </w:r>
    </w:p>
    <w:p w:rsidR="00D23B4A" w:rsidRPr="00D4420F" w:rsidRDefault="00D23B4A" w:rsidP="00D23B4A">
      <w:pPr>
        <w:pStyle w:val="ListParagraph"/>
        <w:rPr>
          <w:b/>
        </w:rPr>
      </w:pPr>
    </w:p>
    <w:p w:rsidR="00D23B4A" w:rsidRPr="00D4420F" w:rsidRDefault="00D23B4A" w:rsidP="00D23B4A">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23B4A" w:rsidRDefault="00D23B4A" w:rsidP="00D23B4A"/>
    <w:p w:rsidR="00F87374" w:rsidRPr="00D4420F" w:rsidRDefault="00F87374" w:rsidP="00D23B4A"/>
    <w:p w:rsidR="00D23B4A" w:rsidRDefault="00D23B4A" w:rsidP="00D23B4A">
      <w:pPr>
        <w:pStyle w:val="ListParagraph"/>
        <w:widowControl/>
        <w:numPr>
          <w:ilvl w:val="0"/>
          <w:numId w:val="13"/>
        </w:numPr>
        <w:rPr>
          <w:b/>
        </w:rPr>
      </w:pPr>
      <w:r w:rsidRPr="00D4420F">
        <w:rPr>
          <w:b/>
        </w:rPr>
        <w:t>Sponsor’s Comment</w:t>
      </w:r>
    </w:p>
    <w:p w:rsidR="00D23B4A" w:rsidRDefault="00D23B4A" w:rsidP="00F0367A">
      <w:pPr>
        <w:ind w:left="709"/>
        <w:rPr>
          <w:bCs/>
          <w:szCs w:val="22"/>
          <w:lang w:val="en-GB"/>
        </w:rPr>
      </w:pPr>
    </w:p>
    <w:p w:rsidR="00F0367A" w:rsidRDefault="00F0367A" w:rsidP="00F0367A">
      <w:pPr>
        <w:ind w:left="720"/>
      </w:pPr>
      <w:r>
        <w:t>Janssen submitted ustekinumab for the treatment of psoriatic arthritis following requests for a bDMARD with an alternate mechanism of action for these patients.</w:t>
      </w:r>
    </w:p>
    <w:p w:rsidR="00F0367A" w:rsidRDefault="00F0367A" w:rsidP="00F0367A">
      <w:pPr>
        <w:ind w:left="720"/>
      </w:pPr>
      <w:r>
        <w:t xml:space="preserve"> Although disappointed by the PBAC's decision, Janssen remains committed to working with the PBAC to enable patient access to ustekinumab for those in need.</w:t>
      </w:r>
    </w:p>
    <w:p w:rsidR="00F0367A" w:rsidRPr="00F0367A" w:rsidRDefault="00F0367A" w:rsidP="00F0367A">
      <w:pPr>
        <w:ind w:left="720"/>
      </w:pPr>
    </w:p>
    <w:sectPr w:rsidR="00F0367A" w:rsidRPr="00F0367A" w:rsidSect="007C413F">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9EA13" w15:done="0"/>
  <w15:commentEx w15:paraId="41A16958" w15:done="0"/>
  <w15:commentEx w15:paraId="339B2266" w15:done="0"/>
  <w15:commentEx w15:paraId="2D075072" w15:done="0"/>
  <w15:commentEx w15:paraId="727CC299" w15:done="0"/>
  <w15:commentEx w15:paraId="57258B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FDD" w:rsidRDefault="00523FDD" w:rsidP="00124A51">
      <w:r>
        <w:separator/>
      </w:r>
    </w:p>
  </w:endnote>
  <w:endnote w:type="continuationSeparator" w:id="0">
    <w:p w:rsidR="00523FDD" w:rsidRDefault="00523FDD"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50270"/>
      <w:docPartObj>
        <w:docPartGallery w:val="Page Numbers (Bottom of Page)"/>
        <w:docPartUnique/>
      </w:docPartObj>
    </w:sdtPr>
    <w:sdtEndPr>
      <w:rPr>
        <w:noProof/>
      </w:rPr>
    </w:sdtEndPr>
    <w:sdtContent>
      <w:p w:rsidR="00A814F8" w:rsidRDefault="00A814F8">
        <w:pPr>
          <w:pStyle w:val="Footer"/>
          <w:jc w:val="center"/>
        </w:pPr>
      </w:p>
      <w:p w:rsidR="00A814F8" w:rsidRDefault="00A814F8">
        <w:pPr>
          <w:pStyle w:val="Footer"/>
          <w:jc w:val="center"/>
        </w:pPr>
        <w:r>
          <w:fldChar w:fldCharType="begin"/>
        </w:r>
        <w:r>
          <w:instrText xml:space="preserve"> PAGE   \* MERGEFORMAT </w:instrText>
        </w:r>
        <w:r>
          <w:fldChar w:fldCharType="separate"/>
        </w:r>
        <w:r w:rsidR="00B87515">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FDD" w:rsidRDefault="00523FDD" w:rsidP="00124A51">
      <w:r>
        <w:separator/>
      </w:r>
    </w:p>
  </w:footnote>
  <w:footnote w:type="continuationSeparator" w:id="0">
    <w:p w:rsidR="00523FDD" w:rsidRDefault="00523FDD"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F8" w:rsidRPr="00DF217D" w:rsidRDefault="00A814F8" w:rsidP="003F26D7">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A814F8" w:rsidRDefault="00A81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26A"/>
    <w:multiLevelType w:val="hybridMultilevel"/>
    <w:tmpl w:val="C93A5BB2"/>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354FA6"/>
    <w:multiLevelType w:val="hybridMultilevel"/>
    <w:tmpl w:val="BB5AE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6486D"/>
    <w:multiLevelType w:val="hybridMultilevel"/>
    <w:tmpl w:val="33E8CC7E"/>
    <w:lvl w:ilvl="0" w:tplc="1122CAAE">
      <w:start w:val="1"/>
      <w:numFmt w:val="decimal"/>
      <w:lvlText w:val="C.1.%1"/>
      <w:lvlJc w:val="left"/>
      <w:pPr>
        <w:ind w:left="720" w:hanging="360"/>
      </w:pPr>
      <w:rPr>
        <w:rFonts w:hint="default"/>
      </w:rPr>
    </w:lvl>
    <w:lvl w:ilvl="1" w:tplc="93828664">
      <w:start w:val="3"/>
      <w:numFmt w:val="bullet"/>
      <w:lvlText w:val="•"/>
      <w:lvlJc w:val="left"/>
      <w:pPr>
        <w:ind w:left="1440" w:hanging="360"/>
      </w:pPr>
      <w:rPr>
        <w:rFonts w:ascii="Arial Narrow" w:eastAsia="Times New Roman" w:hAnsi="Arial Narrow" w:cs="Times New Roman" w:hint="default"/>
      </w:rPr>
    </w:lvl>
    <w:lvl w:ilvl="2" w:tplc="B8FE59C6">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241851"/>
    <w:multiLevelType w:val="hybridMultilevel"/>
    <w:tmpl w:val="CFAEBEAA"/>
    <w:lvl w:ilvl="0" w:tplc="11F68D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537311"/>
    <w:multiLevelType w:val="hybridMultilevel"/>
    <w:tmpl w:val="32ECDD3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381F4D"/>
    <w:multiLevelType w:val="hybridMultilevel"/>
    <w:tmpl w:val="11A65E74"/>
    <w:lvl w:ilvl="0" w:tplc="E0826D18">
      <w:start w:val="1"/>
      <w:numFmt w:val="bullet"/>
      <w:lvlText w:val="•"/>
      <w:lvlJc w:val="left"/>
      <w:pPr>
        <w:tabs>
          <w:tab w:val="num" w:pos="720"/>
        </w:tabs>
        <w:ind w:left="720" w:hanging="360"/>
      </w:pPr>
      <w:rPr>
        <w:rFonts w:ascii="Times New Roman" w:hAnsi="Times New Roman" w:hint="default"/>
      </w:rPr>
    </w:lvl>
    <w:lvl w:ilvl="1" w:tplc="9E221C0C" w:tentative="1">
      <w:start w:val="1"/>
      <w:numFmt w:val="bullet"/>
      <w:lvlText w:val="•"/>
      <w:lvlJc w:val="left"/>
      <w:pPr>
        <w:tabs>
          <w:tab w:val="num" w:pos="1440"/>
        </w:tabs>
        <w:ind w:left="1440" w:hanging="360"/>
      </w:pPr>
      <w:rPr>
        <w:rFonts w:ascii="Times New Roman" w:hAnsi="Times New Roman" w:hint="default"/>
      </w:rPr>
    </w:lvl>
    <w:lvl w:ilvl="2" w:tplc="3AF88608" w:tentative="1">
      <w:start w:val="1"/>
      <w:numFmt w:val="bullet"/>
      <w:lvlText w:val="•"/>
      <w:lvlJc w:val="left"/>
      <w:pPr>
        <w:tabs>
          <w:tab w:val="num" w:pos="2160"/>
        </w:tabs>
        <w:ind w:left="2160" w:hanging="360"/>
      </w:pPr>
      <w:rPr>
        <w:rFonts w:ascii="Times New Roman" w:hAnsi="Times New Roman" w:hint="default"/>
      </w:rPr>
    </w:lvl>
    <w:lvl w:ilvl="3" w:tplc="44E44710" w:tentative="1">
      <w:start w:val="1"/>
      <w:numFmt w:val="bullet"/>
      <w:lvlText w:val="•"/>
      <w:lvlJc w:val="left"/>
      <w:pPr>
        <w:tabs>
          <w:tab w:val="num" w:pos="2880"/>
        </w:tabs>
        <w:ind w:left="2880" w:hanging="360"/>
      </w:pPr>
      <w:rPr>
        <w:rFonts w:ascii="Times New Roman" w:hAnsi="Times New Roman" w:hint="default"/>
      </w:rPr>
    </w:lvl>
    <w:lvl w:ilvl="4" w:tplc="C416FD6E" w:tentative="1">
      <w:start w:val="1"/>
      <w:numFmt w:val="bullet"/>
      <w:lvlText w:val="•"/>
      <w:lvlJc w:val="left"/>
      <w:pPr>
        <w:tabs>
          <w:tab w:val="num" w:pos="3600"/>
        </w:tabs>
        <w:ind w:left="3600" w:hanging="360"/>
      </w:pPr>
      <w:rPr>
        <w:rFonts w:ascii="Times New Roman" w:hAnsi="Times New Roman" w:hint="default"/>
      </w:rPr>
    </w:lvl>
    <w:lvl w:ilvl="5" w:tplc="EAAEC8A0" w:tentative="1">
      <w:start w:val="1"/>
      <w:numFmt w:val="bullet"/>
      <w:lvlText w:val="•"/>
      <w:lvlJc w:val="left"/>
      <w:pPr>
        <w:tabs>
          <w:tab w:val="num" w:pos="4320"/>
        </w:tabs>
        <w:ind w:left="4320" w:hanging="360"/>
      </w:pPr>
      <w:rPr>
        <w:rFonts w:ascii="Times New Roman" w:hAnsi="Times New Roman" w:hint="default"/>
      </w:rPr>
    </w:lvl>
    <w:lvl w:ilvl="6" w:tplc="326E31EA" w:tentative="1">
      <w:start w:val="1"/>
      <w:numFmt w:val="bullet"/>
      <w:lvlText w:val="•"/>
      <w:lvlJc w:val="left"/>
      <w:pPr>
        <w:tabs>
          <w:tab w:val="num" w:pos="5040"/>
        </w:tabs>
        <w:ind w:left="5040" w:hanging="360"/>
      </w:pPr>
      <w:rPr>
        <w:rFonts w:ascii="Times New Roman" w:hAnsi="Times New Roman" w:hint="default"/>
      </w:rPr>
    </w:lvl>
    <w:lvl w:ilvl="7" w:tplc="2E2A6C3A" w:tentative="1">
      <w:start w:val="1"/>
      <w:numFmt w:val="bullet"/>
      <w:lvlText w:val="•"/>
      <w:lvlJc w:val="left"/>
      <w:pPr>
        <w:tabs>
          <w:tab w:val="num" w:pos="5760"/>
        </w:tabs>
        <w:ind w:left="5760" w:hanging="360"/>
      </w:pPr>
      <w:rPr>
        <w:rFonts w:ascii="Times New Roman" w:hAnsi="Times New Roman" w:hint="default"/>
      </w:rPr>
    </w:lvl>
    <w:lvl w:ilvl="8" w:tplc="6E4A6866" w:tentative="1">
      <w:start w:val="1"/>
      <w:numFmt w:val="bullet"/>
      <w:lvlText w:val="•"/>
      <w:lvlJc w:val="left"/>
      <w:pPr>
        <w:tabs>
          <w:tab w:val="num" w:pos="6480"/>
        </w:tabs>
        <w:ind w:left="6480" w:hanging="360"/>
      </w:pPr>
      <w:rPr>
        <w:rFonts w:ascii="Times New Roman" w:hAnsi="Times New Roman" w:hint="default"/>
      </w:rPr>
    </w:lvl>
  </w:abstractNum>
  <w:abstractNum w:abstractNumId="7">
    <w:nsid w:val="0F236741"/>
    <w:multiLevelType w:val="hybridMultilevel"/>
    <w:tmpl w:val="D1B6D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597123"/>
    <w:multiLevelType w:val="hybridMultilevel"/>
    <w:tmpl w:val="5674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604DC8"/>
    <w:multiLevelType w:val="hybridMultilevel"/>
    <w:tmpl w:val="5B04451C"/>
    <w:lvl w:ilvl="0" w:tplc="9EF0FAE0">
      <w:start w:val="1"/>
      <w:numFmt w:val="lowerRoman"/>
      <w:lvlText w:val="(%1)"/>
      <w:lvlJc w:val="left"/>
      <w:pPr>
        <w:ind w:left="1080" w:hanging="720"/>
      </w:pPr>
      <w:rPr>
        <w:rFonts w:hint="default"/>
      </w:rPr>
    </w:lvl>
    <w:lvl w:ilvl="1" w:tplc="C67E5B0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4D1C85"/>
    <w:multiLevelType w:val="hybridMultilevel"/>
    <w:tmpl w:val="D7FA2F34"/>
    <w:lvl w:ilvl="0" w:tplc="2A0C80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9B148DA"/>
    <w:multiLevelType w:val="hybridMultilevel"/>
    <w:tmpl w:val="206E5F9C"/>
    <w:lvl w:ilvl="0" w:tplc="11F68D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A572DFD"/>
    <w:multiLevelType w:val="hybridMultilevel"/>
    <w:tmpl w:val="80F00DD0"/>
    <w:lvl w:ilvl="0" w:tplc="EEBAD8C6">
      <w:start w:val="1"/>
      <w:numFmt w:val="lowerRoman"/>
      <w:lvlText w:val="(%1)"/>
      <w:lvlJc w:val="left"/>
      <w:pPr>
        <w:ind w:left="1080" w:hanging="720"/>
      </w:pPr>
      <w:rPr>
        <w:rFonts w:hint="default"/>
      </w:rPr>
    </w:lvl>
    <w:lvl w:ilvl="1" w:tplc="66D6BD9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0146395"/>
    <w:multiLevelType w:val="multilevel"/>
    <w:tmpl w:val="726AE608"/>
    <w:lvl w:ilvl="0">
      <w:start w:val="1"/>
      <w:numFmt w:val="decimal"/>
      <w:pStyle w:val="TableTitleD"/>
      <w:lvlText w:val="Table D.%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9B05AE"/>
    <w:multiLevelType w:val="hybridMultilevel"/>
    <w:tmpl w:val="3DEA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7">
    <w:nsid w:val="27842E99"/>
    <w:multiLevelType w:val="hybridMultilevel"/>
    <w:tmpl w:val="A03CB69A"/>
    <w:lvl w:ilvl="0" w:tplc="11F68D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9">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FA3B03"/>
    <w:multiLevelType w:val="hybridMultilevel"/>
    <w:tmpl w:val="55AE88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497DC3"/>
    <w:multiLevelType w:val="hybridMultilevel"/>
    <w:tmpl w:val="08341F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CF2227"/>
    <w:multiLevelType w:val="hybridMultilevel"/>
    <w:tmpl w:val="DC76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5">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nsid w:val="4FB816FD"/>
    <w:multiLevelType w:val="hybridMultilevel"/>
    <w:tmpl w:val="2B8E5AAE"/>
    <w:lvl w:ilvl="0" w:tplc="086A39DE">
      <w:start w:val="1"/>
      <w:numFmt w:val="bullet"/>
      <w:lvlText w:val="-"/>
      <w:lvlJc w:val="left"/>
      <w:pPr>
        <w:ind w:left="783" w:hanging="360"/>
      </w:pPr>
      <w:rPr>
        <w:rFonts w:ascii="Courier New" w:hAnsi="Courier New" w:hint="default"/>
        <w:strike w:val="0"/>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nsid w:val="4FF64EDD"/>
    <w:multiLevelType w:val="hybridMultilevel"/>
    <w:tmpl w:val="5BE28492"/>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AF0E1E"/>
    <w:multiLevelType w:val="hybridMultilevel"/>
    <w:tmpl w:val="6946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2962BA"/>
    <w:multiLevelType w:val="hybridMultilevel"/>
    <w:tmpl w:val="7E1806D0"/>
    <w:lvl w:ilvl="0" w:tplc="086A39DE">
      <w:start w:val="1"/>
      <w:numFmt w:val="bullet"/>
      <w:lvlText w:val="-"/>
      <w:lvlJc w:val="left"/>
      <w:pPr>
        <w:ind w:left="783" w:hanging="360"/>
      </w:pPr>
      <w:rPr>
        <w:rFonts w:ascii="Courier New" w:hAnsi="Courier New"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1">
    <w:nsid w:val="587C4C10"/>
    <w:multiLevelType w:val="hybridMultilevel"/>
    <w:tmpl w:val="A6CAFC5A"/>
    <w:lvl w:ilvl="0" w:tplc="03EA99FA">
      <w:start w:val="1"/>
      <w:numFmt w:val="decimal"/>
      <w:lvlText w:val="C.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AC310F"/>
    <w:multiLevelType w:val="multilevel"/>
    <w:tmpl w:val="179AB3EA"/>
    <w:lvl w:ilvl="0">
      <w:start w:val="1"/>
      <w:numFmt w:val="decimal"/>
      <w:pStyle w:val="TableTitleB"/>
      <w:lvlText w:val="Table B.%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6A2054"/>
    <w:multiLevelType w:val="hybridMultilevel"/>
    <w:tmpl w:val="F6AA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7974C5"/>
    <w:multiLevelType w:val="hybridMultilevel"/>
    <w:tmpl w:val="8A349082"/>
    <w:lvl w:ilvl="0" w:tplc="61F0C3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59F415E"/>
    <w:multiLevelType w:val="hybridMultilevel"/>
    <w:tmpl w:val="07FA72D6"/>
    <w:lvl w:ilvl="0" w:tplc="180830FE">
      <w:start w:val="1"/>
      <w:numFmt w:val="bullet"/>
      <w:lvlText w:val="•"/>
      <w:lvlJc w:val="left"/>
      <w:pPr>
        <w:tabs>
          <w:tab w:val="num" w:pos="720"/>
        </w:tabs>
        <w:ind w:left="720" w:hanging="360"/>
      </w:pPr>
      <w:rPr>
        <w:rFonts w:ascii="Times New Roman" w:hAnsi="Times New Roman" w:hint="default"/>
      </w:rPr>
    </w:lvl>
    <w:lvl w:ilvl="1" w:tplc="01E64FE4" w:tentative="1">
      <w:start w:val="1"/>
      <w:numFmt w:val="bullet"/>
      <w:lvlText w:val="•"/>
      <w:lvlJc w:val="left"/>
      <w:pPr>
        <w:tabs>
          <w:tab w:val="num" w:pos="1440"/>
        </w:tabs>
        <w:ind w:left="1440" w:hanging="360"/>
      </w:pPr>
      <w:rPr>
        <w:rFonts w:ascii="Times New Roman" w:hAnsi="Times New Roman" w:hint="default"/>
      </w:rPr>
    </w:lvl>
    <w:lvl w:ilvl="2" w:tplc="2F72793C" w:tentative="1">
      <w:start w:val="1"/>
      <w:numFmt w:val="bullet"/>
      <w:lvlText w:val="•"/>
      <w:lvlJc w:val="left"/>
      <w:pPr>
        <w:tabs>
          <w:tab w:val="num" w:pos="2160"/>
        </w:tabs>
        <w:ind w:left="2160" w:hanging="360"/>
      </w:pPr>
      <w:rPr>
        <w:rFonts w:ascii="Times New Roman" w:hAnsi="Times New Roman" w:hint="default"/>
      </w:rPr>
    </w:lvl>
    <w:lvl w:ilvl="3" w:tplc="908CF8FE" w:tentative="1">
      <w:start w:val="1"/>
      <w:numFmt w:val="bullet"/>
      <w:lvlText w:val="•"/>
      <w:lvlJc w:val="left"/>
      <w:pPr>
        <w:tabs>
          <w:tab w:val="num" w:pos="2880"/>
        </w:tabs>
        <w:ind w:left="2880" w:hanging="360"/>
      </w:pPr>
      <w:rPr>
        <w:rFonts w:ascii="Times New Roman" w:hAnsi="Times New Roman" w:hint="default"/>
      </w:rPr>
    </w:lvl>
    <w:lvl w:ilvl="4" w:tplc="BA1425F2" w:tentative="1">
      <w:start w:val="1"/>
      <w:numFmt w:val="bullet"/>
      <w:lvlText w:val="•"/>
      <w:lvlJc w:val="left"/>
      <w:pPr>
        <w:tabs>
          <w:tab w:val="num" w:pos="3600"/>
        </w:tabs>
        <w:ind w:left="3600" w:hanging="360"/>
      </w:pPr>
      <w:rPr>
        <w:rFonts w:ascii="Times New Roman" w:hAnsi="Times New Roman" w:hint="default"/>
      </w:rPr>
    </w:lvl>
    <w:lvl w:ilvl="5" w:tplc="24BE0950" w:tentative="1">
      <w:start w:val="1"/>
      <w:numFmt w:val="bullet"/>
      <w:lvlText w:val="•"/>
      <w:lvlJc w:val="left"/>
      <w:pPr>
        <w:tabs>
          <w:tab w:val="num" w:pos="4320"/>
        </w:tabs>
        <w:ind w:left="4320" w:hanging="360"/>
      </w:pPr>
      <w:rPr>
        <w:rFonts w:ascii="Times New Roman" w:hAnsi="Times New Roman" w:hint="default"/>
      </w:rPr>
    </w:lvl>
    <w:lvl w:ilvl="6" w:tplc="B3F674AA" w:tentative="1">
      <w:start w:val="1"/>
      <w:numFmt w:val="bullet"/>
      <w:lvlText w:val="•"/>
      <w:lvlJc w:val="left"/>
      <w:pPr>
        <w:tabs>
          <w:tab w:val="num" w:pos="5040"/>
        </w:tabs>
        <w:ind w:left="5040" w:hanging="360"/>
      </w:pPr>
      <w:rPr>
        <w:rFonts w:ascii="Times New Roman" w:hAnsi="Times New Roman" w:hint="default"/>
      </w:rPr>
    </w:lvl>
    <w:lvl w:ilvl="7" w:tplc="08D8BA52" w:tentative="1">
      <w:start w:val="1"/>
      <w:numFmt w:val="bullet"/>
      <w:lvlText w:val="•"/>
      <w:lvlJc w:val="left"/>
      <w:pPr>
        <w:tabs>
          <w:tab w:val="num" w:pos="5760"/>
        </w:tabs>
        <w:ind w:left="5760" w:hanging="360"/>
      </w:pPr>
      <w:rPr>
        <w:rFonts w:ascii="Times New Roman" w:hAnsi="Times New Roman" w:hint="default"/>
      </w:rPr>
    </w:lvl>
    <w:lvl w:ilvl="8" w:tplc="69FEC0D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6447A90"/>
    <w:multiLevelType w:val="hybridMultilevel"/>
    <w:tmpl w:val="5A280446"/>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80C5D0C"/>
    <w:multiLevelType w:val="hybridMultilevel"/>
    <w:tmpl w:val="D86C433C"/>
    <w:lvl w:ilvl="0" w:tplc="E6481F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D9A008E"/>
    <w:multiLevelType w:val="hybridMultilevel"/>
    <w:tmpl w:val="E440F030"/>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C36291"/>
    <w:multiLevelType w:val="hybridMultilevel"/>
    <w:tmpl w:val="2F3C68C8"/>
    <w:lvl w:ilvl="0" w:tplc="C09E291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325527"/>
    <w:multiLevelType w:val="hybridMultilevel"/>
    <w:tmpl w:val="26B4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566237F"/>
    <w:multiLevelType w:val="hybridMultilevel"/>
    <w:tmpl w:val="0C3C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5D66BC1"/>
    <w:multiLevelType w:val="hybridMultilevel"/>
    <w:tmpl w:val="2B40885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760E572A"/>
    <w:multiLevelType w:val="hybridMultilevel"/>
    <w:tmpl w:val="738C61C4"/>
    <w:lvl w:ilvl="0" w:tplc="1BD4F4A2">
      <w:start w:val="1"/>
      <w:numFmt w:val="bullet"/>
      <w:lvlText w:val=""/>
      <w:lvlJc w:val="left"/>
      <w:pPr>
        <w:ind w:left="783" w:hanging="360"/>
      </w:pPr>
      <w:rPr>
        <w:rFonts w:ascii="Symbol" w:hAnsi="Symbol" w:hint="default"/>
        <w:strike w:val="0"/>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5">
    <w:nsid w:val="784D033C"/>
    <w:multiLevelType w:val="multilevel"/>
    <w:tmpl w:val="994C5EA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2177E8"/>
    <w:multiLevelType w:val="hybridMultilevel"/>
    <w:tmpl w:val="BCF0F194"/>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F0E1A64"/>
    <w:multiLevelType w:val="hybridMultilevel"/>
    <w:tmpl w:val="16E47CEE"/>
    <w:lvl w:ilvl="0" w:tplc="E0D4A958">
      <w:start w:val="3"/>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4"/>
  </w:num>
  <w:num w:numId="3">
    <w:abstractNumId w:val="19"/>
  </w:num>
  <w:num w:numId="4">
    <w:abstractNumId w:val="42"/>
  </w:num>
  <w:num w:numId="5">
    <w:abstractNumId w:val="18"/>
  </w:num>
  <w:num w:numId="6">
    <w:abstractNumId w:val="16"/>
  </w:num>
  <w:num w:numId="7">
    <w:abstractNumId w:val="10"/>
  </w:num>
  <w:num w:numId="8">
    <w:abstractNumId w:val="48"/>
  </w:num>
  <w:num w:numId="9">
    <w:abstractNumId w:val="26"/>
  </w:num>
  <w:num w:numId="10">
    <w:abstractNumId w:val="25"/>
  </w:num>
  <w:num w:numId="11">
    <w:abstractNumId w:val="22"/>
  </w:num>
  <w:num w:numId="12">
    <w:abstractNumId w:val="2"/>
  </w:num>
  <w:num w:numId="13">
    <w:abstractNumId w:val="45"/>
  </w:num>
  <w:num w:numId="14">
    <w:abstractNumId w:val="46"/>
  </w:num>
  <w:num w:numId="15">
    <w:abstractNumId w:val="9"/>
  </w:num>
  <w:num w:numId="16">
    <w:abstractNumId w:val="40"/>
  </w:num>
  <w:num w:numId="17">
    <w:abstractNumId w:val="12"/>
  </w:num>
  <w:num w:numId="18">
    <w:abstractNumId w:val="4"/>
  </w:num>
  <w:num w:numId="19">
    <w:abstractNumId w:val="17"/>
  </w:num>
  <w:num w:numId="20">
    <w:abstractNumId w:val="38"/>
  </w:num>
  <w:num w:numId="21">
    <w:abstractNumId w:val="47"/>
  </w:num>
  <w:num w:numId="22">
    <w:abstractNumId w:val="13"/>
  </w:num>
  <w:num w:numId="23">
    <w:abstractNumId w:val="35"/>
  </w:num>
  <w:num w:numId="24">
    <w:abstractNumId w:val="11"/>
  </w:num>
  <w:num w:numId="25">
    <w:abstractNumId w:val="0"/>
  </w:num>
  <w:num w:numId="26">
    <w:abstractNumId w:val="7"/>
  </w:num>
  <w:num w:numId="27">
    <w:abstractNumId w:val="39"/>
  </w:num>
  <w:num w:numId="28">
    <w:abstractNumId w:val="32"/>
  </w:num>
  <w:num w:numId="29">
    <w:abstractNumId w:val="37"/>
  </w:num>
  <w:num w:numId="30">
    <w:abstractNumId w:val="28"/>
  </w:num>
  <w:num w:numId="31">
    <w:abstractNumId w:val="15"/>
  </w:num>
  <w:num w:numId="32">
    <w:abstractNumId w:val="8"/>
  </w:num>
  <w:num w:numId="33">
    <w:abstractNumId w:val="29"/>
  </w:num>
  <w:num w:numId="34">
    <w:abstractNumId w:val="3"/>
  </w:num>
  <w:num w:numId="35">
    <w:abstractNumId w:val="31"/>
  </w:num>
  <w:num w:numId="36">
    <w:abstractNumId w:val="23"/>
  </w:num>
  <w:num w:numId="37">
    <w:abstractNumId w:val="14"/>
  </w:num>
  <w:num w:numId="38">
    <w:abstractNumId w:val="1"/>
  </w:num>
  <w:num w:numId="39">
    <w:abstractNumId w:val="5"/>
  </w:num>
  <w:num w:numId="40">
    <w:abstractNumId w:val="20"/>
  </w:num>
  <w:num w:numId="41">
    <w:abstractNumId w:val="44"/>
  </w:num>
  <w:num w:numId="42">
    <w:abstractNumId w:val="43"/>
  </w:num>
  <w:num w:numId="43">
    <w:abstractNumId w:val="21"/>
  </w:num>
  <w:num w:numId="44">
    <w:abstractNumId w:val="34"/>
  </w:num>
  <w:num w:numId="45">
    <w:abstractNumId w:val="30"/>
  </w:num>
  <w:num w:numId="46">
    <w:abstractNumId w:val="27"/>
  </w:num>
  <w:num w:numId="47">
    <w:abstractNumId w:val="41"/>
  </w:num>
  <w:num w:numId="48">
    <w:abstractNumId w:val="36"/>
  </w:num>
  <w:num w:numId="49">
    <w:abstractNumId w:val="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y Mihalopoulos">
    <w15:presenceInfo w15:providerId="AD" w15:userId="S-1-5-21-248963057-614103661-3067232799-2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7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A82"/>
    <w:rsid w:val="00003499"/>
    <w:rsid w:val="00004A05"/>
    <w:rsid w:val="00006848"/>
    <w:rsid w:val="00006E03"/>
    <w:rsid w:val="00010F63"/>
    <w:rsid w:val="000126E2"/>
    <w:rsid w:val="00013247"/>
    <w:rsid w:val="000133CC"/>
    <w:rsid w:val="00015886"/>
    <w:rsid w:val="000162EF"/>
    <w:rsid w:val="000210F1"/>
    <w:rsid w:val="0002225F"/>
    <w:rsid w:val="0002371B"/>
    <w:rsid w:val="00023763"/>
    <w:rsid w:val="000269EE"/>
    <w:rsid w:val="00040895"/>
    <w:rsid w:val="00043C37"/>
    <w:rsid w:val="000546D7"/>
    <w:rsid w:val="00055886"/>
    <w:rsid w:val="00064B9D"/>
    <w:rsid w:val="0007024F"/>
    <w:rsid w:val="00071248"/>
    <w:rsid w:val="000720B9"/>
    <w:rsid w:val="00077D7A"/>
    <w:rsid w:val="00077E64"/>
    <w:rsid w:val="000812CA"/>
    <w:rsid w:val="000868C8"/>
    <w:rsid w:val="00090C7A"/>
    <w:rsid w:val="00090C7E"/>
    <w:rsid w:val="00095BC8"/>
    <w:rsid w:val="000969AB"/>
    <w:rsid w:val="000A5FEC"/>
    <w:rsid w:val="000A75D6"/>
    <w:rsid w:val="000B295B"/>
    <w:rsid w:val="000B4627"/>
    <w:rsid w:val="000B71C5"/>
    <w:rsid w:val="000C3BB7"/>
    <w:rsid w:val="000C4106"/>
    <w:rsid w:val="000D1BFC"/>
    <w:rsid w:val="000D3738"/>
    <w:rsid w:val="000E447D"/>
    <w:rsid w:val="000E60F4"/>
    <w:rsid w:val="000E76DD"/>
    <w:rsid w:val="000F1C98"/>
    <w:rsid w:val="000F2F12"/>
    <w:rsid w:val="000F4BB8"/>
    <w:rsid w:val="000F6511"/>
    <w:rsid w:val="000F7127"/>
    <w:rsid w:val="00100F8A"/>
    <w:rsid w:val="0010263E"/>
    <w:rsid w:val="00103A2D"/>
    <w:rsid w:val="00106461"/>
    <w:rsid w:val="001071D8"/>
    <w:rsid w:val="00107F8F"/>
    <w:rsid w:val="0011032E"/>
    <w:rsid w:val="00110EA3"/>
    <w:rsid w:val="00112911"/>
    <w:rsid w:val="0011324F"/>
    <w:rsid w:val="0011348B"/>
    <w:rsid w:val="00113DA5"/>
    <w:rsid w:val="00121799"/>
    <w:rsid w:val="001222FC"/>
    <w:rsid w:val="00124A51"/>
    <w:rsid w:val="001259F7"/>
    <w:rsid w:val="00126120"/>
    <w:rsid w:val="00126621"/>
    <w:rsid w:val="0012724D"/>
    <w:rsid w:val="001301E9"/>
    <w:rsid w:val="0013495E"/>
    <w:rsid w:val="00137645"/>
    <w:rsid w:val="00137C6B"/>
    <w:rsid w:val="00137F6D"/>
    <w:rsid w:val="0014015A"/>
    <w:rsid w:val="00140E99"/>
    <w:rsid w:val="00143C9F"/>
    <w:rsid w:val="00145540"/>
    <w:rsid w:val="001456B0"/>
    <w:rsid w:val="00147A2F"/>
    <w:rsid w:val="00157130"/>
    <w:rsid w:val="00157FB6"/>
    <w:rsid w:val="00162913"/>
    <w:rsid w:val="00163EFF"/>
    <w:rsid w:val="001661FB"/>
    <w:rsid w:val="00170D93"/>
    <w:rsid w:val="00171253"/>
    <w:rsid w:val="00183FC6"/>
    <w:rsid w:val="0018752F"/>
    <w:rsid w:val="00195222"/>
    <w:rsid w:val="001974FB"/>
    <w:rsid w:val="001975D8"/>
    <w:rsid w:val="001A1185"/>
    <w:rsid w:val="001A327E"/>
    <w:rsid w:val="001A4CF3"/>
    <w:rsid w:val="001B0DFA"/>
    <w:rsid w:val="001B3443"/>
    <w:rsid w:val="001B6FD2"/>
    <w:rsid w:val="001B7CD5"/>
    <w:rsid w:val="001C6E66"/>
    <w:rsid w:val="001D0252"/>
    <w:rsid w:val="001E2236"/>
    <w:rsid w:val="001E238E"/>
    <w:rsid w:val="001E2B1E"/>
    <w:rsid w:val="001E52EB"/>
    <w:rsid w:val="001E61B2"/>
    <w:rsid w:val="001E697C"/>
    <w:rsid w:val="001E740C"/>
    <w:rsid w:val="001F0493"/>
    <w:rsid w:val="001F1235"/>
    <w:rsid w:val="001F1CB3"/>
    <w:rsid w:val="001F32CC"/>
    <w:rsid w:val="001F5044"/>
    <w:rsid w:val="001F7361"/>
    <w:rsid w:val="0020385F"/>
    <w:rsid w:val="00203A84"/>
    <w:rsid w:val="00205DBB"/>
    <w:rsid w:val="00207021"/>
    <w:rsid w:val="00207B5B"/>
    <w:rsid w:val="00207D00"/>
    <w:rsid w:val="002105C1"/>
    <w:rsid w:val="0021429F"/>
    <w:rsid w:val="00215C97"/>
    <w:rsid w:val="00222DCF"/>
    <w:rsid w:val="00223B49"/>
    <w:rsid w:val="00224DD4"/>
    <w:rsid w:val="00225E5D"/>
    <w:rsid w:val="0022763A"/>
    <w:rsid w:val="002309CC"/>
    <w:rsid w:val="00234B26"/>
    <w:rsid w:val="00235E1E"/>
    <w:rsid w:val="00236CD5"/>
    <w:rsid w:val="00237333"/>
    <w:rsid w:val="002425CD"/>
    <w:rsid w:val="0025387C"/>
    <w:rsid w:val="00254DCF"/>
    <w:rsid w:val="00254E6C"/>
    <w:rsid w:val="0025534B"/>
    <w:rsid w:val="00255BB7"/>
    <w:rsid w:val="00256887"/>
    <w:rsid w:val="00262A87"/>
    <w:rsid w:val="00264A1E"/>
    <w:rsid w:val="00274BB9"/>
    <w:rsid w:val="00275C5A"/>
    <w:rsid w:val="00281014"/>
    <w:rsid w:val="00292EEB"/>
    <w:rsid w:val="002A104E"/>
    <w:rsid w:val="002A14AB"/>
    <w:rsid w:val="002A6628"/>
    <w:rsid w:val="002A70DF"/>
    <w:rsid w:val="002B1C1F"/>
    <w:rsid w:val="002B432F"/>
    <w:rsid w:val="002B5FDA"/>
    <w:rsid w:val="002B6CCE"/>
    <w:rsid w:val="002C2775"/>
    <w:rsid w:val="002C27C1"/>
    <w:rsid w:val="002C5682"/>
    <w:rsid w:val="002C7C39"/>
    <w:rsid w:val="002D274D"/>
    <w:rsid w:val="002E0FBB"/>
    <w:rsid w:val="002E15FF"/>
    <w:rsid w:val="002E7860"/>
    <w:rsid w:val="002F0DC6"/>
    <w:rsid w:val="002F6C99"/>
    <w:rsid w:val="002F7398"/>
    <w:rsid w:val="00300AB1"/>
    <w:rsid w:val="00301017"/>
    <w:rsid w:val="003015D1"/>
    <w:rsid w:val="00302F18"/>
    <w:rsid w:val="0030786C"/>
    <w:rsid w:val="0031031A"/>
    <w:rsid w:val="00310981"/>
    <w:rsid w:val="003111E1"/>
    <w:rsid w:val="00314E82"/>
    <w:rsid w:val="00314F53"/>
    <w:rsid w:val="00315498"/>
    <w:rsid w:val="003226C4"/>
    <w:rsid w:val="00326F7C"/>
    <w:rsid w:val="003366C9"/>
    <w:rsid w:val="003371B0"/>
    <w:rsid w:val="00346BA7"/>
    <w:rsid w:val="00346C2F"/>
    <w:rsid w:val="00353047"/>
    <w:rsid w:val="0035620E"/>
    <w:rsid w:val="00356748"/>
    <w:rsid w:val="00357653"/>
    <w:rsid w:val="00357C39"/>
    <w:rsid w:val="003610CB"/>
    <w:rsid w:val="0036273D"/>
    <w:rsid w:val="00362C76"/>
    <w:rsid w:val="00362FD7"/>
    <w:rsid w:val="0036310D"/>
    <w:rsid w:val="00365B0C"/>
    <w:rsid w:val="0037691B"/>
    <w:rsid w:val="00380B14"/>
    <w:rsid w:val="0038143F"/>
    <w:rsid w:val="00382997"/>
    <w:rsid w:val="0038365C"/>
    <w:rsid w:val="0038488A"/>
    <w:rsid w:val="00390C81"/>
    <w:rsid w:val="00395D5B"/>
    <w:rsid w:val="00396FD0"/>
    <w:rsid w:val="003970E4"/>
    <w:rsid w:val="00397449"/>
    <w:rsid w:val="003A0829"/>
    <w:rsid w:val="003A19F9"/>
    <w:rsid w:val="003A1A7A"/>
    <w:rsid w:val="003A20FC"/>
    <w:rsid w:val="003A56AD"/>
    <w:rsid w:val="003A6160"/>
    <w:rsid w:val="003A61EA"/>
    <w:rsid w:val="003A7689"/>
    <w:rsid w:val="003B15DC"/>
    <w:rsid w:val="003B5E83"/>
    <w:rsid w:val="003C1C77"/>
    <w:rsid w:val="003C235D"/>
    <w:rsid w:val="003D1828"/>
    <w:rsid w:val="003D1D7A"/>
    <w:rsid w:val="003D2422"/>
    <w:rsid w:val="003D37ED"/>
    <w:rsid w:val="003D5E62"/>
    <w:rsid w:val="003E1018"/>
    <w:rsid w:val="003E71D5"/>
    <w:rsid w:val="003F26D7"/>
    <w:rsid w:val="003F3625"/>
    <w:rsid w:val="003F4156"/>
    <w:rsid w:val="00400BC2"/>
    <w:rsid w:val="0040249C"/>
    <w:rsid w:val="00410708"/>
    <w:rsid w:val="00410EC7"/>
    <w:rsid w:val="00414147"/>
    <w:rsid w:val="00414476"/>
    <w:rsid w:val="004144FC"/>
    <w:rsid w:val="00420078"/>
    <w:rsid w:val="00420B9F"/>
    <w:rsid w:val="00424820"/>
    <w:rsid w:val="00427B17"/>
    <w:rsid w:val="00427E6A"/>
    <w:rsid w:val="00430022"/>
    <w:rsid w:val="004319F8"/>
    <w:rsid w:val="00432C0A"/>
    <w:rsid w:val="00433044"/>
    <w:rsid w:val="0043544F"/>
    <w:rsid w:val="00440179"/>
    <w:rsid w:val="004443A7"/>
    <w:rsid w:val="004464EB"/>
    <w:rsid w:val="0044714E"/>
    <w:rsid w:val="004471FE"/>
    <w:rsid w:val="00447232"/>
    <w:rsid w:val="004473F2"/>
    <w:rsid w:val="00455D45"/>
    <w:rsid w:val="00461522"/>
    <w:rsid w:val="00464595"/>
    <w:rsid w:val="00465246"/>
    <w:rsid w:val="00466C10"/>
    <w:rsid w:val="00467A36"/>
    <w:rsid w:val="00471534"/>
    <w:rsid w:val="00471BD9"/>
    <w:rsid w:val="00475EAF"/>
    <w:rsid w:val="00481645"/>
    <w:rsid w:val="004834B8"/>
    <w:rsid w:val="00485F1A"/>
    <w:rsid w:val="004867E2"/>
    <w:rsid w:val="00490EAA"/>
    <w:rsid w:val="00491B3A"/>
    <w:rsid w:val="00491E23"/>
    <w:rsid w:val="00492292"/>
    <w:rsid w:val="00492BBE"/>
    <w:rsid w:val="00492CFD"/>
    <w:rsid w:val="00493CC1"/>
    <w:rsid w:val="004962D2"/>
    <w:rsid w:val="004A0DA1"/>
    <w:rsid w:val="004A308B"/>
    <w:rsid w:val="004A5622"/>
    <w:rsid w:val="004A6597"/>
    <w:rsid w:val="004B1CB4"/>
    <w:rsid w:val="004B285A"/>
    <w:rsid w:val="004B2F18"/>
    <w:rsid w:val="004B3DDB"/>
    <w:rsid w:val="004B44FD"/>
    <w:rsid w:val="004B5CFC"/>
    <w:rsid w:val="004C0E43"/>
    <w:rsid w:val="004C13C1"/>
    <w:rsid w:val="004C419D"/>
    <w:rsid w:val="004C45C4"/>
    <w:rsid w:val="004C4AED"/>
    <w:rsid w:val="004C69F3"/>
    <w:rsid w:val="004D12FF"/>
    <w:rsid w:val="004D145D"/>
    <w:rsid w:val="004D703C"/>
    <w:rsid w:val="004E0EB8"/>
    <w:rsid w:val="004E2ADC"/>
    <w:rsid w:val="004E43B2"/>
    <w:rsid w:val="004F1D02"/>
    <w:rsid w:val="004F2679"/>
    <w:rsid w:val="004F7865"/>
    <w:rsid w:val="00500118"/>
    <w:rsid w:val="00502D62"/>
    <w:rsid w:val="0050597E"/>
    <w:rsid w:val="00506928"/>
    <w:rsid w:val="0051365D"/>
    <w:rsid w:val="005152B5"/>
    <w:rsid w:val="005207CD"/>
    <w:rsid w:val="00521319"/>
    <w:rsid w:val="005229F3"/>
    <w:rsid w:val="00523C28"/>
    <w:rsid w:val="00523FDD"/>
    <w:rsid w:val="00524563"/>
    <w:rsid w:val="005251D2"/>
    <w:rsid w:val="00526BF8"/>
    <w:rsid w:val="005300B4"/>
    <w:rsid w:val="00531D80"/>
    <w:rsid w:val="00531E21"/>
    <w:rsid w:val="00532931"/>
    <w:rsid w:val="005354A9"/>
    <w:rsid w:val="00537E7D"/>
    <w:rsid w:val="00540A10"/>
    <w:rsid w:val="00540CA2"/>
    <w:rsid w:val="00542758"/>
    <w:rsid w:val="005431BC"/>
    <w:rsid w:val="00547B4E"/>
    <w:rsid w:val="0055010D"/>
    <w:rsid w:val="00551799"/>
    <w:rsid w:val="00551975"/>
    <w:rsid w:val="00552BD3"/>
    <w:rsid w:val="00555109"/>
    <w:rsid w:val="00555B4E"/>
    <w:rsid w:val="005640CD"/>
    <w:rsid w:val="005641E0"/>
    <w:rsid w:val="0056696F"/>
    <w:rsid w:val="00575853"/>
    <w:rsid w:val="00575D8D"/>
    <w:rsid w:val="00576972"/>
    <w:rsid w:val="0057775C"/>
    <w:rsid w:val="00581326"/>
    <w:rsid w:val="0058165A"/>
    <w:rsid w:val="00583699"/>
    <w:rsid w:val="00583C2D"/>
    <w:rsid w:val="00584302"/>
    <w:rsid w:val="00592C74"/>
    <w:rsid w:val="0059350B"/>
    <w:rsid w:val="005949C3"/>
    <w:rsid w:val="00597258"/>
    <w:rsid w:val="005A78F6"/>
    <w:rsid w:val="005B5857"/>
    <w:rsid w:val="005B5D5E"/>
    <w:rsid w:val="005C1B83"/>
    <w:rsid w:val="005C29EE"/>
    <w:rsid w:val="005C2E55"/>
    <w:rsid w:val="005C346B"/>
    <w:rsid w:val="005C3A78"/>
    <w:rsid w:val="005D02B9"/>
    <w:rsid w:val="005D044D"/>
    <w:rsid w:val="005D18AD"/>
    <w:rsid w:val="005D1A60"/>
    <w:rsid w:val="005E3316"/>
    <w:rsid w:val="005E73C0"/>
    <w:rsid w:val="005F2706"/>
    <w:rsid w:val="005F54A9"/>
    <w:rsid w:val="005F6A8F"/>
    <w:rsid w:val="006021DB"/>
    <w:rsid w:val="0060284F"/>
    <w:rsid w:val="0060326D"/>
    <w:rsid w:val="00606E8D"/>
    <w:rsid w:val="00607669"/>
    <w:rsid w:val="0061033D"/>
    <w:rsid w:val="00611D1B"/>
    <w:rsid w:val="00612F97"/>
    <w:rsid w:val="00613F8B"/>
    <w:rsid w:val="0061577F"/>
    <w:rsid w:val="00616802"/>
    <w:rsid w:val="00617E12"/>
    <w:rsid w:val="00621477"/>
    <w:rsid w:val="006243C2"/>
    <w:rsid w:val="00624F58"/>
    <w:rsid w:val="00625EEA"/>
    <w:rsid w:val="0062614B"/>
    <w:rsid w:val="0062630C"/>
    <w:rsid w:val="00631D6B"/>
    <w:rsid w:val="0063200E"/>
    <w:rsid w:val="0063238A"/>
    <w:rsid w:val="006341F2"/>
    <w:rsid w:val="0063479F"/>
    <w:rsid w:val="006364A1"/>
    <w:rsid w:val="00637BFD"/>
    <w:rsid w:val="00645EE2"/>
    <w:rsid w:val="006471CC"/>
    <w:rsid w:val="0065079F"/>
    <w:rsid w:val="00660C85"/>
    <w:rsid w:val="00660E24"/>
    <w:rsid w:val="0066233A"/>
    <w:rsid w:val="006627B6"/>
    <w:rsid w:val="00662B02"/>
    <w:rsid w:val="00663836"/>
    <w:rsid w:val="006652DA"/>
    <w:rsid w:val="006708C1"/>
    <w:rsid w:val="00670D01"/>
    <w:rsid w:val="00674E42"/>
    <w:rsid w:val="00682112"/>
    <w:rsid w:val="00686B33"/>
    <w:rsid w:val="006872BA"/>
    <w:rsid w:val="006917D7"/>
    <w:rsid w:val="0069347C"/>
    <w:rsid w:val="00694F44"/>
    <w:rsid w:val="00696785"/>
    <w:rsid w:val="006A0CDD"/>
    <w:rsid w:val="006A2247"/>
    <w:rsid w:val="006A653F"/>
    <w:rsid w:val="006B3E8D"/>
    <w:rsid w:val="006B56FB"/>
    <w:rsid w:val="006C242A"/>
    <w:rsid w:val="006C2A8E"/>
    <w:rsid w:val="006C4006"/>
    <w:rsid w:val="006D235F"/>
    <w:rsid w:val="006D3A92"/>
    <w:rsid w:val="006D3C7D"/>
    <w:rsid w:val="006D5D5F"/>
    <w:rsid w:val="006D644F"/>
    <w:rsid w:val="006E36FD"/>
    <w:rsid w:val="006F02C6"/>
    <w:rsid w:val="006F2A1F"/>
    <w:rsid w:val="006F63A5"/>
    <w:rsid w:val="0070213F"/>
    <w:rsid w:val="0070276E"/>
    <w:rsid w:val="00702F8F"/>
    <w:rsid w:val="00711A36"/>
    <w:rsid w:val="007144C0"/>
    <w:rsid w:val="00715AA2"/>
    <w:rsid w:val="007172AD"/>
    <w:rsid w:val="00721AB2"/>
    <w:rsid w:val="00722C59"/>
    <w:rsid w:val="0072416F"/>
    <w:rsid w:val="00727474"/>
    <w:rsid w:val="007308C3"/>
    <w:rsid w:val="00735328"/>
    <w:rsid w:val="0073685B"/>
    <w:rsid w:val="00742F0F"/>
    <w:rsid w:val="00745C99"/>
    <w:rsid w:val="00747C18"/>
    <w:rsid w:val="0075126A"/>
    <w:rsid w:val="0075170B"/>
    <w:rsid w:val="007574FB"/>
    <w:rsid w:val="0076168A"/>
    <w:rsid w:val="0076194D"/>
    <w:rsid w:val="00764171"/>
    <w:rsid w:val="007647D3"/>
    <w:rsid w:val="00774255"/>
    <w:rsid w:val="00776BBC"/>
    <w:rsid w:val="00777FA8"/>
    <w:rsid w:val="00784A95"/>
    <w:rsid w:val="007861FE"/>
    <w:rsid w:val="007870B9"/>
    <w:rsid w:val="00794391"/>
    <w:rsid w:val="007A0A12"/>
    <w:rsid w:val="007A0E95"/>
    <w:rsid w:val="007A13C3"/>
    <w:rsid w:val="007A68B7"/>
    <w:rsid w:val="007A6933"/>
    <w:rsid w:val="007A780B"/>
    <w:rsid w:val="007B067F"/>
    <w:rsid w:val="007B251D"/>
    <w:rsid w:val="007B71F4"/>
    <w:rsid w:val="007B77D1"/>
    <w:rsid w:val="007C10D9"/>
    <w:rsid w:val="007C2EF0"/>
    <w:rsid w:val="007C361D"/>
    <w:rsid w:val="007C413F"/>
    <w:rsid w:val="007D0B38"/>
    <w:rsid w:val="007D34E0"/>
    <w:rsid w:val="007D3A7E"/>
    <w:rsid w:val="007F0734"/>
    <w:rsid w:val="007F0A77"/>
    <w:rsid w:val="007F1017"/>
    <w:rsid w:val="007F4362"/>
    <w:rsid w:val="007F4A3F"/>
    <w:rsid w:val="008012EC"/>
    <w:rsid w:val="00805142"/>
    <w:rsid w:val="00805F45"/>
    <w:rsid w:val="00807A8B"/>
    <w:rsid w:val="00812068"/>
    <w:rsid w:val="00812149"/>
    <w:rsid w:val="00814FC7"/>
    <w:rsid w:val="008166EF"/>
    <w:rsid w:val="008264EB"/>
    <w:rsid w:val="0083266F"/>
    <w:rsid w:val="00833B05"/>
    <w:rsid w:val="00836FD9"/>
    <w:rsid w:val="00840CA2"/>
    <w:rsid w:val="00844A0F"/>
    <w:rsid w:val="00845512"/>
    <w:rsid w:val="00850EBA"/>
    <w:rsid w:val="00856E9A"/>
    <w:rsid w:val="00857AF4"/>
    <w:rsid w:val="00857B99"/>
    <w:rsid w:val="00862502"/>
    <w:rsid w:val="008701CC"/>
    <w:rsid w:val="00871224"/>
    <w:rsid w:val="00874833"/>
    <w:rsid w:val="00874EC5"/>
    <w:rsid w:val="00882874"/>
    <w:rsid w:val="00883787"/>
    <w:rsid w:val="00894489"/>
    <w:rsid w:val="00895369"/>
    <w:rsid w:val="008963A5"/>
    <w:rsid w:val="008A0D09"/>
    <w:rsid w:val="008A3C3E"/>
    <w:rsid w:val="008A777D"/>
    <w:rsid w:val="008A79DE"/>
    <w:rsid w:val="008B0158"/>
    <w:rsid w:val="008B7B3F"/>
    <w:rsid w:val="008B7D7E"/>
    <w:rsid w:val="008B7DDE"/>
    <w:rsid w:val="008C51FB"/>
    <w:rsid w:val="008C792B"/>
    <w:rsid w:val="008C7ECB"/>
    <w:rsid w:val="008D414D"/>
    <w:rsid w:val="008D6D76"/>
    <w:rsid w:val="008D78B3"/>
    <w:rsid w:val="008E16B2"/>
    <w:rsid w:val="008E1B9E"/>
    <w:rsid w:val="008E2B5A"/>
    <w:rsid w:val="008E386F"/>
    <w:rsid w:val="008E45E1"/>
    <w:rsid w:val="008E6402"/>
    <w:rsid w:val="008F120A"/>
    <w:rsid w:val="008F30B8"/>
    <w:rsid w:val="008F48EB"/>
    <w:rsid w:val="008F4F0B"/>
    <w:rsid w:val="008F7F26"/>
    <w:rsid w:val="009032FD"/>
    <w:rsid w:val="009062A5"/>
    <w:rsid w:val="00906EDF"/>
    <w:rsid w:val="00911272"/>
    <w:rsid w:val="00912485"/>
    <w:rsid w:val="00914063"/>
    <w:rsid w:val="009150CD"/>
    <w:rsid w:val="00917F41"/>
    <w:rsid w:val="009253C2"/>
    <w:rsid w:val="009268D4"/>
    <w:rsid w:val="00927D39"/>
    <w:rsid w:val="0093717D"/>
    <w:rsid w:val="009443DF"/>
    <w:rsid w:val="00947219"/>
    <w:rsid w:val="00961579"/>
    <w:rsid w:val="009615FC"/>
    <w:rsid w:val="00962CB9"/>
    <w:rsid w:val="00963477"/>
    <w:rsid w:val="00964312"/>
    <w:rsid w:val="0096718B"/>
    <w:rsid w:val="00972B78"/>
    <w:rsid w:val="009757CF"/>
    <w:rsid w:val="00975EBE"/>
    <w:rsid w:val="00976BFD"/>
    <w:rsid w:val="0098081C"/>
    <w:rsid w:val="00983E57"/>
    <w:rsid w:val="00985BA7"/>
    <w:rsid w:val="00996B1A"/>
    <w:rsid w:val="00997077"/>
    <w:rsid w:val="009A0B8A"/>
    <w:rsid w:val="009B3E26"/>
    <w:rsid w:val="009B59F0"/>
    <w:rsid w:val="009B68D2"/>
    <w:rsid w:val="009C48D0"/>
    <w:rsid w:val="009C4E1D"/>
    <w:rsid w:val="009D2A00"/>
    <w:rsid w:val="009D5B91"/>
    <w:rsid w:val="009D5D38"/>
    <w:rsid w:val="009E4841"/>
    <w:rsid w:val="009E4C07"/>
    <w:rsid w:val="009E76BD"/>
    <w:rsid w:val="009F0718"/>
    <w:rsid w:val="009F08BC"/>
    <w:rsid w:val="009F1A73"/>
    <w:rsid w:val="009F4468"/>
    <w:rsid w:val="009F49AF"/>
    <w:rsid w:val="009F571F"/>
    <w:rsid w:val="009F6009"/>
    <w:rsid w:val="009F676F"/>
    <w:rsid w:val="00A03D43"/>
    <w:rsid w:val="00A04380"/>
    <w:rsid w:val="00A06BA4"/>
    <w:rsid w:val="00A102C3"/>
    <w:rsid w:val="00A11EFD"/>
    <w:rsid w:val="00A13948"/>
    <w:rsid w:val="00A15678"/>
    <w:rsid w:val="00A225D8"/>
    <w:rsid w:val="00A277E8"/>
    <w:rsid w:val="00A27AEC"/>
    <w:rsid w:val="00A35D16"/>
    <w:rsid w:val="00A36EFF"/>
    <w:rsid w:val="00A4040E"/>
    <w:rsid w:val="00A43C59"/>
    <w:rsid w:val="00A440FC"/>
    <w:rsid w:val="00A45BB8"/>
    <w:rsid w:val="00A50ECD"/>
    <w:rsid w:val="00A52729"/>
    <w:rsid w:val="00A53675"/>
    <w:rsid w:val="00A56659"/>
    <w:rsid w:val="00A56B6A"/>
    <w:rsid w:val="00A56C5E"/>
    <w:rsid w:val="00A578DC"/>
    <w:rsid w:val="00A633C3"/>
    <w:rsid w:val="00A6725B"/>
    <w:rsid w:val="00A757B3"/>
    <w:rsid w:val="00A77927"/>
    <w:rsid w:val="00A80053"/>
    <w:rsid w:val="00A801B3"/>
    <w:rsid w:val="00A8122C"/>
    <w:rsid w:val="00A814F8"/>
    <w:rsid w:val="00A82DA1"/>
    <w:rsid w:val="00A86E8B"/>
    <w:rsid w:val="00A90F46"/>
    <w:rsid w:val="00A93072"/>
    <w:rsid w:val="00A930AA"/>
    <w:rsid w:val="00A959D8"/>
    <w:rsid w:val="00A967F1"/>
    <w:rsid w:val="00AA0985"/>
    <w:rsid w:val="00AA259C"/>
    <w:rsid w:val="00AB042A"/>
    <w:rsid w:val="00AB28F0"/>
    <w:rsid w:val="00AB2D34"/>
    <w:rsid w:val="00AB2FA2"/>
    <w:rsid w:val="00AB3430"/>
    <w:rsid w:val="00AB4CF4"/>
    <w:rsid w:val="00AB7429"/>
    <w:rsid w:val="00AB7CFA"/>
    <w:rsid w:val="00AC1AB2"/>
    <w:rsid w:val="00AC38BD"/>
    <w:rsid w:val="00AC3FDC"/>
    <w:rsid w:val="00AC63ED"/>
    <w:rsid w:val="00AD278F"/>
    <w:rsid w:val="00AF33E2"/>
    <w:rsid w:val="00AF534C"/>
    <w:rsid w:val="00AF63ED"/>
    <w:rsid w:val="00B056CB"/>
    <w:rsid w:val="00B1519B"/>
    <w:rsid w:val="00B22F28"/>
    <w:rsid w:val="00B231DB"/>
    <w:rsid w:val="00B2403B"/>
    <w:rsid w:val="00B34A95"/>
    <w:rsid w:val="00B40332"/>
    <w:rsid w:val="00B40BA1"/>
    <w:rsid w:val="00B42388"/>
    <w:rsid w:val="00B42851"/>
    <w:rsid w:val="00B466AF"/>
    <w:rsid w:val="00B47F08"/>
    <w:rsid w:val="00B50DB8"/>
    <w:rsid w:val="00B53905"/>
    <w:rsid w:val="00B54B5B"/>
    <w:rsid w:val="00B555F8"/>
    <w:rsid w:val="00B5562E"/>
    <w:rsid w:val="00B557C0"/>
    <w:rsid w:val="00B56F63"/>
    <w:rsid w:val="00B57000"/>
    <w:rsid w:val="00B60939"/>
    <w:rsid w:val="00B60AFD"/>
    <w:rsid w:val="00B62715"/>
    <w:rsid w:val="00B6283C"/>
    <w:rsid w:val="00B648E4"/>
    <w:rsid w:val="00B666DA"/>
    <w:rsid w:val="00B67544"/>
    <w:rsid w:val="00B7317B"/>
    <w:rsid w:val="00B7486D"/>
    <w:rsid w:val="00B759B2"/>
    <w:rsid w:val="00B7719D"/>
    <w:rsid w:val="00B80899"/>
    <w:rsid w:val="00B818A4"/>
    <w:rsid w:val="00B83575"/>
    <w:rsid w:val="00B8649C"/>
    <w:rsid w:val="00B87515"/>
    <w:rsid w:val="00B92D0B"/>
    <w:rsid w:val="00B94945"/>
    <w:rsid w:val="00B9719B"/>
    <w:rsid w:val="00BA037B"/>
    <w:rsid w:val="00BA5110"/>
    <w:rsid w:val="00BA6CEE"/>
    <w:rsid w:val="00BB2BA8"/>
    <w:rsid w:val="00BB7405"/>
    <w:rsid w:val="00BD6CF3"/>
    <w:rsid w:val="00BE2180"/>
    <w:rsid w:val="00BE414A"/>
    <w:rsid w:val="00BE4275"/>
    <w:rsid w:val="00BE495A"/>
    <w:rsid w:val="00BF0021"/>
    <w:rsid w:val="00BF2433"/>
    <w:rsid w:val="00BF61C9"/>
    <w:rsid w:val="00C00824"/>
    <w:rsid w:val="00C00C3E"/>
    <w:rsid w:val="00C01620"/>
    <w:rsid w:val="00C01ADB"/>
    <w:rsid w:val="00C05245"/>
    <w:rsid w:val="00C1612C"/>
    <w:rsid w:val="00C21FA0"/>
    <w:rsid w:val="00C25418"/>
    <w:rsid w:val="00C25D9C"/>
    <w:rsid w:val="00C2726E"/>
    <w:rsid w:val="00C31649"/>
    <w:rsid w:val="00C374F2"/>
    <w:rsid w:val="00C40385"/>
    <w:rsid w:val="00C55D11"/>
    <w:rsid w:val="00C57196"/>
    <w:rsid w:val="00C57CC8"/>
    <w:rsid w:val="00C60800"/>
    <w:rsid w:val="00C61BB4"/>
    <w:rsid w:val="00C65576"/>
    <w:rsid w:val="00C6588A"/>
    <w:rsid w:val="00C66165"/>
    <w:rsid w:val="00C73C4C"/>
    <w:rsid w:val="00C750C8"/>
    <w:rsid w:val="00C8194B"/>
    <w:rsid w:val="00C8213F"/>
    <w:rsid w:val="00C8797A"/>
    <w:rsid w:val="00C938CF"/>
    <w:rsid w:val="00C9507D"/>
    <w:rsid w:val="00CA2BB2"/>
    <w:rsid w:val="00CA5245"/>
    <w:rsid w:val="00CA7B09"/>
    <w:rsid w:val="00CB05BD"/>
    <w:rsid w:val="00CB1631"/>
    <w:rsid w:val="00CB5B1A"/>
    <w:rsid w:val="00CB642A"/>
    <w:rsid w:val="00CB7AEF"/>
    <w:rsid w:val="00CC4102"/>
    <w:rsid w:val="00CD6ADC"/>
    <w:rsid w:val="00CD791D"/>
    <w:rsid w:val="00CE28DD"/>
    <w:rsid w:val="00CE6274"/>
    <w:rsid w:val="00CE7FA0"/>
    <w:rsid w:val="00CF12CA"/>
    <w:rsid w:val="00CF28F0"/>
    <w:rsid w:val="00CF456B"/>
    <w:rsid w:val="00CF5A22"/>
    <w:rsid w:val="00CF6D29"/>
    <w:rsid w:val="00D01A60"/>
    <w:rsid w:val="00D0262E"/>
    <w:rsid w:val="00D04AB5"/>
    <w:rsid w:val="00D110BD"/>
    <w:rsid w:val="00D112C2"/>
    <w:rsid w:val="00D128B2"/>
    <w:rsid w:val="00D17D6C"/>
    <w:rsid w:val="00D2044C"/>
    <w:rsid w:val="00D23B4A"/>
    <w:rsid w:val="00D31F54"/>
    <w:rsid w:val="00D357FF"/>
    <w:rsid w:val="00D43810"/>
    <w:rsid w:val="00D4490E"/>
    <w:rsid w:val="00D452ED"/>
    <w:rsid w:val="00D47088"/>
    <w:rsid w:val="00D514A7"/>
    <w:rsid w:val="00D55821"/>
    <w:rsid w:val="00D63D7A"/>
    <w:rsid w:val="00D70C83"/>
    <w:rsid w:val="00D73E12"/>
    <w:rsid w:val="00D74C05"/>
    <w:rsid w:val="00D74FC2"/>
    <w:rsid w:val="00D7647E"/>
    <w:rsid w:val="00D76A44"/>
    <w:rsid w:val="00D8063D"/>
    <w:rsid w:val="00D87B92"/>
    <w:rsid w:val="00D87E8B"/>
    <w:rsid w:val="00D93753"/>
    <w:rsid w:val="00D93824"/>
    <w:rsid w:val="00DA0327"/>
    <w:rsid w:val="00DA07FD"/>
    <w:rsid w:val="00DA42CA"/>
    <w:rsid w:val="00DA5723"/>
    <w:rsid w:val="00DA7626"/>
    <w:rsid w:val="00DA77A5"/>
    <w:rsid w:val="00DB041E"/>
    <w:rsid w:val="00DB4E04"/>
    <w:rsid w:val="00DC0643"/>
    <w:rsid w:val="00DC1B44"/>
    <w:rsid w:val="00DC5501"/>
    <w:rsid w:val="00DC5C8B"/>
    <w:rsid w:val="00DD3B53"/>
    <w:rsid w:val="00DD3F28"/>
    <w:rsid w:val="00DD4537"/>
    <w:rsid w:val="00DD4E15"/>
    <w:rsid w:val="00DD657C"/>
    <w:rsid w:val="00DD69EF"/>
    <w:rsid w:val="00DD71C8"/>
    <w:rsid w:val="00DE4A2D"/>
    <w:rsid w:val="00DE4FCB"/>
    <w:rsid w:val="00DE697B"/>
    <w:rsid w:val="00DF5D2B"/>
    <w:rsid w:val="00DF5F74"/>
    <w:rsid w:val="00E023FD"/>
    <w:rsid w:val="00E02748"/>
    <w:rsid w:val="00E05544"/>
    <w:rsid w:val="00E10149"/>
    <w:rsid w:val="00E1047D"/>
    <w:rsid w:val="00E1261D"/>
    <w:rsid w:val="00E13D66"/>
    <w:rsid w:val="00E15FE1"/>
    <w:rsid w:val="00E16372"/>
    <w:rsid w:val="00E16FA0"/>
    <w:rsid w:val="00E20ED6"/>
    <w:rsid w:val="00E21358"/>
    <w:rsid w:val="00E2249B"/>
    <w:rsid w:val="00E22A0D"/>
    <w:rsid w:val="00E22C50"/>
    <w:rsid w:val="00E25701"/>
    <w:rsid w:val="00E26A4C"/>
    <w:rsid w:val="00E2771E"/>
    <w:rsid w:val="00E3090B"/>
    <w:rsid w:val="00E31FDD"/>
    <w:rsid w:val="00E37569"/>
    <w:rsid w:val="00E37C70"/>
    <w:rsid w:val="00E41E30"/>
    <w:rsid w:val="00E4391A"/>
    <w:rsid w:val="00E43D70"/>
    <w:rsid w:val="00E47B2C"/>
    <w:rsid w:val="00E47E28"/>
    <w:rsid w:val="00E51560"/>
    <w:rsid w:val="00E51646"/>
    <w:rsid w:val="00E53D51"/>
    <w:rsid w:val="00E55424"/>
    <w:rsid w:val="00E55BB5"/>
    <w:rsid w:val="00E6428D"/>
    <w:rsid w:val="00E65E79"/>
    <w:rsid w:val="00E67416"/>
    <w:rsid w:val="00E6746C"/>
    <w:rsid w:val="00E718B6"/>
    <w:rsid w:val="00E73581"/>
    <w:rsid w:val="00E82641"/>
    <w:rsid w:val="00E82AAC"/>
    <w:rsid w:val="00E83BDF"/>
    <w:rsid w:val="00E8407F"/>
    <w:rsid w:val="00E841E2"/>
    <w:rsid w:val="00E87F8D"/>
    <w:rsid w:val="00E90AB1"/>
    <w:rsid w:val="00E91AA2"/>
    <w:rsid w:val="00E93AB6"/>
    <w:rsid w:val="00E94228"/>
    <w:rsid w:val="00E9557F"/>
    <w:rsid w:val="00EA2FF1"/>
    <w:rsid w:val="00EA3864"/>
    <w:rsid w:val="00EA7A63"/>
    <w:rsid w:val="00EB15B6"/>
    <w:rsid w:val="00EB4916"/>
    <w:rsid w:val="00EC00C9"/>
    <w:rsid w:val="00EC0CF4"/>
    <w:rsid w:val="00EC30E7"/>
    <w:rsid w:val="00EC5858"/>
    <w:rsid w:val="00EC59A5"/>
    <w:rsid w:val="00EC7CC1"/>
    <w:rsid w:val="00ED155D"/>
    <w:rsid w:val="00ED7B4F"/>
    <w:rsid w:val="00EE07D3"/>
    <w:rsid w:val="00EE39B7"/>
    <w:rsid w:val="00EF0007"/>
    <w:rsid w:val="00EF3DE6"/>
    <w:rsid w:val="00EF4CAE"/>
    <w:rsid w:val="00EF6346"/>
    <w:rsid w:val="00EF729B"/>
    <w:rsid w:val="00EF7638"/>
    <w:rsid w:val="00EF7AD8"/>
    <w:rsid w:val="00F01D96"/>
    <w:rsid w:val="00F03298"/>
    <w:rsid w:val="00F0367A"/>
    <w:rsid w:val="00F04723"/>
    <w:rsid w:val="00F0507B"/>
    <w:rsid w:val="00F05240"/>
    <w:rsid w:val="00F06262"/>
    <w:rsid w:val="00F067A2"/>
    <w:rsid w:val="00F1667D"/>
    <w:rsid w:val="00F21C50"/>
    <w:rsid w:val="00F24837"/>
    <w:rsid w:val="00F2575F"/>
    <w:rsid w:val="00F27468"/>
    <w:rsid w:val="00F33DE9"/>
    <w:rsid w:val="00F35DE4"/>
    <w:rsid w:val="00F3619A"/>
    <w:rsid w:val="00F37EFA"/>
    <w:rsid w:val="00F37FCB"/>
    <w:rsid w:val="00F40157"/>
    <w:rsid w:val="00F4203A"/>
    <w:rsid w:val="00F44DB2"/>
    <w:rsid w:val="00F46CB6"/>
    <w:rsid w:val="00F534B0"/>
    <w:rsid w:val="00F55E73"/>
    <w:rsid w:val="00F60092"/>
    <w:rsid w:val="00F619B0"/>
    <w:rsid w:val="00F715FB"/>
    <w:rsid w:val="00F738E3"/>
    <w:rsid w:val="00F80E5D"/>
    <w:rsid w:val="00F80FCE"/>
    <w:rsid w:val="00F83313"/>
    <w:rsid w:val="00F851CE"/>
    <w:rsid w:val="00F87374"/>
    <w:rsid w:val="00F96499"/>
    <w:rsid w:val="00F97047"/>
    <w:rsid w:val="00F97A78"/>
    <w:rsid w:val="00FA1632"/>
    <w:rsid w:val="00FA24E7"/>
    <w:rsid w:val="00FA527B"/>
    <w:rsid w:val="00FA59BD"/>
    <w:rsid w:val="00FB03E5"/>
    <w:rsid w:val="00FB2FCB"/>
    <w:rsid w:val="00FB3C32"/>
    <w:rsid w:val="00FC1074"/>
    <w:rsid w:val="00FC1884"/>
    <w:rsid w:val="00FC3798"/>
    <w:rsid w:val="00FC4BC4"/>
    <w:rsid w:val="00FD1FF7"/>
    <w:rsid w:val="00FD2100"/>
    <w:rsid w:val="00FD28F6"/>
    <w:rsid w:val="00FD446D"/>
    <w:rsid w:val="00FD68B6"/>
    <w:rsid w:val="00FE315F"/>
    <w:rsid w:val="00FE73E2"/>
    <w:rsid w:val="00FF0BCE"/>
    <w:rsid w:val="00FF2894"/>
    <w:rsid w:val="00FF3DCF"/>
    <w:rsid w:val="00FF5AA3"/>
    <w:rsid w:val="00FF5E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C01620"/>
    <w:pPr>
      <w:ind w:left="709" w:hanging="709"/>
      <w:outlineLvl w:val="0"/>
    </w:pPr>
    <w:rPr>
      <w:rFonts w:ascii="Arial Bold" w:hAnsi="Arial Bold"/>
      <w:b/>
      <w:caps/>
    </w:rPr>
  </w:style>
  <w:style w:type="paragraph" w:styleId="Heading2">
    <w:name w:val="heading 2"/>
    <w:basedOn w:val="Normal"/>
    <w:next w:val="Normal"/>
    <w:link w:val="Heading2Char"/>
    <w:qFormat/>
    <w:rsid w:val="00C01620"/>
    <w:pPr>
      <w:ind w:left="709" w:hanging="709"/>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C01620"/>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3"/>
      </w:numPr>
    </w:pPr>
    <w:rPr>
      <w:rFonts w:ascii="Arial" w:hAnsi="Arial" w:cs="Arial"/>
      <w:b/>
      <w:snapToGrid w:val="0"/>
      <w:sz w:val="22"/>
      <w:szCs w:val="22"/>
      <w:lang w:eastAsia="en-US"/>
    </w:rPr>
  </w:style>
  <w:style w:type="paragraph" w:customStyle="1" w:styleId="TableTitleB">
    <w:name w:val="Table Title B"/>
    <w:next w:val="BodyText"/>
    <w:qFormat/>
    <w:rsid w:val="00314F53"/>
    <w:pPr>
      <w:numPr>
        <w:numId w:val="28"/>
      </w:numPr>
      <w:spacing w:after="120"/>
    </w:pPr>
    <w:rPr>
      <w:b/>
      <w:szCs w:val="24"/>
      <w:lang w:eastAsia="x-none"/>
    </w:rPr>
  </w:style>
  <w:style w:type="paragraph" w:customStyle="1" w:styleId="Tabletext1">
    <w:name w:val="Tabletext"/>
    <w:basedOn w:val="Normal"/>
    <w:rsid w:val="00DD657C"/>
    <w:pPr>
      <w:widowControl/>
      <w:jc w:val="left"/>
    </w:pPr>
    <w:rPr>
      <w:rFonts w:ascii="Times New Roman" w:hAnsi="Times New Roman"/>
      <w:snapToGrid/>
      <w:sz w:val="18"/>
      <w:szCs w:val="24"/>
    </w:rPr>
  </w:style>
  <w:style w:type="paragraph" w:customStyle="1" w:styleId="Table-bodytext">
    <w:name w:val="Table - body text"/>
    <w:basedOn w:val="Normal"/>
    <w:link w:val="Table-bodytextChar"/>
    <w:rsid w:val="00DD657C"/>
    <w:pPr>
      <w:widowControl/>
      <w:jc w:val="center"/>
    </w:pPr>
    <w:rPr>
      <w:rFonts w:ascii="Times New Roman" w:hAnsi="Times New Roman" w:cs="Times New Roman"/>
      <w:snapToGrid/>
      <w:sz w:val="20"/>
      <w:szCs w:val="24"/>
      <w:lang w:eastAsia="x-none"/>
    </w:rPr>
  </w:style>
  <w:style w:type="character" w:customStyle="1" w:styleId="Table-bodytextChar">
    <w:name w:val="Table - body text Char"/>
    <w:link w:val="Table-bodytext"/>
    <w:rsid w:val="00DD657C"/>
    <w:rPr>
      <w:szCs w:val="24"/>
      <w:lang w:eastAsia="x-none"/>
    </w:rPr>
  </w:style>
  <w:style w:type="paragraph" w:customStyle="1" w:styleId="Table">
    <w:name w:val="Table"/>
    <w:basedOn w:val="Normal"/>
    <w:link w:val="TableChar"/>
    <w:qFormat/>
    <w:rsid w:val="00B22F28"/>
    <w:pPr>
      <w:widowControl/>
    </w:pPr>
    <w:rPr>
      <w:rFonts w:ascii="Candara" w:eastAsia="SimSun" w:hAnsi="Candara" w:cs="Times New Roman"/>
      <w:snapToGrid/>
      <w:sz w:val="20"/>
      <w:szCs w:val="22"/>
      <w:lang w:bidi="en-US"/>
    </w:rPr>
  </w:style>
  <w:style w:type="character" w:customStyle="1" w:styleId="TableChar">
    <w:name w:val="Table Char"/>
    <w:link w:val="Table"/>
    <w:locked/>
    <w:rsid w:val="00B22F28"/>
    <w:rPr>
      <w:rFonts w:ascii="Candara" w:eastAsia="SimSun" w:hAnsi="Candara"/>
      <w:szCs w:val="22"/>
      <w:lang w:eastAsia="en-US" w:bidi="en-US"/>
    </w:rPr>
  </w:style>
  <w:style w:type="character" w:styleId="FollowedHyperlink">
    <w:name w:val="FollowedHyperlink"/>
    <w:basedOn w:val="DefaultParagraphFont"/>
    <w:semiHidden/>
    <w:unhideWhenUsed/>
    <w:rsid w:val="001974FB"/>
    <w:rPr>
      <w:color w:val="800080" w:themeColor="followedHyperlink"/>
      <w:u w:val="single"/>
    </w:rPr>
  </w:style>
  <w:style w:type="paragraph" w:styleId="FootnoteText">
    <w:name w:val="footnote text"/>
    <w:basedOn w:val="Normal"/>
    <w:link w:val="FootnoteTextChar"/>
    <w:semiHidden/>
    <w:unhideWhenUsed/>
    <w:rsid w:val="001974FB"/>
    <w:rPr>
      <w:sz w:val="20"/>
    </w:rPr>
  </w:style>
  <w:style w:type="character" w:customStyle="1" w:styleId="FootnoteTextChar">
    <w:name w:val="Footnote Text Char"/>
    <w:basedOn w:val="DefaultParagraphFont"/>
    <w:link w:val="FootnoteText"/>
    <w:semiHidden/>
    <w:rsid w:val="001974FB"/>
    <w:rPr>
      <w:rFonts w:ascii="Arial" w:hAnsi="Arial" w:cs="Arial"/>
      <w:snapToGrid w:val="0"/>
      <w:lang w:eastAsia="en-US"/>
    </w:rPr>
  </w:style>
  <w:style w:type="character" w:styleId="FootnoteReference">
    <w:name w:val="footnote reference"/>
    <w:basedOn w:val="DefaultParagraphFont"/>
    <w:semiHidden/>
    <w:unhideWhenUsed/>
    <w:rsid w:val="001974FB"/>
    <w:rPr>
      <w:vertAlign w:val="superscript"/>
    </w:rPr>
  </w:style>
  <w:style w:type="character" w:styleId="PageNumber">
    <w:name w:val="page number"/>
    <w:basedOn w:val="DefaultParagraphFont"/>
    <w:semiHidden/>
    <w:rsid w:val="00912485"/>
  </w:style>
  <w:style w:type="paragraph" w:customStyle="1" w:styleId="TableTitleD">
    <w:name w:val="Table Title D"/>
    <w:basedOn w:val="BodyText"/>
    <w:next w:val="BodyText"/>
    <w:qFormat/>
    <w:rsid w:val="00857B99"/>
    <w:pPr>
      <w:widowControl/>
      <w:numPr>
        <w:numId w:val="37"/>
      </w:numPr>
      <w:tabs>
        <w:tab w:val="clear" w:pos="1080"/>
        <w:tab w:val="num" w:pos="360"/>
        <w:tab w:val="num" w:pos="1134"/>
      </w:tabs>
      <w:spacing w:after="120"/>
      <w:ind w:left="1134" w:hanging="1134"/>
      <w:jc w:val="both"/>
    </w:pPr>
    <w:rPr>
      <w:rFonts w:cs="Times New Roman"/>
      <w:b/>
      <w:snapToGrid/>
      <w:sz w:val="20"/>
      <w:szCs w:val="24"/>
    </w:rPr>
  </w:style>
  <w:style w:type="paragraph" w:customStyle="1" w:styleId="TableFigureFootnote">
    <w:name w:val="Table &amp; Figure Footnote"/>
    <w:basedOn w:val="BodyText"/>
    <w:next w:val="BodyText"/>
    <w:qFormat/>
    <w:rsid w:val="00857B99"/>
    <w:pPr>
      <w:widowControl/>
      <w:spacing w:before="20" w:after="20"/>
      <w:jc w:val="both"/>
    </w:pPr>
    <w:rPr>
      <w:rFonts w:cs="Times New Roman"/>
      <w:snapToGrid/>
      <w:sz w:val="16"/>
      <w:szCs w:val="24"/>
    </w:rPr>
  </w:style>
  <w:style w:type="paragraph" w:customStyle="1" w:styleId="TableText2">
    <w:name w:val="Table Text"/>
    <w:basedOn w:val="Normal"/>
    <w:next w:val="BodyText"/>
    <w:qFormat/>
    <w:rsid w:val="00264A1E"/>
    <w:pPr>
      <w:widowControl/>
      <w:spacing w:before="40" w:after="40"/>
    </w:pPr>
    <w:rPr>
      <w:rFonts w:cs="Times New Roman"/>
      <w:snapToGrid/>
      <w:sz w:val="18"/>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06BA4"/>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D23B4A"/>
    <w:rPr>
      <w:rFonts w:ascii="Arial" w:hAnsi="Arial" w:cs="Arial"/>
      <w:snapToGrid w:val="0"/>
      <w:sz w:val="22"/>
      <w:lang w:eastAsia="en-US"/>
    </w:rPr>
  </w:style>
  <w:style w:type="paragraph" w:styleId="PlainText">
    <w:name w:val="Plain Text"/>
    <w:basedOn w:val="Normal"/>
    <w:link w:val="PlainTextChar"/>
    <w:uiPriority w:val="99"/>
    <w:semiHidden/>
    <w:unhideWhenUsed/>
    <w:rsid w:val="00F0367A"/>
    <w:pPr>
      <w:widowControl/>
      <w:jc w:val="left"/>
    </w:pPr>
    <w:rPr>
      <w:rFonts w:eastAsiaTheme="minorHAnsi" w:cs="Consolas"/>
      <w:snapToGrid/>
      <w:sz w:val="18"/>
      <w:szCs w:val="21"/>
    </w:rPr>
  </w:style>
  <w:style w:type="character" w:customStyle="1" w:styleId="PlainTextChar">
    <w:name w:val="Plain Text Char"/>
    <w:basedOn w:val="DefaultParagraphFont"/>
    <w:link w:val="PlainText"/>
    <w:uiPriority w:val="99"/>
    <w:semiHidden/>
    <w:rsid w:val="00F0367A"/>
    <w:rPr>
      <w:rFonts w:ascii="Arial" w:eastAsiaTheme="minorHAnsi" w:hAnsi="Arial" w:cs="Consolas"/>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C01620"/>
    <w:pPr>
      <w:ind w:left="709" w:hanging="709"/>
      <w:outlineLvl w:val="0"/>
    </w:pPr>
    <w:rPr>
      <w:rFonts w:ascii="Arial Bold" w:hAnsi="Arial Bold"/>
      <w:b/>
      <w:caps/>
    </w:rPr>
  </w:style>
  <w:style w:type="paragraph" w:styleId="Heading2">
    <w:name w:val="heading 2"/>
    <w:basedOn w:val="Normal"/>
    <w:next w:val="Normal"/>
    <w:link w:val="Heading2Char"/>
    <w:qFormat/>
    <w:rsid w:val="00C01620"/>
    <w:pPr>
      <w:ind w:left="709" w:hanging="709"/>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C01620"/>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3"/>
      </w:numPr>
    </w:pPr>
    <w:rPr>
      <w:rFonts w:ascii="Arial" w:hAnsi="Arial" w:cs="Arial"/>
      <w:b/>
      <w:snapToGrid w:val="0"/>
      <w:sz w:val="22"/>
      <w:szCs w:val="22"/>
      <w:lang w:eastAsia="en-US"/>
    </w:rPr>
  </w:style>
  <w:style w:type="paragraph" w:customStyle="1" w:styleId="TableTitleB">
    <w:name w:val="Table Title B"/>
    <w:next w:val="BodyText"/>
    <w:qFormat/>
    <w:rsid w:val="00314F53"/>
    <w:pPr>
      <w:numPr>
        <w:numId w:val="28"/>
      </w:numPr>
      <w:spacing w:after="120"/>
    </w:pPr>
    <w:rPr>
      <w:b/>
      <w:szCs w:val="24"/>
      <w:lang w:eastAsia="x-none"/>
    </w:rPr>
  </w:style>
  <w:style w:type="paragraph" w:customStyle="1" w:styleId="Tabletext1">
    <w:name w:val="Tabletext"/>
    <w:basedOn w:val="Normal"/>
    <w:rsid w:val="00DD657C"/>
    <w:pPr>
      <w:widowControl/>
      <w:jc w:val="left"/>
    </w:pPr>
    <w:rPr>
      <w:rFonts w:ascii="Times New Roman" w:hAnsi="Times New Roman"/>
      <w:snapToGrid/>
      <w:sz w:val="18"/>
      <w:szCs w:val="24"/>
    </w:rPr>
  </w:style>
  <w:style w:type="paragraph" w:customStyle="1" w:styleId="Table-bodytext">
    <w:name w:val="Table - body text"/>
    <w:basedOn w:val="Normal"/>
    <w:link w:val="Table-bodytextChar"/>
    <w:rsid w:val="00DD657C"/>
    <w:pPr>
      <w:widowControl/>
      <w:jc w:val="center"/>
    </w:pPr>
    <w:rPr>
      <w:rFonts w:ascii="Times New Roman" w:hAnsi="Times New Roman" w:cs="Times New Roman"/>
      <w:snapToGrid/>
      <w:sz w:val="20"/>
      <w:szCs w:val="24"/>
      <w:lang w:eastAsia="x-none"/>
    </w:rPr>
  </w:style>
  <w:style w:type="character" w:customStyle="1" w:styleId="Table-bodytextChar">
    <w:name w:val="Table - body text Char"/>
    <w:link w:val="Table-bodytext"/>
    <w:rsid w:val="00DD657C"/>
    <w:rPr>
      <w:szCs w:val="24"/>
      <w:lang w:eastAsia="x-none"/>
    </w:rPr>
  </w:style>
  <w:style w:type="paragraph" w:customStyle="1" w:styleId="Table">
    <w:name w:val="Table"/>
    <w:basedOn w:val="Normal"/>
    <w:link w:val="TableChar"/>
    <w:qFormat/>
    <w:rsid w:val="00B22F28"/>
    <w:pPr>
      <w:widowControl/>
    </w:pPr>
    <w:rPr>
      <w:rFonts w:ascii="Candara" w:eastAsia="SimSun" w:hAnsi="Candara" w:cs="Times New Roman"/>
      <w:snapToGrid/>
      <w:sz w:val="20"/>
      <w:szCs w:val="22"/>
      <w:lang w:bidi="en-US"/>
    </w:rPr>
  </w:style>
  <w:style w:type="character" w:customStyle="1" w:styleId="TableChar">
    <w:name w:val="Table Char"/>
    <w:link w:val="Table"/>
    <w:locked/>
    <w:rsid w:val="00B22F28"/>
    <w:rPr>
      <w:rFonts w:ascii="Candara" w:eastAsia="SimSun" w:hAnsi="Candara"/>
      <w:szCs w:val="22"/>
      <w:lang w:eastAsia="en-US" w:bidi="en-US"/>
    </w:rPr>
  </w:style>
  <w:style w:type="character" w:styleId="FollowedHyperlink">
    <w:name w:val="FollowedHyperlink"/>
    <w:basedOn w:val="DefaultParagraphFont"/>
    <w:semiHidden/>
    <w:unhideWhenUsed/>
    <w:rsid w:val="001974FB"/>
    <w:rPr>
      <w:color w:val="800080" w:themeColor="followedHyperlink"/>
      <w:u w:val="single"/>
    </w:rPr>
  </w:style>
  <w:style w:type="paragraph" w:styleId="FootnoteText">
    <w:name w:val="footnote text"/>
    <w:basedOn w:val="Normal"/>
    <w:link w:val="FootnoteTextChar"/>
    <w:semiHidden/>
    <w:unhideWhenUsed/>
    <w:rsid w:val="001974FB"/>
    <w:rPr>
      <w:sz w:val="20"/>
    </w:rPr>
  </w:style>
  <w:style w:type="character" w:customStyle="1" w:styleId="FootnoteTextChar">
    <w:name w:val="Footnote Text Char"/>
    <w:basedOn w:val="DefaultParagraphFont"/>
    <w:link w:val="FootnoteText"/>
    <w:semiHidden/>
    <w:rsid w:val="001974FB"/>
    <w:rPr>
      <w:rFonts w:ascii="Arial" w:hAnsi="Arial" w:cs="Arial"/>
      <w:snapToGrid w:val="0"/>
      <w:lang w:eastAsia="en-US"/>
    </w:rPr>
  </w:style>
  <w:style w:type="character" w:styleId="FootnoteReference">
    <w:name w:val="footnote reference"/>
    <w:basedOn w:val="DefaultParagraphFont"/>
    <w:semiHidden/>
    <w:unhideWhenUsed/>
    <w:rsid w:val="001974FB"/>
    <w:rPr>
      <w:vertAlign w:val="superscript"/>
    </w:rPr>
  </w:style>
  <w:style w:type="character" w:styleId="PageNumber">
    <w:name w:val="page number"/>
    <w:basedOn w:val="DefaultParagraphFont"/>
    <w:semiHidden/>
    <w:rsid w:val="00912485"/>
  </w:style>
  <w:style w:type="paragraph" w:customStyle="1" w:styleId="TableTitleD">
    <w:name w:val="Table Title D"/>
    <w:basedOn w:val="BodyText"/>
    <w:next w:val="BodyText"/>
    <w:qFormat/>
    <w:rsid w:val="00857B99"/>
    <w:pPr>
      <w:widowControl/>
      <w:numPr>
        <w:numId w:val="37"/>
      </w:numPr>
      <w:tabs>
        <w:tab w:val="clear" w:pos="1080"/>
        <w:tab w:val="num" w:pos="360"/>
        <w:tab w:val="num" w:pos="1134"/>
      </w:tabs>
      <w:spacing w:after="120"/>
      <w:ind w:left="1134" w:hanging="1134"/>
      <w:jc w:val="both"/>
    </w:pPr>
    <w:rPr>
      <w:rFonts w:cs="Times New Roman"/>
      <w:b/>
      <w:snapToGrid/>
      <w:sz w:val="20"/>
      <w:szCs w:val="24"/>
    </w:rPr>
  </w:style>
  <w:style w:type="paragraph" w:customStyle="1" w:styleId="TableFigureFootnote">
    <w:name w:val="Table &amp; Figure Footnote"/>
    <w:basedOn w:val="BodyText"/>
    <w:next w:val="BodyText"/>
    <w:qFormat/>
    <w:rsid w:val="00857B99"/>
    <w:pPr>
      <w:widowControl/>
      <w:spacing w:before="20" w:after="20"/>
      <w:jc w:val="both"/>
    </w:pPr>
    <w:rPr>
      <w:rFonts w:cs="Times New Roman"/>
      <w:snapToGrid/>
      <w:sz w:val="16"/>
      <w:szCs w:val="24"/>
    </w:rPr>
  </w:style>
  <w:style w:type="paragraph" w:customStyle="1" w:styleId="TableText2">
    <w:name w:val="Table Text"/>
    <w:basedOn w:val="Normal"/>
    <w:next w:val="BodyText"/>
    <w:qFormat/>
    <w:rsid w:val="00264A1E"/>
    <w:pPr>
      <w:widowControl/>
      <w:spacing w:before="40" w:after="40"/>
    </w:pPr>
    <w:rPr>
      <w:rFonts w:cs="Times New Roman"/>
      <w:snapToGrid/>
      <w:sz w:val="18"/>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06BA4"/>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D23B4A"/>
    <w:rPr>
      <w:rFonts w:ascii="Arial" w:hAnsi="Arial" w:cs="Arial"/>
      <w:snapToGrid w:val="0"/>
      <w:sz w:val="22"/>
      <w:lang w:eastAsia="en-US"/>
    </w:rPr>
  </w:style>
  <w:style w:type="paragraph" w:styleId="PlainText">
    <w:name w:val="Plain Text"/>
    <w:basedOn w:val="Normal"/>
    <w:link w:val="PlainTextChar"/>
    <w:uiPriority w:val="99"/>
    <w:semiHidden/>
    <w:unhideWhenUsed/>
    <w:rsid w:val="00F0367A"/>
    <w:pPr>
      <w:widowControl/>
      <w:jc w:val="left"/>
    </w:pPr>
    <w:rPr>
      <w:rFonts w:eastAsiaTheme="minorHAnsi" w:cs="Consolas"/>
      <w:snapToGrid/>
      <w:sz w:val="18"/>
      <w:szCs w:val="21"/>
    </w:rPr>
  </w:style>
  <w:style w:type="character" w:customStyle="1" w:styleId="PlainTextChar">
    <w:name w:val="Plain Text Char"/>
    <w:basedOn w:val="DefaultParagraphFont"/>
    <w:link w:val="PlainText"/>
    <w:uiPriority w:val="99"/>
    <w:semiHidden/>
    <w:rsid w:val="00F0367A"/>
    <w:rPr>
      <w:rFonts w:ascii="Arial" w:eastAsiaTheme="minorHAnsi" w:hAnsi="Arial" w:cs="Consolas"/>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6598">
      <w:bodyDiv w:val="1"/>
      <w:marLeft w:val="0"/>
      <w:marRight w:val="0"/>
      <w:marTop w:val="0"/>
      <w:marBottom w:val="0"/>
      <w:divBdr>
        <w:top w:val="none" w:sz="0" w:space="0" w:color="auto"/>
        <w:left w:val="none" w:sz="0" w:space="0" w:color="auto"/>
        <w:bottom w:val="none" w:sz="0" w:space="0" w:color="auto"/>
        <w:right w:val="none" w:sz="0" w:space="0" w:color="auto"/>
      </w:divBdr>
    </w:div>
    <w:div w:id="78870605">
      <w:bodyDiv w:val="1"/>
      <w:marLeft w:val="0"/>
      <w:marRight w:val="0"/>
      <w:marTop w:val="0"/>
      <w:marBottom w:val="0"/>
      <w:divBdr>
        <w:top w:val="none" w:sz="0" w:space="0" w:color="auto"/>
        <w:left w:val="none" w:sz="0" w:space="0" w:color="auto"/>
        <w:bottom w:val="none" w:sz="0" w:space="0" w:color="auto"/>
        <w:right w:val="none" w:sz="0" w:space="0" w:color="auto"/>
      </w:divBdr>
    </w:div>
    <w:div w:id="116460576">
      <w:bodyDiv w:val="1"/>
      <w:marLeft w:val="0"/>
      <w:marRight w:val="0"/>
      <w:marTop w:val="0"/>
      <w:marBottom w:val="0"/>
      <w:divBdr>
        <w:top w:val="none" w:sz="0" w:space="0" w:color="auto"/>
        <w:left w:val="none" w:sz="0" w:space="0" w:color="auto"/>
        <w:bottom w:val="none" w:sz="0" w:space="0" w:color="auto"/>
        <w:right w:val="none" w:sz="0" w:space="0" w:color="auto"/>
      </w:divBdr>
      <w:divsChild>
        <w:div w:id="435517675">
          <w:marLeft w:val="547"/>
          <w:marRight w:val="0"/>
          <w:marTop w:val="134"/>
          <w:marBottom w:val="0"/>
          <w:divBdr>
            <w:top w:val="none" w:sz="0" w:space="0" w:color="auto"/>
            <w:left w:val="none" w:sz="0" w:space="0" w:color="auto"/>
            <w:bottom w:val="none" w:sz="0" w:space="0" w:color="auto"/>
            <w:right w:val="none" w:sz="0" w:space="0" w:color="auto"/>
          </w:divBdr>
        </w:div>
      </w:divsChild>
    </w:div>
    <w:div w:id="160700873">
      <w:bodyDiv w:val="1"/>
      <w:marLeft w:val="0"/>
      <w:marRight w:val="0"/>
      <w:marTop w:val="0"/>
      <w:marBottom w:val="0"/>
      <w:divBdr>
        <w:top w:val="none" w:sz="0" w:space="0" w:color="auto"/>
        <w:left w:val="none" w:sz="0" w:space="0" w:color="auto"/>
        <w:bottom w:val="none" w:sz="0" w:space="0" w:color="auto"/>
        <w:right w:val="none" w:sz="0" w:space="0" w:color="auto"/>
      </w:divBdr>
    </w:div>
    <w:div w:id="354162956">
      <w:bodyDiv w:val="1"/>
      <w:marLeft w:val="0"/>
      <w:marRight w:val="0"/>
      <w:marTop w:val="0"/>
      <w:marBottom w:val="0"/>
      <w:divBdr>
        <w:top w:val="none" w:sz="0" w:space="0" w:color="auto"/>
        <w:left w:val="none" w:sz="0" w:space="0" w:color="auto"/>
        <w:bottom w:val="none" w:sz="0" w:space="0" w:color="auto"/>
        <w:right w:val="none" w:sz="0" w:space="0" w:color="auto"/>
      </w:divBdr>
    </w:div>
    <w:div w:id="429548674">
      <w:bodyDiv w:val="1"/>
      <w:marLeft w:val="0"/>
      <w:marRight w:val="0"/>
      <w:marTop w:val="0"/>
      <w:marBottom w:val="0"/>
      <w:divBdr>
        <w:top w:val="none" w:sz="0" w:space="0" w:color="auto"/>
        <w:left w:val="none" w:sz="0" w:space="0" w:color="auto"/>
        <w:bottom w:val="none" w:sz="0" w:space="0" w:color="auto"/>
        <w:right w:val="none" w:sz="0" w:space="0" w:color="auto"/>
      </w:divBdr>
    </w:div>
    <w:div w:id="550507457">
      <w:bodyDiv w:val="1"/>
      <w:marLeft w:val="0"/>
      <w:marRight w:val="0"/>
      <w:marTop w:val="0"/>
      <w:marBottom w:val="0"/>
      <w:divBdr>
        <w:top w:val="none" w:sz="0" w:space="0" w:color="auto"/>
        <w:left w:val="none" w:sz="0" w:space="0" w:color="auto"/>
        <w:bottom w:val="none" w:sz="0" w:space="0" w:color="auto"/>
        <w:right w:val="none" w:sz="0" w:space="0" w:color="auto"/>
      </w:divBdr>
    </w:div>
    <w:div w:id="625349824">
      <w:bodyDiv w:val="1"/>
      <w:marLeft w:val="0"/>
      <w:marRight w:val="0"/>
      <w:marTop w:val="0"/>
      <w:marBottom w:val="0"/>
      <w:divBdr>
        <w:top w:val="none" w:sz="0" w:space="0" w:color="auto"/>
        <w:left w:val="none" w:sz="0" w:space="0" w:color="auto"/>
        <w:bottom w:val="none" w:sz="0" w:space="0" w:color="auto"/>
        <w:right w:val="none" w:sz="0" w:space="0" w:color="auto"/>
      </w:divBdr>
      <w:divsChild>
        <w:div w:id="1924220684">
          <w:marLeft w:val="547"/>
          <w:marRight w:val="0"/>
          <w:marTop w:val="154"/>
          <w:marBottom w:val="0"/>
          <w:divBdr>
            <w:top w:val="none" w:sz="0" w:space="0" w:color="auto"/>
            <w:left w:val="none" w:sz="0" w:space="0" w:color="auto"/>
            <w:bottom w:val="none" w:sz="0" w:space="0" w:color="auto"/>
            <w:right w:val="none" w:sz="0" w:space="0" w:color="auto"/>
          </w:divBdr>
        </w:div>
      </w:divsChild>
    </w:div>
    <w:div w:id="626663324">
      <w:bodyDiv w:val="1"/>
      <w:marLeft w:val="0"/>
      <w:marRight w:val="0"/>
      <w:marTop w:val="0"/>
      <w:marBottom w:val="0"/>
      <w:divBdr>
        <w:top w:val="none" w:sz="0" w:space="0" w:color="auto"/>
        <w:left w:val="none" w:sz="0" w:space="0" w:color="auto"/>
        <w:bottom w:val="none" w:sz="0" w:space="0" w:color="auto"/>
        <w:right w:val="none" w:sz="0" w:space="0" w:color="auto"/>
      </w:divBdr>
    </w:div>
    <w:div w:id="892883263">
      <w:bodyDiv w:val="1"/>
      <w:marLeft w:val="0"/>
      <w:marRight w:val="0"/>
      <w:marTop w:val="0"/>
      <w:marBottom w:val="0"/>
      <w:divBdr>
        <w:top w:val="none" w:sz="0" w:space="0" w:color="auto"/>
        <w:left w:val="none" w:sz="0" w:space="0" w:color="auto"/>
        <w:bottom w:val="none" w:sz="0" w:space="0" w:color="auto"/>
        <w:right w:val="none" w:sz="0" w:space="0" w:color="auto"/>
      </w:divBdr>
    </w:div>
    <w:div w:id="910891536">
      <w:bodyDiv w:val="1"/>
      <w:marLeft w:val="0"/>
      <w:marRight w:val="0"/>
      <w:marTop w:val="0"/>
      <w:marBottom w:val="0"/>
      <w:divBdr>
        <w:top w:val="none" w:sz="0" w:space="0" w:color="auto"/>
        <w:left w:val="none" w:sz="0" w:space="0" w:color="auto"/>
        <w:bottom w:val="none" w:sz="0" w:space="0" w:color="auto"/>
        <w:right w:val="none" w:sz="0" w:space="0" w:color="auto"/>
      </w:divBdr>
    </w:div>
    <w:div w:id="981811691">
      <w:bodyDiv w:val="1"/>
      <w:marLeft w:val="0"/>
      <w:marRight w:val="0"/>
      <w:marTop w:val="0"/>
      <w:marBottom w:val="0"/>
      <w:divBdr>
        <w:top w:val="none" w:sz="0" w:space="0" w:color="auto"/>
        <w:left w:val="none" w:sz="0" w:space="0" w:color="auto"/>
        <w:bottom w:val="none" w:sz="0" w:space="0" w:color="auto"/>
        <w:right w:val="none" w:sz="0" w:space="0" w:color="auto"/>
      </w:divBdr>
    </w:div>
    <w:div w:id="1061295306">
      <w:bodyDiv w:val="1"/>
      <w:marLeft w:val="0"/>
      <w:marRight w:val="0"/>
      <w:marTop w:val="0"/>
      <w:marBottom w:val="0"/>
      <w:divBdr>
        <w:top w:val="none" w:sz="0" w:space="0" w:color="auto"/>
        <w:left w:val="none" w:sz="0" w:space="0" w:color="auto"/>
        <w:bottom w:val="none" w:sz="0" w:space="0" w:color="auto"/>
        <w:right w:val="none" w:sz="0" w:space="0" w:color="auto"/>
      </w:divBdr>
    </w:div>
    <w:div w:id="1105737205">
      <w:bodyDiv w:val="1"/>
      <w:marLeft w:val="0"/>
      <w:marRight w:val="0"/>
      <w:marTop w:val="0"/>
      <w:marBottom w:val="0"/>
      <w:divBdr>
        <w:top w:val="none" w:sz="0" w:space="0" w:color="auto"/>
        <w:left w:val="none" w:sz="0" w:space="0" w:color="auto"/>
        <w:bottom w:val="none" w:sz="0" w:space="0" w:color="auto"/>
        <w:right w:val="none" w:sz="0" w:space="0" w:color="auto"/>
      </w:divBdr>
    </w:div>
    <w:div w:id="1292977735">
      <w:bodyDiv w:val="1"/>
      <w:marLeft w:val="0"/>
      <w:marRight w:val="0"/>
      <w:marTop w:val="0"/>
      <w:marBottom w:val="0"/>
      <w:divBdr>
        <w:top w:val="none" w:sz="0" w:space="0" w:color="auto"/>
        <w:left w:val="none" w:sz="0" w:space="0" w:color="auto"/>
        <w:bottom w:val="none" w:sz="0" w:space="0" w:color="auto"/>
        <w:right w:val="none" w:sz="0" w:space="0" w:color="auto"/>
      </w:divBdr>
    </w:div>
    <w:div w:id="1667438813">
      <w:bodyDiv w:val="1"/>
      <w:marLeft w:val="0"/>
      <w:marRight w:val="0"/>
      <w:marTop w:val="0"/>
      <w:marBottom w:val="0"/>
      <w:divBdr>
        <w:top w:val="none" w:sz="0" w:space="0" w:color="auto"/>
        <w:left w:val="none" w:sz="0" w:space="0" w:color="auto"/>
        <w:bottom w:val="none" w:sz="0" w:space="0" w:color="auto"/>
        <w:right w:val="none" w:sz="0" w:space="0" w:color="auto"/>
      </w:divBdr>
    </w:div>
    <w:div w:id="17917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ACA5-977F-4236-A796-734FC549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6691</Words>
  <Characters>39379</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Yin Jun</cp:lastModifiedBy>
  <cp:revision>3</cp:revision>
  <cp:lastPrinted>2014-11-24T22:14:00Z</cp:lastPrinted>
  <dcterms:created xsi:type="dcterms:W3CDTF">2015-02-25T04:22:00Z</dcterms:created>
  <dcterms:modified xsi:type="dcterms:W3CDTF">2015-03-13T01:25:00Z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