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1F" w:rsidRPr="00191DD6" w:rsidRDefault="00C0231F" w:rsidP="00191DD6">
      <w:pPr>
        <w:pStyle w:val="BodyText"/>
        <w:rPr>
          <w:b/>
          <w:sz w:val="28"/>
        </w:rPr>
      </w:pPr>
      <w:bookmarkStart w:id="0" w:name="_Toc397415392"/>
      <w:bookmarkStart w:id="1" w:name="_Toc269216206"/>
      <w:r w:rsidRPr="00191DD6">
        <w:rPr>
          <w:b/>
          <w:sz w:val="28"/>
        </w:rPr>
        <w:t>7.9</w:t>
      </w:r>
      <w:r w:rsidR="007E3C93" w:rsidRPr="00191DD6">
        <w:rPr>
          <w:b/>
          <w:sz w:val="28"/>
        </w:rPr>
        <w:tab/>
        <w:t>ZOSTER VIRUS VACCINE LIVE</w:t>
      </w:r>
      <w:bookmarkEnd w:id="0"/>
      <w:r w:rsidR="007E3C93" w:rsidRPr="00191DD6">
        <w:rPr>
          <w:b/>
          <w:sz w:val="28"/>
        </w:rPr>
        <w:t xml:space="preserve"> </w:t>
      </w:r>
    </w:p>
    <w:p w:rsidR="00C0231F" w:rsidRPr="00D0223A" w:rsidRDefault="007E3C93" w:rsidP="00C06626">
      <w:pPr>
        <w:ind w:firstLine="720"/>
        <w:rPr>
          <w:b/>
          <w:sz w:val="28"/>
        </w:rPr>
      </w:pPr>
      <w:r w:rsidRPr="00D0223A">
        <w:rPr>
          <w:b/>
          <w:sz w:val="28"/>
        </w:rPr>
        <w:t xml:space="preserve">0.65 </w:t>
      </w:r>
      <w:r w:rsidR="00FF242D">
        <w:rPr>
          <w:b/>
          <w:sz w:val="28"/>
        </w:rPr>
        <w:t>mL injection, prefilled syringe;</w:t>
      </w:r>
      <w:r w:rsidRPr="00D0223A">
        <w:rPr>
          <w:b/>
          <w:sz w:val="28"/>
        </w:rPr>
        <w:t xml:space="preserve"> </w:t>
      </w:r>
    </w:p>
    <w:p w:rsidR="007E3C93" w:rsidRPr="00D0223A" w:rsidRDefault="00FF242D" w:rsidP="00C06626">
      <w:pPr>
        <w:ind w:firstLine="720"/>
        <w:rPr>
          <w:b/>
          <w:sz w:val="28"/>
        </w:rPr>
      </w:pPr>
      <w:r>
        <w:rPr>
          <w:b/>
          <w:sz w:val="28"/>
        </w:rPr>
        <w:t>Zostavax®;</w:t>
      </w:r>
      <w:r w:rsidR="007E3C93" w:rsidRPr="00D0223A">
        <w:rPr>
          <w:b/>
          <w:sz w:val="28"/>
        </w:rPr>
        <w:t xml:space="preserve"> bioCSL (Australia) Pty Ltd.</w:t>
      </w:r>
      <w:bookmarkEnd w:id="1"/>
    </w:p>
    <w:p w:rsidR="007E3C93" w:rsidRPr="00D0223A" w:rsidRDefault="007E3C93" w:rsidP="007E3C93"/>
    <w:p w:rsidR="007E3C93" w:rsidRPr="00D0223A" w:rsidRDefault="007E3C93" w:rsidP="007E3C93"/>
    <w:p w:rsidR="007E3C93" w:rsidRPr="00D0223A" w:rsidRDefault="007E3C93" w:rsidP="007E3C93">
      <w:pPr>
        <w:pStyle w:val="PBACheading1"/>
        <w:rPr>
          <w:b/>
        </w:rPr>
      </w:pPr>
      <w:bookmarkStart w:id="2" w:name="_Toc269216208"/>
      <w:bookmarkStart w:id="3" w:name="_Toc395780726"/>
      <w:bookmarkStart w:id="4" w:name="_Toc397415394"/>
      <w:r w:rsidRPr="00D0223A">
        <w:rPr>
          <w:b/>
        </w:rPr>
        <w:t>Purpose of Application</w:t>
      </w:r>
      <w:bookmarkEnd w:id="2"/>
      <w:bookmarkEnd w:id="3"/>
      <w:bookmarkEnd w:id="4"/>
    </w:p>
    <w:p w:rsidR="007E3C93" w:rsidRPr="00D0223A" w:rsidRDefault="007E3C93" w:rsidP="007E3C93">
      <w:pPr>
        <w:rPr>
          <w:szCs w:val="22"/>
        </w:rPr>
      </w:pPr>
    </w:p>
    <w:p w:rsidR="007E3C93" w:rsidRPr="00D0223A" w:rsidRDefault="005A60DD" w:rsidP="00C9248D">
      <w:pPr>
        <w:pStyle w:val="ListParagraph"/>
        <w:widowControl/>
        <w:numPr>
          <w:ilvl w:val="1"/>
          <w:numId w:val="1"/>
        </w:numPr>
        <w:rPr>
          <w:szCs w:val="22"/>
        </w:rPr>
      </w:pPr>
      <w:r w:rsidRPr="00D0223A">
        <w:t xml:space="preserve">The re-submission </w:t>
      </w:r>
      <w:r w:rsidR="007E3C93" w:rsidRPr="00D0223A">
        <w:t>request</w:t>
      </w:r>
      <w:r w:rsidRPr="00D0223A">
        <w:t>ed</w:t>
      </w:r>
      <w:r w:rsidR="007E3C93" w:rsidRPr="00D0223A">
        <w:t xml:space="preserve"> a listing on the National Immunisation Program (NIP) for an ongoing cohort of immunocompetent people aged 70, as well as a 71-79 year old catch-up cohort. This fourth re-submission changed the target population for the requested listing to an older cohort from that originally specified; which was an ongoing immunocompetent cohort of people aged 60</w:t>
      </w:r>
      <w:r w:rsidR="009D3831" w:rsidRPr="00D0223A">
        <w:t xml:space="preserve"> and a catch up cohort of 61</w:t>
      </w:r>
      <w:r w:rsidR="009D3831" w:rsidRPr="00D0223A">
        <w:noBreakHyphen/>
        <w:t>79 </w:t>
      </w:r>
      <w:r w:rsidR="007E3C93" w:rsidRPr="00D0223A">
        <w:t>year olds.</w:t>
      </w:r>
    </w:p>
    <w:p w:rsidR="007E3C93" w:rsidRPr="00D0223A" w:rsidRDefault="007E3C93" w:rsidP="007E3C93">
      <w:pPr>
        <w:widowControl/>
        <w:rPr>
          <w:szCs w:val="22"/>
        </w:rPr>
      </w:pPr>
      <w:bookmarkStart w:id="5" w:name="_GoBack"/>
      <w:bookmarkEnd w:id="5"/>
    </w:p>
    <w:p w:rsidR="007E3C93" w:rsidRPr="00D0223A" w:rsidRDefault="007E3C93" w:rsidP="00C9248D">
      <w:pPr>
        <w:pStyle w:val="ListParagraph"/>
        <w:widowControl/>
        <w:numPr>
          <w:ilvl w:val="1"/>
          <w:numId w:val="1"/>
        </w:numPr>
        <w:rPr>
          <w:szCs w:val="22"/>
        </w:rPr>
      </w:pPr>
      <w:r w:rsidRPr="00D0223A">
        <w:rPr>
          <w:szCs w:val="22"/>
        </w:rPr>
        <w:t xml:space="preserve">The change of target population </w:t>
      </w:r>
      <w:r w:rsidR="005A60DD" w:rsidRPr="00D0223A">
        <w:rPr>
          <w:szCs w:val="22"/>
        </w:rPr>
        <w:t xml:space="preserve">was </w:t>
      </w:r>
      <w:r w:rsidRPr="00D0223A">
        <w:rPr>
          <w:szCs w:val="22"/>
        </w:rPr>
        <w:t>supported by a comparison of the relative and absolute effects of the vaccine in the S</w:t>
      </w:r>
      <w:r w:rsidR="001C5358" w:rsidRPr="00D0223A">
        <w:rPr>
          <w:szCs w:val="22"/>
        </w:rPr>
        <w:t>hingles Prevention Study (SPS).</w:t>
      </w:r>
      <w:r w:rsidRPr="00D0223A">
        <w:rPr>
          <w:szCs w:val="22"/>
        </w:rPr>
        <w:t xml:space="preserve"> While vaccine efficacy in terms of reducing zoster is lower in the 70+ year old cohort than the 60-69 year old cohort, it does not appear to be so in terms of reducing</w:t>
      </w:r>
      <w:r w:rsidR="001C5358" w:rsidRPr="00D0223A">
        <w:rPr>
          <w:szCs w:val="22"/>
        </w:rPr>
        <w:t xml:space="preserve"> post herpetic neuralgia (PHN).</w:t>
      </w:r>
      <w:r w:rsidRPr="00D0223A">
        <w:rPr>
          <w:szCs w:val="22"/>
        </w:rPr>
        <w:t xml:space="preserve"> A greater number of zoster cases are avoided in the younger cohort but this is offset by a larger absolute difference in PHN in the older age group and the PHN health state attracts a higher disutility than doe</w:t>
      </w:r>
      <w:r w:rsidR="00D040EF" w:rsidRPr="00D0223A">
        <w:rPr>
          <w:szCs w:val="22"/>
        </w:rPr>
        <w:t>s zoster in the economic model (table below)</w:t>
      </w:r>
      <w:r w:rsidRPr="00D0223A">
        <w:rPr>
          <w:szCs w:val="22"/>
        </w:rPr>
        <w:t>.</w:t>
      </w:r>
    </w:p>
    <w:p w:rsidR="007E3C93" w:rsidRPr="00D0223A" w:rsidRDefault="007E3C93" w:rsidP="007E3C93">
      <w:pPr>
        <w:ind w:left="720"/>
      </w:pPr>
    </w:p>
    <w:p w:rsidR="007E3C93" w:rsidRPr="00D0223A" w:rsidRDefault="007E3C93" w:rsidP="001C5358">
      <w:pPr>
        <w:pStyle w:val="TableFootnotetext"/>
        <w:rPr>
          <w:rStyle w:val="CommentReference"/>
          <w:b w:val="0"/>
        </w:rPr>
      </w:pPr>
      <w:r w:rsidRPr="00D0223A">
        <w:rPr>
          <w:rStyle w:val="CommentReference"/>
        </w:rPr>
        <w:t>Relative versus absolute effects in the SPS trial across age cohorts</w:t>
      </w:r>
    </w:p>
    <w:tbl>
      <w:tblPr>
        <w:tblStyle w:val="TableGrid"/>
        <w:tblW w:w="0" w:type="auto"/>
        <w:tblInd w:w="850" w:type="dxa"/>
        <w:tblLook w:val="04A0" w:firstRow="1" w:lastRow="0" w:firstColumn="1" w:lastColumn="0" w:noHBand="0" w:noVBand="1"/>
      </w:tblPr>
      <w:tblGrid>
        <w:gridCol w:w="1820"/>
        <w:gridCol w:w="2814"/>
        <w:gridCol w:w="3737"/>
      </w:tblGrid>
      <w:tr w:rsidR="007E3C93" w:rsidRPr="00D0223A" w:rsidTr="008F34F1">
        <w:tc>
          <w:tcPr>
            <w:tcW w:w="1820" w:type="dxa"/>
          </w:tcPr>
          <w:p w:rsidR="007E3C93" w:rsidRPr="00D0223A" w:rsidRDefault="007E3C93" w:rsidP="008F34F1">
            <w:pPr>
              <w:rPr>
                <w:rFonts w:ascii="Arial Narrow" w:hAnsi="Arial Narrow"/>
                <w:b/>
                <w:sz w:val="20"/>
              </w:rPr>
            </w:pPr>
            <w:r w:rsidRPr="00D0223A">
              <w:rPr>
                <w:rFonts w:ascii="Arial Narrow" w:hAnsi="Arial Narrow"/>
                <w:b/>
                <w:sz w:val="20"/>
              </w:rPr>
              <w:t>Age cohort (years)</w:t>
            </w:r>
          </w:p>
        </w:tc>
        <w:tc>
          <w:tcPr>
            <w:tcW w:w="2814" w:type="dxa"/>
          </w:tcPr>
          <w:p w:rsidR="007E3C93" w:rsidRPr="00D0223A" w:rsidRDefault="007E3C93" w:rsidP="008F34F1">
            <w:pPr>
              <w:jc w:val="center"/>
              <w:rPr>
                <w:rFonts w:ascii="Arial Narrow" w:hAnsi="Arial Narrow"/>
                <w:b/>
                <w:sz w:val="20"/>
              </w:rPr>
            </w:pPr>
            <w:r w:rsidRPr="00D0223A">
              <w:rPr>
                <w:rFonts w:ascii="Arial Narrow" w:hAnsi="Arial Narrow"/>
                <w:b/>
                <w:sz w:val="20"/>
              </w:rPr>
              <w:t>RRR (or vaccine efficacy)</w:t>
            </w:r>
          </w:p>
        </w:tc>
        <w:tc>
          <w:tcPr>
            <w:tcW w:w="3737" w:type="dxa"/>
          </w:tcPr>
          <w:p w:rsidR="007E3C93" w:rsidRPr="00D0223A" w:rsidRDefault="007E3C93" w:rsidP="008F34F1">
            <w:pPr>
              <w:jc w:val="center"/>
              <w:rPr>
                <w:rFonts w:ascii="Arial Narrow" w:hAnsi="Arial Narrow"/>
                <w:b/>
                <w:sz w:val="20"/>
              </w:rPr>
            </w:pPr>
            <w:r w:rsidRPr="00D0223A">
              <w:rPr>
                <w:rFonts w:ascii="Arial Narrow" w:hAnsi="Arial Narrow"/>
                <w:b/>
                <w:sz w:val="20"/>
              </w:rPr>
              <w:t>Absolute difference (cases per 1000 person years)</w:t>
            </w:r>
          </w:p>
        </w:tc>
      </w:tr>
      <w:tr w:rsidR="007E3C93" w:rsidRPr="00D0223A" w:rsidTr="008F34F1">
        <w:tc>
          <w:tcPr>
            <w:tcW w:w="8371" w:type="dxa"/>
            <w:gridSpan w:val="3"/>
            <w:shd w:val="clear" w:color="auto" w:fill="BFBFBF" w:themeFill="background1" w:themeFillShade="BF"/>
          </w:tcPr>
          <w:p w:rsidR="007E3C93" w:rsidRPr="00D0223A" w:rsidRDefault="007E3C93" w:rsidP="008F34F1">
            <w:pPr>
              <w:rPr>
                <w:rFonts w:ascii="Arial Narrow" w:hAnsi="Arial Narrow"/>
                <w:sz w:val="20"/>
              </w:rPr>
            </w:pPr>
            <w:r w:rsidRPr="00D0223A">
              <w:rPr>
                <w:rFonts w:ascii="Arial Narrow" w:hAnsi="Arial Narrow"/>
                <w:b/>
                <w:sz w:val="20"/>
              </w:rPr>
              <w:t>Zoster</w:t>
            </w:r>
          </w:p>
        </w:tc>
      </w:tr>
      <w:tr w:rsidR="007E3C93" w:rsidRPr="00D0223A" w:rsidTr="008F34F1">
        <w:tc>
          <w:tcPr>
            <w:tcW w:w="1820" w:type="dxa"/>
          </w:tcPr>
          <w:p w:rsidR="007E3C93" w:rsidRPr="00D0223A" w:rsidRDefault="007E3C93" w:rsidP="008F34F1">
            <w:pPr>
              <w:rPr>
                <w:rFonts w:ascii="Arial Narrow" w:hAnsi="Arial Narrow"/>
                <w:b/>
                <w:sz w:val="20"/>
              </w:rPr>
            </w:pPr>
            <w:r w:rsidRPr="00D0223A">
              <w:rPr>
                <w:rFonts w:ascii="Arial Narrow" w:hAnsi="Arial Narrow"/>
                <w:b/>
                <w:sz w:val="20"/>
              </w:rPr>
              <w:t>60-69</w:t>
            </w:r>
          </w:p>
        </w:tc>
        <w:tc>
          <w:tcPr>
            <w:tcW w:w="2814" w:type="dxa"/>
          </w:tcPr>
          <w:p w:rsidR="007E3C93" w:rsidRPr="00D0223A" w:rsidRDefault="007E3C93" w:rsidP="008F34F1">
            <w:pPr>
              <w:jc w:val="center"/>
              <w:rPr>
                <w:rFonts w:ascii="Arial Narrow" w:hAnsi="Arial Narrow"/>
                <w:sz w:val="20"/>
              </w:rPr>
            </w:pPr>
            <w:r w:rsidRPr="00D0223A">
              <w:rPr>
                <w:rFonts w:ascii="Arial Narrow" w:hAnsi="Arial Narrow"/>
                <w:sz w:val="20"/>
              </w:rPr>
              <w:t>63.9%</w:t>
            </w:r>
          </w:p>
        </w:tc>
        <w:tc>
          <w:tcPr>
            <w:tcW w:w="3737" w:type="dxa"/>
          </w:tcPr>
          <w:p w:rsidR="007E3C93" w:rsidRPr="00D0223A" w:rsidRDefault="007E3C93" w:rsidP="008F34F1">
            <w:pPr>
              <w:jc w:val="center"/>
              <w:rPr>
                <w:rFonts w:ascii="Arial Narrow" w:hAnsi="Arial Narrow"/>
                <w:sz w:val="20"/>
              </w:rPr>
            </w:pPr>
            <w:r w:rsidRPr="00D0223A">
              <w:rPr>
                <w:rFonts w:ascii="Arial Narrow" w:hAnsi="Arial Narrow"/>
                <w:sz w:val="20"/>
              </w:rPr>
              <w:t>-6.90</w:t>
            </w:r>
          </w:p>
        </w:tc>
      </w:tr>
      <w:tr w:rsidR="007E3C93" w:rsidRPr="00D0223A" w:rsidTr="008F34F1">
        <w:tc>
          <w:tcPr>
            <w:tcW w:w="1820" w:type="dxa"/>
          </w:tcPr>
          <w:p w:rsidR="007E3C93" w:rsidRPr="00D0223A" w:rsidRDefault="007E3C93" w:rsidP="008F34F1">
            <w:pPr>
              <w:rPr>
                <w:rFonts w:ascii="Arial Narrow" w:hAnsi="Arial Narrow"/>
                <w:b/>
                <w:sz w:val="20"/>
              </w:rPr>
            </w:pPr>
            <w:r w:rsidRPr="00D0223A">
              <w:rPr>
                <w:rFonts w:ascii="Arial Narrow" w:hAnsi="Arial Narrow"/>
                <w:b/>
                <w:sz w:val="20"/>
              </w:rPr>
              <w:t>70+</w:t>
            </w:r>
          </w:p>
        </w:tc>
        <w:tc>
          <w:tcPr>
            <w:tcW w:w="2814" w:type="dxa"/>
          </w:tcPr>
          <w:p w:rsidR="007E3C93" w:rsidRPr="00D0223A" w:rsidRDefault="007E3C93" w:rsidP="008F34F1">
            <w:pPr>
              <w:jc w:val="center"/>
              <w:rPr>
                <w:rFonts w:ascii="Arial Narrow" w:hAnsi="Arial Narrow"/>
                <w:sz w:val="20"/>
              </w:rPr>
            </w:pPr>
            <w:r w:rsidRPr="00D0223A">
              <w:rPr>
                <w:rFonts w:ascii="Arial Narrow" w:hAnsi="Arial Narrow"/>
                <w:sz w:val="20"/>
              </w:rPr>
              <w:t>37.6%</w:t>
            </w:r>
          </w:p>
        </w:tc>
        <w:tc>
          <w:tcPr>
            <w:tcW w:w="3737" w:type="dxa"/>
          </w:tcPr>
          <w:p w:rsidR="007E3C93" w:rsidRPr="00D0223A" w:rsidRDefault="007E3C93" w:rsidP="008F34F1">
            <w:pPr>
              <w:jc w:val="center"/>
              <w:rPr>
                <w:rFonts w:ascii="Arial Narrow" w:hAnsi="Arial Narrow"/>
                <w:sz w:val="20"/>
              </w:rPr>
            </w:pPr>
            <w:r w:rsidRPr="00D0223A">
              <w:rPr>
                <w:rFonts w:ascii="Arial Narrow" w:hAnsi="Arial Narrow"/>
                <w:sz w:val="20"/>
              </w:rPr>
              <w:t>-4.32</w:t>
            </w:r>
          </w:p>
        </w:tc>
      </w:tr>
      <w:tr w:rsidR="007E3C93" w:rsidRPr="00D0223A" w:rsidTr="008F34F1">
        <w:tc>
          <w:tcPr>
            <w:tcW w:w="8371" w:type="dxa"/>
            <w:gridSpan w:val="3"/>
            <w:shd w:val="clear" w:color="auto" w:fill="BFBFBF" w:themeFill="background1" w:themeFillShade="BF"/>
          </w:tcPr>
          <w:p w:rsidR="007E3C93" w:rsidRPr="00D0223A" w:rsidRDefault="007E3C93" w:rsidP="008F34F1">
            <w:pPr>
              <w:rPr>
                <w:rFonts w:ascii="Arial Narrow" w:hAnsi="Arial Narrow"/>
                <w:sz w:val="20"/>
              </w:rPr>
            </w:pPr>
            <w:r w:rsidRPr="00D0223A">
              <w:rPr>
                <w:rFonts w:ascii="Arial Narrow" w:hAnsi="Arial Narrow"/>
                <w:b/>
                <w:sz w:val="20"/>
              </w:rPr>
              <w:t>PHN</w:t>
            </w:r>
          </w:p>
        </w:tc>
      </w:tr>
      <w:tr w:rsidR="007E3C93" w:rsidRPr="00D0223A" w:rsidTr="008F34F1">
        <w:tc>
          <w:tcPr>
            <w:tcW w:w="1820" w:type="dxa"/>
          </w:tcPr>
          <w:p w:rsidR="007E3C93" w:rsidRPr="00D0223A" w:rsidRDefault="007E3C93" w:rsidP="008F34F1">
            <w:pPr>
              <w:rPr>
                <w:rFonts w:ascii="Arial Narrow" w:hAnsi="Arial Narrow"/>
                <w:b/>
                <w:sz w:val="20"/>
              </w:rPr>
            </w:pPr>
            <w:r w:rsidRPr="00D0223A">
              <w:rPr>
                <w:rFonts w:ascii="Arial Narrow" w:hAnsi="Arial Narrow"/>
                <w:b/>
                <w:sz w:val="20"/>
              </w:rPr>
              <w:t>60-69</w:t>
            </w:r>
          </w:p>
        </w:tc>
        <w:tc>
          <w:tcPr>
            <w:tcW w:w="2814" w:type="dxa"/>
          </w:tcPr>
          <w:p w:rsidR="007E3C93" w:rsidRPr="00D0223A" w:rsidRDefault="007E3C93" w:rsidP="008F34F1">
            <w:pPr>
              <w:jc w:val="center"/>
              <w:rPr>
                <w:rFonts w:ascii="Arial Narrow" w:hAnsi="Arial Narrow"/>
                <w:sz w:val="20"/>
              </w:rPr>
            </w:pPr>
            <w:r w:rsidRPr="00D0223A">
              <w:rPr>
                <w:rFonts w:ascii="Arial Narrow" w:hAnsi="Arial Narrow"/>
                <w:sz w:val="20"/>
              </w:rPr>
              <w:t>65.6%</w:t>
            </w:r>
          </w:p>
        </w:tc>
        <w:tc>
          <w:tcPr>
            <w:tcW w:w="3737" w:type="dxa"/>
          </w:tcPr>
          <w:p w:rsidR="007E3C93" w:rsidRPr="00D0223A" w:rsidRDefault="007E3C93" w:rsidP="008F34F1">
            <w:pPr>
              <w:jc w:val="center"/>
              <w:rPr>
                <w:rFonts w:ascii="Arial Narrow" w:hAnsi="Arial Narrow"/>
                <w:sz w:val="20"/>
              </w:rPr>
            </w:pPr>
            <w:r w:rsidRPr="00D0223A">
              <w:rPr>
                <w:rFonts w:ascii="Arial Narrow" w:hAnsi="Arial Narrow"/>
                <w:sz w:val="20"/>
              </w:rPr>
              <w:t>-0.49</w:t>
            </w:r>
          </w:p>
        </w:tc>
      </w:tr>
      <w:tr w:rsidR="007E3C93" w:rsidRPr="00D0223A" w:rsidTr="008F34F1">
        <w:tc>
          <w:tcPr>
            <w:tcW w:w="1820" w:type="dxa"/>
          </w:tcPr>
          <w:p w:rsidR="007E3C93" w:rsidRPr="00D0223A" w:rsidRDefault="007E3C93" w:rsidP="008F34F1">
            <w:pPr>
              <w:rPr>
                <w:rFonts w:ascii="Arial Narrow" w:hAnsi="Arial Narrow"/>
                <w:b/>
                <w:sz w:val="20"/>
              </w:rPr>
            </w:pPr>
            <w:r w:rsidRPr="00D0223A">
              <w:rPr>
                <w:rFonts w:ascii="Arial Narrow" w:hAnsi="Arial Narrow"/>
                <w:b/>
                <w:sz w:val="20"/>
              </w:rPr>
              <w:t>70+</w:t>
            </w:r>
          </w:p>
        </w:tc>
        <w:tc>
          <w:tcPr>
            <w:tcW w:w="2814" w:type="dxa"/>
          </w:tcPr>
          <w:p w:rsidR="007E3C93" w:rsidRPr="00D0223A" w:rsidRDefault="007E3C93" w:rsidP="008F34F1">
            <w:pPr>
              <w:jc w:val="center"/>
              <w:rPr>
                <w:rFonts w:ascii="Arial Narrow" w:hAnsi="Arial Narrow"/>
                <w:sz w:val="20"/>
              </w:rPr>
            </w:pPr>
            <w:r w:rsidRPr="00D0223A">
              <w:rPr>
                <w:rFonts w:ascii="Arial Narrow" w:hAnsi="Arial Narrow"/>
                <w:sz w:val="20"/>
              </w:rPr>
              <w:t>66.8%</w:t>
            </w:r>
          </w:p>
        </w:tc>
        <w:tc>
          <w:tcPr>
            <w:tcW w:w="3737" w:type="dxa"/>
          </w:tcPr>
          <w:p w:rsidR="007E3C93" w:rsidRPr="00D0223A" w:rsidRDefault="007E3C93" w:rsidP="008F34F1">
            <w:pPr>
              <w:jc w:val="center"/>
              <w:rPr>
                <w:rFonts w:ascii="Arial Narrow" w:hAnsi="Arial Narrow"/>
                <w:sz w:val="20"/>
              </w:rPr>
            </w:pPr>
            <w:r w:rsidRPr="00D0223A">
              <w:rPr>
                <w:rFonts w:ascii="Arial Narrow" w:hAnsi="Arial Narrow"/>
                <w:sz w:val="20"/>
              </w:rPr>
              <w:t>-1.42</w:t>
            </w:r>
          </w:p>
        </w:tc>
      </w:tr>
    </w:tbl>
    <w:p w:rsidR="007E3C93" w:rsidRPr="00D0223A" w:rsidRDefault="007E3C93" w:rsidP="005119D7">
      <w:pPr>
        <w:pStyle w:val="TableFootnoteindent"/>
        <w:tabs>
          <w:tab w:val="clear" w:pos="284"/>
          <w:tab w:val="left" w:pos="709"/>
        </w:tabs>
        <w:ind w:left="709" w:firstLine="0"/>
      </w:pPr>
      <w:r w:rsidRPr="00D0223A">
        <w:t>SPS = Shingles Prevention Study; RRR = relative risk reduction; PHN = post herpetic neuralgia</w:t>
      </w:r>
    </w:p>
    <w:p w:rsidR="007E3C93" w:rsidRPr="00D0223A" w:rsidRDefault="007E3C93" w:rsidP="005119D7">
      <w:pPr>
        <w:pStyle w:val="TableFootnoteindent"/>
        <w:tabs>
          <w:tab w:val="clear" w:pos="284"/>
          <w:tab w:val="left" w:pos="709"/>
        </w:tabs>
        <w:ind w:left="709" w:firstLine="0"/>
      </w:pPr>
      <w:r w:rsidRPr="00D0223A">
        <w:t>Source: Table B.3.1, p38 and Table B.3.2, p41 of the resubmission. Numbers calculated during the evaluation.</w:t>
      </w:r>
    </w:p>
    <w:p w:rsidR="007E3C93" w:rsidRPr="00D0223A" w:rsidRDefault="007E3C93" w:rsidP="007E3C93"/>
    <w:p w:rsidR="007E3C93" w:rsidRPr="00D0223A" w:rsidRDefault="007E3C93" w:rsidP="007E3C93"/>
    <w:p w:rsidR="007E3C93" w:rsidRPr="00D0223A" w:rsidRDefault="007E3C93" w:rsidP="007E3C93">
      <w:pPr>
        <w:pStyle w:val="PBACheading1"/>
        <w:rPr>
          <w:b/>
        </w:rPr>
      </w:pPr>
      <w:bookmarkStart w:id="6" w:name="_Toc269216209"/>
      <w:bookmarkStart w:id="7" w:name="_Toc395780727"/>
      <w:bookmarkStart w:id="8" w:name="_Toc397415395"/>
      <w:r w:rsidRPr="00D0223A">
        <w:rPr>
          <w:b/>
        </w:rPr>
        <w:t>Requested listing</w:t>
      </w:r>
      <w:bookmarkEnd w:id="6"/>
      <w:bookmarkEnd w:id="7"/>
      <w:bookmarkEnd w:id="8"/>
    </w:p>
    <w:p w:rsidR="007E3C93" w:rsidRPr="00D0223A" w:rsidRDefault="007E3C93" w:rsidP="007E3C93"/>
    <w:p w:rsidR="007E3C93" w:rsidRPr="00D0223A" w:rsidRDefault="007E3C93" w:rsidP="00C9248D">
      <w:pPr>
        <w:pStyle w:val="ListParagraph"/>
        <w:widowControl/>
        <w:numPr>
          <w:ilvl w:val="1"/>
          <w:numId w:val="1"/>
        </w:numPr>
      </w:pPr>
      <w:r w:rsidRPr="00D0223A">
        <w:t xml:space="preserve">Listing </w:t>
      </w:r>
      <w:r w:rsidR="005A60DD" w:rsidRPr="00D0223A">
        <w:t>wa</w:t>
      </w:r>
      <w:r w:rsidRPr="00D0223A">
        <w:t>s sought for the following cohorts of immunocompetent persons:</w:t>
      </w:r>
    </w:p>
    <w:p w:rsidR="007E3C93" w:rsidRPr="00D0223A" w:rsidRDefault="007E3C93" w:rsidP="00C9248D">
      <w:pPr>
        <w:pStyle w:val="ListParagraph"/>
        <w:widowControl/>
        <w:numPr>
          <w:ilvl w:val="0"/>
          <w:numId w:val="10"/>
        </w:numPr>
      </w:pPr>
      <w:r w:rsidRPr="00D0223A">
        <w:t xml:space="preserve">Ongoing cohort of 70 year old individuals </w:t>
      </w:r>
    </w:p>
    <w:p w:rsidR="007E3C93" w:rsidRPr="00D0223A" w:rsidRDefault="007E3C93" w:rsidP="00C9248D">
      <w:pPr>
        <w:pStyle w:val="ListParagraph"/>
        <w:widowControl/>
        <w:numPr>
          <w:ilvl w:val="0"/>
          <w:numId w:val="10"/>
        </w:numPr>
      </w:pPr>
      <w:r w:rsidRPr="00D0223A">
        <w:t xml:space="preserve">Catch-up cohort for individuals aged 71-79 years </w:t>
      </w:r>
    </w:p>
    <w:p w:rsidR="005119D7" w:rsidRPr="00D0223A" w:rsidRDefault="005119D7" w:rsidP="005119D7">
      <w:pPr>
        <w:pStyle w:val="ListParagraph"/>
        <w:widowControl/>
        <w:ind w:left="1004"/>
      </w:pPr>
    </w:p>
    <w:tbl>
      <w:tblPr>
        <w:tblW w:w="4136" w:type="pct"/>
        <w:tblInd w:w="736" w:type="dxa"/>
        <w:tblCellMar>
          <w:left w:w="28" w:type="dxa"/>
          <w:right w:w="28" w:type="dxa"/>
        </w:tblCellMar>
        <w:tblLook w:val="0000" w:firstRow="0" w:lastRow="0" w:firstColumn="0" w:lastColumn="0" w:noHBand="0" w:noVBand="0"/>
      </w:tblPr>
      <w:tblGrid>
        <w:gridCol w:w="3074"/>
        <w:gridCol w:w="1322"/>
        <w:gridCol w:w="1418"/>
        <w:gridCol w:w="1699"/>
      </w:tblGrid>
      <w:tr w:rsidR="00D24692" w:rsidRPr="00D0223A" w:rsidTr="00D24692">
        <w:trPr>
          <w:cantSplit/>
          <w:trHeight w:val="471"/>
        </w:trPr>
        <w:tc>
          <w:tcPr>
            <w:tcW w:w="2045" w:type="pct"/>
            <w:tcBorders>
              <w:bottom w:val="single" w:sz="4" w:space="0" w:color="auto"/>
            </w:tcBorders>
            <w:vAlign w:val="center"/>
          </w:tcPr>
          <w:p w:rsidR="00D24692" w:rsidRPr="00D0223A" w:rsidRDefault="00D24692" w:rsidP="008F34F1">
            <w:pPr>
              <w:keepNext/>
              <w:jc w:val="left"/>
              <w:rPr>
                <w:rFonts w:ascii="Arial Narrow" w:hAnsi="Arial Narrow"/>
                <w:b/>
                <w:sz w:val="20"/>
              </w:rPr>
            </w:pPr>
            <w:r w:rsidRPr="00D0223A">
              <w:rPr>
                <w:rFonts w:ascii="Arial Narrow" w:hAnsi="Arial Narrow"/>
                <w:b/>
                <w:sz w:val="20"/>
              </w:rPr>
              <w:t>Name, Restriction,</w:t>
            </w:r>
          </w:p>
          <w:p w:rsidR="00D24692" w:rsidRPr="00D0223A" w:rsidRDefault="00D24692" w:rsidP="008F34F1">
            <w:pPr>
              <w:keepNext/>
              <w:jc w:val="left"/>
              <w:rPr>
                <w:rFonts w:ascii="Arial Narrow" w:hAnsi="Arial Narrow"/>
                <w:b/>
                <w:sz w:val="20"/>
              </w:rPr>
            </w:pPr>
            <w:r w:rsidRPr="00D0223A">
              <w:rPr>
                <w:rFonts w:ascii="Arial Narrow" w:hAnsi="Arial Narrow"/>
                <w:b/>
                <w:sz w:val="20"/>
              </w:rPr>
              <w:t>Manner of administration and form</w:t>
            </w:r>
          </w:p>
        </w:tc>
        <w:tc>
          <w:tcPr>
            <w:tcW w:w="880" w:type="pct"/>
            <w:tcBorders>
              <w:bottom w:val="single" w:sz="4" w:space="0" w:color="auto"/>
            </w:tcBorders>
            <w:vAlign w:val="center"/>
          </w:tcPr>
          <w:p w:rsidR="00D24692" w:rsidRPr="00D0223A" w:rsidRDefault="00D24692" w:rsidP="008F34F1">
            <w:pPr>
              <w:keepNext/>
              <w:jc w:val="center"/>
              <w:rPr>
                <w:rFonts w:ascii="Arial Narrow" w:hAnsi="Arial Narrow"/>
                <w:b/>
                <w:sz w:val="20"/>
              </w:rPr>
            </w:pPr>
            <w:r w:rsidRPr="00D0223A">
              <w:rPr>
                <w:rFonts w:ascii="Arial Narrow" w:hAnsi="Arial Narrow"/>
                <w:b/>
                <w:sz w:val="20"/>
              </w:rPr>
              <w:t>Max.</w:t>
            </w:r>
          </w:p>
          <w:p w:rsidR="00D24692" w:rsidRPr="00D0223A" w:rsidRDefault="00D24692" w:rsidP="008F34F1">
            <w:pPr>
              <w:keepNext/>
              <w:jc w:val="center"/>
              <w:rPr>
                <w:rFonts w:ascii="Arial Narrow" w:hAnsi="Arial Narrow"/>
                <w:b/>
                <w:sz w:val="20"/>
              </w:rPr>
            </w:pPr>
            <w:r w:rsidRPr="00D0223A">
              <w:rPr>
                <w:rFonts w:ascii="Arial Narrow" w:hAnsi="Arial Narrow"/>
                <w:b/>
                <w:sz w:val="20"/>
              </w:rPr>
              <w:t>Qty</w:t>
            </w:r>
          </w:p>
        </w:tc>
        <w:tc>
          <w:tcPr>
            <w:tcW w:w="2075" w:type="pct"/>
            <w:gridSpan w:val="2"/>
            <w:tcBorders>
              <w:bottom w:val="single" w:sz="4" w:space="0" w:color="auto"/>
            </w:tcBorders>
            <w:vAlign w:val="center"/>
          </w:tcPr>
          <w:p w:rsidR="00D24692" w:rsidRPr="00D0223A" w:rsidRDefault="00D24692" w:rsidP="008F34F1">
            <w:pPr>
              <w:keepNext/>
              <w:jc w:val="center"/>
              <w:rPr>
                <w:rFonts w:ascii="Arial Narrow" w:hAnsi="Arial Narrow"/>
                <w:b/>
                <w:sz w:val="20"/>
              </w:rPr>
            </w:pPr>
            <w:r w:rsidRPr="00D0223A">
              <w:rPr>
                <w:rFonts w:ascii="Arial Narrow" w:hAnsi="Arial Narrow"/>
                <w:b/>
                <w:sz w:val="20"/>
              </w:rPr>
              <w:t>Proprietary Name and Manufacturer</w:t>
            </w:r>
          </w:p>
        </w:tc>
      </w:tr>
      <w:tr w:rsidR="00D24692" w:rsidRPr="00D0223A" w:rsidTr="00D24692">
        <w:trPr>
          <w:cantSplit/>
          <w:trHeight w:val="567"/>
        </w:trPr>
        <w:tc>
          <w:tcPr>
            <w:tcW w:w="2045" w:type="pct"/>
            <w:vAlign w:val="center"/>
          </w:tcPr>
          <w:p w:rsidR="00D24692" w:rsidRPr="00D0223A" w:rsidRDefault="00D24692" w:rsidP="008F34F1">
            <w:pPr>
              <w:keepNext/>
              <w:jc w:val="left"/>
              <w:rPr>
                <w:rFonts w:ascii="Arial Narrow" w:hAnsi="Arial Narrow"/>
                <w:smallCaps/>
                <w:sz w:val="20"/>
              </w:rPr>
            </w:pPr>
            <w:r w:rsidRPr="00D0223A">
              <w:rPr>
                <w:rFonts w:ascii="Arial Narrow" w:hAnsi="Arial Narrow"/>
                <w:smallCaps/>
                <w:sz w:val="20"/>
              </w:rPr>
              <w:t>ZOSTER VIRUS VACCINE, LIVE, SUBCUTANEOUS INJECTION (REFRIGERATED FORMULATION)</w:t>
            </w:r>
          </w:p>
          <w:p w:rsidR="00D24692" w:rsidRPr="00D0223A" w:rsidRDefault="00D24692" w:rsidP="008F34F1">
            <w:pPr>
              <w:keepNext/>
              <w:jc w:val="left"/>
              <w:rPr>
                <w:rFonts w:ascii="Arial Narrow" w:hAnsi="Arial Narrow"/>
                <w:sz w:val="20"/>
              </w:rPr>
            </w:pPr>
            <w:r w:rsidRPr="00D0223A">
              <w:rPr>
                <w:rFonts w:ascii="Arial Narrow" w:hAnsi="Arial Narrow"/>
                <w:smallCaps/>
                <w:sz w:val="20"/>
              </w:rPr>
              <w:t>0.65mL (when reconstituted) containing a minimum dose of 19,400 plaque-forming  units</w:t>
            </w:r>
          </w:p>
        </w:tc>
        <w:tc>
          <w:tcPr>
            <w:tcW w:w="880" w:type="pct"/>
            <w:vAlign w:val="center"/>
          </w:tcPr>
          <w:p w:rsidR="00D24692" w:rsidRPr="00D0223A" w:rsidRDefault="00D24692" w:rsidP="008F34F1">
            <w:pPr>
              <w:keepNext/>
              <w:jc w:val="center"/>
              <w:rPr>
                <w:rFonts w:ascii="Arial Narrow" w:hAnsi="Arial Narrow"/>
                <w:sz w:val="20"/>
              </w:rPr>
            </w:pPr>
            <w:r w:rsidRPr="00D0223A">
              <w:rPr>
                <w:rFonts w:ascii="Arial Narrow" w:hAnsi="Arial Narrow"/>
                <w:sz w:val="20"/>
              </w:rPr>
              <w:t>1</w:t>
            </w:r>
          </w:p>
        </w:tc>
        <w:tc>
          <w:tcPr>
            <w:tcW w:w="944" w:type="pct"/>
            <w:vAlign w:val="center"/>
          </w:tcPr>
          <w:p w:rsidR="00D24692" w:rsidRPr="00D0223A" w:rsidRDefault="00D24692" w:rsidP="008F34F1">
            <w:pPr>
              <w:keepNext/>
              <w:jc w:val="center"/>
              <w:rPr>
                <w:rFonts w:ascii="Arial Narrow" w:hAnsi="Arial Narrow"/>
                <w:sz w:val="20"/>
              </w:rPr>
            </w:pPr>
            <w:r w:rsidRPr="00D0223A">
              <w:rPr>
                <w:rFonts w:ascii="Arial Narrow" w:hAnsi="Arial Narrow"/>
                <w:sz w:val="20"/>
              </w:rPr>
              <w:t>Zostavax</w:t>
            </w:r>
          </w:p>
        </w:tc>
        <w:tc>
          <w:tcPr>
            <w:tcW w:w="1132" w:type="pct"/>
            <w:vAlign w:val="center"/>
          </w:tcPr>
          <w:p w:rsidR="00D24692" w:rsidRPr="00D0223A" w:rsidRDefault="00D24692" w:rsidP="008F34F1">
            <w:pPr>
              <w:keepNext/>
              <w:jc w:val="center"/>
              <w:rPr>
                <w:rFonts w:ascii="Arial Narrow" w:hAnsi="Arial Narrow"/>
                <w:sz w:val="20"/>
              </w:rPr>
            </w:pPr>
            <w:r w:rsidRPr="00D0223A">
              <w:rPr>
                <w:rFonts w:ascii="Arial Narrow" w:hAnsi="Arial Narrow"/>
                <w:sz w:val="20"/>
              </w:rPr>
              <w:t>bioCSL</w:t>
            </w:r>
          </w:p>
        </w:tc>
      </w:tr>
    </w:tbl>
    <w:p w:rsidR="007E3C93" w:rsidRPr="00D0223A" w:rsidRDefault="007E3C93" w:rsidP="007E3C93">
      <w:pPr>
        <w:widowControl/>
        <w:rPr>
          <w:szCs w:val="22"/>
        </w:rPr>
      </w:pPr>
    </w:p>
    <w:p w:rsidR="007E3C93" w:rsidRPr="00D0223A" w:rsidRDefault="00973567" w:rsidP="00973567">
      <w:pPr>
        <w:pStyle w:val="ListParagraph"/>
        <w:widowControl/>
        <w:numPr>
          <w:ilvl w:val="1"/>
          <w:numId w:val="2"/>
        </w:numPr>
        <w:rPr>
          <w:szCs w:val="22"/>
        </w:rPr>
      </w:pPr>
      <w:r w:rsidRPr="00973567">
        <w:lastRenderedPageBreak/>
        <w:t>The requested price for zoster vaccine is $</w:t>
      </w:r>
      <w:r w:rsidR="00FE405A">
        <w:rPr>
          <w:noProof/>
          <w:color w:val="000000"/>
          <w:highlight w:val="black"/>
        </w:rPr>
        <w:t>'''''''''</w:t>
      </w:r>
      <w:r w:rsidRPr="00973567">
        <w:t>/dose for all patients, the same as offered in the pre-PBAC response in March 2014, and reduced from $</w:t>
      </w:r>
      <w:r w:rsidR="00FE405A">
        <w:rPr>
          <w:noProof/>
          <w:color w:val="000000"/>
          <w:highlight w:val="black"/>
        </w:rPr>
        <w:t>'''''''''</w:t>
      </w:r>
      <w:r w:rsidRPr="00973567">
        <w:t>/dose for the 60 year old ongoing cohort and $</w:t>
      </w:r>
      <w:r w:rsidR="00FE405A">
        <w:rPr>
          <w:noProof/>
          <w:color w:val="000000"/>
          <w:highlight w:val="black"/>
        </w:rPr>
        <w:t>''''''''</w:t>
      </w:r>
      <w:r w:rsidRPr="00973567">
        <w:t>/dose for the catch-up cohort for individuals aged 61-79 years in the previous main re-submission in March 2014.</w:t>
      </w:r>
    </w:p>
    <w:p w:rsidR="007E3C93" w:rsidRPr="00D0223A" w:rsidRDefault="007E3C93" w:rsidP="007E3C93"/>
    <w:p w:rsidR="00FE5BD5" w:rsidRPr="00D0223A" w:rsidRDefault="00FE5BD5" w:rsidP="00FE5BD5">
      <w:pPr>
        <w:pStyle w:val="ListParagraph"/>
        <w:ind w:left="709"/>
        <w:rPr>
          <w:i/>
          <w:szCs w:val="22"/>
        </w:rPr>
      </w:pPr>
      <w:r w:rsidRPr="00D0223A">
        <w:rPr>
          <w:i/>
          <w:szCs w:val="22"/>
        </w:rPr>
        <w:t>For more detail on PBAC’s view, see section 7 “PBAC outcome”</w:t>
      </w:r>
    </w:p>
    <w:p w:rsidR="007E3C93" w:rsidRDefault="007E3C93" w:rsidP="007E3C93"/>
    <w:p w:rsidR="00D54BFC" w:rsidRPr="00D0223A" w:rsidRDefault="00D54BFC" w:rsidP="007E3C93"/>
    <w:p w:rsidR="007E3C93" w:rsidRPr="00D0223A" w:rsidRDefault="007E3C93" w:rsidP="007E3C93">
      <w:pPr>
        <w:pStyle w:val="PBACheading1"/>
      </w:pPr>
      <w:bookmarkStart w:id="9" w:name="_Toc269216210"/>
      <w:bookmarkStart w:id="10" w:name="_Toc395780728"/>
      <w:bookmarkStart w:id="11" w:name="_Toc397415396"/>
      <w:r w:rsidRPr="00D0223A">
        <w:rPr>
          <w:b/>
        </w:rPr>
        <w:t>Background</w:t>
      </w:r>
      <w:bookmarkEnd w:id="9"/>
      <w:bookmarkEnd w:id="10"/>
      <w:bookmarkEnd w:id="11"/>
    </w:p>
    <w:p w:rsidR="007E3C93" w:rsidRPr="00D0223A" w:rsidRDefault="007E3C93" w:rsidP="007E3C93">
      <w:pPr>
        <w:rPr>
          <w:szCs w:val="22"/>
        </w:rPr>
      </w:pPr>
    </w:p>
    <w:p w:rsidR="007E3C93" w:rsidRPr="00D0223A" w:rsidRDefault="008051A1" w:rsidP="00C9248D">
      <w:pPr>
        <w:pStyle w:val="ListParagraph"/>
        <w:widowControl/>
        <w:numPr>
          <w:ilvl w:val="1"/>
          <w:numId w:val="1"/>
        </w:numPr>
        <w:rPr>
          <w:szCs w:val="22"/>
        </w:rPr>
      </w:pPr>
      <w:r w:rsidRPr="00D0223A">
        <w:rPr>
          <w:szCs w:val="22"/>
        </w:rPr>
        <w:t>Zoster v</w:t>
      </w:r>
      <w:r w:rsidR="007E3C93" w:rsidRPr="00D0223A">
        <w:rPr>
          <w:szCs w:val="22"/>
        </w:rPr>
        <w:t xml:space="preserve">accine was TGA registered in 2007 for the prevention of herpes zoster, prevention of PHN and for reduction of acute and chronic zoster-associated pain in individuals 60 years of age and older.  In a subsequent application (2013), the TGA indication was broadened to include the prevention of herpes zoster in patients 50 years and older.  </w:t>
      </w:r>
    </w:p>
    <w:p w:rsidR="007E3C93" w:rsidRPr="00D0223A" w:rsidRDefault="007E3C93" w:rsidP="007E3C93"/>
    <w:p w:rsidR="007E3C93" w:rsidRPr="00D0223A" w:rsidRDefault="007E3C93" w:rsidP="00C9248D">
      <w:pPr>
        <w:pStyle w:val="ListParagraph"/>
        <w:widowControl/>
        <w:numPr>
          <w:ilvl w:val="1"/>
          <w:numId w:val="1"/>
        </w:numPr>
        <w:rPr>
          <w:szCs w:val="22"/>
        </w:rPr>
      </w:pPr>
      <w:r w:rsidRPr="00D0223A">
        <w:t>Zoster vaccine had been considered four times previously by the PBAC. The first submission was in July 2007 for the November</w:t>
      </w:r>
      <w:r w:rsidR="009D3831" w:rsidRPr="00D0223A">
        <w:t xml:space="preserve"> 2007 PBAC meeting.</w:t>
      </w:r>
      <w:r w:rsidR="00361DBC" w:rsidRPr="00D0223A">
        <w:t xml:space="preserve"> A minor re</w:t>
      </w:r>
      <w:r w:rsidR="00361DBC" w:rsidRPr="00D0223A">
        <w:noBreakHyphen/>
      </w:r>
      <w:r w:rsidRPr="00D0223A">
        <w:t>submission was made in December 2007 for the March 2008 PBAC meeting, at which Zostavax was recommended for listing. PBAC subsequently reviewed its decision to list zoster virus vaccination in line with standard practice for recommendations that are more than 5 years old and have not been implemented.  At the July 2013 PBAC meeting the Australian Technical Advisory Group on Immunisation (ATAGI) identified key model inputs that may have changed since the 2008 recommendation and may affect the es</w:t>
      </w:r>
      <w:r w:rsidR="00361DBC" w:rsidRPr="00D0223A">
        <w:t>timation of cost effectiveness. A </w:t>
      </w:r>
      <w:r w:rsidRPr="00D0223A">
        <w:t xml:space="preserve">resubmission was evaluated for the March 2014 PBAC meeting. The pre-PBAC response revised the proposed listing to suggest targeting a 70 year old ongoing cohort and 71-79 year old catch-up cohort and presented an economic model for the revised listing. At the March 2014 meeting the PBAC deferred its decision on Zoster Vaccine and considered that a major submission to the PBAC was required to determine cost-effectiveness of zoster vaccine in the 70 year old cohort. </w:t>
      </w:r>
    </w:p>
    <w:p w:rsidR="007E3C93" w:rsidRPr="00D0223A" w:rsidRDefault="007E3C93" w:rsidP="007E3C93"/>
    <w:p w:rsidR="00FE5BD5" w:rsidRPr="00D0223A" w:rsidRDefault="00FE5BD5" w:rsidP="00FE5BD5">
      <w:pPr>
        <w:pStyle w:val="ListParagraph"/>
        <w:ind w:left="709"/>
        <w:rPr>
          <w:i/>
          <w:szCs w:val="22"/>
        </w:rPr>
      </w:pPr>
      <w:r w:rsidRPr="00D0223A">
        <w:rPr>
          <w:i/>
          <w:szCs w:val="22"/>
        </w:rPr>
        <w:t>For more detail on PBAC’s view, see section 7 “PBAC outcome”</w:t>
      </w:r>
    </w:p>
    <w:p w:rsidR="007E3C93" w:rsidRDefault="007E3C93" w:rsidP="007E3C93"/>
    <w:p w:rsidR="00D54BFC" w:rsidRPr="00D0223A" w:rsidRDefault="00D54BFC" w:rsidP="007E3C93"/>
    <w:p w:rsidR="007E3C93" w:rsidRPr="00D0223A" w:rsidRDefault="007E3C93" w:rsidP="007E3C93">
      <w:pPr>
        <w:pStyle w:val="PBACheading1"/>
        <w:rPr>
          <w:b/>
        </w:rPr>
      </w:pPr>
      <w:bookmarkStart w:id="12" w:name="_Toc269216211"/>
      <w:bookmarkStart w:id="13" w:name="_Toc395780729"/>
      <w:bookmarkStart w:id="14" w:name="_Toc397415397"/>
      <w:r w:rsidRPr="00D0223A">
        <w:rPr>
          <w:b/>
        </w:rPr>
        <w:t>Clinical place for the proposed therapy</w:t>
      </w:r>
      <w:bookmarkEnd w:id="12"/>
      <w:bookmarkEnd w:id="13"/>
      <w:bookmarkEnd w:id="14"/>
    </w:p>
    <w:p w:rsidR="007E3C93" w:rsidRPr="00D0223A" w:rsidRDefault="007E3C93" w:rsidP="007E3C93">
      <w:pPr>
        <w:rPr>
          <w:szCs w:val="22"/>
        </w:rPr>
      </w:pPr>
    </w:p>
    <w:p w:rsidR="007E3C93" w:rsidRPr="00D0223A" w:rsidRDefault="007E3C93" w:rsidP="00C9248D">
      <w:pPr>
        <w:pStyle w:val="ListParagraph"/>
        <w:widowControl/>
        <w:numPr>
          <w:ilvl w:val="1"/>
          <w:numId w:val="1"/>
        </w:numPr>
        <w:rPr>
          <w:szCs w:val="22"/>
        </w:rPr>
      </w:pPr>
      <w:r w:rsidRPr="00D0223A">
        <w:t>Zoster vaccine is used to prevent zoster and the complications of zoster (</w:t>
      </w:r>
      <w:r w:rsidR="00361DBC" w:rsidRPr="00D0223A">
        <w:t>i.e.</w:t>
      </w:r>
      <w:r w:rsidRPr="00D0223A">
        <w:t xml:space="preserve"> PHN).  The clinical management of zoster / PHN remains the same, irrespective of whether the person has been vaccinated or not.  </w:t>
      </w:r>
    </w:p>
    <w:p w:rsidR="00932C3E" w:rsidRPr="00D0223A" w:rsidRDefault="00932C3E" w:rsidP="00932C3E">
      <w:pPr>
        <w:pStyle w:val="PBACheading1"/>
        <w:numPr>
          <w:ilvl w:val="0"/>
          <w:numId w:val="0"/>
        </w:numPr>
        <w:ind w:left="720" w:hanging="720"/>
      </w:pPr>
    </w:p>
    <w:p w:rsidR="005E1DB5" w:rsidRPr="00E925BE" w:rsidRDefault="00ED392C" w:rsidP="00ED392C">
      <w:pPr>
        <w:pStyle w:val="ListParagraph"/>
        <w:widowControl/>
        <w:numPr>
          <w:ilvl w:val="1"/>
          <w:numId w:val="1"/>
        </w:numPr>
        <w:rPr>
          <w:szCs w:val="22"/>
        </w:rPr>
      </w:pPr>
      <w:r w:rsidRPr="00E925BE">
        <w:rPr>
          <w:szCs w:val="22"/>
        </w:rPr>
        <w:t>The post-submission</w:t>
      </w:r>
      <w:r w:rsidR="005E1DB5" w:rsidRPr="00E925BE">
        <w:rPr>
          <w:szCs w:val="22"/>
        </w:rPr>
        <w:t xml:space="preserve"> ATAGI</w:t>
      </w:r>
      <w:r w:rsidRPr="00E925BE">
        <w:rPr>
          <w:szCs w:val="22"/>
        </w:rPr>
        <w:t xml:space="preserve"> advice stated that ATAGI had</w:t>
      </w:r>
      <w:r w:rsidR="005E1DB5" w:rsidRPr="00E925BE">
        <w:rPr>
          <w:szCs w:val="22"/>
        </w:rPr>
        <w:t xml:space="preserve"> revised its recommendation regarding the concomitant administration of Zostavax with </w:t>
      </w:r>
      <w:r w:rsidR="00932C3E" w:rsidRPr="00E925BE">
        <w:rPr>
          <w:szCs w:val="22"/>
        </w:rPr>
        <w:t xml:space="preserve">the pneumococcal vaccine, </w:t>
      </w:r>
      <w:r w:rsidR="00932C3E" w:rsidRPr="00E925BE">
        <w:rPr>
          <w:rStyle w:val="st1"/>
          <w:szCs w:val="22"/>
        </w:rPr>
        <w:t>Pneumovax 23</w:t>
      </w:r>
      <w:r w:rsidR="00932C3E" w:rsidRPr="00E925BE">
        <w:rPr>
          <w:szCs w:val="22"/>
        </w:rPr>
        <w:t xml:space="preserve"> (</w:t>
      </w:r>
      <w:r w:rsidR="005E1DB5" w:rsidRPr="00E925BE">
        <w:rPr>
          <w:szCs w:val="22"/>
        </w:rPr>
        <w:t>23vPPV</w:t>
      </w:r>
      <w:r w:rsidR="00932C3E" w:rsidRPr="00E925BE">
        <w:rPr>
          <w:szCs w:val="22"/>
        </w:rPr>
        <w:t>)</w:t>
      </w:r>
      <w:r w:rsidR="005E1DB5" w:rsidRPr="00E925BE">
        <w:rPr>
          <w:szCs w:val="22"/>
        </w:rPr>
        <w:t xml:space="preserve">. ATAGI now considers it acceptable to administer Zostavax and 23vPPV concomitantly. This revision </w:t>
      </w:r>
      <w:r w:rsidR="00932C3E" w:rsidRPr="00E925BE">
        <w:rPr>
          <w:szCs w:val="22"/>
        </w:rPr>
        <w:t xml:space="preserve">was </w:t>
      </w:r>
      <w:r w:rsidR="005E1DB5" w:rsidRPr="00E925BE">
        <w:rPr>
          <w:szCs w:val="22"/>
        </w:rPr>
        <w:t xml:space="preserve">based primarily on post-licensure data that showed that </w:t>
      </w:r>
      <w:r w:rsidR="00222A37" w:rsidRPr="00E925BE">
        <w:rPr>
          <w:szCs w:val="22"/>
        </w:rPr>
        <w:t xml:space="preserve">immunogenicity was similar when </w:t>
      </w:r>
      <w:r w:rsidR="005E1DB5" w:rsidRPr="00E925BE">
        <w:rPr>
          <w:szCs w:val="22"/>
        </w:rPr>
        <w:t xml:space="preserve">Zostavax was administered simultaneously with 23vPPV or 4 weeks apart. Of note the USA </w:t>
      </w:r>
      <w:r w:rsidRPr="00E925BE">
        <w:rPr>
          <w:szCs w:val="22"/>
        </w:rPr>
        <w:t xml:space="preserve">Advisory Committee on Immunization Practices </w:t>
      </w:r>
      <w:r w:rsidR="005E1DB5" w:rsidRPr="00E925BE">
        <w:rPr>
          <w:szCs w:val="22"/>
        </w:rPr>
        <w:t>(ACIP) and the UK</w:t>
      </w:r>
      <w:r w:rsidRPr="00E925BE">
        <w:rPr>
          <w:szCs w:val="22"/>
        </w:rPr>
        <w:t xml:space="preserve"> Joint Committee on Vaccination and </w:t>
      </w:r>
      <w:r w:rsidR="00D0223A" w:rsidRPr="00E925BE">
        <w:rPr>
          <w:szCs w:val="22"/>
        </w:rPr>
        <w:t>Immunisation</w:t>
      </w:r>
      <w:r w:rsidR="005E1DB5" w:rsidRPr="00E925BE">
        <w:rPr>
          <w:szCs w:val="22"/>
        </w:rPr>
        <w:t xml:space="preserve"> (JCVI) also recommend co-administration of Zostavax and 23vPPV for eligible adults. It is anticipated that this would simplify the implementation of the proposed Zostavax vaccination program. </w:t>
      </w:r>
      <w:r w:rsidR="005E1DB5" w:rsidRPr="00E925BE">
        <w:rPr>
          <w:szCs w:val="22"/>
        </w:rPr>
        <w:lastRenderedPageBreak/>
        <w:t>This recommendation is still preliminary and requires public consultation and endorsement from the NHMRC, prior to inclusion in The</w:t>
      </w:r>
      <w:r w:rsidRPr="00E925BE">
        <w:rPr>
          <w:szCs w:val="22"/>
        </w:rPr>
        <w:t xml:space="preserve"> </w:t>
      </w:r>
      <w:r w:rsidR="005E1DB5" w:rsidRPr="00E925BE">
        <w:rPr>
          <w:szCs w:val="22"/>
        </w:rPr>
        <w:t>Australian Immunisation Handbook, which is anticipated to occur in mid-2015.</w:t>
      </w:r>
    </w:p>
    <w:p w:rsidR="00ED392C" w:rsidRPr="00E925BE" w:rsidRDefault="00ED392C" w:rsidP="00ED392C">
      <w:pPr>
        <w:pStyle w:val="ListParagraph"/>
        <w:rPr>
          <w:szCs w:val="22"/>
        </w:rPr>
      </w:pPr>
    </w:p>
    <w:p w:rsidR="00ED392C" w:rsidRPr="00E925BE" w:rsidRDefault="00ED392C" w:rsidP="00ED392C">
      <w:pPr>
        <w:pStyle w:val="ListParagraph"/>
        <w:widowControl/>
        <w:numPr>
          <w:ilvl w:val="1"/>
          <w:numId w:val="1"/>
        </w:numPr>
        <w:rPr>
          <w:szCs w:val="22"/>
        </w:rPr>
      </w:pPr>
      <w:r w:rsidRPr="00E925BE">
        <w:rPr>
          <w:szCs w:val="22"/>
        </w:rPr>
        <w:t xml:space="preserve">ATAGI reiterated that if Zostavax is included on the NIP it is essential to establish a dedicated vaccination register that captures population-based data on vaccination in adults. There is no systematic means to capture validated national data on the uptake of vaccines currently funded under the NIP in older persons in Australia (influenza and pneumococcal vaccines). In addition, as recommended in the NHMRC-endorsed Australian Immunisation Handbook (10th Edition 2013), there are an increasing number of vaccines recommended for use in </w:t>
      </w:r>
      <w:r w:rsidR="00222A37" w:rsidRPr="00E925BE">
        <w:rPr>
          <w:szCs w:val="22"/>
        </w:rPr>
        <w:t xml:space="preserve">adolescents and </w:t>
      </w:r>
      <w:r w:rsidRPr="00E925BE">
        <w:rPr>
          <w:szCs w:val="22"/>
        </w:rPr>
        <w:t>adults in recent years, leading to confusion and difficulty in recall regarding vaccination history for both patients and providers</w:t>
      </w:r>
      <w:r w:rsidR="00222A37" w:rsidRPr="00E925BE">
        <w:rPr>
          <w:szCs w:val="22"/>
        </w:rPr>
        <w:t>, as the current</w:t>
      </w:r>
      <w:r w:rsidR="00973567" w:rsidRPr="00E925BE">
        <w:rPr>
          <w:szCs w:val="22"/>
        </w:rPr>
        <w:t xml:space="preserve"> Australian Childhood Immunisation Register</w:t>
      </w:r>
      <w:r w:rsidR="00222A37" w:rsidRPr="00E925BE">
        <w:rPr>
          <w:szCs w:val="22"/>
        </w:rPr>
        <w:t xml:space="preserve"> </w:t>
      </w:r>
      <w:r w:rsidR="00973567" w:rsidRPr="00E925BE">
        <w:rPr>
          <w:szCs w:val="22"/>
        </w:rPr>
        <w:t>(</w:t>
      </w:r>
      <w:r w:rsidR="00222A37" w:rsidRPr="00E925BE">
        <w:rPr>
          <w:szCs w:val="22"/>
        </w:rPr>
        <w:t>ACIR</w:t>
      </w:r>
      <w:r w:rsidR="00973567" w:rsidRPr="00E925BE">
        <w:rPr>
          <w:szCs w:val="22"/>
        </w:rPr>
        <w:t>)</w:t>
      </w:r>
      <w:r w:rsidR="00222A37" w:rsidRPr="00E925BE">
        <w:rPr>
          <w:szCs w:val="22"/>
        </w:rPr>
        <w:t xml:space="preserve"> does not record vaccinations beyond 7 years of age, and the HPV Vaccine Register is vaccine specific, and managed by the Cervical Cancer Registry</w:t>
      </w:r>
      <w:r w:rsidRPr="00E925BE">
        <w:rPr>
          <w:szCs w:val="22"/>
        </w:rPr>
        <w:t xml:space="preserve">. Accurate recording of vaccine administration is essential to optimize vaccine provision for effective disease prevention, to avoid repeat vaccination, under-vaccination, and vaccine wastage and leakage. ATAGI considers that an immunisation register is also an essential requirement to enable robust assessment of vaccination program impact, particularly for Zostavax. Given </w:t>
      </w:r>
      <w:r w:rsidR="00555885" w:rsidRPr="00E925BE">
        <w:rPr>
          <w:szCs w:val="22"/>
        </w:rPr>
        <w:t xml:space="preserve">the </w:t>
      </w:r>
      <w:r w:rsidRPr="00E925BE">
        <w:rPr>
          <w:szCs w:val="22"/>
        </w:rPr>
        <w:t>uncertainty around Zostavax vaccine effectiveness and duration of protection against both herpes zoster and post-herpetic neuralgia, the potential need for additional changes in policy and practice in the future (e.g. need for a booster dose) and the importance of monitoring vaccine safety, a register that allows access to data at both the individual patient/provider level and at a population level is a requirement.</w:t>
      </w:r>
    </w:p>
    <w:p w:rsidR="007E3C93" w:rsidRPr="00D0223A" w:rsidRDefault="007E3C93" w:rsidP="007E3C93">
      <w:pPr>
        <w:rPr>
          <w:szCs w:val="22"/>
        </w:rPr>
      </w:pPr>
    </w:p>
    <w:p w:rsidR="00FE5BD5" w:rsidRPr="00D0223A" w:rsidRDefault="00FE5BD5" w:rsidP="00FE5BD5">
      <w:pPr>
        <w:pStyle w:val="ListParagraph"/>
        <w:ind w:left="709"/>
        <w:rPr>
          <w:i/>
          <w:szCs w:val="22"/>
        </w:rPr>
      </w:pPr>
      <w:r w:rsidRPr="00D0223A">
        <w:rPr>
          <w:i/>
          <w:szCs w:val="22"/>
        </w:rPr>
        <w:t>For more detail on PBAC’s view, see section 7 “PBAC outcome”</w:t>
      </w:r>
    </w:p>
    <w:p w:rsidR="007E3C93" w:rsidRDefault="007E3C93" w:rsidP="007E3C93">
      <w:pPr>
        <w:pStyle w:val="ListParagraph"/>
        <w:ind w:left="0"/>
        <w:rPr>
          <w:szCs w:val="22"/>
        </w:rPr>
      </w:pPr>
    </w:p>
    <w:p w:rsidR="00D54BFC" w:rsidRPr="00D0223A" w:rsidRDefault="00D54BFC" w:rsidP="007E3C93">
      <w:pPr>
        <w:pStyle w:val="ListParagraph"/>
        <w:ind w:left="0"/>
        <w:rPr>
          <w:szCs w:val="22"/>
        </w:rPr>
      </w:pPr>
    </w:p>
    <w:p w:rsidR="007E3C93" w:rsidRPr="00D0223A" w:rsidRDefault="007E3C93" w:rsidP="007E3C93">
      <w:pPr>
        <w:pStyle w:val="PBACheading1"/>
        <w:rPr>
          <w:b/>
        </w:rPr>
      </w:pPr>
      <w:bookmarkStart w:id="15" w:name="_Toc269216212"/>
      <w:bookmarkStart w:id="16" w:name="_Toc395780730"/>
      <w:bookmarkStart w:id="17" w:name="_Toc397415398"/>
      <w:r w:rsidRPr="00D0223A">
        <w:rPr>
          <w:b/>
        </w:rPr>
        <w:t>Comparator</w:t>
      </w:r>
      <w:bookmarkEnd w:id="15"/>
      <w:bookmarkEnd w:id="16"/>
      <w:bookmarkEnd w:id="17"/>
    </w:p>
    <w:p w:rsidR="007E3C93" w:rsidRPr="00D0223A" w:rsidRDefault="007E3C93" w:rsidP="007E3C93"/>
    <w:p w:rsidR="007E3C93" w:rsidRPr="00D0223A" w:rsidRDefault="007E3C93" w:rsidP="00C9248D">
      <w:pPr>
        <w:pStyle w:val="ListParagraph"/>
        <w:widowControl/>
        <w:numPr>
          <w:ilvl w:val="1"/>
          <w:numId w:val="1"/>
        </w:numPr>
        <w:rPr>
          <w:szCs w:val="22"/>
        </w:rPr>
      </w:pPr>
      <w:r w:rsidRPr="00D0223A">
        <w:t>The comparator is standard medical management of patients with zoster / PHN.  This comparator has been accepted by the PBAC.</w:t>
      </w:r>
    </w:p>
    <w:p w:rsidR="007E3C93" w:rsidRPr="00D0223A" w:rsidRDefault="007E3C93" w:rsidP="007E3C93"/>
    <w:p w:rsidR="00FE5BD5" w:rsidRPr="00D0223A" w:rsidRDefault="00FE5BD5" w:rsidP="00FE5BD5">
      <w:pPr>
        <w:pStyle w:val="ListParagraph"/>
        <w:ind w:left="709"/>
        <w:rPr>
          <w:i/>
          <w:szCs w:val="22"/>
        </w:rPr>
      </w:pPr>
      <w:r w:rsidRPr="00D0223A">
        <w:rPr>
          <w:i/>
          <w:szCs w:val="22"/>
        </w:rPr>
        <w:t>For more detail on PBAC’s view, see section 7 “PBAC outcome”</w:t>
      </w:r>
    </w:p>
    <w:p w:rsidR="007E3C93" w:rsidRDefault="007E3C93" w:rsidP="007E3C93"/>
    <w:p w:rsidR="00D54BFC" w:rsidRPr="00D0223A" w:rsidRDefault="00D54BFC" w:rsidP="007E3C93"/>
    <w:p w:rsidR="007E3C93" w:rsidRPr="00D0223A" w:rsidRDefault="0054417E" w:rsidP="007E3C93">
      <w:pPr>
        <w:pStyle w:val="PBACheading1"/>
        <w:rPr>
          <w:b/>
        </w:rPr>
      </w:pPr>
      <w:bookmarkStart w:id="18" w:name="_Toc269216213"/>
      <w:bookmarkStart w:id="19" w:name="_Toc395780731"/>
      <w:bookmarkStart w:id="20" w:name="_Toc397415399"/>
      <w:r w:rsidRPr="00D0223A">
        <w:rPr>
          <w:b/>
        </w:rPr>
        <w:t>C</w:t>
      </w:r>
      <w:r w:rsidR="007E3C93" w:rsidRPr="00D0223A">
        <w:rPr>
          <w:b/>
        </w:rPr>
        <w:t>onsideration of the evidence</w:t>
      </w:r>
      <w:bookmarkEnd w:id="18"/>
      <w:bookmarkEnd w:id="19"/>
      <w:bookmarkEnd w:id="20"/>
    </w:p>
    <w:p w:rsidR="007E3C93" w:rsidRPr="00D0223A" w:rsidRDefault="007E3C93" w:rsidP="007E3C93">
      <w:pPr>
        <w:widowControl/>
        <w:rPr>
          <w:b/>
          <w:szCs w:val="22"/>
        </w:rPr>
      </w:pPr>
    </w:p>
    <w:p w:rsidR="00C9248D" w:rsidRPr="0095306F" w:rsidRDefault="00C9248D" w:rsidP="00C9248D">
      <w:pPr>
        <w:rPr>
          <w:b/>
          <w:szCs w:val="22"/>
        </w:rPr>
      </w:pPr>
      <w:r w:rsidRPr="0095306F">
        <w:rPr>
          <w:b/>
          <w:szCs w:val="22"/>
        </w:rPr>
        <w:t>Sponsor hearing</w:t>
      </w:r>
    </w:p>
    <w:p w:rsidR="00C9248D" w:rsidRPr="00D0223A" w:rsidRDefault="00C9248D" w:rsidP="00C9248D">
      <w:pPr>
        <w:ind w:left="709"/>
        <w:rPr>
          <w:b/>
          <w:szCs w:val="22"/>
        </w:rPr>
      </w:pPr>
    </w:p>
    <w:p w:rsidR="00C9248D" w:rsidRPr="00D0223A" w:rsidRDefault="00C9248D" w:rsidP="00C9248D">
      <w:pPr>
        <w:pStyle w:val="ListParagraph"/>
        <w:widowControl/>
        <w:numPr>
          <w:ilvl w:val="1"/>
          <w:numId w:val="1"/>
        </w:numPr>
        <w:rPr>
          <w:szCs w:val="22"/>
        </w:rPr>
      </w:pPr>
      <w:r w:rsidRPr="00D0223A">
        <w:rPr>
          <w:szCs w:val="22"/>
        </w:rPr>
        <w:t>The sponsor requested a hearing for this item.</w:t>
      </w:r>
      <w:r w:rsidRPr="00D0223A">
        <w:rPr>
          <w:i/>
          <w:szCs w:val="22"/>
        </w:rPr>
        <w:t xml:space="preserve"> </w:t>
      </w:r>
      <w:r w:rsidRPr="00D0223A">
        <w:rPr>
          <w:szCs w:val="22"/>
        </w:rPr>
        <w:t xml:space="preserve"> </w:t>
      </w:r>
      <w:r w:rsidR="00D84113" w:rsidRPr="00D0223A">
        <w:rPr>
          <w:szCs w:val="22"/>
        </w:rPr>
        <w:t>The clinician discussed some aspects of uncertainty in the submission,</w:t>
      </w:r>
      <w:r w:rsidR="00973567">
        <w:rPr>
          <w:szCs w:val="22"/>
        </w:rPr>
        <w:t xml:space="preserve"> including the incidence of zoster</w:t>
      </w:r>
      <w:r w:rsidR="00FE3752">
        <w:rPr>
          <w:szCs w:val="22"/>
        </w:rPr>
        <w:t xml:space="preserve"> in Australia</w:t>
      </w:r>
      <w:r w:rsidR="00973567">
        <w:rPr>
          <w:szCs w:val="22"/>
        </w:rPr>
        <w:t xml:space="preserve">, the </w:t>
      </w:r>
      <w:r w:rsidR="00FE3752">
        <w:rPr>
          <w:szCs w:val="22"/>
        </w:rPr>
        <w:t xml:space="preserve">proportion </w:t>
      </w:r>
      <w:r w:rsidR="00973567">
        <w:rPr>
          <w:szCs w:val="22"/>
        </w:rPr>
        <w:t>of PHN in patients with zoster, the quality of life impact of PHN</w:t>
      </w:r>
      <w:r w:rsidR="00D84113" w:rsidRPr="00D0223A">
        <w:rPr>
          <w:szCs w:val="22"/>
        </w:rPr>
        <w:t xml:space="preserve"> and addressed other matters in response to the Committee’s questions.</w:t>
      </w:r>
    </w:p>
    <w:p w:rsidR="00C9248D" w:rsidRPr="00D0223A" w:rsidRDefault="00C9248D" w:rsidP="00C9248D">
      <w:pPr>
        <w:pStyle w:val="ListParagraph"/>
        <w:ind w:left="709"/>
        <w:rPr>
          <w:szCs w:val="22"/>
        </w:rPr>
      </w:pPr>
    </w:p>
    <w:p w:rsidR="00C9248D" w:rsidRPr="00D0223A" w:rsidRDefault="00C9248D" w:rsidP="00C9248D">
      <w:pPr>
        <w:rPr>
          <w:b/>
          <w:szCs w:val="22"/>
        </w:rPr>
      </w:pPr>
      <w:r w:rsidRPr="00D0223A">
        <w:rPr>
          <w:b/>
          <w:szCs w:val="22"/>
        </w:rPr>
        <w:t>Consumer comments</w:t>
      </w:r>
    </w:p>
    <w:p w:rsidR="00C9248D" w:rsidRPr="00D0223A" w:rsidRDefault="00C9248D" w:rsidP="00C9248D">
      <w:pPr>
        <w:pStyle w:val="ListParagraph"/>
        <w:ind w:left="709"/>
        <w:rPr>
          <w:szCs w:val="22"/>
        </w:rPr>
      </w:pPr>
    </w:p>
    <w:p w:rsidR="00C9248D" w:rsidRPr="00D0223A" w:rsidRDefault="00C9248D" w:rsidP="00C9248D">
      <w:pPr>
        <w:pStyle w:val="ListParagraph"/>
        <w:widowControl/>
        <w:numPr>
          <w:ilvl w:val="1"/>
          <w:numId w:val="1"/>
        </w:numPr>
        <w:ind w:left="709" w:hanging="709"/>
        <w:rPr>
          <w:szCs w:val="22"/>
        </w:rPr>
      </w:pPr>
      <w:r w:rsidRPr="00D0223A">
        <w:rPr>
          <w:szCs w:val="22"/>
        </w:rPr>
        <w:t xml:space="preserve">The PBAC noted and welcomed the input from individuals (4), </w:t>
      </w:r>
      <w:r w:rsidR="002B0DC0" w:rsidRPr="00D0223A">
        <w:rPr>
          <w:szCs w:val="22"/>
        </w:rPr>
        <w:t>a health care professional</w:t>
      </w:r>
      <w:r w:rsidRPr="00D0223A">
        <w:rPr>
          <w:szCs w:val="22"/>
        </w:rPr>
        <w:t xml:space="preserve"> (1) and organisations (</w:t>
      </w:r>
      <w:r w:rsidR="00DD3154" w:rsidRPr="00D0223A">
        <w:rPr>
          <w:szCs w:val="22"/>
        </w:rPr>
        <w:t>2</w:t>
      </w:r>
      <w:r w:rsidRPr="00D0223A">
        <w:rPr>
          <w:szCs w:val="22"/>
        </w:rPr>
        <w:t>) via the Consumer Comments facility on the PBS website.</w:t>
      </w:r>
      <w:r w:rsidRPr="00D0223A">
        <w:rPr>
          <w:i/>
          <w:szCs w:val="22"/>
        </w:rPr>
        <w:t xml:space="preserve"> </w:t>
      </w:r>
      <w:r w:rsidR="00A77CB7" w:rsidRPr="00D0223A">
        <w:rPr>
          <w:szCs w:val="22"/>
        </w:rPr>
        <w:t xml:space="preserve">The comments described a range of benefits of zoster virus vaccine, </w:t>
      </w:r>
      <w:r w:rsidR="00A77CB7" w:rsidRPr="00D0223A">
        <w:rPr>
          <w:szCs w:val="22"/>
        </w:rPr>
        <w:lastRenderedPageBreak/>
        <w:t xml:space="preserve">including the potential prevention of pain and reduced quality of life, reduced burden to patients and families, and the need for </w:t>
      </w:r>
      <w:r w:rsidR="00555885">
        <w:rPr>
          <w:szCs w:val="22"/>
        </w:rPr>
        <w:t>the vaccine</w:t>
      </w:r>
      <w:r w:rsidR="00A77CB7" w:rsidRPr="00D0223A">
        <w:rPr>
          <w:szCs w:val="22"/>
        </w:rPr>
        <w:t xml:space="preserve"> to be affordable.</w:t>
      </w:r>
      <w:r w:rsidR="00A77CB7" w:rsidRPr="00D0223A">
        <w:rPr>
          <w:i/>
          <w:szCs w:val="22"/>
        </w:rPr>
        <w:t xml:space="preserve">  </w:t>
      </w:r>
    </w:p>
    <w:p w:rsidR="00C9248D" w:rsidRPr="00D0223A" w:rsidRDefault="00C9248D" w:rsidP="0005235C">
      <w:pPr>
        <w:widowControl/>
        <w:rPr>
          <w:b/>
          <w:szCs w:val="22"/>
        </w:rPr>
      </w:pPr>
    </w:p>
    <w:p w:rsidR="007E3C93" w:rsidRPr="00FF242D" w:rsidRDefault="007E3C93" w:rsidP="00FF242D">
      <w:pPr>
        <w:rPr>
          <w:b/>
          <w:szCs w:val="22"/>
        </w:rPr>
      </w:pPr>
      <w:bookmarkStart w:id="21" w:name="_Toc269216214"/>
      <w:bookmarkStart w:id="22" w:name="_Toc395780732"/>
      <w:bookmarkStart w:id="23" w:name="_Toc397415400"/>
      <w:r w:rsidRPr="00FF242D">
        <w:rPr>
          <w:b/>
          <w:szCs w:val="22"/>
        </w:rPr>
        <w:t>Clinical trials</w:t>
      </w:r>
      <w:bookmarkEnd w:id="21"/>
      <w:bookmarkEnd w:id="22"/>
      <w:bookmarkEnd w:id="23"/>
    </w:p>
    <w:p w:rsidR="007E3C93" w:rsidRPr="00D0223A" w:rsidRDefault="007E3C93" w:rsidP="007E3C93">
      <w:pPr>
        <w:rPr>
          <w:szCs w:val="22"/>
        </w:rPr>
      </w:pPr>
    </w:p>
    <w:p w:rsidR="007E3C93" w:rsidRPr="00D0223A" w:rsidRDefault="007E3C93" w:rsidP="00C9248D">
      <w:pPr>
        <w:pStyle w:val="ListParagraph"/>
        <w:widowControl/>
        <w:numPr>
          <w:ilvl w:val="1"/>
          <w:numId w:val="1"/>
        </w:numPr>
        <w:rPr>
          <w:szCs w:val="22"/>
        </w:rPr>
      </w:pPr>
      <w:r w:rsidRPr="00D0223A">
        <w:t xml:space="preserve">The re-submission </w:t>
      </w:r>
      <w:r w:rsidR="008051A1" w:rsidRPr="00D0223A">
        <w:t xml:space="preserve">was </w:t>
      </w:r>
      <w:r w:rsidRPr="00D0223A">
        <w:t xml:space="preserve">based on one head-to-head trial (SPS) of zoster vaccine compared with placebo and two extension studies (Short-Term Persistence Substudy (STPS) and the single arm Long Term Persistence Study (LTPS)). The clinical evidence </w:t>
      </w:r>
      <w:r w:rsidR="008051A1" w:rsidRPr="00D0223A">
        <w:t xml:space="preserve">was </w:t>
      </w:r>
      <w:r w:rsidRPr="00D0223A">
        <w:t xml:space="preserve">unchanged from the March 2014 re-submission. No new data cut-offs for these studies </w:t>
      </w:r>
      <w:r w:rsidR="008051A1" w:rsidRPr="00D0223A">
        <w:t xml:space="preserve">were </w:t>
      </w:r>
      <w:r w:rsidRPr="00D0223A">
        <w:t>available; however, unlike the previous submission, the results have been presented according to 5 or 10 year age brackets wherever possible.  This was requested by the PBAC in the 7.9 PBAC Ratified Minutes, March 2014.</w:t>
      </w:r>
    </w:p>
    <w:p w:rsidR="007E3C93" w:rsidRPr="00D0223A" w:rsidRDefault="007E3C93" w:rsidP="007E3C93">
      <w:pPr>
        <w:widowControl/>
        <w:rPr>
          <w:szCs w:val="22"/>
        </w:rPr>
      </w:pPr>
    </w:p>
    <w:p w:rsidR="007E3C93" w:rsidRPr="00D0223A" w:rsidRDefault="007E3C93" w:rsidP="00C9248D">
      <w:pPr>
        <w:pStyle w:val="ListParagraph"/>
        <w:widowControl/>
        <w:numPr>
          <w:ilvl w:val="1"/>
          <w:numId w:val="1"/>
        </w:numPr>
        <w:rPr>
          <w:szCs w:val="22"/>
        </w:rPr>
      </w:pPr>
      <w:r w:rsidRPr="00D0223A">
        <w:rPr>
          <w:szCs w:val="22"/>
        </w:rPr>
        <w:t xml:space="preserve">Although the evidence base for the new submission </w:t>
      </w:r>
      <w:r w:rsidR="008051A1" w:rsidRPr="00D0223A">
        <w:rPr>
          <w:szCs w:val="22"/>
        </w:rPr>
        <w:t xml:space="preserve">remained </w:t>
      </w:r>
      <w:r w:rsidRPr="00D0223A">
        <w:rPr>
          <w:szCs w:val="22"/>
        </w:rPr>
        <w:t xml:space="preserve">unchanged, the requested target population </w:t>
      </w:r>
      <w:r w:rsidR="008051A1" w:rsidRPr="00D0223A">
        <w:rPr>
          <w:szCs w:val="22"/>
        </w:rPr>
        <w:t>was</w:t>
      </w:r>
      <w:r w:rsidRPr="00D0223A">
        <w:rPr>
          <w:szCs w:val="22"/>
        </w:rPr>
        <w:t xml:space="preserve"> changed from an ongoing cohort of 60 year old pa</w:t>
      </w:r>
      <w:r w:rsidR="00C078AD" w:rsidRPr="00D0223A">
        <w:rPr>
          <w:szCs w:val="22"/>
        </w:rPr>
        <w:t>tients to 70 year old patients.</w:t>
      </w:r>
      <w:r w:rsidRPr="00D0223A">
        <w:rPr>
          <w:szCs w:val="22"/>
        </w:rPr>
        <w:t xml:space="preserve"> Consequently, the most appropriate estimates from the key studies are the modified ITT results (the mean age at vaccination in the SPS is 69.4 years).</w:t>
      </w:r>
    </w:p>
    <w:p w:rsidR="007E3C93" w:rsidRPr="00D0223A" w:rsidRDefault="007E3C93" w:rsidP="007E3C93">
      <w:pPr>
        <w:widowControl/>
        <w:rPr>
          <w:szCs w:val="22"/>
        </w:rPr>
      </w:pPr>
    </w:p>
    <w:p w:rsidR="007E3C93" w:rsidRPr="00D0223A" w:rsidRDefault="007E3C93" w:rsidP="00C9248D">
      <w:pPr>
        <w:pStyle w:val="ListParagraph"/>
        <w:widowControl/>
        <w:numPr>
          <w:ilvl w:val="1"/>
          <w:numId w:val="1"/>
        </w:numPr>
        <w:rPr>
          <w:szCs w:val="22"/>
        </w:rPr>
      </w:pPr>
      <w:r w:rsidRPr="00D0223A">
        <w:rPr>
          <w:szCs w:val="22"/>
        </w:rPr>
        <w:t xml:space="preserve">Details of the trials presented in the re-submission are reproduced </w:t>
      </w:r>
      <w:r w:rsidR="00FE5BD5" w:rsidRPr="00D0223A">
        <w:rPr>
          <w:szCs w:val="22"/>
        </w:rPr>
        <w:t>below</w:t>
      </w:r>
      <w:r w:rsidRPr="00D0223A">
        <w:rPr>
          <w:szCs w:val="22"/>
        </w:rPr>
        <w:t xml:space="preserve">.  </w:t>
      </w:r>
    </w:p>
    <w:p w:rsidR="007E3C93" w:rsidRPr="00D0223A" w:rsidRDefault="007E3C93" w:rsidP="007E3C93">
      <w:pPr>
        <w:pStyle w:val="ListParagraph"/>
        <w:rPr>
          <w:szCs w:val="22"/>
        </w:rPr>
      </w:pPr>
    </w:p>
    <w:p w:rsidR="007E3C93" w:rsidRPr="00D0223A" w:rsidRDefault="007E3C93" w:rsidP="00361DBC">
      <w:pPr>
        <w:keepNext/>
        <w:ind w:firstLine="720"/>
        <w:rPr>
          <w:rStyle w:val="CommentReference"/>
        </w:rPr>
      </w:pPr>
      <w:r w:rsidRPr="00D0223A">
        <w:rPr>
          <w:rStyle w:val="CommentReference"/>
        </w:rPr>
        <w:lastRenderedPageBreak/>
        <w:t xml:space="preserve">Trials and associated reports </w:t>
      </w:r>
      <w:r w:rsidR="00C22D8B">
        <w:rPr>
          <w:rStyle w:val="CommentReference"/>
        </w:rPr>
        <w:t>considered by the PBAC</w:t>
      </w:r>
    </w:p>
    <w:tbl>
      <w:tblPr>
        <w:tblW w:w="8363" w:type="dxa"/>
        <w:tblInd w:w="817" w:type="dxa"/>
        <w:tblCellMar>
          <w:left w:w="0" w:type="dxa"/>
          <w:right w:w="0" w:type="dxa"/>
        </w:tblCellMar>
        <w:tblLook w:val="04A0" w:firstRow="1" w:lastRow="0" w:firstColumn="1" w:lastColumn="0" w:noHBand="0" w:noVBand="1"/>
      </w:tblPr>
      <w:tblGrid>
        <w:gridCol w:w="1275"/>
        <w:gridCol w:w="5230"/>
        <w:gridCol w:w="1858"/>
      </w:tblGrid>
      <w:tr w:rsidR="007E3C93" w:rsidRPr="00D0223A" w:rsidTr="00D54BFC">
        <w:trPr>
          <w:tblHeader/>
        </w:trPr>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3C93" w:rsidRPr="00D0223A" w:rsidRDefault="007E3C93" w:rsidP="00361DBC">
            <w:pPr>
              <w:keepNext/>
              <w:widowControl/>
              <w:tabs>
                <w:tab w:val="left" w:pos="375"/>
              </w:tabs>
              <w:jc w:val="center"/>
              <w:rPr>
                <w:rFonts w:ascii="Arial Narrow" w:hAnsi="Arial Narrow" w:cs="Times New Roman"/>
                <w:b/>
                <w:snapToGrid/>
                <w:sz w:val="20"/>
              </w:rPr>
            </w:pPr>
            <w:r w:rsidRPr="00D0223A">
              <w:rPr>
                <w:rFonts w:ascii="Arial Narrow" w:hAnsi="Arial Narrow" w:cs="Times New Roman"/>
                <w:b/>
                <w:snapToGrid/>
                <w:sz w:val="20"/>
              </w:rPr>
              <w:t>Trial</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3C93" w:rsidRPr="00D0223A" w:rsidRDefault="007E3C93" w:rsidP="00361DBC">
            <w:pPr>
              <w:keepNext/>
              <w:widowControl/>
              <w:tabs>
                <w:tab w:val="left" w:pos="375"/>
              </w:tabs>
              <w:jc w:val="center"/>
              <w:rPr>
                <w:rFonts w:ascii="Arial Narrow" w:hAnsi="Arial Narrow" w:cs="Times New Roman"/>
                <w:b/>
                <w:snapToGrid/>
                <w:sz w:val="20"/>
              </w:rPr>
            </w:pPr>
            <w:r w:rsidRPr="00D0223A">
              <w:rPr>
                <w:rFonts w:ascii="Arial Narrow" w:hAnsi="Arial Narrow" w:cs="Times New Roman"/>
                <w:b/>
                <w:snapToGrid/>
                <w:sz w:val="20"/>
              </w:rPr>
              <w:t>Reports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tabs>
                <w:tab w:val="left" w:pos="375"/>
              </w:tabs>
              <w:jc w:val="center"/>
              <w:rPr>
                <w:rFonts w:ascii="Arial Narrow" w:hAnsi="Arial Narrow" w:cs="Times New Roman"/>
                <w:b/>
                <w:snapToGrid/>
                <w:sz w:val="20"/>
              </w:rPr>
            </w:pPr>
            <w:r w:rsidRPr="00D0223A">
              <w:rPr>
                <w:rFonts w:ascii="Arial Narrow" w:hAnsi="Arial Narrow" w:cs="Times New Roman"/>
                <w:b/>
                <w:snapToGrid/>
                <w:sz w:val="20"/>
              </w:rPr>
              <w:t>Publication citation</w:t>
            </w:r>
          </w:p>
        </w:tc>
      </w:tr>
      <w:tr w:rsidR="007E3C93" w:rsidRPr="00D0223A" w:rsidTr="00D54BFC">
        <w:tc>
          <w:tcPr>
            <w:tcW w:w="1276" w:type="dxa"/>
            <w:tcBorders>
              <w:top w:val="single" w:sz="8" w:space="0" w:color="auto"/>
              <w:left w:val="single" w:sz="8" w:space="0" w:color="auto"/>
              <w:right w:val="single" w:sz="8" w:space="0" w:color="auto"/>
            </w:tcBorders>
            <w:tcMar>
              <w:top w:w="0" w:type="dxa"/>
              <w:left w:w="108" w:type="dxa"/>
              <w:bottom w:w="0" w:type="dxa"/>
              <w:right w:w="108" w:type="dxa"/>
            </w:tcMar>
            <w:hideMark/>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SPS (Protocol 004)</w:t>
            </w:r>
          </w:p>
        </w:tc>
        <w:tc>
          <w:tcPr>
            <w:tcW w:w="5245" w:type="dxa"/>
            <w:tcBorders>
              <w:top w:val="single" w:sz="8" w:space="0" w:color="auto"/>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eastAsiaTheme="minorHAnsi" w:hAnsi="Arial Narrow" w:cs="Times New Roman"/>
                <w:snapToGrid/>
                <w:sz w:val="20"/>
              </w:rPr>
            </w:pPr>
            <w:r w:rsidRPr="00D0223A">
              <w:rPr>
                <w:rFonts w:ascii="Arial Narrow" w:hAnsi="Arial Narrow" w:cs="Times New Roman"/>
                <w:snapToGrid/>
                <w:sz w:val="20"/>
              </w:rPr>
              <w:t>MRL Clinical Study Report, Multicenter Study: Trial of Varicella Zoster Vaccine for the Prevention of Herpes Zoster and its Complications (includes Adverse Event Monitoring (AEM) Substudy and The Cell Mediated Immunity (CMI) Substudy)</w:t>
            </w:r>
          </w:p>
        </w:tc>
        <w:tc>
          <w:tcPr>
            <w:tcW w:w="1842" w:type="dxa"/>
            <w:tcBorders>
              <w:top w:val="single" w:sz="8" w:space="0" w:color="auto"/>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March 2005</w:t>
            </w:r>
          </w:p>
        </w:tc>
      </w:tr>
      <w:tr w:rsidR="007E3C93" w:rsidRPr="00D0223A" w:rsidTr="00D54BFC">
        <w:tc>
          <w:tcPr>
            <w:tcW w:w="1276" w:type="dxa"/>
            <w:tcBorders>
              <w:left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p>
        </w:tc>
        <w:tc>
          <w:tcPr>
            <w:tcW w:w="5245"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Publications:</w:t>
            </w:r>
          </w:p>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 xml:space="preserve">Oxman, M. N., Levin, M. J., Johnson, G. R., et al. A vaccine to prevent herpes zoster and </w:t>
            </w:r>
            <w:r w:rsidR="009A5CC6" w:rsidRPr="00D0223A">
              <w:rPr>
                <w:rFonts w:ascii="Arial Narrow" w:hAnsi="Arial Narrow" w:cs="Times New Roman"/>
                <w:snapToGrid/>
                <w:sz w:val="20"/>
              </w:rPr>
              <w:t>post-herpetic</w:t>
            </w:r>
            <w:r w:rsidRPr="00D0223A">
              <w:rPr>
                <w:rFonts w:ascii="Arial Narrow" w:hAnsi="Arial Narrow" w:cs="Times New Roman"/>
                <w:snapToGrid/>
                <w:sz w:val="20"/>
              </w:rPr>
              <w:t xml:space="preserve"> neuralgia in older adults</w:t>
            </w:r>
          </w:p>
        </w:tc>
        <w:tc>
          <w:tcPr>
            <w:tcW w:w="1842"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iCs/>
                <w:snapToGrid/>
                <w:sz w:val="20"/>
              </w:rPr>
            </w:pPr>
          </w:p>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iCs/>
                <w:snapToGrid/>
                <w:sz w:val="20"/>
              </w:rPr>
              <w:t xml:space="preserve">N Engl J Med 2005; </w:t>
            </w:r>
            <w:r w:rsidRPr="00D0223A">
              <w:rPr>
                <w:rFonts w:ascii="Arial Narrow" w:hAnsi="Arial Narrow" w:cs="Times New Roman"/>
                <w:snapToGrid/>
                <w:sz w:val="20"/>
              </w:rPr>
              <w:t>352(22): 2271-84</w:t>
            </w:r>
          </w:p>
        </w:tc>
      </w:tr>
      <w:tr w:rsidR="007E3C93" w:rsidRPr="00D0223A" w:rsidTr="00D54BFC">
        <w:tc>
          <w:tcPr>
            <w:tcW w:w="1276" w:type="dxa"/>
            <w:tcBorders>
              <w:left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p>
        </w:tc>
        <w:tc>
          <w:tcPr>
            <w:tcW w:w="5245"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Oxman, M. N. and Levin, M. J. Vaccination against Herpes Zoster and Postherpetic Neuralgia</w:t>
            </w:r>
          </w:p>
        </w:tc>
        <w:tc>
          <w:tcPr>
            <w:tcW w:w="1842"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iCs/>
                <w:snapToGrid/>
                <w:sz w:val="20"/>
              </w:rPr>
            </w:pPr>
            <w:r w:rsidRPr="00D0223A">
              <w:rPr>
                <w:rFonts w:ascii="Arial Narrow" w:hAnsi="Arial Narrow" w:cs="Times New Roman"/>
                <w:iCs/>
                <w:snapToGrid/>
                <w:sz w:val="20"/>
              </w:rPr>
              <w:t xml:space="preserve">J Infect Dis </w:t>
            </w:r>
            <w:r w:rsidRPr="00D0223A">
              <w:rPr>
                <w:rFonts w:ascii="Arial Narrow" w:hAnsi="Arial Narrow" w:cs="Times New Roman"/>
                <w:snapToGrid/>
                <w:sz w:val="20"/>
              </w:rPr>
              <w:t>2008; 197 (Suppl 2): S228-36</w:t>
            </w:r>
          </w:p>
        </w:tc>
      </w:tr>
      <w:tr w:rsidR="007E3C93" w:rsidRPr="00D0223A" w:rsidTr="00D54BFC">
        <w:tc>
          <w:tcPr>
            <w:tcW w:w="1276" w:type="dxa"/>
            <w:tcBorders>
              <w:left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p>
        </w:tc>
        <w:tc>
          <w:tcPr>
            <w:tcW w:w="5245"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Levin, M. J., Oxman, M. N., Zhang, J. H., et al. Varicella-zoster virus-specific immune responses in elderly recipients of a herpes zoster vaccine</w:t>
            </w:r>
          </w:p>
        </w:tc>
        <w:tc>
          <w:tcPr>
            <w:tcW w:w="1842"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iCs/>
                <w:snapToGrid/>
                <w:sz w:val="20"/>
              </w:rPr>
            </w:pPr>
            <w:r w:rsidRPr="00D0223A">
              <w:rPr>
                <w:rFonts w:ascii="Arial Narrow" w:hAnsi="Arial Narrow" w:cs="Times New Roman"/>
                <w:iCs/>
                <w:snapToGrid/>
                <w:sz w:val="20"/>
              </w:rPr>
              <w:t xml:space="preserve">J Infect Dis 2008; </w:t>
            </w:r>
            <w:r w:rsidRPr="00D0223A">
              <w:rPr>
                <w:rFonts w:ascii="Arial Narrow" w:hAnsi="Arial Narrow" w:cs="Times New Roman"/>
                <w:snapToGrid/>
                <w:sz w:val="20"/>
              </w:rPr>
              <w:t>197(6): 825-35</w:t>
            </w:r>
          </w:p>
        </w:tc>
      </w:tr>
      <w:tr w:rsidR="007E3C93" w:rsidRPr="00D0223A" w:rsidTr="00D54BFC">
        <w:tc>
          <w:tcPr>
            <w:tcW w:w="1276" w:type="dxa"/>
            <w:tcBorders>
              <w:left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p>
        </w:tc>
        <w:tc>
          <w:tcPr>
            <w:tcW w:w="5245"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Weinberg, A., Zhang, J. H., Oxman, M. N., et al. Varicella-zoster virus-specific immune responses to herpes zoster in elderly participants in a trial of a clinically effective zoster vaccine</w:t>
            </w:r>
          </w:p>
        </w:tc>
        <w:tc>
          <w:tcPr>
            <w:tcW w:w="1842"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iCs/>
                <w:snapToGrid/>
                <w:sz w:val="20"/>
              </w:rPr>
            </w:pPr>
            <w:r w:rsidRPr="00D0223A">
              <w:rPr>
                <w:rFonts w:ascii="Arial Narrow" w:hAnsi="Arial Narrow" w:cs="Times New Roman"/>
                <w:iCs/>
                <w:snapToGrid/>
                <w:sz w:val="20"/>
              </w:rPr>
              <w:t>J Infect Dis 2009;</w:t>
            </w:r>
            <w:r w:rsidRPr="00D0223A">
              <w:rPr>
                <w:rFonts w:ascii="Arial Narrow" w:hAnsi="Arial Narrow" w:cs="Times New Roman"/>
                <w:snapToGrid/>
                <w:sz w:val="20"/>
              </w:rPr>
              <w:t xml:space="preserve"> 200(7): 1068-77</w:t>
            </w:r>
          </w:p>
        </w:tc>
      </w:tr>
      <w:tr w:rsidR="007E3C93" w:rsidRPr="00D0223A" w:rsidTr="00D54BFC">
        <w:tc>
          <w:tcPr>
            <w:tcW w:w="1276" w:type="dxa"/>
            <w:tcBorders>
              <w:left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p>
        </w:tc>
        <w:tc>
          <w:tcPr>
            <w:tcW w:w="5245"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 xml:space="preserve">Schmader, K. E., Johnson, G. R., Saddier, P., et al. Effect of a Zoster Vaccine on Herpes Zoster-Related Interference with Functional Status and Health-Related Quality-of-Life Measures in Older Adults </w:t>
            </w:r>
          </w:p>
        </w:tc>
        <w:tc>
          <w:tcPr>
            <w:tcW w:w="1842"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iCs/>
                <w:snapToGrid/>
                <w:sz w:val="20"/>
              </w:rPr>
            </w:pPr>
            <w:r w:rsidRPr="00D0223A">
              <w:rPr>
                <w:rFonts w:ascii="Arial Narrow" w:hAnsi="Arial Narrow" w:cs="Times New Roman"/>
                <w:iCs/>
                <w:snapToGrid/>
                <w:sz w:val="20"/>
              </w:rPr>
              <w:t>J Am Geriatr Soc 2010</w:t>
            </w:r>
            <w:r w:rsidRPr="00D0223A">
              <w:rPr>
                <w:rFonts w:ascii="Arial Narrow" w:hAnsi="Arial Narrow" w:cs="Times New Roman"/>
                <w:snapToGrid/>
                <w:sz w:val="20"/>
              </w:rPr>
              <w:t>; 58(9): 1634-41</w:t>
            </w:r>
          </w:p>
        </w:tc>
      </w:tr>
      <w:tr w:rsidR="007E3C93" w:rsidRPr="00D0223A" w:rsidTr="00D54BFC">
        <w:tc>
          <w:tcPr>
            <w:tcW w:w="1276" w:type="dxa"/>
            <w:tcBorders>
              <w:left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p>
        </w:tc>
        <w:tc>
          <w:tcPr>
            <w:tcW w:w="5245"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 xml:space="preserve">Simberkoff, M. S., Arbeit, R. D., Johnson, G. R., et al. Safety of herpes zoster vaccine in the shingles prevention study: a randomized trial </w:t>
            </w:r>
          </w:p>
        </w:tc>
        <w:tc>
          <w:tcPr>
            <w:tcW w:w="1842" w:type="dxa"/>
            <w:tcBorders>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iCs/>
                <w:snapToGrid/>
                <w:sz w:val="20"/>
              </w:rPr>
            </w:pPr>
            <w:r w:rsidRPr="00D0223A">
              <w:rPr>
                <w:rFonts w:ascii="Arial Narrow" w:hAnsi="Arial Narrow" w:cs="Times New Roman"/>
                <w:iCs/>
                <w:snapToGrid/>
                <w:sz w:val="20"/>
              </w:rPr>
              <w:t>Ann Intern Med 2010</w:t>
            </w:r>
            <w:r w:rsidRPr="00D0223A">
              <w:rPr>
                <w:rFonts w:ascii="Arial Narrow" w:hAnsi="Arial Narrow" w:cs="Times New Roman"/>
                <w:snapToGrid/>
                <w:sz w:val="20"/>
              </w:rPr>
              <w:t>; 152(9): 545-54</w:t>
            </w:r>
          </w:p>
        </w:tc>
      </w:tr>
      <w:tr w:rsidR="007E3C93" w:rsidRPr="00D0223A" w:rsidTr="00D54BFC">
        <w:tc>
          <w:tcPr>
            <w:tcW w:w="1276" w:type="dxa"/>
            <w:tcBorders>
              <w:left w:val="single" w:sz="8" w:space="0" w:color="auto"/>
              <w:bottom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p>
        </w:tc>
        <w:tc>
          <w:tcPr>
            <w:tcW w:w="5245" w:type="dxa"/>
            <w:tcBorders>
              <w:left w:val="nil"/>
              <w:bottom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Irwin, M. R., Levin, M. J., Laudenslager, M. L., et al. Varicella zoster virus-specific immune responses to a herpes zoster vaccine in elderly recipients with major depression and the impact of antidepressant medications</w:t>
            </w:r>
          </w:p>
        </w:tc>
        <w:tc>
          <w:tcPr>
            <w:tcW w:w="1842" w:type="dxa"/>
            <w:tcBorders>
              <w:left w:val="nil"/>
              <w:bottom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iCs/>
                <w:snapToGrid/>
                <w:sz w:val="20"/>
              </w:rPr>
            </w:pPr>
            <w:r w:rsidRPr="00D0223A">
              <w:rPr>
                <w:rFonts w:ascii="Arial Narrow" w:hAnsi="Arial Narrow" w:cs="Times New Roman"/>
                <w:iCs/>
                <w:snapToGrid/>
                <w:sz w:val="20"/>
              </w:rPr>
              <w:t>Clin Infect Dis 2013;</w:t>
            </w:r>
            <w:r w:rsidRPr="00D0223A">
              <w:rPr>
                <w:rFonts w:ascii="Arial Narrow" w:hAnsi="Arial Narrow" w:cs="Times New Roman"/>
                <w:snapToGrid/>
                <w:sz w:val="20"/>
              </w:rPr>
              <w:t xml:space="preserve"> 56(8): 1085-93</w:t>
            </w:r>
          </w:p>
        </w:tc>
      </w:tr>
      <w:tr w:rsidR="007E3C93" w:rsidRPr="00D0223A" w:rsidTr="00D54BFC">
        <w:tc>
          <w:tcPr>
            <w:tcW w:w="1276" w:type="dxa"/>
            <w:vMerge w:val="restart"/>
            <w:tcBorders>
              <w:top w:val="nil"/>
              <w:left w:val="single" w:sz="8" w:space="0" w:color="auto"/>
              <w:right w:val="single" w:sz="8" w:space="0" w:color="auto"/>
            </w:tcBorders>
            <w:tcMar>
              <w:top w:w="0" w:type="dxa"/>
              <w:left w:w="108" w:type="dxa"/>
              <w:bottom w:w="0" w:type="dxa"/>
              <w:right w:w="108" w:type="dxa"/>
            </w:tcMar>
            <w:hideMark/>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STPS (Protocol 004 X1)</w:t>
            </w:r>
          </w:p>
        </w:tc>
        <w:tc>
          <w:tcPr>
            <w:tcW w:w="5245" w:type="dxa"/>
            <w:tcBorders>
              <w:top w:val="single" w:sz="8" w:space="0" w:color="auto"/>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eastAsiaTheme="minorHAnsi" w:hAnsi="Arial Narrow" w:cs="Times New Roman"/>
                <w:snapToGrid/>
                <w:sz w:val="20"/>
              </w:rPr>
            </w:pPr>
            <w:r w:rsidRPr="00D0223A">
              <w:rPr>
                <w:rFonts w:ascii="Arial Narrow" w:hAnsi="Arial Narrow" w:cs="Times New Roman"/>
                <w:snapToGrid/>
                <w:sz w:val="20"/>
              </w:rPr>
              <w:t>Clinical Study Report: Trial of Varicella Vaccine for Herpes Zoster and its Complications Persistence Substudy</w:t>
            </w:r>
          </w:p>
        </w:tc>
        <w:tc>
          <w:tcPr>
            <w:tcW w:w="1842" w:type="dxa"/>
            <w:tcBorders>
              <w:top w:val="single" w:sz="8" w:space="0" w:color="auto"/>
              <w:left w:val="nil"/>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June 2008</w:t>
            </w:r>
          </w:p>
        </w:tc>
      </w:tr>
      <w:tr w:rsidR="007E3C93" w:rsidRPr="00D0223A" w:rsidTr="00D54BFC">
        <w:tc>
          <w:tcPr>
            <w:tcW w:w="127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p>
        </w:tc>
        <w:tc>
          <w:tcPr>
            <w:tcW w:w="5245" w:type="dxa"/>
            <w:tcBorders>
              <w:left w:val="nil"/>
              <w:bottom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Publication:</w:t>
            </w:r>
          </w:p>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Schmader, K. E., Oxman, M. N., Levin, M. J., et al. Persistence of the efficacy of zoster vaccine in the shingles prevention study and the short-term persistence substudy</w:t>
            </w:r>
          </w:p>
        </w:tc>
        <w:tc>
          <w:tcPr>
            <w:tcW w:w="1842" w:type="dxa"/>
            <w:tcBorders>
              <w:left w:val="nil"/>
              <w:bottom w:val="single" w:sz="8" w:space="0" w:color="auto"/>
              <w:right w:val="single" w:sz="8" w:space="0" w:color="auto"/>
            </w:tcBorders>
            <w:tcMar>
              <w:top w:w="0" w:type="dxa"/>
              <w:left w:w="108" w:type="dxa"/>
              <w:bottom w:w="0" w:type="dxa"/>
              <w:right w:w="108" w:type="dxa"/>
            </w:tcMar>
          </w:tcPr>
          <w:p w:rsidR="007E3C93" w:rsidRPr="00D0223A" w:rsidRDefault="007E3C93" w:rsidP="00361DBC">
            <w:pPr>
              <w:keepNext/>
              <w:widowControl/>
              <w:rPr>
                <w:rFonts w:ascii="Arial Narrow" w:hAnsi="Arial Narrow" w:cs="Times New Roman"/>
                <w:iCs/>
                <w:snapToGrid/>
                <w:sz w:val="20"/>
              </w:rPr>
            </w:pPr>
          </w:p>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iCs/>
                <w:snapToGrid/>
                <w:sz w:val="20"/>
              </w:rPr>
              <w:t>Clin Infect Dis</w:t>
            </w:r>
            <w:r w:rsidRPr="00D0223A">
              <w:rPr>
                <w:rFonts w:ascii="Arial Narrow" w:hAnsi="Arial Narrow" w:cs="Times New Roman"/>
                <w:snapToGrid/>
                <w:sz w:val="20"/>
              </w:rPr>
              <w:t xml:space="preserve"> 2012; 55(10): 1320-8</w:t>
            </w:r>
          </w:p>
        </w:tc>
      </w:tr>
      <w:tr w:rsidR="007E3C93" w:rsidRPr="00D0223A" w:rsidTr="00D54BF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3C93" w:rsidRPr="00D0223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LTPS (Protocol 013)</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7E3C93"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Clinical Study Report: Long-Term Persistence of Zoster Vaccine (ZOSTAVAX) Efficacy in Subjects 60 Years of Age and Older</w:t>
            </w:r>
          </w:p>
          <w:p w:rsidR="00A5799A" w:rsidRDefault="00A5799A" w:rsidP="00361DBC">
            <w:pPr>
              <w:keepNext/>
              <w:widowControl/>
              <w:rPr>
                <w:rFonts w:ascii="Arial Narrow" w:hAnsi="Arial Narrow" w:cs="Times New Roman"/>
                <w:snapToGrid/>
                <w:sz w:val="20"/>
              </w:rPr>
            </w:pPr>
            <w:r>
              <w:rPr>
                <w:rFonts w:ascii="Arial Narrow" w:hAnsi="Arial Narrow" w:cs="Times New Roman"/>
                <w:snapToGrid/>
                <w:sz w:val="20"/>
              </w:rPr>
              <w:t>Publication:</w:t>
            </w:r>
          </w:p>
          <w:p w:rsidR="00A5799A" w:rsidRPr="00D0223A" w:rsidRDefault="00A5799A" w:rsidP="00361DBC">
            <w:pPr>
              <w:keepNext/>
              <w:widowControl/>
              <w:rPr>
                <w:rFonts w:ascii="Arial Narrow" w:hAnsi="Arial Narrow" w:cs="Times New Roman"/>
                <w:snapToGrid/>
                <w:sz w:val="20"/>
              </w:rPr>
            </w:pPr>
            <w:r>
              <w:rPr>
                <w:rFonts w:ascii="Arial Narrow" w:hAnsi="Arial Narrow" w:cs="Times New Roman"/>
                <w:snapToGrid/>
                <w:sz w:val="20"/>
              </w:rPr>
              <w:t xml:space="preserve">Morrison, V. A., Johnson, G. R., Schmader, K. E., et al. </w:t>
            </w:r>
            <w:r w:rsidRPr="00A5799A">
              <w:rPr>
                <w:rFonts w:ascii="Arial Narrow" w:hAnsi="Arial Narrow" w:cs="Times New Roman"/>
                <w:snapToGrid/>
                <w:sz w:val="20"/>
              </w:rPr>
              <w:t>Long-Term Persistence of Zoster Vaccine Efficacy</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A5799A" w:rsidRDefault="007E3C93" w:rsidP="00361DBC">
            <w:pPr>
              <w:keepNext/>
              <w:widowControl/>
              <w:rPr>
                <w:rFonts w:ascii="Arial Narrow" w:hAnsi="Arial Narrow" w:cs="Times New Roman"/>
                <w:snapToGrid/>
                <w:sz w:val="20"/>
              </w:rPr>
            </w:pPr>
            <w:r w:rsidRPr="00D0223A">
              <w:rPr>
                <w:rFonts w:ascii="Arial Narrow" w:hAnsi="Arial Narrow" w:cs="Times New Roman"/>
                <w:snapToGrid/>
                <w:sz w:val="20"/>
              </w:rPr>
              <w:t xml:space="preserve">March </w:t>
            </w:r>
            <w:r w:rsidR="00E04BB5" w:rsidRPr="00D0223A">
              <w:rPr>
                <w:rFonts w:ascii="Arial Narrow" w:hAnsi="Arial Narrow" w:cs="Times New Roman"/>
                <w:snapToGrid/>
                <w:sz w:val="20"/>
              </w:rPr>
              <w:t>2012</w:t>
            </w:r>
          </w:p>
          <w:p w:rsidR="00A5799A" w:rsidRDefault="00A5799A" w:rsidP="00361DBC">
            <w:pPr>
              <w:keepNext/>
              <w:widowControl/>
              <w:rPr>
                <w:rFonts w:ascii="Arial Narrow" w:hAnsi="Arial Narrow" w:cs="Times New Roman"/>
                <w:snapToGrid/>
                <w:sz w:val="20"/>
              </w:rPr>
            </w:pPr>
          </w:p>
          <w:p w:rsidR="00A5799A" w:rsidRDefault="00A5799A" w:rsidP="00361DBC">
            <w:pPr>
              <w:keepNext/>
              <w:widowControl/>
              <w:rPr>
                <w:rFonts w:ascii="Arial Narrow" w:hAnsi="Arial Narrow" w:cs="Times New Roman"/>
                <w:snapToGrid/>
                <w:sz w:val="20"/>
              </w:rPr>
            </w:pPr>
          </w:p>
          <w:p w:rsidR="007E3C93" w:rsidRPr="00D0223A" w:rsidRDefault="00A5799A" w:rsidP="00361DBC">
            <w:pPr>
              <w:keepNext/>
              <w:widowControl/>
              <w:rPr>
                <w:rFonts w:ascii="Arial Narrow" w:hAnsi="Arial Narrow" w:cs="Times New Roman"/>
                <w:snapToGrid/>
                <w:sz w:val="20"/>
              </w:rPr>
            </w:pPr>
            <w:r>
              <w:rPr>
                <w:rFonts w:ascii="Arial Narrow" w:hAnsi="Arial Narrow" w:cs="Times New Roman"/>
                <w:snapToGrid/>
                <w:sz w:val="20"/>
              </w:rPr>
              <w:t xml:space="preserve">Clin Infect Dis 2014; </w:t>
            </w:r>
            <w:r w:rsidR="00710097">
              <w:t xml:space="preserve"> </w:t>
            </w:r>
            <w:r w:rsidR="00710097">
              <w:rPr>
                <w:rFonts w:ascii="Arial Narrow" w:hAnsi="Arial Narrow" w:cs="Times New Roman"/>
                <w:snapToGrid/>
                <w:sz w:val="20"/>
              </w:rPr>
              <w:t>doi:</w:t>
            </w:r>
            <w:r w:rsidR="00710097" w:rsidRPr="00710097">
              <w:rPr>
                <w:rFonts w:ascii="Arial Narrow" w:hAnsi="Arial Narrow" w:cs="Times New Roman"/>
                <w:snapToGrid/>
                <w:sz w:val="20"/>
              </w:rPr>
              <w:t>10.1093/cid/ciu918</w:t>
            </w:r>
          </w:p>
        </w:tc>
      </w:tr>
      <w:tr w:rsidR="00E04BB5" w:rsidRPr="00D0223A" w:rsidTr="00D54BF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BB5" w:rsidRPr="00D0223A" w:rsidRDefault="00E04BB5" w:rsidP="00361DBC">
            <w:pPr>
              <w:keepNext/>
              <w:widowControl/>
              <w:rPr>
                <w:rFonts w:ascii="Arial Narrow" w:hAnsi="Arial Narrow" w:cs="Times New Roman"/>
                <w:snapToGrid/>
                <w:sz w:val="20"/>
              </w:rPr>
            </w:pPr>
            <w:r w:rsidRPr="00D0223A">
              <w:rPr>
                <w:rFonts w:ascii="Arial Narrow" w:hAnsi="Arial Narrow" w:cs="Times New Roman"/>
                <w:snapToGrid/>
                <w:sz w:val="20"/>
              </w:rPr>
              <w:t>SPS (Protocol 004 V1)</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E04BB5" w:rsidRPr="00D0223A" w:rsidRDefault="00E04BB5" w:rsidP="00361DBC">
            <w:pPr>
              <w:keepNext/>
              <w:widowControl/>
              <w:rPr>
                <w:rFonts w:ascii="Arial Narrow" w:hAnsi="Arial Narrow" w:cs="Times New Roman"/>
                <w:snapToGrid/>
                <w:sz w:val="20"/>
              </w:rPr>
            </w:pPr>
            <w:r w:rsidRPr="00D0223A">
              <w:rPr>
                <w:rFonts w:ascii="Arial Narrow" w:hAnsi="Arial Narrow" w:cs="Times New Roman"/>
                <w:snapToGrid/>
                <w:sz w:val="20"/>
              </w:rPr>
              <w:t>Clinical Study Report: Trial of Varicella-Zoster Vaccine for the Prevention of Herpes Zoster and Its Complications - Administration of Investigational Live Attenuated Zoster Vaccine to Shingles Prevention Study Placebo Recipients (Protocol 004-08)</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E04BB5" w:rsidRPr="00D0223A" w:rsidRDefault="00E04BB5" w:rsidP="00361DBC">
            <w:pPr>
              <w:keepNext/>
              <w:widowControl/>
              <w:rPr>
                <w:rFonts w:ascii="Arial Narrow" w:hAnsi="Arial Narrow" w:cs="Times New Roman"/>
                <w:snapToGrid/>
                <w:sz w:val="20"/>
              </w:rPr>
            </w:pPr>
            <w:r w:rsidRPr="00D0223A">
              <w:rPr>
                <w:rFonts w:ascii="Arial Narrow" w:hAnsi="Arial Narrow" w:cs="Times New Roman"/>
                <w:snapToGrid/>
                <w:sz w:val="20"/>
              </w:rPr>
              <w:t>October 2008</w:t>
            </w:r>
          </w:p>
        </w:tc>
      </w:tr>
    </w:tbl>
    <w:p w:rsidR="007E3C93" w:rsidRPr="00D0223A" w:rsidRDefault="007E3C93" w:rsidP="005119D7">
      <w:pPr>
        <w:pStyle w:val="TableFootnoteindent"/>
        <w:tabs>
          <w:tab w:val="clear" w:pos="284"/>
          <w:tab w:val="left" w:pos="709"/>
        </w:tabs>
        <w:ind w:left="709" w:firstLine="0"/>
      </w:pPr>
      <w:r w:rsidRPr="00D0223A">
        <w:t>Source: Reproduced from the PBAC 03-2014 minutes for 7-9 Zoster Virus Vaccine.</w:t>
      </w:r>
    </w:p>
    <w:p w:rsidR="007E3C93" w:rsidRPr="00D0223A" w:rsidRDefault="007E3C93" w:rsidP="007E3C93">
      <w:pPr>
        <w:widowControl/>
        <w:rPr>
          <w:szCs w:val="22"/>
        </w:rPr>
      </w:pPr>
    </w:p>
    <w:p w:rsidR="007E3C93" w:rsidRPr="00D0223A" w:rsidRDefault="007E3C93" w:rsidP="00C9248D">
      <w:pPr>
        <w:pStyle w:val="ListParagraph"/>
        <w:widowControl/>
        <w:numPr>
          <w:ilvl w:val="1"/>
          <w:numId w:val="1"/>
        </w:numPr>
        <w:rPr>
          <w:szCs w:val="22"/>
        </w:rPr>
      </w:pPr>
      <w:r w:rsidRPr="00D0223A">
        <w:rPr>
          <w:szCs w:val="22"/>
        </w:rPr>
        <w:t xml:space="preserve">The key features of the included evidence are provided </w:t>
      </w:r>
      <w:r w:rsidR="00FE5BD5" w:rsidRPr="00D0223A">
        <w:rPr>
          <w:szCs w:val="22"/>
        </w:rPr>
        <w:t>below</w:t>
      </w:r>
      <w:r w:rsidRPr="00D0223A">
        <w:rPr>
          <w:szCs w:val="22"/>
        </w:rPr>
        <w:t xml:space="preserve">.  </w:t>
      </w:r>
    </w:p>
    <w:p w:rsidR="007E3C93" w:rsidRPr="00D0223A" w:rsidRDefault="007E3C93" w:rsidP="007E3C93">
      <w:pPr>
        <w:pStyle w:val="PBACheading1"/>
        <w:numPr>
          <w:ilvl w:val="0"/>
          <w:numId w:val="0"/>
        </w:numPr>
        <w:ind w:left="1440" w:hanging="720"/>
      </w:pPr>
    </w:p>
    <w:p w:rsidR="005119D7" w:rsidRPr="00D0223A" w:rsidRDefault="005119D7">
      <w:pPr>
        <w:widowControl/>
        <w:jc w:val="left"/>
        <w:rPr>
          <w:rStyle w:val="CommentReference"/>
          <w:rFonts w:cs="Times New Roman"/>
        </w:rPr>
      </w:pPr>
      <w:bookmarkStart w:id="24" w:name="_Toc269216215"/>
      <w:r w:rsidRPr="00D0223A">
        <w:rPr>
          <w:rStyle w:val="CommentReference"/>
          <w:b w:val="0"/>
        </w:rPr>
        <w:br w:type="page"/>
      </w:r>
    </w:p>
    <w:p w:rsidR="007E3C93" w:rsidRPr="00D0223A" w:rsidRDefault="007E3C93" w:rsidP="00361DBC">
      <w:pPr>
        <w:pStyle w:val="Tablename0"/>
        <w:keepNext/>
        <w:ind w:left="709"/>
        <w:rPr>
          <w:b w:val="0"/>
          <w:lang w:val="en-AU"/>
        </w:rPr>
      </w:pPr>
      <w:r w:rsidRPr="00D0223A">
        <w:rPr>
          <w:rStyle w:val="CommentReference"/>
          <w:b/>
          <w:lang w:val="en-AU"/>
        </w:rPr>
        <w:lastRenderedPageBreak/>
        <w:t>Key features of the included evidence</w:t>
      </w:r>
      <w:bookmarkEnd w:id="24"/>
    </w:p>
    <w:tbl>
      <w:tblPr>
        <w:tblW w:w="8358"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756"/>
        <w:gridCol w:w="981"/>
        <w:gridCol w:w="1073"/>
        <w:gridCol w:w="1701"/>
        <w:gridCol w:w="1336"/>
        <w:gridCol w:w="82"/>
        <w:gridCol w:w="1477"/>
      </w:tblGrid>
      <w:tr w:rsidR="007E3C93" w:rsidRPr="00D0223A" w:rsidTr="005119D7">
        <w:tc>
          <w:tcPr>
            <w:tcW w:w="952" w:type="dxa"/>
            <w:shd w:val="clear" w:color="auto" w:fill="auto"/>
          </w:tcPr>
          <w:p w:rsidR="007E3C93" w:rsidRPr="00D0223A" w:rsidRDefault="007E3C93" w:rsidP="00361DBC">
            <w:pPr>
              <w:keepNext/>
              <w:rPr>
                <w:rFonts w:ascii="Arial Narrow" w:hAnsi="Arial Narrow" w:cs="Times New Roman"/>
                <w:b/>
                <w:sz w:val="20"/>
              </w:rPr>
            </w:pPr>
            <w:r w:rsidRPr="00D0223A">
              <w:rPr>
                <w:rFonts w:ascii="Arial Narrow" w:hAnsi="Arial Narrow" w:cs="Times New Roman"/>
                <w:b/>
                <w:sz w:val="20"/>
              </w:rPr>
              <w:t>Trial</w:t>
            </w:r>
          </w:p>
        </w:tc>
        <w:tc>
          <w:tcPr>
            <w:tcW w:w="756" w:type="dxa"/>
            <w:shd w:val="clear" w:color="auto" w:fill="auto"/>
          </w:tcPr>
          <w:p w:rsidR="007E3C93" w:rsidRPr="00D0223A" w:rsidRDefault="007E3C93" w:rsidP="00361DBC">
            <w:pPr>
              <w:keepNext/>
              <w:jc w:val="center"/>
              <w:rPr>
                <w:rFonts w:ascii="Arial Narrow" w:hAnsi="Arial Narrow" w:cs="Times New Roman"/>
                <w:b/>
                <w:sz w:val="20"/>
              </w:rPr>
            </w:pPr>
            <w:r w:rsidRPr="00D0223A">
              <w:rPr>
                <w:rFonts w:ascii="Arial Narrow" w:hAnsi="Arial Narrow" w:cs="Times New Roman"/>
                <w:b/>
                <w:sz w:val="20"/>
              </w:rPr>
              <w:t>N</w:t>
            </w:r>
          </w:p>
        </w:tc>
        <w:tc>
          <w:tcPr>
            <w:tcW w:w="981" w:type="dxa"/>
            <w:shd w:val="clear" w:color="auto" w:fill="auto"/>
          </w:tcPr>
          <w:p w:rsidR="007E3C93" w:rsidRPr="00D0223A" w:rsidRDefault="007E3C93" w:rsidP="00361DBC">
            <w:pPr>
              <w:keepNext/>
              <w:jc w:val="center"/>
              <w:rPr>
                <w:rFonts w:ascii="Arial Narrow" w:hAnsi="Arial Narrow" w:cs="Times New Roman"/>
                <w:b/>
                <w:sz w:val="20"/>
              </w:rPr>
            </w:pPr>
            <w:r w:rsidRPr="00D0223A">
              <w:rPr>
                <w:rFonts w:ascii="Arial Narrow" w:hAnsi="Arial Narrow" w:cs="Times New Roman"/>
                <w:b/>
                <w:sz w:val="20"/>
              </w:rPr>
              <w:t>Design/ duration</w:t>
            </w:r>
          </w:p>
        </w:tc>
        <w:tc>
          <w:tcPr>
            <w:tcW w:w="1073" w:type="dxa"/>
            <w:shd w:val="clear" w:color="auto" w:fill="auto"/>
          </w:tcPr>
          <w:p w:rsidR="007E3C93" w:rsidRPr="00D0223A" w:rsidRDefault="007E3C93" w:rsidP="00361DBC">
            <w:pPr>
              <w:keepNext/>
              <w:jc w:val="center"/>
              <w:rPr>
                <w:rFonts w:ascii="Arial Narrow" w:hAnsi="Arial Narrow" w:cs="Times New Roman"/>
                <w:b/>
                <w:sz w:val="20"/>
              </w:rPr>
            </w:pPr>
            <w:r w:rsidRPr="00D0223A">
              <w:rPr>
                <w:rFonts w:ascii="Arial Narrow" w:hAnsi="Arial Narrow" w:cs="Times New Roman"/>
                <w:b/>
                <w:sz w:val="20"/>
              </w:rPr>
              <w:t>Risk of bias</w:t>
            </w:r>
          </w:p>
        </w:tc>
        <w:tc>
          <w:tcPr>
            <w:tcW w:w="1701" w:type="dxa"/>
            <w:shd w:val="clear" w:color="auto" w:fill="auto"/>
          </w:tcPr>
          <w:p w:rsidR="007E3C93" w:rsidRPr="00D0223A" w:rsidRDefault="007E3C93" w:rsidP="00361DBC">
            <w:pPr>
              <w:keepNext/>
              <w:jc w:val="center"/>
              <w:rPr>
                <w:rFonts w:ascii="Arial Narrow" w:hAnsi="Arial Narrow" w:cs="Times New Roman"/>
                <w:b/>
                <w:sz w:val="20"/>
              </w:rPr>
            </w:pPr>
            <w:r w:rsidRPr="00D0223A">
              <w:rPr>
                <w:rFonts w:ascii="Arial Narrow" w:hAnsi="Arial Narrow" w:cs="Times New Roman"/>
                <w:b/>
                <w:sz w:val="20"/>
              </w:rPr>
              <w:t xml:space="preserve">Patient population </w:t>
            </w:r>
          </w:p>
        </w:tc>
        <w:tc>
          <w:tcPr>
            <w:tcW w:w="1418" w:type="dxa"/>
            <w:gridSpan w:val="2"/>
            <w:shd w:val="clear" w:color="auto" w:fill="auto"/>
          </w:tcPr>
          <w:p w:rsidR="007E3C93" w:rsidRPr="00D0223A" w:rsidRDefault="007E3C93" w:rsidP="00361DBC">
            <w:pPr>
              <w:keepNext/>
              <w:jc w:val="center"/>
              <w:rPr>
                <w:rFonts w:ascii="Arial Narrow" w:hAnsi="Arial Narrow" w:cs="Times New Roman"/>
                <w:b/>
                <w:sz w:val="20"/>
              </w:rPr>
            </w:pPr>
            <w:r w:rsidRPr="00D0223A">
              <w:rPr>
                <w:rFonts w:ascii="Arial Narrow" w:hAnsi="Arial Narrow" w:cs="Times New Roman"/>
                <w:b/>
                <w:sz w:val="20"/>
              </w:rPr>
              <w:t>Outcome(s)</w:t>
            </w:r>
          </w:p>
        </w:tc>
        <w:tc>
          <w:tcPr>
            <w:tcW w:w="1477" w:type="dxa"/>
            <w:shd w:val="clear" w:color="auto" w:fill="auto"/>
          </w:tcPr>
          <w:p w:rsidR="007E3C93" w:rsidRPr="00D0223A" w:rsidRDefault="007E3C93" w:rsidP="00361DBC">
            <w:pPr>
              <w:keepNext/>
              <w:jc w:val="center"/>
              <w:rPr>
                <w:rFonts w:ascii="Arial Narrow" w:hAnsi="Arial Narrow" w:cs="Times New Roman"/>
                <w:b/>
                <w:sz w:val="20"/>
              </w:rPr>
            </w:pPr>
            <w:r w:rsidRPr="00D0223A">
              <w:rPr>
                <w:rFonts w:ascii="Arial Narrow" w:hAnsi="Arial Narrow" w:cs="Times New Roman"/>
                <w:b/>
                <w:sz w:val="20"/>
              </w:rPr>
              <w:t>Use in modelled evaluation</w:t>
            </w:r>
          </w:p>
        </w:tc>
      </w:tr>
      <w:tr w:rsidR="007E3C93" w:rsidRPr="00D0223A" w:rsidTr="005119D7">
        <w:tc>
          <w:tcPr>
            <w:tcW w:w="8358" w:type="dxa"/>
            <w:gridSpan w:val="8"/>
            <w:shd w:val="clear" w:color="auto" w:fill="auto"/>
          </w:tcPr>
          <w:p w:rsidR="007E3C93" w:rsidRPr="00D0223A" w:rsidRDefault="007E3C93" w:rsidP="00361DBC">
            <w:pPr>
              <w:keepNext/>
              <w:rPr>
                <w:rFonts w:ascii="Arial Narrow" w:hAnsi="Arial Narrow" w:cs="Times New Roman"/>
                <w:b/>
                <w:sz w:val="20"/>
              </w:rPr>
            </w:pPr>
            <w:r w:rsidRPr="00D0223A">
              <w:rPr>
                <w:rFonts w:ascii="Arial Narrow" w:hAnsi="Arial Narrow" w:cs="Times New Roman"/>
                <w:b/>
                <w:sz w:val="20"/>
              </w:rPr>
              <w:t>Zoster virus vaccine versus placebo</w:t>
            </w:r>
          </w:p>
        </w:tc>
      </w:tr>
      <w:tr w:rsidR="007E3C93" w:rsidRPr="00D0223A" w:rsidTr="005119D7">
        <w:tc>
          <w:tcPr>
            <w:tcW w:w="952" w:type="dxa"/>
            <w:shd w:val="clear" w:color="auto" w:fill="auto"/>
          </w:tcPr>
          <w:p w:rsidR="007E3C93" w:rsidRPr="00D0223A" w:rsidRDefault="007E3C93" w:rsidP="00361DBC">
            <w:pPr>
              <w:keepNext/>
              <w:rPr>
                <w:rFonts w:ascii="Arial Narrow" w:hAnsi="Arial Narrow" w:cs="Times New Roman"/>
                <w:sz w:val="20"/>
              </w:rPr>
            </w:pPr>
            <w:r w:rsidRPr="00D0223A">
              <w:rPr>
                <w:rFonts w:ascii="Arial Narrow" w:hAnsi="Arial Narrow" w:cs="Times New Roman"/>
                <w:sz w:val="20"/>
              </w:rPr>
              <w:t>Protocol 004</w:t>
            </w:r>
          </w:p>
        </w:tc>
        <w:tc>
          <w:tcPr>
            <w:tcW w:w="756"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38,546</w:t>
            </w:r>
          </w:p>
        </w:tc>
        <w:tc>
          <w:tcPr>
            <w:tcW w:w="981"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R, DB, MC</w:t>
            </w:r>
          </w:p>
        </w:tc>
        <w:tc>
          <w:tcPr>
            <w:tcW w:w="1073"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Low</w:t>
            </w:r>
          </w:p>
        </w:tc>
        <w:tc>
          <w:tcPr>
            <w:tcW w:w="1701"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sz w:val="20"/>
              </w:rPr>
              <w:t>≥</w:t>
            </w:r>
            <w:r w:rsidRPr="00D0223A">
              <w:rPr>
                <w:rFonts w:ascii="Arial Narrow" w:hAnsi="Arial Narrow" w:cs="Times New Roman"/>
                <w:sz w:val="20"/>
              </w:rPr>
              <w:t>60 years, mean age = 69.4 years immunocompetent</w:t>
            </w:r>
          </w:p>
        </w:tc>
        <w:tc>
          <w:tcPr>
            <w:tcW w:w="1336"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Reduction in incidence of zoster, PHN and burden of illness (vaccine efficacy)</w:t>
            </w:r>
          </w:p>
        </w:tc>
        <w:tc>
          <w:tcPr>
            <w:tcW w:w="1559" w:type="dxa"/>
            <w:gridSpan w:val="2"/>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Vaccine efficacy in terms of reduction in the incidence of zoster and PHN from the overall population used</w:t>
            </w:r>
          </w:p>
          <w:p w:rsidR="007E3C93" w:rsidRPr="00D0223A" w:rsidRDefault="007E3C93" w:rsidP="00361DBC">
            <w:pPr>
              <w:keepNext/>
              <w:jc w:val="center"/>
              <w:rPr>
                <w:rFonts w:ascii="Arial Narrow" w:hAnsi="Arial Narrow" w:cs="Times New Roman"/>
                <w:sz w:val="20"/>
              </w:rPr>
            </w:pPr>
          </w:p>
        </w:tc>
      </w:tr>
      <w:tr w:rsidR="007E3C93" w:rsidRPr="00D0223A" w:rsidTr="005119D7">
        <w:tc>
          <w:tcPr>
            <w:tcW w:w="952" w:type="dxa"/>
            <w:shd w:val="clear" w:color="auto" w:fill="auto"/>
          </w:tcPr>
          <w:p w:rsidR="007E3C93" w:rsidRPr="00D0223A" w:rsidRDefault="007E3C93" w:rsidP="00361DBC">
            <w:pPr>
              <w:keepNext/>
              <w:rPr>
                <w:rFonts w:ascii="Arial Narrow" w:hAnsi="Arial Narrow" w:cs="Times New Roman"/>
                <w:sz w:val="20"/>
              </w:rPr>
            </w:pPr>
            <w:r w:rsidRPr="00D0223A">
              <w:rPr>
                <w:rFonts w:ascii="Arial Narrow" w:hAnsi="Arial Narrow" w:cs="Times New Roman"/>
                <w:sz w:val="20"/>
              </w:rPr>
              <w:t>Protocol 004 X1</w:t>
            </w:r>
          </w:p>
        </w:tc>
        <w:tc>
          <w:tcPr>
            <w:tcW w:w="756"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14,270</w:t>
            </w:r>
          </w:p>
        </w:tc>
        <w:tc>
          <w:tcPr>
            <w:tcW w:w="981"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Extension</w:t>
            </w:r>
          </w:p>
        </w:tc>
        <w:tc>
          <w:tcPr>
            <w:tcW w:w="1073"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The ESC* considered the bias was moderate</w:t>
            </w:r>
          </w:p>
        </w:tc>
        <w:tc>
          <w:tcPr>
            <w:tcW w:w="1701"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Enrolled in Protocol 004</w:t>
            </w:r>
          </w:p>
          <w:p w:rsidR="007E3C93" w:rsidRPr="00D0223A" w:rsidRDefault="007E3C93" w:rsidP="00361DBC">
            <w:pPr>
              <w:keepNext/>
              <w:jc w:val="center"/>
              <w:rPr>
                <w:rFonts w:ascii="Arial Narrow" w:hAnsi="Arial Narrow" w:cs="Times New Roman"/>
                <w:sz w:val="20"/>
              </w:rPr>
            </w:pPr>
          </w:p>
        </w:tc>
        <w:tc>
          <w:tcPr>
            <w:tcW w:w="1336"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As above</w:t>
            </w:r>
          </w:p>
        </w:tc>
        <w:tc>
          <w:tcPr>
            <w:tcW w:w="1559" w:type="dxa"/>
            <w:gridSpan w:val="2"/>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As above</w:t>
            </w:r>
          </w:p>
        </w:tc>
      </w:tr>
      <w:tr w:rsidR="007E3C93" w:rsidRPr="00D0223A" w:rsidTr="005119D7">
        <w:tc>
          <w:tcPr>
            <w:tcW w:w="952" w:type="dxa"/>
            <w:shd w:val="clear" w:color="auto" w:fill="auto"/>
          </w:tcPr>
          <w:p w:rsidR="007E3C93" w:rsidRPr="00D0223A" w:rsidRDefault="007E3C93" w:rsidP="00361DBC">
            <w:pPr>
              <w:keepNext/>
              <w:rPr>
                <w:rFonts w:ascii="Arial Narrow" w:hAnsi="Arial Narrow" w:cs="Times New Roman"/>
                <w:sz w:val="20"/>
              </w:rPr>
            </w:pPr>
            <w:r w:rsidRPr="00D0223A">
              <w:rPr>
                <w:rFonts w:ascii="Arial Narrow" w:hAnsi="Arial Narrow" w:cs="Times New Roman"/>
                <w:sz w:val="20"/>
              </w:rPr>
              <w:t>Protocol 013</w:t>
            </w:r>
          </w:p>
        </w:tc>
        <w:tc>
          <w:tcPr>
            <w:tcW w:w="756"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6,867</w:t>
            </w:r>
          </w:p>
        </w:tc>
        <w:tc>
          <w:tcPr>
            <w:tcW w:w="981"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Extension</w:t>
            </w:r>
          </w:p>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SA, OL</w:t>
            </w:r>
          </w:p>
        </w:tc>
        <w:tc>
          <w:tcPr>
            <w:tcW w:w="1073"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High</w:t>
            </w:r>
          </w:p>
        </w:tc>
        <w:tc>
          <w:tcPr>
            <w:tcW w:w="1701"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Vaccine recipient in Protocol 004 or 004 X1</w:t>
            </w:r>
          </w:p>
        </w:tc>
        <w:tc>
          <w:tcPr>
            <w:tcW w:w="1336" w:type="dxa"/>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As above</w:t>
            </w:r>
          </w:p>
        </w:tc>
        <w:tc>
          <w:tcPr>
            <w:tcW w:w="1559" w:type="dxa"/>
            <w:gridSpan w:val="2"/>
            <w:shd w:val="clear" w:color="auto" w:fill="auto"/>
          </w:tcPr>
          <w:p w:rsidR="007E3C93" w:rsidRPr="00D0223A" w:rsidRDefault="007E3C93" w:rsidP="00361DBC">
            <w:pPr>
              <w:keepNext/>
              <w:jc w:val="center"/>
              <w:rPr>
                <w:rFonts w:ascii="Arial Narrow" w:hAnsi="Arial Narrow" w:cs="Times New Roman"/>
                <w:sz w:val="20"/>
              </w:rPr>
            </w:pPr>
            <w:r w:rsidRPr="00D0223A">
              <w:rPr>
                <w:rFonts w:ascii="Arial Narrow" w:hAnsi="Arial Narrow" w:cs="Times New Roman"/>
                <w:sz w:val="20"/>
              </w:rPr>
              <w:t>As above</w:t>
            </w:r>
          </w:p>
        </w:tc>
      </w:tr>
    </w:tbl>
    <w:p w:rsidR="007E3C93" w:rsidRPr="00D0223A" w:rsidRDefault="007E3C93" w:rsidP="00361DBC">
      <w:pPr>
        <w:pStyle w:val="TableFooter"/>
        <w:keepNext/>
        <w:ind w:left="714"/>
      </w:pPr>
      <w:r w:rsidRPr="00D0223A">
        <w:tab/>
        <w:t xml:space="preserve">DB=double blind; MC=multi-centre; OL=open label; OS=overall survival; PFS=progression-free survival; R=randomised; SA=single arm. </w:t>
      </w:r>
    </w:p>
    <w:p w:rsidR="007E3C93" w:rsidRPr="00D0223A" w:rsidRDefault="007E3C93" w:rsidP="005119D7">
      <w:pPr>
        <w:pStyle w:val="TableFooter"/>
        <w:ind w:left="709"/>
      </w:pPr>
      <w:r w:rsidRPr="00D0223A">
        <w:t>*ESC advice for the March 2014 PBAC meeting.</w:t>
      </w:r>
    </w:p>
    <w:p w:rsidR="007E3C93" w:rsidRPr="00D0223A" w:rsidRDefault="007E3C93" w:rsidP="007E3C93">
      <w:pPr>
        <w:pStyle w:val="TableFooter"/>
        <w:ind w:left="714"/>
      </w:pPr>
      <w:r w:rsidRPr="00D0223A">
        <w:t xml:space="preserve">Source: Compiled during the evaluation </w:t>
      </w:r>
    </w:p>
    <w:p w:rsidR="007E3C93" w:rsidRPr="00D0223A" w:rsidRDefault="007E3C93" w:rsidP="007E3C93">
      <w:pPr>
        <w:pStyle w:val="PBACheading1"/>
        <w:numPr>
          <w:ilvl w:val="0"/>
          <w:numId w:val="0"/>
        </w:numPr>
        <w:ind w:left="720" w:hanging="720"/>
      </w:pPr>
    </w:p>
    <w:p w:rsidR="007E3C93" w:rsidRPr="00FF242D" w:rsidRDefault="007E3C93" w:rsidP="00FF242D">
      <w:pPr>
        <w:rPr>
          <w:b/>
          <w:szCs w:val="22"/>
        </w:rPr>
      </w:pPr>
      <w:bookmarkStart w:id="25" w:name="_Toc269216216"/>
      <w:bookmarkStart w:id="26" w:name="_Toc395780733"/>
      <w:bookmarkStart w:id="27" w:name="_Toc397415401"/>
      <w:r w:rsidRPr="00FF242D">
        <w:rPr>
          <w:b/>
          <w:szCs w:val="22"/>
        </w:rPr>
        <w:t>Comparative effectiveness</w:t>
      </w:r>
      <w:bookmarkEnd w:id="25"/>
      <w:bookmarkEnd w:id="26"/>
      <w:bookmarkEnd w:id="27"/>
    </w:p>
    <w:p w:rsidR="007E3C93" w:rsidRPr="00D0223A" w:rsidRDefault="007E3C93" w:rsidP="007E3C93">
      <w:pPr>
        <w:pStyle w:val="PBACheading1"/>
        <w:numPr>
          <w:ilvl w:val="0"/>
          <w:numId w:val="0"/>
        </w:numPr>
        <w:ind w:left="720" w:hanging="720"/>
        <w:rPr>
          <w:b/>
        </w:rPr>
      </w:pPr>
    </w:p>
    <w:p w:rsidR="007E3C93" w:rsidRPr="00D0223A" w:rsidRDefault="007E3C93" w:rsidP="00C9248D">
      <w:pPr>
        <w:pStyle w:val="ListParagraph"/>
        <w:widowControl/>
        <w:numPr>
          <w:ilvl w:val="1"/>
          <w:numId w:val="1"/>
        </w:numPr>
        <w:rPr>
          <w:szCs w:val="22"/>
        </w:rPr>
      </w:pPr>
      <w:r w:rsidRPr="00D0223A">
        <w:rPr>
          <w:szCs w:val="22"/>
        </w:rPr>
        <w:t xml:space="preserve">The estimated efficacy of the vaccine at reducing the incidence of zoster remains unchanged. It is summarised in </w:t>
      </w:r>
      <w:r w:rsidR="008051A1" w:rsidRPr="00D0223A">
        <w:rPr>
          <w:szCs w:val="22"/>
        </w:rPr>
        <w:t>the table below</w:t>
      </w:r>
      <w:r w:rsidRPr="00D0223A">
        <w:rPr>
          <w:szCs w:val="22"/>
        </w:rPr>
        <w:t>. The analyses presented for the first time in the re-submission are</w:t>
      </w:r>
      <w:r w:rsidR="00555885">
        <w:rPr>
          <w:szCs w:val="22"/>
        </w:rPr>
        <w:t xml:space="preserve"> in </w:t>
      </w:r>
      <w:r w:rsidRPr="00D0223A">
        <w:rPr>
          <w:szCs w:val="22"/>
        </w:rPr>
        <w:t>bold</w:t>
      </w:r>
      <w:r w:rsidR="00555885">
        <w:rPr>
          <w:szCs w:val="22"/>
        </w:rPr>
        <w:t xml:space="preserve"> font</w:t>
      </w:r>
      <w:r w:rsidRPr="00D0223A">
        <w:rPr>
          <w:szCs w:val="22"/>
        </w:rPr>
        <w:t>. These additional analyses are exploratory, post hoc subgroup analyses. The results indicate that vaccine efficacy, in terms of reducing zoster incidence, is age-dependent. Vaccine efficacy also appears to wane over time. The rate of waning in vaccine efficacy at reducing zoster incidence in the 70+ year age group cannot be determined due to the small number of cases in the subgroups.</w:t>
      </w:r>
    </w:p>
    <w:p w:rsidR="007E3C93" w:rsidRPr="00D0223A" w:rsidRDefault="007E3C93" w:rsidP="007E3C93">
      <w:pPr>
        <w:pStyle w:val="ListParagraph"/>
        <w:widowControl/>
        <w:rPr>
          <w:szCs w:val="22"/>
        </w:rPr>
      </w:pPr>
    </w:p>
    <w:p w:rsidR="007E3C93" w:rsidRPr="00D0223A" w:rsidRDefault="007E3C93" w:rsidP="00C9248D">
      <w:pPr>
        <w:pStyle w:val="ListParagraph"/>
        <w:widowControl/>
        <w:numPr>
          <w:ilvl w:val="1"/>
          <w:numId w:val="1"/>
        </w:numPr>
        <w:rPr>
          <w:szCs w:val="22"/>
        </w:rPr>
      </w:pPr>
      <w:r w:rsidRPr="00D0223A">
        <w:rPr>
          <w:szCs w:val="22"/>
        </w:rPr>
        <w:t xml:space="preserve">The PBAC was concerned (as per para 6.8 Zoster Virus Vaccine ratified March 2014 PBAC minutes) that the point estimate of vaccine efficacy in the initial period of LTPS (between Year 6 and Year 8) was higher than the vaccine efficacy of the STPS (Year 4-6). The PBAC considered that this increasing vaccine efficacy after vaccination was counter-intuitive and inconsistent with the observed waning efficacy against zoster. This concern </w:t>
      </w:r>
      <w:r w:rsidR="00555885">
        <w:rPr>
          <w:szCs w:val="22"/>
        </w:rPr>
        <w:t>has not been resolved.</w:t>
      </w:r>
    </w:p>
    <w:p w:rsidR="007E3C93" w:rsidRPr="00D0223A" w:rsidRDefault="007E3C93" w:rsidP="007E3C93">
      <w:pPr>
        <w:widowControl/>
        <w:rPr>
          <w:szCs w:val="22"/>
        </w:rPr>
      </w:pPr>
    </w:p>
    <w:p w:rsidR="007E3C93" w:rsidRPr="00D0223A" w:rsidRDefault="007E3C93" w:rsidP="005119D7">
      <w:pPr>
        <w:ind w:firstLine="720"/>
        <w:rPr>
          <w:rStyle w:val="CommentReference"/>
        </w:rPr>
      </w:pPr>
      <w:r w:rsidRPr="00D0223A">
        <w:rPr>
          <w:rStyle w:val="CommentReference"/>
          <w:lang w:eastAsia="en-AU"/>
        </w:rPr>
        <w:t>Incidence of zoster in the SPS, STPS and LTPS</w:t>
      </w:r>
    </w:p>
    <w:tbl>
      <w:tblPr>
        <w:tblStyle w:val="TableGrid"/>
        <w:tblW w:w="4524" w:type="pct"/>
        <w:tblInd w:w="817" w:type="dxa"/>
        <w:tblLayout w:type="fixed"/>
        <w:tblLook w:val="0000" w:firstRow="0" w:lastRow="0" w:firstColumn="0" w:lastColumn="0" w:noHBand="0" w:noVBand="0"/>
      </w:tblPr>
      <w:tblGrid>
        <w:gridCol w:w="785"/>
        <w:gridCol w:w="774"/>
        <w:gridCol w:w="993"/>
        <w:gridCol w:w="992"/>
        <w:gridCol w:w="160"/>
        <w:gridCol w:w="832"/>
        <w:gridCol w:w="992"/>
        <w:gridCol w:w="709"/>
        <w:gridCol w:w="992"/>
        <w:gridCol w:w="1134"/>
      </w:tblGrid>
      <w:tr w:rsidR="007E3C93" w:rsidRPr="00D0223A" w:rsidTr="00D54BFC">
        <w:trPr>
          <w:cantSplit/>
          <w:trHeight w:val="175"/>
        </w:trPr>
        <w:tc>
          <w:tcPr>
            <w:tcW w:w="785" w:type="dxa"/>
            <w:vMerge w:val="restart"/>
          </w:tcPr>
          <w:p w:rsidR="007E3C93" w:rsidRPr="00D0223A" w:rsidRDefault="007E3C93" w:rsidP="008F34F1">
            <w:pPr>
              <w:pStyle w:val="TableTitlecentred"/>
              <w:rPr>
                <w:rFonts w:ascii="Arial Narrow" w:hAnsi="Arial Narrow"/>
                <w:sz w:val="20"/>
              </w:rPr>
            </w:pPr>
            <w:r w:rsidRPr="00D0223A">
              <w:rPr>
                <w:rFonts w:ascii="Arial Narrow" w:hAnsi="Arial Narrow"/>
                <w:sz w:val="20"/>
              </w:rPr>
              <w:t>Age strata</w:t>
            </w:r>
          </w:p>
        </w:tc>
        <w:tc>
          <w:tcPr>
            <w:tcW w:w="774" w:type="dxa"/>
            <w:vMerge w:val="restart"/>
            <w:noWrap/>
          </w:tcPr>
          <w:p w:rsidR="007E3C93" w:rsidRPr="00D0223A" w:rsidRDefault="007E3C93" w:rsidP="008F34F1">
            <w:pPr>
              <w:pStyle w:val="TableTitlecentred"/>
              <w:rPr>
                <w:rFonts w:ascii="Arial Narrow" w:hAnsi="Arial Narrow"/>
                <w:sz w:val="20"/>
              </w:rPr>
            </w:pPr>
            <w:r w:rsidRPr="00D0223A">
              <w:rPr>
                <w:rFonts w:ascii="Arial Narrow" w:hAnsi="Arial Narrow"/>
                <w:sz w:val="20"/>
              </w:rPr>
              <w:t>Age group</w:t>
            </w:r>
          </w:p>
        </w:tc>
        <w:tc>
          <w:tcPr>
            <w:tcW w:w="2977" w:type="dxa"/>
            <w:gridSpan w:val="4"/>
          </w:tcPr>
          <w:p w:rsidR="007E3C93" w:rsidRPr="00D0223A" w:rsidRDefault="007E3C93" w:rsidP="008F34F1">
            <w:pPr>
              <w:pStyle w:val="TableTitlecentred"/>
              <w:rPr>
                <w:rFonts w:ascii="Arial Narrow" w:hAnsi="Arial Narrow"/>
                <w:sz w:val="20"/>
              </w:rPr>
            </w:pPr>
            <w:r w:rsidRPr="00D0223A">
              <w:rPr>
                <w:rFonts w:ascii="Arial Narrow" w:hAnsi="Arial Narrow"/>
                <w:sz w:val="20"/>
              </w:rPr>
              <w:t>ZOSTAVAX (N = 19,270)</w:t>
            </w:r>
          </w:p>
        </w:tc>
        <w:tc>
          <w:tcPr>
            <w:tcW w:w="2693" w:type="dxa"/>
            <w:gridSpan w:val="3"/>
          </w:tcPr>
          <w:p w:rsidR="007E3C93" w:rsidRPr="00D0223A" w:rsidRDefault="007E3C93" w:rsidP="008F34F1">
            <w:pPr>
              <w:pStyle w:val="TableTitlecentred"/>
              <w:rPr>
                <w:rFonts w:ascii="Arial Narrow" w:hAnsi="Arial Narrow"/>
                <w:sz w:val="20"/>
              </w:rPr>
            </w:pPr>
            <w:r w:rsidRPr="00D0223A">
              <w:rPr>
                <w:rFonts w:ascii="Arial Narrow" w:hAnsi="Arial Narrow"/>
                <w:sz w:val="20"/>
              </w:rPr>
              <w:t>Placebo (N = 19,276)</w:t>
            </w:r>
          </w:p>
        </w:tc>
        <w:tc>
          <w:tcPr>
            <w:tcW w:w="1134" w:type="dxa"/>
            <w:vMerge w:val="restart"/>
          </w:tcPr>
          <w:p w:rsidR="007E3C93" w:rsidRPr="00D0223A" w:rsidRDefault="007E3C93" w:rsidP="008F34F1">
            <w:pPr>
              <w:pStyle w:val="TableTitlecentred"/>
              <w:rPr>
                <w:rFonts w:ascii="Arial Narrow" w:hAnsi="Arial Narrow"/>
                <w:sz w:val="20"/>
                <w:vertAlign w:val="superscript"/>
              </w:rPr>
            </w:pPr>
            <w:r w:rsidRPr="00D0223A">
              <w:rPr>
                <w:rFonts w:ascii="Arial Narrow" w:hAnsi="Arial Narrow"/>
                <w:sz w:val="20"/>
              </w:rPr>
              <w:t xml:space="preserve">Vaccine Efficacy % </w:t>
            </w:r>
            <w:r w:rsidRPr="00D0223A">
              <w:rPr>
                <w:rFonts w:ascii="Arial Narrow" w:hAnsi="Arial Narrow"/>
                <w:sz w:val="20"/>
              </w:rPr>
              <w:br/>
              <w:t>(95% CI)</w:t>
            </w:r>
          </w:p>
        </w:tc>
      </w:tr>
      <w:tr w:rsidR="007E3C93" w:rsidRPr="00D0223A" w:rsidTr="00D54BFC">
        <w:trPr>
          <w:cantSplit/>
          <w:trHeight w:val="175"/>
        </w:trPr>
        <w:tc>
          <w:tcPr>
            <w:tcW w:w="785" w:type="dxa"/>
            <w:vMerge/>
          </w:tcPr>
          <w:p w:rsidR="007E3C93" w:rsidRPr="00D0223A" w:rsidRDefault="007E3C93" w:rsidP="008F34F1">
            <w:pPr>
              <w:pStyle w:val="TableTitlecentred"/>
              <w:rPr>
                <w:rFonts w:ascii="Arial Narrow" w:hAnsi="Arial Narrow"/>
                <w:sz w:val="20"/>
              </w:rPr>
            </w:pPr>
          </w:p>
        </w:tc>
        <w:tc>
          <w:tcPr>
            <w:tcW w:w="774" w:type="dxa"/>
            <w:vMerge/>
            <w:noWrap/>
          </w:tcPr>
          <w:p w:rsidR="007E3C93" w:rsidRPr="00D0223A" w:rsidRDefault="007E3C93" w:rsidP="008F34F1">
            <w:pPr>
              <w:pStyle w:val="TableTitlecentred"/>
              <w:rPr>
                <w:rFonts w:ascii="Arial Narrow" w:hAnsi="Arial Narrow"/>
                <w:sz w:val="20"/>
              </w:rPr>
            </w:pPr>
          </w:p>
        </w:tc>
        <w:tc>
          <w:tcPr>
            <w:tcW w:w="993" w:type="dxa"/>
          </w:tcPr>
          <w:p w:rsidR="007E3C93" w:rsidRPr="00D0223A" w:rsidRDefault="007E3C93" w:rsidP="008F34F1">
            <w:pPr>
              <w:pStyle w:val="TableTitlecentred"/>
              <w:rPr>
                <w:rFonts w:ascii="Arial Narrow" w:hAnsi="Arial Narrow"/>
                <w:sz w:val="20"/>
              </w:rPr>
            </w:pPr>
            <w:r w:rsidRPr="00D0223A">
              <w:rPr>
                <w:rFonts w:ascii="Arial Narrow" w:hAnsi="Arial Narrow"/>
                <w:sz w:val="20"/>
              </w:rPr>
              <w:t xml:space="preserve">Number subjects </w:t>
            </w:r>
          </w:p>
        </w:tc>
        <w:tc>
          <w:tcPr>
            <w:tcW w:w="992" w:type="dxa"/>
          </w:tcPr>
          <w:p w:rsidR="007E3C93" w:rsidRPr="00D0223A" w:rsidRDefault="007E3C93" w:rsidP="008F34F1">
            <w:pPr>
              <w:pStyle w:val="TableTitlecentred"/>
              <w:rPr>
                <w:rFonts w:ascii="Arial Narrow" w:hAnsi="Arial Narrow"/>
                <w:sz w:val="20"/>
              </w:rPr>
            </w:pPr>
            <w:r w:rsidRPr="00D0223A">
              <w:rPr>
                <w:rFonts w:ascii="Arial Narrow" w:hAnsi="Arial Narrow"/>
                <w:sz w:val="20"/>
              </w:rPr>
              <w:t>Zoster cases</w:t>
            </w:r>
          </w:p>
        </w:tc>
        <w:tc>
          <w:tcPr>
            <w:tcW w:w="992" w:type="dxa"/>
            <w:gridSpan w:val="2"/>
          </w:tcPr>
          <w:p w:rsidR="007E3C93" w:rsidRPr="00D0223A" w:rsidRDefault="007E3C93" w:rsidP="008F34F1">
            <w:pPr>
              <w:pStyle w:val="TableTitlecentred"/>
              <w:rPr>
                <w:rFonts w:ascii="Arial Narrow" w:hAnsi="Arial Narrow"/>
                <w:sz w:val="20"/>
                <w:vertAlign w:val="superscript"/>
              </w:rPr>
            </w:pPr>
            <w:r w:rsidRPr="00D0223A">
              <w:rPr>
                <w:rFonts w:ascii="Arial Narrow" w:hAnsi="Arial Narrow"/>
                <w:sz w:val="20"/>
              </w:rPr>
              <w:t>Incidence/</w:t>
            </w:r>
            <w:r w:rsidRPr="00D0223A">
              <w:rPr>
                <w:rFonts w:ascii="Arial Narrow" w:hAnsi="Arial Narrow"/>
                <w:sz w:val="20"/>
              </w:rPr>
              <w:br/>
              <w:t>1,000 person yrs</w:t>
            </w:r>
          </w:p>
        </w:tc>
        <w:tc>
          <w:tcPr>
            <w:tcW w:w="992" w:type="dxa"/>
          </w:tcPr>
          <w:p w:rsidR="007E3C93" w:rsidRPr="00D0223A" w:rsidRDefault="007E3C93" w:rsidP="008F34F1">
            <w:pPr>
              <w:pStyle w:val="TableTitlecentred"/>
              <w:rPr>
                <w:rFonts w:ascii="Arial Narrow" w:hAnsi="Arial Narrow"/>
                <w:sz w:val="20"/>
              </w:rPr>
            </w:pPr>
            <w:r w:rsidRPr="00D0223A">
              <w:rPr>
                <w:rFonts w:ascii="Arial Narrow" w:hAnsi="Arial Narrow"/>
                <w:sz w:val="20"/>
              </w:rPr>
              <w:t xml:space="preserve">Number subjects </w:t>
            </w:r>
          </w:p>
        </w:tc>
        <w:tc>
          <w:tcPr>
            <w:tcW w:w="709" w:type="dxa"/>
          </w:tcPr>
          <w:p w:rsidR="007E3C93" w:rsidRPr="00D0223A" w:rsidRDefault="007E3C93" w:rsidP="008F34F1">
            <w:pPr>
              <w:pStyle w:val="TableTitlecentred"/>
              <w:rPr>
                <w:rFonts w:ascii="Arial Narrow" w:hAnsi="Arial Narrow"/>
                <w:sz w:val="20"/>
              </w:rPr>
            </w:pPr>
            <w:r w:rsidRPr="00D0223A">
              <w:rPr>
                <w:rFonts w:ascii="Arial Narrow" w:hAnsi="Arial Narrow"/>
                <w:sz w:val="20"/>
              </w:rPr>
              <w:t>Zoster cases</w:t>
            </w:r>
          </w:p>
        </w:tc>
        <w:tc>
          <w:tcPr>
            <w:tcW w:w="992" w:type="dxa"/>
          </w:tcPr>
          <w:p w:rsidR="007E3C93" w:rsidRPr="00D0223A" w:rsidRDefault="007E3C93" w:rsidP="008F34F1">
            <w:pPr>
              <w:pStyle w:val="TableTitlecentred"/>
              <w:rPr>
                <w:rFonts w:ascii="Arial Narrow" w:hAnsi="Arial Narrow"/>
                <w:sz w:val="20"/>
                <w:vertAlign w:val="superscript"/>
              </w:rPr>
            </w:pPr>
            <w:r w:rsidRPr="00D0223A">
              <w:rPr>
                <w:rFonts w:ascii="Arial Narrow" w:hAnsi="Arial Narrow"/>
                <w:sz w:val="20"/>
              </w:rPr>
              <w:t>Incidence/</w:t>
            </w:r>
            <w:r w:rsidRPr="00D0223A">
              <w:rPr>
                <w:rFonts w:ascii="Arial Narrow" w:hAnsi="Arial Narrow"/>
                <w:sz w:val="20"/>
              </w:rPr>
              <w:br/>
              <w:t>1,000 person yrs</w:t>
            </w:r>
          </w:p>
        </w:tc>
        <w:tc>
          <w:tcPr>
            <w:tcW w:w="1134" w:type="dxa"/>
            <w:vMerge/>
          </w:tcPr>
          <w:p w:rsidR="007E3C93" w:rsidRPr="00D0223A" w:rsidRDefault="007E3C93" w:rsidP="008F34F1">
            <w:pPr>
              <w:pStyle w:val="TableTitlecentred"/>
              <w:rPr>
                <w:rFonts w:ascii="Arial Narrow" w:hAnsi="Arial Narrow"/>
                <w:sz w:val="20"/>
              </w:rPr>
            </w:pPr>
          </w:p>
        </w:tc>
      </w:tr>
      <w:tr w:rsidR="007E3C93" w:rsidRPr="00D0223A" w:rsidTr="00D54BFC">
        <w:trPr>
          <w:cantSplit/>
          <w:trHeight w:val="175"/>
        </w:trPr>
        <w:tc>
          <w:tcPr>
            <w:tcW w:w="8363" w:type="dxa"/>
            <w:gridSpan w:val="10"/>
            <w:shd w:val="clear" w:color="auto" w:fill="D9D9D9" w:themeFill="background1" w:themeFillShade="D9"/>
          </w:tcPr>
          <w:p w:rsidR="007E3C93" w:rsidRPr="00D0223A" w:rsidRDefault="007E3C93" w:rsidP="008F34F1">
            <w:pPr>
              <w:pStyle w:val="TableTextcentred"/>
              <w:keepNext/>
              <w:keepLines/>
              <w:jc w:val="left"/>
              <w:rPr>
                <w:rFonts w:ascii="Arial Narrow" w:hAnsi="Arial Narrow" w:cstheme="minorHAnsi"/>
                <w:sz w:val="20"/>
              </w:rPr>
            </w:pPr>
            <w:r w:rsidRPr="00D0223A">
              <w:rPr>
                <w:rFonts w:ascii="Arial Narrow" w:hAnsi="Arial Narrow" w:cstheme="minorHAnsi"/>
                <w:sz w:val="20"/>
              </w:rPr>
              <w:t>SPS</w:t>
            </w:r>
          </w:p>
        </w:tc>
      </w:tr>
      <w:tr w:rsidR="007E3C93" w:rsidRPr="00D0223A" w:rsidTr="00D54BFC">
        <w:trPr>
          <w:cantSplit/>
          <w:trHeight w:val="175"/>
        </w:trPr>
        <w:tc>
          <w:tcPr>
            <w:tcW w:w="785" w:type="dxa"/>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Full</w:t>
            </w: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60+</w:t>
            </w:r>
          </w:p>
        </w:tc>
        <w:tc>
          <w:tcPr>
            <w:tcW w:w="993"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19,254</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315</w:t>
            </w:r>
          </w:p>
        </w:tc>
        <w:tc>
          <w:tcPr>
            <w:tcW w:w="992" w:type="dxa"/>
            <w:gridSpan w:val="2"/>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5.415</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19,247</w:t>
            </w:r>
          </w:p>
        </w:tc>
        <w:tc>
          <w:tcPr>
            <w:tcW w:w="709"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642</w:t>
            </w:r>
          </w:p>
        </w:tc>
        <w:tc>
          <w:tcPr>
            <w:tcW w:w="992"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11.119</w:t>
            </w:r>
          </w:p>
        </w:tc>
        <w:tc>
          <w:tcPr>
            <w:tcW w:w="1134"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 xml:space="preserve">51.3% </w:t>
            </w:r>
            <w:r w:rsidRPr="00D0223A">
              <w:rPr>
                <w:rFonts w:ascii="Arial Narrow" w:hAnsi="Arial Narrow"/>
                <w:sz w:val="20"/>
              </w:rPr>
              <w:br/>
              <w:t>(44.2, 57.6)</w:t>
            </w:r>
          </w:p>
        </w:tc>
      </w:tr>
      <w:tr w:rsidR="007E3C93" w:rsidRPr="00D0223A" w:rsidTr="00D54BFC">
        <w:trPr>
          <w:cantSplit/>
          <w:trHeight w:val="175"/>
        </w:trPr>
        <w:tc>
          <w:tcPr>
            <w:tcW w:w="785" w:type="dxa"/>
            <w:vMerge w:val="restart"/>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Pre-spec’d</w:t>
            </w: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60-69</w:t>
            </w:r>
          </w:p>
        </w:tc>
        <w:tc>
          <w:tcPr>
            <w:tcW w:w="993"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10,370</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122</w:t>
            </w:r>
          </w:p>
        </w:tc>
        <w:tc>
          <w:tcPr>
            <w:tcW w:w="992" w:type="dxa"/>
            <w:gridSpan w:val="2"/>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3.895</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10,356</w:t>
            </w:r>
          </w:p>
        </w:tc>
        <w:tc>
          <w:tcPr>
            <w:tcW w:w="709"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334</w:t>
            </w:r>
          </w:p>
        </w:tc>
        <w:tc>
          <w:tcPr>
            <w:tcW w:w="992"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10.791</w:t>
            </w:r>
          </w:p>
        </w:tc>
        <w:tc>
          <w:tcPr>
            <w:tcW w:w="1134"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 xml:space="preserve">63.9% </w:t>
            </w:r>
            <w:r w:rsidRPr="00D0223A">
              <w:rPr>
                <w:rFonts w:ascii="Arial Narrow" w:hAnsi="Arial Narrow"/>
                <w:sz w:val="20"/>
              </w:rPr>
              <w:br/>
              <w:t>(55.5, 70.9)</w:t>
            </w:r>
          </w:p>
        </w:tc>
      </w:tr>
      <w:tr w:rsidR="007E3C93" w:rsidRPr="00D0223A" w:rsidTr="00D54BFC">
        <w:trPr>
          <w:cantSplit/>
          <w:trHeight w:val="175"/>
        </w:trPr>
        <w:tc>
          <w:tcPr>
            <w:tcW w:w="785" w:type="dxa"/>
            <w:vMerge/>
          </w:tcPr>
          <w:p w:rsidR="007E3C93" w:rsidRPr="00D0223A" w:rsidRDefault="007E3C93" w:rsidP="008F34F1">
            <w:pPr>
              <w:pStyle w:val="TableTextcentred"/>
              <w:jc w:val="left"/>
              <w:rPr>
                <w:rFonts w:ascii="Arial Narrow" w:hAnsi="Arial Narrow"/>
                <w:sz w:val="20"/>
              </w:rPr>
            </w:pP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70+</w:t>
            </w:r>
          </w:p>
        </w:tc>
        <w:tc>
          <w:tcPr>
            <w:tcW w:w="993"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8,884</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193</w:t>
            </w:r>
          </w:p>
        </w:tc>
        <w:tc>
          <w:tcPr>
            <w:tcW w:w="992" w:type="dxa"/>
            <w:gridSpan w:val="2"/>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7.180</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8,891</w:t>
            </w:r>
          </w:p>
        </w:tc>
        <w:tc>
          <w:tcPr>
            <w:tcW w:w="709"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308</w:t>
            </w:r>
          </w:p>
        </w:tc>
        <w:tc>
          <w:tcPr>
            <w:tcW w:w="992"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11.500</w:t>
            </w:r>
          </w:p>
        </w:tc>
        <w:tc>
          <w:tcPr>
            <w:tcW w:w="1134"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37.6%</w:t>
            </w:r>
            <w:r w:rsidRPr="00D0223A">
              <w:rPr>
                <w:rFonts w:ascii="Arial Narrow" w:hAnsi="Arial Narrow"/>
                <w:sz w:val="20"/>
              </w:rPr>
              <w:br/>
              <w:t xml:space="preserve"> (25.0, 48.1)</w:t>
            </w:r>
          </w:p>
        </w:tc>
      </w:tr>
      <w:tr w:rsidR="007E3C93" w:rsidRPr="00D0223A" w:rsidTr="00D54BFC">
        <w:trPr>
          <w:cantSplit/>
          <w:trHeight w:val="175"/>
        </w:trPr>
        <w:tc>
          <w:tcPr>
            <w:tcW w:w="785" w:type="dxa"/>
            <w:vMerge w:val="restart"/>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 xml:space="preserve">10 years </w:t>
            </w: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60-69</w:t>
            </w:r>
          </w:p>
        </w:tc>
        <w:tc>
          <w:tcPr>
            <w:tcW w:w="993"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10,370</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122</w:t>
            </w:r>
          </w:p>
        </w:tc>
        <w:tc>
          <w:tcPr>
            <w:tcW w:w="992" w:type="dxa"/>
            <w:gridSpan w:val="2"/>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3.895</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10,356</w:t>
            </w:r>
          </w:p>
        </w:tc>
        <w:tc>
          <w:tcPr>
            <w:tcW w:w="709"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334</w:t>
            </w:r>
          </w:p>
        </w:tc>
        <w:tc>
          <w:tcPr>
            <w:tcW w:w="992"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10.791</w:t>
            </w:r>
          </w:p>
        </w:tc>
        <w:tc>
          <w:tcPr>
            <w:tcW w:w="1134"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 xml:space="preserve">63.9% </w:t>
            </w:r>
            <w:r w:rsidRPr="00D0223A">
              <w:rPr>
                <w:rFonts w:ascii="Arial Narrow" w:hAnsi="Arial Narrow"/>
                <w:sz w:val="20"/>
              </w:rPr>
              <w:br/>
              <w:t>(55.5, 70.9)</w:t>
            </w:r>
          </w:p>
        </w:tc>
      </w:tr>
      <w:tr w:rsidR="007E3C93" w:rsidRPr="00D0223A" w:rsidTr="00D54BFC">
        <w:trPr>
          <w:cantSplit/>
          <w:trHeight w:val="175"/>
        </w:trPr>
        <w:tc>
          <w:tcPr>
            <w:tcW w:w="785" w:type="dxa"/>
            <w:vMerge/>
          </w:tcPr>
          <w:p w:rsidR="007E3C93" w:rsidRPr="00D0223A" w:rsidRDefault="007E3C93" w:rsidP="008F34F1">
            <w:pPr>
              <w:pStyle w:val="TableTextcentred"/>
              <w:jc w:val="left"/>
              <w:rPr>
                <w:rFonts w:ascii="Arial Narrow" w:hAnsi="Arial Narrow"/>
                <w:sz w:val="20"/>
              </w:rPr>
            </w:pP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70-79</w:t>
            </w:r>
          </w:p>
        </w:tc>
        <w:tc>
          <w:tcPr>
            <w:tcW w:w="993"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7,621</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156</w:t>
            </w:r>
          </w:p>
        </w:tc>
        <w:tc>
          <w:tcPr>
            <w:tcW w:w="992" w:type="dxa"/>
            <w:gridSpan w:val="2"/>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6.736</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7,559</w:t>
            </w:r>
          </w:p>
        </w:tc>
        <w:tc>
          <w:tcPr>
            <w:tcW w:w="709"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261</w:t>
            </w:r>
          </w:p>
        </w:tc>
        <w:tc>
          <w:tcPr>
            <w:tcW w:w="992"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11.388</w:t>
            </w:r>
          </w:p>
        </w:tc>
        <w:tc>
          <w:tcPr>
            <w:tcW w:w="1134"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 xml:space="preserve">40.8% </w:t>
            </w:r>
            <w:r w:rsidRPr="00D0223A">
              <w:rPr>
                <w:rFonts w:ascii="Arial Narrow" w:hAnsi="Arial Narrow"/>
                <w:sz w:val="20"/>
              </w:rPr>
              <w:br/>
              <w:t>(27.6, 51.8)</w:t>
            </w:r>
          </w:p>
        </w:tc>
      </w:tr>
      <w:tr w:rsidR="007E3C93" w:rsidRPr="00D0223A" w:rsidTr="00D54BFC">
        <w:trPr>
          <w:cantSplit/>
          <w:trHeight w:val="175"/>
        </w:trPr>
        <w:tc>
          <w:tcPr>
            <w:tcW w:w="785" w:type="dxa"/>
            <w:vMerge/>
          </w:tcPr>
          <w:p w:rsidR="007E3C93" w:rsidRPr="00D0223A" w:rsidRDefault="007E3C93" w:rsidP="008F34F1">
            <w:pPr>
              <w:pStyle w:val="TableTextcentred"/>
              <w:jc w:val="left"/>
              <w:rPr>
                <w:rFonts w:ascii="Arial Narrow" w:hAnsi="Arial Narrow"/>
                <w:sz w:val="20"/>
              </w:rPr>
            </w:pP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80+</w:t>
            </w:r>
          </w:p>
        </w:tc>
        <w:tc>
          <w:tcPr>
            <w:tcW w:w="993"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1,263</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37</w:t>
            </w:r>
          </w:p>
        </w:tc>
        <w:tc>
          <w:tcPr>
            <w:tcW w:w="992" w:type="dxa"/>
            <w:gridSpan w:val="2"/>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9.944</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1,332</w:t>
            </w:r>
          </w:p>
        </w:tc>
        <w:tc>
          <w:tcPr>
            <w:tcW w:w="709"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47</w:t>
            </w:r>
          </w:p>
        </w:tc>
        <w:tc>
          <w:tcPr>
            <w:tcW w:w="992"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12.164</w:t>
            </w:r>
          </w:p>
        </w:tc>
        <w:tc>
          <w:tcPr>
            <w:tcW w:w="1134" w:type="dxa"/>
            <w:noWrap/>
          </w:tcPr>
          <w:p w:rsidR="007E3C93" w:rsidRPr="00D0223A" w:rsidRDefault="007E3C93" w:rsidP="008F34F1">
            <w:pPr>
              <w:pStyle w:val="TableTextcentred"/>
              <w:rPr>
                <w:rFonts w:ascii="Arial Narrow" w:hAnsi="Arial Narrow"/>
                <w:sz w:val="20"/>
              </w:rPr>
            </w:pPr>
            <w:r w:rsidRPr="00D0223A">
              <w:rPr>
                <w:rFonts w:ascii="Arial Narrow" w:hAnsi="Arial Narrow"/>
                <w:sz w:val="20"/>
              </w:rPr>
              <w:t>18.3%</w:t>
            </w:r>
            <w:r w:rsidRPr="00D0223A">
              <w:rPr>
                <w:rFonts w:ascii="Arial Narrow" w:hAnsi="Arial Narrow"/>
                <w:sz w:val="20"/>
              </w:rPr>
              <w:br/>
              <w:t xml:space="preserve"> (-28.5, 48.3)</w:t>
            </w:r>
          </w:p>
        </w:tc>
      </w:tr>
      <w:tr w:rsidR="007E3C93" w:rsidRPr="00D0223A" w:rsidTr="00D54BFC">
        <w:trPr>
          <w:cantSplit/>
          <w:trHeight w:val="175"/>
        </w:trPr>
        <w:tc>
          <w:tcPr>
            <w:tcW w:w="785" w:type="dxa"/>
            <w:vMerge w:val="restart"/>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5 years</w:t>
            </w:r>
          </w:p>
        </w:tc>
        <w:tc>
          <w:tcPr>
            <w:tcW w:w="774" w:type="dxa"/>
            <w:noWrap/>
          </w:tcPr>
          <w:p w:rsidR="007E3C93" w:rsidRPr="00D0223A" w:rsidRDefault="007E3C93" w:rsidP="008F34F1">
            <w:pPr>
              <w:pStyle w:val="TableTextcentred"/>
              <w:jc w:val="left"/>
              <w:rPr>
                <w:rFonts w:ascii="Arial Narrow" w:hAnsi="Arial Narrow"/>
                <w:b/>
                <w:sz w:val="20"/>
              </w:rPr>
            </w:pPr>
            <w:r w:rsidRPr="00D0223A">
              <w:rPr>
                <w:rFonts w:ascii="Arial Narrow" w:hAnsi="Arial Narrow"/>
                <w:b/>
                <w:sz w:val="20"/>
              </w:rPr>
              <w:t>60-64</w:t>
            </w:r>
          </w:p>
        </w:tc>
        <w:tc>
          <w:tcPr>
            <w:tcW w:w="993"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gridSpan w:val="2"/>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709"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1134"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 xml:space="preserve">''''''''''''' </w:t>
            </w:r>
            <w:r>
              <w:rPr>
                <w:rFonts w:ascii="Arial Narrow" w:hAnsi="Arial Narrow"/>
                <w:b/>
                <w:noProof/>
                <w:color w:val="000000"/>
                <w:sz w:val="20"/>
                <w:highlight w:val="black"/>
              </w:rPr>
              <w:br/>
              <w:t>'''''''''' '''''''''''</w:t>
            </w:r>
          </w:p>
        </w:tc>
      </w:tr>
      <w:tr w:rsidR="007E3C93" w:rsidRPr="00D0223A" w:rsidTr="00D54BFC">
        <w:trPr>
          <w:cantSplit/>
          <w:trHeight w:val="175"/>
        </w:trPr>
        <w:tc>
          <w:tcPr>
            <w:tcW w:w="785" w:type="dxa"/>
            <w:vMerge/>
          </w:tcPr>
          <w:p w:rsidR="007E3C93" w:rsidRPr="00D0223A" w:rsidRDefault="007E3C93" w:rsidP="008F34F1">
            <w:pPr>
              <w:pStyle w:val="TableTextcentred"/>
              <w:jc w:val="left"/>
              <w:rPr>
                <w:rFonts w:ascii="Arial Narrow" w:hAnsi="Arial Narrow"/>
                <w:sz w:val="20"/>
              </w:rPr>
            </w:pPr>
          </w:p>
        </w:tc>
        <w:tc>
          <w:tcPr>
            <w:tcW w:w="774" w:type="dxa"/>
            <w:noWrap/>
          </w:tcPr>
          <w:p w:rsidR="007E3C93" w:rsidRPr="00D0223A" w:rsidRDefault="007E3C93" w:rsidP="008F34F1">
            <w:pPr>
              <w:pStyle w:val="TableTextcentred"/>
              <w:jc w:val="left"/>
              <w:rPr>
                <w:rFonts w:ascii="Arial Narrow" w:hAnsi="Arial Narrow"/>
                <w:b/>
                <w:sz w:val="20"/>
              </w:rPr>
            </w:pPr>
            <w:r w:rsidRPr="00D0223A">
              <w:rPr>
                <w:rFonts w:ascii="Arial Narrow" w:hAnsi="Arial Narrow"/>
                <w:b/>
                <w:sz w:val="20"/>
              </w:rPr>
              <w:t>65-69</w:t>
            </w:r>
          </w:p>
        </w:tc>
        <w:tc>
          <w:tcPr>
            <w:tcW w:w="993"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gridSpan w:val="2"/>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709"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1134"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r>
              <w:rPr>
                <w:rFonts w:ascii="Arial Narrow" w:hAnsi="Arial Narrow"/>
                <w:b/>
                <w:noProof/>
                <w:color w:val="000000"/>
                <w:sz w:val="20"/>
                <w:highlight w:val="black"/>
              </w:rPr>
              <w:br/>
              <w:t xml:space="preserve"> '''''''''''' '''''''''''</w:t>
            </w:r>
          </w:p>
        </w:tc>
      </w:tr>
      <w:tr w:rsidR="007E3C93" w:rsidRPr="00D0223A" w:rsidTr="00D54BFC">
        <w:trPr>
          <w:cantSplit/>
          <w:trHeight w:val="175"/>
        </w:trPr>
        <w:tc>
          <w:tcPr>
            <w:tcW w:w="785" w:type="dxa"/>
            <w:vMerge/>
          </w:tcPr>
          <w:p w:rsidR="007E3C93" w:rsidRPr="00D0223A" w:rsidRDefault="007E3C93" w:rsidP="008F34F1">
            <w:pPr>
              <w:pStyle w:val="TableTextcentred"/>
              <w:jc w:val="left"/>
              <w:rPr>
                <w:rFonts w:ascii="Arial Narrow" w:hAnsi="Arial Narrow"/>
                <w:sz w:val="20"/>
              </w:rPr>
            </w:pPr>
          </w:p>
        </w:tc>
        <w:tc>
          <w:tcPr>
            <w:tcW w:w="774" w:type="dxa"/>
            <w:noWrap/>
          </w:tcPr>
          <w:p w:rsidR="007E3C93" w:rsidRPr="00D0223A" w:rsidRDefault="007E3C93" w:rsidP="008F34F1">
            <w:pPr>
              <w:pStyle w:val="TableTextcentred"/>
              <w:jc w:val="left"/>
              <w:rPr>
                <w:rFonts w:ascii="Arial Narrow" w:hAnsi="Arial Narrow"/>
                <w:b/>
                <w:sz w:val="20"/>
              </w:rPr>
            </w:pPr>
            <w:r w:rsidRPr="00D0223A">
              <w:rPr>
                <w:rFonts w:ascii="Arial Narrow" w:hAnsi="Arial Narrow"/>
                <w:b/>
                <w:sz w:val="20"/>
              </w:rPr>
              <w:t>70-74</w:t>
            </w:r>
          </w:p>
        </w:tc>
        <w:tc>
          <w:tcPr>
            <w:tcW w:w="993"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gridSpan w:val="2"/>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709"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1134"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 xml:space="preserve">'''''''''''' </w:t>
            </w:r>
            <w:r>
              <w:rPr>
                <w:rFonts w:ascii="Arial Narrow" w:hAnsi="Arial Narrow"/>
                <w:b/>
                <w:noProof/>
                <w:color w:val="000000"/>
                <w:sz w:val="20"/>
                <w:highlight w:val="black"/>
              </w:rPr>
              <w:br/>
              <w:t>'''''''''' ''''''''''</w:t>
            </w:r>
          </w:p>
        </w:tc>
      </w:tr>
      <w:tr w:rsidR="007E3C93" w:rsidRPr="00D0223A" w:rsidTr="00D54BFC">
        <w:trPr>
          <w:cantSplit/>
          <w:trHeight w:val="175"/>
        </w:trPr>
        <w:tc>
          <w:tcPr>
            <w:tcW w:w="785" w:type="dxa"/>
            <w:vMerge/>
          </w:tcPr>
          <w:p w:rsidR="007E3C93" w:rsidRPr="00D0223A" w:rsidRDefault="007E3C93" w:rsidP="008F34F1">
            <w:pPr>
              <w:pStyle w:val="TableTextcentred"/>
              <w:jc w:val="left"/>
              <w:rPr>
                <w:rFonts w:ascii="Arial Narrow" w:hAnsi="Arial Narrow"/>
                <w:sz w:val="20"/>
              </w:rPr>
            </w:pPr>
          </w:p>
        </w:tc>
        <w:tc>
          <w:tcPr>
            <w:tcW w:w="774" w:type="dxa"/>
            <w:noWrap/>
          </w:tcPr>
          <w:p w:rsidR="007E3C93" w:rsidRPr="00D0223A" w:rsidRDefault="007E3C93" w:rsidP="008F34F1">
            <w:pPr>
              <w:pStyle w:val="TableTextcentred"/>
              <w:jc w:val="left"/>
              <w:rPr>
                <w:rFonts w:ascii="Arial Narrow" w:hAnsi="Arial Narrow"/>
                <w:b/>
                <w:sz w:val="20"/>
              </w:rPr>
            </w:pPr>
            <w:r w:rsidRPr="00D0223A">
              <w:rPr>
                <w:rFonts w:ascii="Arial Narrow" w:hAnsi="Arial Narrow"/>
                <w:b/>
                <w:sz w:val="20"/>
              </w:rPr>
              <w:t>75-79</w:t>
            </w:r>
          </w:p>
        </w:tc>
        <w:tc>
          <w:tcPr>
            <w:tcW w:w="993"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gridSpan w:val="2"/>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709"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1134"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r>
              <w:rPr>
                <w:rFonts w:ascii="Arial Narrow" w:hAnsi="Arial Narrow"/>
                <w:b/>
                <w:noProof/>
                <w:color w:val="000000"/>
                <w:sz w:val="20"/>
                <w:highlight w:val="black"/>
              </w:rPr>
              <w:br/>
              <w:t xml:space="preserve"> '''''''''''' '''''''''</w:t>
            </w:r>
          </w:p>
        </w:tc>
      </w:tr>
      <w:tr w:rsidR="007E3C93" w:rsidRPr="00D0223A" w:rsidTr="00D54BFC">
        <w:trPr>
          <w:cantSplit/>
          <w:trHeight w:val="175"/>
        </w:trPr>
        <w:tc>
          <w:tcPr>
            <w:tcW w:w="8363" w:type="dxa"/>
            <w:gridSpan w:val="10"/>
            <w:shd w:val="clear" w:color="auto" w:fill="D9D9D9" w:themeFill="background1" w:themeFillShade="D9"/>
          </w:tcPr>
          <w:p w:rsidR="007E3C93" w:rsidRPr="00D0223A" w:rsidRDefault="007E3C93" w:rsidP="008F34F1">
            <w:pPr>
              <w:pStyle w:val="TableTextcentred"/>
              <w:keepNext/>
              <w:keepLines/>
              <w:jc w:val="left"/>
              <w:rPr>
                <w:rFonts w:ascii="Arial Narrow" w:hAnsi="Arial Narrow" w:cstheme="minorHAnsi"/>
                <w:sz w:val="20"/>
              </w:rPr>
            </w:pPr>
            <w:r w:rsidRPr="00D0223A">
              <w:rPr>
                <w:rFonts w:ascii="Arial Narrow" w:hAnsi="Arial Narrow" w:cstheme="minorHAnsi"/>
                <w:sz w:val="20"/>
              </w:rPr>
              <w:t>STPS</w:t>
            </w:r>
          </w:p>
        </w:tc>
      </w:tr>
      <w:tr w:rsidR="007E3C93" w:rsidRPr="00D0223A" w:rsidTr="00D54BFC">
        <w:trPr>
          <w:cantSplit/>
          <w:trHeight w:val="175"/>
        </w:trPr>
        <w:tc>
          <w:tcPr>
            <w:tcW w:w="785" w:type="dxa"/>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Full</w:t>
            </w: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60+</w:t>
            </w:r>
          </w:p>
        </w:tc>
        <w:tc>
          <w:tcPr>
            <w:tcW w:w="993"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7,320</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84</w:t>
            </w:r>
          </w:p>
        </w:tc>
        <w:tc>
          <w:tcPr>
            <w:tcW w:w="992" w:type="dxa"/>
            <w:gridSpan w:val="2"/>
            <w:noWrap/>
          </w:tcPr>
          <w:p w:rsidR="007E3C93" w:rsidRPr="00D0223A" w:rsidRDefault="007E3C93" w:rsidP="008F34F1">
            <w:pPr>
              <w:pStyle w:val="TableTextcentred"/>
              <w:rPr>
                <w:rFonts w:ascii="Arial Narrow" w:hAnsi="Arial Narrow"/>
                <w:sz w:val="20"/>
                <w:vertAlign w:val="superscript"/>
              </w:rPr>
            </w:pPr>
            <w:r w:rsidRPr="00D0223A">
              <w:rPr>
                <w:rFonts w:ascii="Arial Narrow" w:hAnsi="Arial Narrow"/>
                <w:sz w:val="20"/>
              </w:rPr>
              <w:t>8.430</w:t>
            </w:r>
          </w:p>
        </w:tc>
        <w:tc>
          <w:tcPr>
            <w:tcW w:w="992"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6,950</w:t>
            </w:r>
          </w:p>
        </w:tc>
        <w:tc>
          <w:tcPr>
            <w:tcW w:w="709"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95</w:t>
            </w:r>
          </w:p>
        </w:tc>
        <w:tc>
          <w:tcPr>
            <w:tcW w:w="992" w:type="dxa"/>
            <w:noWrap/>
          </w:tcPr>
          <w:p w:rsidR="007E3C93" w:rsidRPr="00D0223A" w:rsidRDefault="007E3C93" w:rsidP="008F34F1">
            <w:pPr>
              <w:pStyle w:val="TableTextcentred"/>
              <w:rPr>
                <w:rFonts w:ascii="Arial Narrow" w:hAnsi="Arial Narrow"/>
                <w:sz w:val="20"/>
                <w:vertAlign w:val="superscript"/>
              </w:rPr>
            </w:pPr>
            <w:r w:rsidRPr="00D0223A">
              <w:rPr>
                <w:rFonts w:ascii="Arial Narrow" w:hAnsi="Arial Narrow"/>
                <w:sz w:val="20"/>
              </w:rPr>
              <w:t>13.967</w:t>
            </w:r>
          </w:p>
        </w:tc>
        <w:tc>
          <w:tcPr>
            <w:tcW w:w="1134" w:type="dxa"/>
            <w:noWrap/>
          </w:tcPr>
          <w:p w:rsidR="007E3C93" w:rsidRPr="00D0223A" w:rsidRDefault="007E3C93" w:rsidP="008F34F1">
            <w:pPr>
              <w:pStyle w:val="TableTextcentred"/>
              <w:rPr>
                <w:rFonts w:ascii="Arial Narrow" w:hAnsi="Arial Narrow"/>
                <w:sz w:val="20"/>
                <w:vertAlign w:val="superscript"/>
              </w:rPr>
            </w:pPr>
            <w:r w:rsidRPr="00D0223A">
              <w:rPr>
                <w:rFonts w:ascii="Arial Narrow" w:hAnsi="Arial Narrow"/>
                <w:sz w:val="20"/>
              </w:rPr>
              <w:t>39.6% (18.2, 55.5)</w:t>
            </w:r>
          </w:p>
        </w:tc>
      </w:tr>
      <w:tr w:rsidR="007E3C93" w:rsidRPr="00D0223A" w:rsidTr="00D54BFC">
        <w:trPr>
          <w:cantSplit/>
          <w:trHeight w:val="175"/>
        </w:trPr>
        <w:tc>
          <w:tcPr>
            <w:tcW w:w="785" w:type="dxa"/>
            <w:vMerge w:val="restart"/>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Pre-spec’d</w:t>
            </w: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 xml:space="preserve">60-69 </w:t>
            </w:r>
          </w:p>
        </w:tc>
        <w:tc>
          <w:tcPr>
            <w:tcW w:w="993"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992"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992" w:type="dxa"/>
            <w:gridSpan w:val="2"/>
            <w:noWrap/>
          </w:tcPr>
          <w:p w:rsidR="007E3C93" w:rsidRPr="00FE405A" w:rsidRDefault="00FE405A" w:rsidP="008F34F1">
            <w:pPr>
              <w:pStyle w:val="TableTextcentred"/>
              <w:rPr>
                <w:rFonts w:ascii="Arial Narrow" w:hAnsi="Arial Narrow"/>
                <w:sz w:val="20"/>
                <w:highlight w:val="black"/>
                <w:vertAlign w:val="superscript"/>
              </w:rPr>
            </w:pPr>
            <w:r>
              <w:rPr>
                <w:rFonts w:ascii="Arial Narrow" w:hAnsi="Arial Narrow"/>
                <w:noProof/>
                <w:color w:val="000000"/>
                <w:sz w:val="20"/>
                <w:highlight w:val="black"/>
              </w:rPr>
              <w:t>''''''''''''''</w:t>
            </w:r>
          </w:p>
        </w:tc>
        <w:tc>
          <w:tcPr>
            <w:tcW w:w="992"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709"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992" w:type="dxa"/>
            <w:noWrap/>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1134" w:type="dxa"/>
            <w:noWrap/>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 ''''''''''''' '''''''''''</w:t>
            </w:r>
          </w:p>
        </w:tc>
      </w:tr>
      <w:tr w:rsidR="007E3C93" w:rsidRPr="00D0223A" w:rsidTr="00D54BFC">
        <w:trPr>
          <w:cantSplit/>
          <w:trHeight w:val="175"/>
        </w:trPr>
        <w:tc>
          <w:tcPr>
            <w:tcW w:w="785" w:type="dxa"/>
            <w:vMerge/>
          </w:tcPr>
          <w:p w:rsidR="007E3C93" w:rsidRPr="00D0223A" w:rsidRDefault="007E3C93" w:rsidP="008F34F1">
            <w:pPr>
              <w:pStyle w:val="TableTextcentred"/>
              <w:jc w:val="left"/>
              <w:rPr>
                <w:rFonts w:ascii="Arial Narrow" w:hAnsi="Arial Narrow"/>
                <w:sz w:val="20"/>
              </w:rPr>
            </w:pP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70+</w:t>
            </w:r>
            <w:r w:rsidRPr="00D0223A">
              <w:rPr>
                <w:rFonts w:ascii="Arial Narrow" w:hAnsi="Arial Narrow"/>
                <w:sz w:val="20"/>
                <w:vertAlign w:val="superscript"/>
              </w:rPr>
              <w:t>*</w:t>
            </w:r>
          </w:p>
        </w:tc>
        <w:tc>
          <w:tcPr>
            <w:tcW w:w="993"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992"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992" w:type="dxa"/>
            <w:gridSpan w:val="2"/>
            <w:noWrap/>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992"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709"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992" w:type="dxa"/>
            <w:noWrap/>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1134" w:type="dxa"/>
            <w:noWrap/>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r>
              <w:rPr>
                <w:rFonts w:ascii="Arial Narrow" w:hAnsi="Arial Narrow"/>
                <w:noProof/>
                <w:color w:val="000000"/>
                <w:sz w:val="20"/>
                <w:highlight w:val="black"/>
              </w:rPr>
              <w:br/>
              <w:t xml:space="preserve"> '''''''''''''' '''''''''''''</w:t>
            </w:r>
          </w:p>
        </w:tc>
      </w:tr>
      <w:tr w:rsidR="007E3C93" w:rsidRPr="00D0223A" w:rsidTr="00D54BFC">
        <w:trPr>
          <w:cantSplit/>
          <w:trHeight w:val="175"/>
        </w:trPr>
        <w:tc>
          <w:tcPr>
            <w:tcW w:w="785" w:type="dxa"/>
            <w:vMerge w:val="restart"/>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10 years</w:t>
            </w: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60-69</w:t>
            </w:r>
          </w:p>
        </w:tc>
        <w:tc>
          <w:tcPr>
            <w:tcW w:w="993"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992"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992" w:type="dxa"/>
            <w:gridSpan w:val="2"/>
            <w:noWrap/>
          </w:tcPr>
          <w:p w:rsidR="007E3C93" w:rsidRPr="00FE405A" w:rsidRDefault="00FE405A" w:rsidP="008F34F1">
            <w:pPr>
              <w:pStyle w:val="TableTextcentred"/>
              <w:rPr>
                <w:rFonts w:ascii="Arial Narrow" w:hAnsi="Arial Narrow"/>
                <w:sz w:val="20"/>
                <w:highlight w:val="black"/>
                <w:vertAlign w:val="superscript"/>
              </w:rPr>
            </w:pPr>
            <w:r>
              <w:rPr>
                <w:rFonts w:ascii="Arial Narrow" w:hAnsi="Arial Narrow"/>
                <w:noProof/>
                <w:color w:val="000000"/>
                <w:sz w:val="20"/>
                <w:highlight w:val="black"/>
              </w:rPr>
              <w:t>'''''''''''''''</w:t>
            </w:r>
          </w:p>
        </w:tc>
        <w:tc>
          <w:tcPr>
            <w:tcW w:w="992"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709"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992" w:type="dxa"/>
            <w:noWrap/>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1134" w:type="dxa"/>
            <w:noWrap/>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 ''''''''''''' '''''''''''</w:t>
            </w:r>
          </w:p>
        </w:tc>
      </w:tr>
      <w:tr w:rsidR="007E3C93" w:rsidRPr="00D0223A" w:rsidTr="00D54BFC">
        <w:trPr>
          <w:cantSplit/>
          <w:trHeight w:val="175"/>
        </w:trPr>
        <w:tc>
          <w:tcPr>
            <w:tcW w:w="785" w:type="dxa"/>
            <w:vMerge/>
          </w:tcPr>
          <w:p w:rsidR="007E3C93" w:rsidRPr="00D0223A" w:rsidRDefault="007E3C93" w:rsidP="008F34F1">
            <w:pPr>
              <w:pStyle w:val="TableTextcentred"/>
              <w:jc w:val="left"/>
              <w:rPr>
                <w:rFonts w:ascii="Arial Narrow" w:hAnsi="Arial Narrow"/>
                <w:b/>
                <w:color w:val="0070C0"/>
                <w:sz w:val="20"/>
              </w:rPr>
            </w:pPr>
          </w:p>
        </w:tc>
        <w:tc>
          <w:tcPr>
            <w:tcW w:w="774" w:type="dxa"/>
            <w:noWrap/>
          </w:tcPr>
          <w:p w:rsidR="007E3C93" w:rsidRPr="00D0223A" w:rsidRDefault="007E3C93" w:rsidP="008F34F1">
            <w:pPr>
              <w:pStyle w:val="TableTextcentred"/>
              <w:jc w:val="left"/>
              <w:rPr>
                <w:rFonts w:ascii="Arial Narrow" w:hAnsi="Arial Narrow"/>
                <w:b/>
                <w:sz w:val="20"/>
              </w:rPr>
            </w:pPr>
            <w:r w:rsidRPr="00D0223A">
              <w:rPr>
                <w:rFonts w:ascii="Arial Narrow" w:hAnsi="Arial Narrow"/>
                <w:b/>
                <w:sz w:val="20"/>
              </w:rPr>
              <w:t>70-79</w:t>
            </w:r>
          </w:p>
        </w:tc>
        <w:tc>
          <w:tcPr>
            <w:tcW w:w="993"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gridSpan w:val="2"/>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709" w:type="dxa"/>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992"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1134"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 xml:space="preserve">''''''''''''' </w:t>
            </w:r>
            <w:r>
              <w:rPr>
                <w:rFonts w:ascii="Arial Narrow" w:hAnsi="Arial Narrow"/>
                <w:b/>
                <w:noProof/>
                <w:color w:val="000000"/>
                <w:sz w:val="20"/>
                <w:highlight w:val="black"/>
              </w:rPr>
              <w:br/>
              <w:t>''''' ''''''''''</w:t>
            </w:r>
          </w:p>
        </w:tc>
      </w:tr>
      <w:tr w:rsidR="007E3C93" w:rsidRPr="00D0223A" w:rsidTr="00D54BFC">
        <w:trPr>
          <w:cantSplit/>
          <w:trHeight w:val="175"/>
        </w:trPr>
        <w:tc>
          <w:tcPr>
            <w:tcW w:w="8363" w:type="dxa"/>
            <w:gridSpan w:val="10"/>
            <w:shd w:val="clear" w:color="auto" w:fill="D9D9D9" w:themeFill="background1" w:themeFillShade="D9"/>
          </w:tcPr>
          <w:p w:rsidR="007E3C93" w:rsidRPr="00D0223A" w:rsidRDefault="007E3C93" w:rsidP="008F34F1">
            <w:pPr>
              <w:pStyle w:val="TableTextcentred"/>
              <w:keepNext/>
              <w:keepLines/>
              <w:jc w:val="left"/>
              <w:rPr>
                <w:rFonts w:ascii="Arial Narrow" w:hAnsi="Arial Narrow" w:cstheme="minorHAnsi"/>
                <w:sz w:val="20"/>
              </w:rPr>
            </w:pPr>
            <w:r w:rsidRPr="00D0223A">
              <w:rPr>
                <w:rFonts w:ascii="Arial Narrow" w:hAnsi="Arial Narrow" w:cstheme="minorHAnsi"/>
                <w:sz w:val="20"/>
              </w:rPr>
              <w:t>LTPS</w:t>
            </w:r>
          </w:p>
        </w:tc>
      </w:tr>
      <w:tr w:rsidR="007E3C93" w:rsidRPr="00D0223A" w:rsidTr="00D54BFC">
        <w:trPr>
          <w:cantSplit/>
          <w:trHeight w:val="175"/>
        </w:trPr>
        <w:tc>
          <w:tcPr>
            <w:tcW w:w="785" w:type="dxa"/>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Full</w:t>
            </w:r>
          </w:p>
        </w:tc>
        <w:tc>
          <w:tcPr>
            <w:tcW w:w="774" w:type="dxa"/>
            <w:noWrap/>
          </w:tcPr>
          <w:p w:rsidR="007E3C93" w:rsidRPr="00D0223A" w:rsidRDefault="007E3C93" w:rsidP="008F34F1">
            <w:pPr>
              <w:pStyle w:val="TableTextcentred"/>
              <w:jc w:val="left"/>
              <w:rPr>
                <w:rFonts w:ascii="Arial Narrow" w:hAnsi="Arial Narrow"/>
                <w:iCs/>
                <w:sz w:val="20"/>
              </w:rPr>
            </w:pPr>
            <w:r w:rsidRPr="00D0223A">
              <w:rPr>
                <w:rFonts w:ascii="Arial Narrow" w:hAnsi="Arial Narrow"/>
                <w:sz w:val="20"/>
              </w:rPr>
              <w:t>60+</w:t>
            </w:r>
          </w:p>
        </w:tc>
        <w:tc>
          <w:tcPr>
            <w:tcW w:w="993" w:type="dxa"/>
          </w:tcPr>
          <w:p w:rsidR="007E3C93" w:rsidRPr="00D0223A" w:rsidRDefault="007E3C93" w:rsidP="008F34F1">
            <w:pPr>
              <w:pStyle w:val="TableTextcentred"/>
              <w:rPr>
                <w:rFonts w:ascii="Arial Narrow" w:hAnsi="Arial Narrow"/>
                <w:sz w:val="20"/>
              </w:rPr>
            </w:pPr>
            <w:r w:rsidRPr="00D0223A">
              <w:rPr>
                <w:rFonts w:ascii="Arial Narrow" w:hAnsi="Arial Narrow"/>
                <w:sz w:val="20"/>
              </w:rPr>
              <w:t>6,867</w:t>
            </w:r>
          </w:p>
        </w:tc>
        <w:tc>
          <w:tcPr>
            <w:tcW w:w="1152" w:type="dxa"/>
            <w:gridSpan w:val="2"/>
          </w:tcPr>
          <w:p w:rsidR="007E3C93" w:rsidRPr="00D0223A" w:rsidRDefault="007E3C93" w:rsidP="008F34F1">
            <w:pPr>
              <w:pStyle w:val="TableTextcentred"/>
              <w:keepNext/>
              <w:keepLines/>
              <w:rPr>
                <w:rFonts w:ascii="Arial Narrow" w:hAnsi="Arial Narrow"/>
                <w:sz w:val="20"/>
              </w:rPr>
            </w:pPr>
            <w:r w:rsidRPr="00D0223A">
              <w:rPr>
                <w:rFonts w:ascii="Arial Narrow" w:hAnsi="Arial Narrow"/>
                <w:sz w:val="20"/>
              </w:rPr>
              <w:t>261</w:t>
            </w:r>
          </w:p>
        </w:tc>
        <w:tc>
          <w:tcPr>
            <w:tcW w:w="832" w:type="dxa"/>
            <w:noWrap/>
          </w:tcPr>
          <w:p w:rsidR="007E3C93" w:rsidRPr="00D0223A" w:rsidRDefault="007E3C93" w:rsidP="008F34F1">
            <w:pPr>
              <w:pStyle w:val="TableTextcentred"/>
              <w:rPr>
                <w:rFonts w:ascii="Arial Narrow" w:hAnsi="Arial Narrow"/>
                <w:sz w:val="20"/>
                <w:vertAlign w:val="superscript"/>
              </w:rPr>
            </w:pPr>
            <w:r w:rsidRPr="00D0223A">
              <w:rPr>
                <w:rFonts w:ascii="Arial Narrow" w:hAnsi="Arial Narrow"/>
                <w:sz w:val="20"/>
              </w:rPr>
              <w:t>10.337</w:t>
            </w:r>
          </w:p>
        </w:tc>
        <w:tc>
          <w:tcPr>
            <w:tcW w:w="1701" w:type="dxa"/>
            <w:gridSpan w:val="2"/>
            <w:vMerge w:val="restart"/>
          </w:tcPr>
          <w:p w:rsidR="007E3C93" w:rsidRPr="00D0223A" w:rsidRDefault="007E3C93" w:rsidP="008F34F1">
            <w:pPr>
              <w:pStyle w:val="TableTextcentred"/>
              <w:rPr>
                <w:rFonts w:ascii="Arial Narrow" w:hAnsi="Arial Narrow"/>
                <w:sz w:val="20"/>
              </w:rPr>
            </w:pPr>
            <w:r w:rsidRPr="00D0223A">
              <w:rPr>
                <w:rFonts w:ascii="Arial Narrow" w:hAnsi="Arial Narrow"/>
                <w:sz w:val="20"/>
              </w:rPr>
              <w:t xml:space="preserve">Method III </w:t>
            </w:r>
          </w:p>
        </w:tc>
        <w:tc>
          <w:tcPr>
            <w:tcW w:w="992" w:type="dxa"/>
            <w:noWrap/>
          </w:tcPr>
          <w:p w:rsidR="007E3C93" w:rsidRPr="00D0223A" w:rsidRDefault="007E3C93" w:rsidP="008F34F1">
            <w:pPr>
              <w:pStyle w:val="TableTextcentred"/>
              <w:keepNext/>
              <w:keepLines/>
              <w:rPr>
                <w:rFonts w:ascii="Arial Narrow" w:hAnsi="Arial Narrow"/>
                <w:sz w:val="20"/>
              </w:rPr>
            </w:pPr>
            <w:r w:rsidRPr="00D0223A">
              <w:rPr>
                <w:rFonts w:ascii="Arial Narrow" w:hAnsi="Arial Narrow"/>
                <w:sz w:val="20"/>
              </w:rPr>
              <w:t>14.126</w:t>
            </w:r>
          </w:p>
        </w:tc>
        <w:tc>
          <w:tcPr>
            <w:tcW w:w="1134" w:type="dxa"/>
            <w:noWrap/>
          </w:tcPr>
          <w:p w:rsidR="007E3C93" w:rsidRPr="00D0223A" w:rsidRDefault="007E3C93" w:rsidP="008F34F1">
            <w:pPr>
              <w:pStyle w:val="TableTextcentred"/>
              <w:keepNext/>
              <w:keepLines/>
              <w:rPr>
                <w:rFonts w:ascii="Arial Narrow" w:hAnsi="Arial Narrow"/>
                <w:sz w:val="20"/>
              </w:rPr>
            </w:pPr>
            <w:r w:rsidRPr="00D0223A">
              <w:rPr>
                <w:rFonts w:ascii="Arial Narrow" w:hAnsi="Arial Narrow"/>
                <w:sz w:val="20"/>
              </w:rPr>
              <w:t>26.8%</w:t>
            </w:r>
            <w:r w:rsidRPr="00D0223A">
              <w:rPr>
                <w:rFonts w:ascii="Arial Narrow" w:hAnsi="Arial Narrow"/>
                <w:sz w:val="20"/>
              </w:rPr>
              <w:br/>
              <w:t xml:space="preserve"> (17.4, 35.4)</w:t>
            </w:r>
          </w:p>
        </w:tc>
      </w:tr>
      <w:tr w:rsidR="007E3C93" w:rsidRPr="00D0223A" w:rsidTr="00D54BFC">
        <w:trPr>
          <w:cantSplit/>
          <w:trHeight w:val="175"/>
        </w:trPr>
        <w:tc>
          <w:tcPr>
            <w:tcW w:w="785" w:type="dxa"/>
            <w:vMerge w:val="restart"/>
          </w:tcPr>
          <w:p w:rsidR="007E3C93" w:rsidRPr="00D0223A" w:rsidRDefault="007E3C93" w:rsidP="008F34F1">
            <w:pPr>
              <w:pStyle w:val="TableTextcentred"/>
              <w:jc w:val="left"/>
              <w:rPr>
                <w:rFonts w:ascii="Arial Narrow" w:hAnsi="Arial Narrow"/>
                <w:sz w:val="20"/>
              </w:rPr>
            </w:pPr>
            <w:r w:rsidRPr="00D0223A">
              <w:rPr>
                <w:rFonts w:ascii="Arial Narrow" w:hAnsi="Arial Narrow"/>
                <w:sz w:val="20"/>
              </w:rPr>
              <w:t>Pre-spec’d</w:t>
            </w:r>
          </w:p>
        </w:tc>
        <w:tc>
          <w:tcPr>
            <w:tcW w:w="774" w:type="dxa"/>
            <w:noWrap/>
          </w:tcPr>
          <w:p w:rsidR="007E3C93" w:rsidRPr="00D0223A" w:rsidRDefault="007E3C93" w:rsidP="008F34F1">
            <w:pPr>
              <w:pStyle w:val="TableTextcentred"/>
              <w:jc w:val="left"/>
              <w:rPr>
                <w:rFonts w:ascii="Arial Narrow" w:hAnsi="Arial Narrow"/>
                <w:sz w:val="20"/>
              </w:rPr>
            </w:pPr>
            <w:r w:rsidRPr="00D0223A">
              <w:rPr>
                <w:rFonts w:ascii="Arial Narrow" w:hAnsi="Arial Narrow"/>
                <w:iCs/>
                <w:sz w:val="20"/>
              </w:rPr>
              <w:t>60</w:t>
            </w:r>
            <w:r w:rsidRPr="00D0223A">
              <w:rPr>
                <w:rFonts w:ascii="Arial Narrow" w:hAnsi="Arial Narrow"/>
                <w:sz w:val="20"/>
              </w:rPr>
              <w:t>-</w:t>
            </w:r>
            <w:r w:rsidRPr="00D0223A">
              <w:rPr>
                <w:rFonts w:ascii="Arial Narrow" w:hAnsi="Arial Narrow"/>
                <w:iCs/>
                <w:sz w:val="20"/>
              </w:rPr>
              <w:t xml:space="preserve">69 </w:t>
            </w:r>
          </w:p>
        </w:tc>
        <w:tc>
          <w:tcPr>
            <w:tcW w:w="993"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1152" w:type="dxa"/>
            <w:gridSpan w:val="2"/>
          </w:tcPr>
          <w:p w:rsidR="007E3C93" w:rsidRPr="00FE405A" w:rsidRDefault="00FE405A" w:rsidP="008F34F1">
            <w:pPr>
              <w:pStyle w:val="TableTextcentred"/>
              <w:keepNext/>
              <w:keepLines/>
              <w:rPr>
                <w:rFonts w:ascii="Arial Narrow" w:hAnsi="Arial Narrow"/>
                <w:sz w:val="20"/>
                <w:highlight w:val="black"/>
              </w:rPr>
            </w:pPr>
            <w:r>
              <w:rPr>
                <w:rFonts w:ascii="Arial Narrow" w:hAnsi="Arial Narrow"/>
                <w:noProof/>
                <w:color w:val="000000"/>
                <w:sz w:val="20"/>
                <w:highlight w:val="black"/>
              </w:rPr>
              <w:t>''''''''''</w:t>
            </w:r>
          </w:p>
        </w:tc>
        <w:tc>
          <w:tcPr>
            <w:tcW w:w="832" w:type="dxa"/>
            <w:noWrap/>
          </w:tcPr>
          <w:p w:rsidR="007E3C93" w:rsidRPr="00FE405A" w:rsidRDefault="00FE405A" w:rsidP="008F34F1">
            <w:pPr>
              <w:pStyle w:val="TableTextcentred"/>
              <w:keepNext/>
              <w:keepLines/>
              <w:rPr>
                <w:rFonts w:ascii="Arial Narrow" w:hAnsi="Arial Narrow"/>
                <w:sz w:val="20"/>
                <w:highlight w:val="black"/>
                <w:vertAlign w:val="superscript"/>
              </w:rPr>
            </w:pPr>
            <w:r>
              <w:rPr>
                <w:rFonts w:ascii="Arial Narrow" w:hAnsi="Arial Narrow"/>
                <w:noProof/>
                <w:color w:val="000000"/>
                <w:sz w:val="20"/>
                <w:highlight w:val="black"/>
              </w:rPr>
              <w:t>''''''''''''''''</w:t>
            </w:r>
          </w:p>
        </w:tc>
        <w:tc>
          <w:tcPr>
            <w:tcW w:w="1701" w:type="dxa"/>
            <w:gridSpan w:val="2"/>
            <w:vMerge/>
          </w:tcPr>
          <w:p w:rsidR="007E3C93" w:rsidRPr="00D0223A" w:rsidRDefault="007E3C93" w:rsidP="008F34F1">
            <w:pPr>
              <w:pStyle w:val="TableTextcentred"/>
              <w:rPr>
                <w:rFonts w:ascii="Arial Narrow" w:hAnsi="Arial Narrow"/>
                <w:color w:val="0070C0"/>
                <w:sz w:val="20"/>
              </w:rPr>
            </w:pPr>
          </w:p>
        </w:tc>
        <w:tc>
          <w:tcPr>
            <w:tcW w:w="992"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1134"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 xml:space="preserve">''''''''''' </w:t>
            </w:r>
            <w:r>
              <w:rPr>
                <w:rFonts w:ascii="Arial Narrow" w:hAnsi="Arial Narrow"/>
                <w:b/>
                <w:noProof/>
                <w:color w:val="000000"/>
                <w:sz w:val="20"/>
                <w:highlight w:val="black"/>
              </w:rPr>
              <w:br/>
              <w:t>''''''''''' '''''''''''</w:t>
            </w:r>
          </w:p>
        </w:tc>
      </w:tr>
      <w:tr w:rsidR="007E3C93" w:rsidRPr="00D0223A" w:rsidTr="00D54BFC">
        <w:trPr>
          <w:cantSplit/>
          <w:trHeight w:val="175"/>
        </w:trPr>
        <w:tc>
          <w:tcPr>
            <w:tcW w:w="785" w:type="dxa"/>
            <w:vMerge/>
          </w:tcPr>
          <w:p w:rsidR="007E3C93" w:rsidRPr="00D0223A" w:rsidRDefault="007E3C93" w:rsidP="008F34F1">
            <w:pPr>
              <w:pStyle w:val="TableTextcentred"/>
              <w:jc w:val="left"/>
              <w:rPr>
                <w:rFonts w:ascii="Arial Narrow" w:hAnsi="Arial Narrow"/>
                <w:iCs/>
                <w:sz w:val="20"/>
              </w:rPr>
            </w:pPr>
          </w:p>
        </w:tc>
        <w:tc>
          <w:tcPr>
            <w:tcW w:w="774" w:type="dxa"/>
            <w:noWrap/>
          </w:tcPr>
          <w:p w:rsidR="007E3C93" w:rsidRPr="00D0223A" w:rsidRDefault="007E3C93" w:rsidP="008F34F1">
            <w:pPr>
              <w:pStyle w:val="TableTextcentred"/>
              <w:jc w:val="left"/>
              <w:rPr>
                <w:rFonts w:ascii="Arial Narrow" w:hAnsi="Arial Narrow"/>
                <w:iCs/>
                <w:sz w:val="20"/>
              </w:rPr>
            </w:pPr>
            <w:r w:rsidRPr="00D0223A">
              <w:rPr>
                <w:rFonts w:ascii="Arial Narrow" w:hAnsi="Arial Narrow"/>
                <w:iCs/>
                <w:sz w:val="20"/>
              </w:rPr>
              <w:t>70+</w:t>
            </w:r>
          </w:p>
        </w:tc>
        <w:tc>
          <w:tcPr>
            <w:tcW w:w="993" w:type="dxa"/>
          </w:tcPr>
          <w:p w:rsidR="007E3C93" w:rsidRPr="00FE405A" w:rsidRDefault="00FE405A" w:rsidP="008F34F1">
            <w:pPr>
              <w:pStyle w:val="TableTextcentred"/>
              <w:rPr>
                <w:rFonts w:ascii="Arial Narrow" w:hAnsi="Arial Narrow"/>
                <w:sz w:val="20"/>
                <w:highlight w:val="black"/>
              </w:rPr>
            </w:pPr>
            <w:r>
              <w:rPr>
                <w:rFonts w:ascii="Arial Narrow" w:hAnsi="Arial Narrow"/>
                <w:noProof/>
                <w:color w:val="000000"/>
                <w:sz w:val="20"/>
                <w:highlight w:val="black"/>
              </w:rPr>
              <w:t>''''''''''''''</w:t>
            </w:r>
          </w:p>
        </w:tc>
        <w:tc>
          <w:tcPr>
            <w:tcW w:w="1152" w:type="dxa"/>
            <w:gridSpan w:val="2"/>
          </w:tcPr>
          <w:p w:rsidR="007E3C93" w:rsidRPr="00FE405A" w:rsidRDefault="00FE405A" w:rsidP="008F34F1">
            <w:pPr>
              <w:pStyle w:val="TableTextcentred"/>
              <w:keepNext/>
              <w:keepLines/>
              <w:rPr>
                <w:rFonts w:ascii="Arial Narrow" w:hAnsi="Arial Narrow"/>
                <w:sz w:val="20"/>
                <w:highlight w:val="black"/>
              </w:rPr>
            </w:pPr>
            <w:r>
              <w:rPr>
                <w:rFonts w:ascii="Arial Narrow" w:hAnsi="Arial Narrow"/>
                <w:noProof/>
                <w:color w:val="000000"/>
                <w:sz w:val="20"/>
                <w:highlight w:val="black"/>
              </w:rPr>
              <w:t>''''''''''</w:t>
            </w:r>
          </w:p>
        </w:tc>
        <w:tc>
          <w:tcPr>
            <w:tcW w:w="832" w:type="dxa"/>
            <w:noWrap/>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1701" w:type="dxa"/>
            <w:gridSpan w:val="2"/>
            <w:vMerge/>
          </w:tcPr>
          <w:p w:rsidR="007E3C93" w:rsidRPr="00D0223A" w:rsidRDefault="007E3C93" w:rsidP="008F34F1">
            <w:pPr>
              <w:pStyle w:val="TableTextcentred"/>
              <w:rPr>
                <w:rFonts w:ascii="Arial Narrow" w:hAnsi="Arial Narrow"/>
                <w:color w:val="0070C0"/>
                <w:sz w:val="20"/>
              </w:rPr>
            </w:pPr>
          </w:p>
        </w:tc>
        <w:tc>
          <w:tcPr>
            <w:tcW w:w="992"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w:t>
            </w:r>
          </w:p>
        </w:tc>
        <w:tc>
          <w:tcPr>
            <w:tcW w:w="1134" w:type="dxa"/>
            <w:noWrap/>
          </w:tcPr>
          <w:p w:rsidR="007E3C93" w:rsidRPr="00FE405A" w:rsidRDefault="00FE405A" w:rsidP="008F34F1">
            <w:pPr>
              <w:pStyle w:val="TableTextcentred"/>
              <w:rPr>
                <w:rFonts w:ascii="Arial Narrow" w:hAnsi="Arial Narrow"/>
                <w:b/>
                <w:sz w:val="20"/>
                <w:highlight w:val="black"/>
              </w:rPr>
            </w:pPr>
            <w:r>
              <w:rPr>
                <w:rFonts w:ascii="Arial Narrow" w:hAnsi="Arial Narrow"/>
                <w:b/>
                <w:noProof/>
                <w:color w:val="000000"/>
                <w:sz w:val="20"/>
                <w:highlight w:val="black"/>
              </w:rPr>
              <w:t xml:space="preserve">''''''''''''' </w:t>
            </w:r>
            <w:r>
              <w:rPr>
                <w:rFonts w:ascii="Arial Narrow" w:hAnsi="Arial Narrow"/>
                <w:b/>
                <w:noProof/>
                <w:color w:val="000000"/>
                <w:sz w:val="20"/>
                <w:highlight w:val="black"/>
              </w:rPr>
              <w:br/>
              <w:t>'''''''''''' ''''''''''</w:t>
            </w:r>
          </w:p>
        </w:tc>
      </w:tr>
    </w:tbl>
    <w:p w:rsidR="007E3C93" w:rsidRPr="00D0223A" w:rsidRDefault="007E3C93" w:rsidP="005119D7">
      <w:pPr>
        <w:pStyle w:val="TableFooter"/>
        <w:ind w:left="709"/>
        <w:rPr>
          <w:rStyle w:val="CommentReference"/>
          <w:b w:val="0"/>
          <w:sz w:val="18"/>
          <w:szCs w:val="20"/>
        </w:rPr>
      </w:pPr>
      <w:r w:rsidRPr="00D0223A">
        <w:rPr>
          <w:rStyle w:val="CommentReference"/>
          <w:b w:val="0"/>
          <w:sz w:val="18"/>
          <w:szCs w:val="20"/>
        </w:rPr>
        <w:t>The analyses presented for the first time in the re-submission are bolded.</w:t>
      </w:r>
    </w:p>
    <w:p w:rsidR="007E3C93" w:rsidRPr="00D0223A" w:rsidRDefault="007E3C93" w:rsidP="005119D7">
      <w:pPr>
        <w:pStyle w:val="TableFooter"/>
        <w:ind w:left="709"/>
        <w:rPr>
          <w:rStyle w:val="CommentReference"/>
          <w:b w:val="0"/>
          <w:sz w:val="18"/>
          <w:szCs w:val="20"/>
        </w:rPr>
      </w:pPr>
      <w:r w:rsidRPr="00D0223A">
        <w:rPr>
          <w:rStyle w:val="CommentReference"/>
          <w:b w:val="0"/>
          <w:sz w:val="18"/>
          <w:szCs w:val="20"/>
        </w:rPr>
        <w:t>Full = Full trial population, which is actually the MITT population:  all subjects randomised who were followed for at least 30 days post-vaccination and did not develop evaluable zoster within the first 30 days post-vaccination.</w:t>
      </w:r>
    </w:p>
    <w:p w:rsidR="007E3C93" w:rsidRPr="00D0223A" w:rsidRDefault="007E3C93" w:rsidP="005119D7">
      <w:pPr>
        <w:pStyle w:val="TableFooter"/>
        <w:ind w:left="709"/>
        <w:rPr>
          <w:rStyle w:val="CommentReference"/>
          <w:b w:val="0"/>
          <w:sz w:val="18"/>
          <w:szCs w:val="20"/>
        </w:rPr>
      </w:pPr>
      <w:r w:rsidRPr="00D0223A">
        <w:rPr>
          <w:rStyle w:val="CommentReference"/>
          <w:b w:val="0"/>
          <w:sz w:val="18"/>
          <w:szCs w:val="20"/>
        </w:rPr>
        <w:t xml:space="preserve">Pre-spec’d = the pre-specified age group analysis; 10 years = analysis by ten-year age band; 5 years = analysis by five-year age band; Method III = Method used to estimate historical control rates, </w:t>
      </w:r>
      <w:r w:rsidRPr="00D0223A">
        <w:t>where zoster incidence is calculated from SPS+STPS adjusting for age and calendar effect</w:t>
      </w:r>
      <w:r w:rsidRPr="00D0223A">
        <w:rPr>
          <w:rStyle w:val="CommentReference"/>
          <w:b w:val="0"/>
          <w:sz w:val="18"/>
          <w:szCs w:val="20"/>
        </w:rPr>
        <w:t xml:space="preserve">.  This method estimates the vaccine efficacy that is higher than the other two methods and is therefore the least conservative.  Vaccine efficacy for Method I is estimated at 20.2% and 22.4% for 60-69 years and 70+ years age groups and for Method II vaccine efficacy is </w:t>
      </w:r>
      <w:r w:rsidR="00FE405A">
        <w:rPr>
          <w:rStyle w:val="CommentReference"/>
          <w:b w:val="0"/>
          <w:noProof/>
          <w:color w:val="000000"/>
          <w:sz w:val="18"/>
          <w:szCs w:val="20"/>
          <w:highlight w:val="black"/>
        </w:rPr>
        <w:t>'''''''</w:t>
      </w:r>
      <w:r w:rsidRPr="00D0223A">
        <w:rPr>
          <w:rStyle w:val="CommentReference"/>
          <w:b w:val="0"/>
          <w:sz w:val="18"/>
          <w:szCs w:val="20"/>
        </w:rPr>
        <w:t xml:space="preserve">% and </w:t>
      </w:r>
      <w:r w:rsidR="00FE405A">
        <w:rPr>
          <w:rStyle w:val="CommentReference"/>
          <w:b w:val="0"/>
          <w:noProof/>
          <w:color w:val="000000"/>
          <w:sz w:val="18"/>
          <w:szCs w:val="20"/>
          <w:highlight w:val="black"/>
        </w:rPr>
        <w:t>''''''''''</w:t>
      </w:r>
      <w:r w:rsidRPr="00D0223A">
        <w:rPr>
          <w:rStyle w:val="CommentReference"/>
          <w:b w:val="0"/>
          <w:sz w:val="18"/>
          <w:szCs w:val="20"/>
        </w:rPr>
        <w:t xml:space="preserve">% for 60-69 years and 70+ years age groups respectively. </w:t>
      </w:r>
    </w:p>
    <w:p w:rsidR="007E3C93" w:rsidRPr="00D0223A" w:rsidRDefault="007E3C93" w:rsidP="005119D7">
      <w:pPr>
        <w:pStyle w:val="TableFooter"/>
        <w:ind w:left="709"/>
        <w:rPr>
          <w:rStyle w:val="CommentReference"/>
          <w:b w:val="0"/>
          <w:sz w:val="18"/>
          <w:szCs w:val="20"/>
        </w:rPr>
      </w:pPr>
      <w:r w:rsidRPr="00D24692">
        <w:rPr>
          <w:rStyle w:val="CommentReference"/>
          <w:b w:val="0"/>
          <w:sz w:val="18"/>
          <w:szCs w:val="20"/>
          <w:vertAlign w:val="superscript"/>
        </w:rPr>
        <w:t>*</w:t>
      </w:r>
      <w:r w:rsidRPr="00D24692">
        <w:rPr>
          <w:rStyle w:val="CommentReference"/>
          <w:b w:val="0"/>
          <w:sz w:val="18"/>
          <w:szCs w:val="20"/>
        </w:rPr>
        <w:t xml:space="preserve"> The pre-specified subgroup of 70+ years had an estimated vaccine efficacy of </w:t>
      </w:r>
      <w:r w:rsidR="00FE405A">
        <w:rPr>
          <w:rStyle w:val="CommentReference"/>
          <w:b w:val="0"/>
          <w:noProof/>
          <w:color w:val="000000"/>
          <w:sz w:val="18"/>
          <w:szCs w:val="20"/>
          <w:highlight w:val="black"/>
        </w:rPr>
        <w:t>''''''''''</w:t>
      </w:r>
      <w:r w:rsidRPr="00D24692">
        <w:rPr>
          <w:rStyle w:val="CommentReference"/>
          <w:b w:val="0"/>
          <w:sz w:val="18"/>
          <w:szCs w:val="20"/>
        </w:rPr>
        <w:t xml:space="preserve">%, as there were </w:t>
      </w:r>
      <w:r w:rsidR="00FE405A">
        <w:rPr>
          <w:rStyle w:val="CommentReference"/>
          <w:b w:val="0"/>
          <w:noProof/>
          <w:color w:val="000000"/>
          <w:sz w:val="18"/>
          <w:szCs w:val="20"/>
          <w:highlight w:val="black"/>
        </w:rPr>
        <w:t>'''''''''</w:t>
      </w:r>
      <w:r w:rsidRPr="00D24692">
        <w:rPr>
          <w:rStyle w:val="CommentReference"/>
          <w:b w:val="0"/>
          <w:sz w:val="18"/>
          <w:szCs w:val="20"/>
        </w:rPr>
        <w:t xml:space="preserve"> additional cases of zoster in the 80+ years age group in the vaccine arm and only </w:t>
      </w:r>
      <w:r w:rsidR="00FE405A">
        <w:rPr>
          <w:rStyle w:val="CommentReference"/>
          <w:b w:val="0"/>
          <w:noProof/>
          <w:color w:val="000000"/>
          <w:sz w:val="18"/>
          <w:szCs w:val="20"/>
          <w:highlight w:val="black"/>
        </w:rPr>
        <w:t>'''</w:t>
      </w:r>
      <w:r w:rsidRPr="00D24692">
        <w:rPr>
          <w:rStyle w:val="CommentReference"/>
          <w:b w:val="0"/>
          <w:sz w:val="18"/>
          <w:szCs w:val="20"/>
        </w:rPr>
        <w:t xml:space="preserve"> additional case in the ‘no vaccine’ arm.  This may be an indication of variability due to small numbers of zoster cases, a lack of vaccine efficacy in people older than 80 years, or both.</w:t>
      </w:r>
    </w:p>
    <w:p w:rsidR="007E3C93" w:rsidRPr="00D0223A" w:rsidRDefault="007E3C93" w:rsidP="005119D7">
      <w:pPr>
        <w:pStyle w:val="TableFooter"/>
        <w:ind w:left="709"/>
        <w:rPr>
          <w:rStyle w:val="CommentReference"/>
          <w:b w:val="0"/>
          <w:sz w:val="18"/>
          <w:szCs w:val="20"/>
        </w:rPr>
      </w:pPr>
      <w:r w:rsidRPr="00D0223A">
        <w:rPr>
          <w:rStyle w:val="CommentReference"/>
          <w:b w:val="0"/>
          <w:sz w:val="18"/>
          <w:szCs w:val="20"/>
        </w:rPr>
        <w:t xml:space="preserve">Source: </w:t>
      </w:r>
      <w:r w:rsidRPr="00D0223A">
        <w:rPr>
          <w:rStyle w:val="CommentReference"/>
          <w:b w:val="0"/>
          <w:sz w:val="18"/>
          <w:szCs w:val="20"/>
        </w:rPr>
        <w:tab/>
        <w:t>Table B.</w:t>
      </w:r>
      <w:r w:rsidR="00843EFC">
        <w:rPr>
          <w:rStyle w:val="CommentReference"/>
          <w:b w:val="0"/>
          <w:sz w:val="18"/>
          <w:szCs w:val="20"/>
        </w:rPr>
        <w:t>3</w:t>
      </w:r>
      <w:r w:rsidRPr="00D0223A">
        <w:rPr>
          <w:rStyle w:val="CommentReference"/>
          <w:b w:val="0"/>
          <w:sz w:val="18"/>
          <w:szCs w:val="20"/>
        </w:rPr>
        <w:t>.1, Section B July 2014 Resubmission</w:t>
      </w:r>
    </w:p>
    <w:p w:rsidR="007E3C93" w:rsidRPr="00D0223A" w:rsidRDefault="007E3C93" w:rsidP="007E3C93">
      <w:pPr>
        <w:pStyle w:val="PBACheading1"/>
        <w:numPr>
          <w:ilvl w:val="0"/>
          <w:numId w:val="0"/>
        </w:numPr>
        <w:ind w:left="720" w:hanging="720"/>
      </w:pPr>
    </w:p>
    <w:p w:rsidR="007E3C93" w:rsidRPr="00D0223A" w:rsidRDefault="007E3C93" w:rsidP="00C9248D">
      <w:pPr>
        <w:pStyle w:val="ListParagraph"/>
        <w:widowControl/>
        <w:numPr>
          <w:ilvl w:val="1"/>
          <w:numId w:val="1"/>
        </w:numPr>
        <w:rPr>
          <w:szCs w:val="22"/>
        </w:rPr>
      </w:pPr>
      <w:r w:rsidRPr="00D0223A">
        <w:rPr>
          <w:szCs w:val="22"/>
        </w:rPr>
        <w:t xml:space="preserve">The estimates of vaccine efficacy in reducing the incidence of PHN remain unchanged and are summarised in </w:t>
      </w:r>
      <w:r w:rsidR="008051A1" w:rsidRPr="00D0223A">
        <w:rPr>
          <w:szCs w:val="22"/>
        </w:rPr>
        <w:t>the table below</w:t>
      </w:r>
      <w:r w:rsidRPr="00D0223A">
        <w:rPr>
          <w:szCs w:val="22"/>
        </w:rPr>
        <w:t xml:space="preserve">. Analyses presented for the first time in the re-submission are highlighted in bold </w:t>
      </w:r>
      <w:r w:rsidR="00555885">
        <w:rPr>
          <w:szCs w:val="22"/>
        </w:rPr>
        <w:t>font</w:t>
      </w:r>
      <w:r w:rsidRPr="00D0223A">
        <w:rPr>
          <w:szCs w:val="22"/>
        </w:rPr>
        <w:t xml:space="preserve">. The re-submission claims that efficacy of the vaccine in reducing PHN is not age-dependent and that there is similar initial vaccine efficacy across age groups. </w:t>
      </w:r>
      <w:r w:rsidR="002E2A9B" w:rsidRPr="00D0223A">
        <w:rPr>
          <w:szCs w:val="22"/>
        </w:rPr>
        <w:t>T</w:t>
      </w:r>
      <w:r w:rsidRPr="00D0223A">
        <w:rPr>
          <w:szCs w:val="22"/>
        </w:rPr>
        <w:t xml:space="preserve">he interpretation of vaccine efficacy </w:t>
      </w:r>
      <w:r w:rsidRPr="00D0223A">
        <w:rPr>
          <w:szCs w:val="22"/>
        </w:rPr>
        <w:lastRenderedPageBreak/>
        <w:t>results in terms of PHN</w:t>
      </w:r>
      <w:r w:rsidR="002E2A9B" w:rsidRPr="00D0223A">
        <w:rPr>
          <w:szCs w:val="22"/>
        </w:rPr>
        <w:t xml:space="preserve"> needs to take account of the very small number of </w:t>
      </w:r>
      <w:r w:rsidRPr="00D0223A">
        <w:rPr>
          <w:szCs w:val="22"/>
        </w:rPr>
        <w:t xml:space="preserve">PHN cases. As a consequence, in the exploratory subgroup analysis, initial vaccine efficacy in the different age groups is variable and likely unreliable. The re-submission </w:t>
      </w:r>
      <w:r w:rsidR="00602D90" w:rsidRPr="00D0223A">
        <w:rPr>
          <w:szCs w:val="22"/>
        </w:rPr>
        <w:t xml:space="preserve">acknowledged </w:t>
      </w:r>
      <w:r w:rsidRPr="00D0223A">
        <w:rPr>
          <w:szCs w:val="22"/>
        </w:rPr>
        <w:t>that the efficacy of the vaccine</w:t>
      </w:r>
      <w:r w:rsidR="002E2A9B" w:rsidRPr="00D0223A">
        <w:rPr>
          <w:szCs w:val="22"/>
        </w:rPr>
        <w:t xml:space="preserve"> as measured by </w:t>
      </w:r>
      <w:r w:rsidRPr="00D0223A">
        <w:rPr>
          <w:szCs w:val="22"/>
        </w:rPr>
        <w:t>reduc</w:t>
      </w:r>
      <w:r w:rsidR="002E2A9B" w:rsidRPr="00D0223A">
        <w:rPr>
          <w:szCs w:val="22"/>
        </w:rPr>
        <w:t>tion in</w:t>
      </w:r>
      <w:r w:rsidRPr="00D0223A">
        <w:rPr>
          <w:szCs w:val="22"/>
        </w:rPr>
        <w:t xml:space="preserve"> the incidence of PHN wanes over time.</w:t>
      </w:r>
    </w:p>
    <w:p w:rsidR="007E3C93" w:rsidRPr="00D0223A" w:rsidRDefault="007E3C93" w:rsidP="007E3C93">
      <w:pPr>
        <w:rPr>
          <w:szCs w:val="22"/>
        </w:rPr>
      </w:pPr>
    </w:p>
    <w:p w:rsidR="00361DBC" w:rsidRPr="00D0223A" w:rsidRDefault="00361DBC" w:rsidP="00C9248D">
      <w:pPr>
        <w:pStyle w:val="ListParagraph"/>
        <w:numPr>
          <w:ilvl w:val="1"/>
          <w:numId w:val="1"/>
        </w:numPr>
      </w:pPr>
      <w:r w:rsidRPr="00D0223A">
        <w:t xml:space="preserve">The ESC noted that the PBAC at the March 2014 meeting raised concerns about the results from the LTPS as it used the most favourable model to predict the placebo response and therefore the effectiveness is likely to be overestimated. As no new data were presented, the ESC considered that this is </w:t>
      </w:r>
      <w:r w:rsidRPr="00D0223A">
        <w:rPr>
          <w:bCs/>
        </w:rPr>
        <w:t xml:space="preserve">still the case for the estimate of the effectiveness of the LTPS. </w:t>
      </w:r>
    </w:p>
    <w:p w:rsidR="007E3C93" w:rsidRPr="00D0223A" w:rsidRDefault="007E3C93" w:rsidP="00361DBC">
      <w:pPr>
        <w:keepNext/>
        <w:ind w:firstLine="720"/>
        <w:rPr>
          <w:rStyle w:val="CommentReference"/>
          <w:lang w:eastAsia="en-AU"/>
        </w:rPr>
      </w:pPr>
      <w:r w:rsidRPr="00D0223A">
        <w:rPr>
          <w:rStyle w:val="CommentReference"/>
          <w:lang w:eastAsia="en-AU"/>
        </w:rPr>
        <w:lastRenderedPageBreak/>
        <w:t>Incidence of PHN in the SPS, STPS and LTPS</w:t>
      </w:r>
    </w:p>
    <w:tbl>
      <w:tblPr>
        <w:tblStyle w:val="TableGrid"/>
        <w:tblW w:w="4491" w:type="pct"/>
        <w:tblInd w:w="864" w:type="dxa"/>
        <w:tblLayout w:type="fixed"/>
        <w:tblLook w:val="0000" w:firstRow="0" w:lastRow="0" w:firstColumn="0" w:lastColumn="0" w:noHBand="0" w:noVBand="0"/>
      </w:tblPr>
      <w:tblGrid>
        <w:gridCol w:w="881"/>
        <w:gridCol w:w="915"/>
        <w:gridCol w:w="79"/>
        <w:gridCol w:w="1036"/>
        <w:gridCol w:w="19"/>
        <w:gridCol w:w="567"/>
        <w:gridCol w:w="58"/>
        <w:gridCol w:w="994"/>
        <w:gridCol w:w="82"/>
        <w:gridCol w:w="799"/>
        <w:gridCol w:w="14"/>
        <w:gridCol w:w="14"/>
        <w:gridCol w:w="617"/>
        <w:gridCol w:w="13"/>
        <w:gridCol w:w="1051"/>
        <w:gridCol w:w="14"/>
        <w:gridCol w:w="1149"/>
      </w:tblGrid>
      <w:tr w:rsidR="007E3C93" w:rsidRPr="00D0223A" w:rsidTr="00763BC1">
        <w:trPr>
          <w:cantSplit/>
          <w:trHeight w:val="20"/>
        </w:trPr>
        <w:tc>
          <w:tcPr>
            <w:tcW w:w="881" w:type="dxa"/>
            <w:vMerge w:val="restart"/>
          </w:tcPr>
          <w:p w:rsidR="007E3C93" w:rsidRPr="00D0223A" w:rsidRDefault="007E3C93" w:rsidP="00361DBC">
            <w:pPr>
              <w:pStyle w:val="TableTitlecentred"/>
              <w:keepNext/>
              <w:rPr>
                <w:rFonts w:ascii="Arial Narrow" w:hAnsi="Arial Narrow"/>
                <w:sz w:val="20"/>
              </w:rPr>
            </w:pPr>
            <w:r w:rsidRPr="00D0223A">
              <w:rPr>
                <w:rFonts w:ascii="Arial Narrow" w:hAnsi="Arial Narrow"/>
                <w:sz w:val="20"/>
              </w:rPr>
              <w:t>Age strata</w:t>
            </w:r>
          </w:p>
        </w:tc>
        <w:tc>
          <w:tcPr>
            <w:tcW w:w="994" w:type="dxa"/>
            <w:gridSpan w:val="2"/>
            <w:vMerge w:val="restart"/>
            <w:noWrap/>
          </w:tcPr>
          <w:p w:rsidR="007E3C93" w:rsidRPr="00D0223A" w:rsidRDefault="007E3C93" w:rsidP="00361DBC">
            <w:pPr>
              <w:pStyle w:val="TableTitlecentred"/>
              <w:keepNext/>
              <w:rPr>
                <w:rFonts w:ascii="Arial Narrow" w:hAnsi="Arial Narrow"/>
                <w:sz w:val="20"/>
              </w:rPr>
            </w:pPr>
            <w:r w:rsidRPr="00D0223A">
              <w:rPr>
                <w:rFonts w:ascii="Arial Narrow" w:hAnsi="Arial Narrow"/>
                <w:sz w:val="20"/>
              </w:rPr>
              <w:t>Age group</w:t>
            </w:r>
          </w:p>
        </w:tc>
        <w:tc>
          <w:tcPr>
            <w:tcW w:w="2674" w:type="dxa"/>
            <w:gridSpan w:val="5"/>
          </w:tcPr>
          <w:p w:rsidR="007E3C93" w:rsidRPr="00D0223A" w:rsidRDefault="007E3C93" w:rsidP="00361DBC">
            <w:pPr>
              <w:pStyle w:val="TableTitlecentred"/>
              <w:keepNext/>
              <w:rPr>
                <w:rFonts w:ascii="Arial Narrow" w:hAnsi="Arial Narrow"/>
                <w:sz w:val="20"/>
              </w:rPr>
            </w:pPr>
            <w:r w:rsidRPr="00D0223A">
              <w:rPr>
                <w:rFonts w:ascii="Arial Narrow" w:hAnsi="Arial Narrow"/>
                <w:sz w:val="20"/>
              </w:rPr>
              <w:t>ZOSTAVAX (N = 19,270)</w:t>
            </w:r>
          </w:p>
        </w:tc>
        <w:tc>
          <w:tcPr>
            <w:tcW w:w="2604" w:type="dxa"/>
            <w:gridSpan w:val="8"/>
          </w:tcPr>
          <w:p w:rsidR="007E3C93" w:rsidRPr="00D0223A" w:rsidRDefault="007E3C93" w:rsidP="00361DBC">
            <w:pPr>
              <w:pStyle w:val="TableTitlecentred"/>
              <w:keepNext/>
              <w:rPr>
                <w:rFonts w:ascii="Arial Narrow" w:hAnsi="Arial Narrow"/>
                <w:sz w:val="20"/>
              </w:rPr>
            </w:pPr>
            <w:r w:rsidRPr="00D0223A">
              <w:rPr>
                <w:rFonts w:ascii="Arial Narrow" w:hAnsi="Arial Narrow"/>
                <w:sz w:val="20"/>
              </w:rPr>
              <w:t>Placebo (N = 19,276)</w:t>
            </w:r>
          </w:p>
        </w:tc>
        <w:tc>
          <w:tcPr>
            <w:tcW w:w="1149" w:type="dxa"/>
            <w:vMerge w:val="restart"/>
          </w:tcPr>
          <w:p w:rsidR="007E3C93" w:rsidRPr="00D0223A" w:rsidRDefault="007E3C93" w:rsidP="00361DBC">
            <w:pPr>
              <w:pStyle w:val="TableTitlecentred"/>
              <w:keepNext/>
              <w:rPr>
                <w:rFonts w:ascii="Arial Narrow" w:hAnsi="Arial Narrow"/>
                <w:sz w:val="20"/>
                <w:vertAlign w:val="superscript"/>
              </w:rPr>
            </w:pPr>
            <w:r w:rsidRPr="00D0223A">
              <w:rPr>
                <w:rFonts w:ascii="Arial Narrow" w:hAnsi="Arial Narrow"/>
                <w:sz w:val="20"/>
              </w:rPr>
              <w:t xml:space="preserve">Vaccine Efficacy % </w:t>
            </w:r>
            <w:r w:rsidRPr="00D0223A">
              <w:rPr>
                <w:rFonts w:ascii="Arial Narrow" w:hAnsi="Arial Narrow"/>
                <w:sz w:val="20"/>
              </w:rPr>
              <w:br/>
              <w:t>(95% CI)</w:t>
            </w:r>
          </w:p>
        </w:tc>
      </w:tr>
      <w:tr w:rsidR="007E3C93" w:rsidRPr="00D0223A" w:rsidTr="00763BC1">
        <w:trPr>
          <w:cantSplit/>
          <w:trHeight w:val="170"/>
        </w:trPr>
        <w:tc>
          <w:tcPr>
            <w:tcW w:w="881" w:type="dxa"/>
            <w:vMerge/>
          </w:tcPr>
          <w:p w:rsidR="007E3C93" w:rsidRPr="00D0223A" w:rsidRDefault="007E3C93" w:rsidP="00361DBC">
            <w:pPr>
              <w:pStyle w:val="TableTitlecentred"/>
              <w:keepNext/>
              <w:rPr>
                <w:rFonts w:ascii="Arial Narrow" w:hAnsi="Arial Narrow"/>
                <w:sz w:val="20"/>
              </w:rPr>
            </w:pPr>
          </w:p>
        </w:tc>
        <w:tc>
          <w:tcPr>
            <w:tcW w:w="994" w:type="dxa"/>
            <w:gridSpan w:val="2"/>
            <w:vMerge/>
            <w:noWrap/>
          </w:tcPr>
          <w:p w:rsidR="007E3C93" w:rsidRPr="00D0223A" w:rsidRDefault="007E3C93" w:rsidP="00361DBC">
            <w:pPr>
              <w:pStyle w:val="TableTitlecentred"/>
              <w:keepNext/>
              <w:rPr>
                <w:rFonts w:ascii="Arial Narrow" w:hAnsi="Arial Narrow"/>
                <w:sz w:val="20"/>
              </w:rPr>
            </w:pPr>
          </w:p>
        </w:tc>
        <w:tc>
          <w:tcPr>
            <w:tcW w:w="1036" w:type="dxa"/>
          </w:tcPr>
          <w:p w:rsidR="007E3C93" w:rsidRPr="00D0223A" w:rsidRDefault="007E3C93" w:rsidP="00361DBC">
            <w:pPr>
              <w:pStyle w:val="TableTitlecentred"/>
              <w:keepNext/>
              <w:rPr>
                <w:rFonts w:ascii="Arial Narrow" w:hAnsi="Arial Narrow"/>
                <w:sz w:val="20"/>
              </w:rPr>
            </w:pPr>
            <w:r w:rsidRPr="00D0223A">
              <w:rPr>
                <w:rFonts w:ascii="Arial Narrow" w:hAnsi="Arial Narrow"/>
                <w:sz w:val="20"/>
              </w:rPr>
              <w:t>Number subjects</w:t>
            </w:r>
          </w:p>
        </w:tc>
        <w:tc>
          <w:tcPr>
            <w:tcW w:w="644" w:type="dxa"/>
            <w:gridSpan w:val="3"/>
          </w:tcPr>
          <w:p w:rsidR="007E3C93" w:rsidRPr="00D0223A" w:rsidRDefault="007E3C93" w:rsidP="00361DBC">
            <w:pPr>
              <w:pStyle w:val="TableTitlecentred"/>
              <w:keepNext/>
              <w:rPr>
                <w:rFonts w:ascii="Arial Narrow" w:hAnsi="Arial Narrow"/>
                <w:sz w:val="20"/>
              </w:rPr>
            </w:pPr>
            <w:r w:rsidRPr="00D0223A">
              <w:rPr>
                <w:rFonts w:ascii="Arial Narrow" w:hAnsi="Arial Narrow"/>
                <w:sz w:val="20"/>
              </w:rPr>
              <w:t>PHN cases</w:t>
            </w:r>
          </w:p>
        </w:tc>
        <w:tc>
          <w:tcPr>
            <w:tcW w:w="994" w:type="dxa"/>
          </w:tcPr>
          <w:p w:rsidR="007E3C93" w:rsidRPr="00D0223A" w:rsidRDefault="007E3C93" w:rsidP="00361DBC">
            <w:pPr>
              <w:pStyle w:val="TableTitlecentred"/>
              <w:keepNext/>
              <w:rPr>
                <w:rFonts w:ascii="Arial Narrow" w:hAnsi="Arial Narrow"/>
                <w:sz w:val="20"/>
                <w:vertAlign w:val="superscript"/>
              </w:rPr>
            </w:pPr>
            <w:r w:rsidRPr="00D0223A">
              <w:rPr>
                <w:rFonts w:ascii="Arial Narrow" w:hAnsi="Arial Narrow"/>
                <w:sz w:val="20"/>
              </w:rPr>
              <w:t>Incidence/</w:t>
            </w:r>
            <w:r w:rsidRPr="00D0223A">
              <w:rPr>
                <w:rFonts w:ascii="Arial Narrow" w:hAnsi="Arial Narrow"/>
                <w:sz w:val="20"/>
              </w:rPr>
              <w:br/>
              <w:t>1,000 person yrs</w:t>
            </w:r>
          </w:p>
        </w:tc>
        <w:tc>
          <w:tcPr>
            <w:tcW w:w="881" w:type="dxa"/>
            <w:gridSpan w:val="2"/>
          </w:tcPr>
          <w:p w:rsidR="007E3C93" w:rsidRPr="00D0223A" w:rsidRDefault="007E3C93" w:rsidP="00361DBC">
            <w:pPr>
              <w:pStyle w:val="TableTitlecentred"/>
              <w:keepNext/>
              <w:rPr>
                <w:rFonts w:ascii="Arial Narrow" w:hAnsi="Arial Narrow"/>
                <w:sz w:val="20"/>
              </w:rPr>
            </w:pPr>
            <w:r w:rsidRPr="00D0223A">
              <w:rPr>
                <w:rFonts w:ascii="Arial Narrow" w:hAnsi="Arial Narrow"/>
                <w:sz w:val="20"/>
              </w:rPr>
              <w:t>Number subjects</w:t>
            </w:r>
          </w:p>
        </w:tc>
        <w:tc>
          <w:tcPr>
            <w:tcW w:w="645" w:type="dxa"/>
            <w:gridSpan w:val="3"/>
          </w:tcPr>
          <w:p w:rsidR="007E3C93" w:rsidRPr="00D0223A" w:rsidRDefault="007E3C93" w:rsidP="00361DBC">
            <w:pPr>
              <w:pStyle w:val="TableTitlecentred"/>
              <w:keepNext/>
              <w:rPr>
                <w:rFonts w:ascii="Arial Narrow" w:hAnsi="Arial Narrow"/>
                <w:sz w:val="20"/>
              </w:rPr>
            </w:pPr>
            <w:r w:rsidRPr="00D0223A">
              <w:rPr>
                <w:rFonts w:ascii="Arial Narrow" w:hAnsi="Arial Narrow"/>
                <w:sz w:val="20"/>
              </w:rPr>
              <w:t>PHN cases</w:t>
            </w:r>
          </w:p>
        </w:tc>
        <w:tc>
          <w:tcPr>
            <w:tcW w:w="1078" w:type="dxa"/>
            <w:gridSpan w:val="3"/>
          </w:tcPr>
          <w:p w:rsidR="007E3C93" w:rsidRPr="00D0223A" w:rsidRDefault="007E3C93" w:rsidP="00361DBC">
            <w:pPr>
              <w:pStyle w:val="TableTitlecentred"/>
              <w:keepNext/>
              <w:rPr>
                <w:rFonts w:ascii="Arial Narrow" w:hAnsi="Arial Narrow"/>
                <w:sz w:val="20"/>
                <w:vertAlign w:val="superscript"/>
              </w:rPr>
            </w:pPr>
            <w:r w:rsidRPr="00D0223A">
              <w:rPr>
                <w:rFonts w:ascii="Arial Narrow" w:hAnsi="Arial Narrow"/>
                <w:sz w:val="20"/>
              </w:rPr>
              <w:t>Incidence/</w:t>
            </w:r>
            <w:r w:rsidRPr="00D0223A">
              <w:rPr>
                <w:rFonts w:ascii="Arial Narrow" w:hAnsi="Arial Narrow"/>
                <w:sz w:val="20"/>
              </w:rPr>
              <w:br/>
              <w:t>1,000 person yrs</w:t>
            </w:r>
          </w:p>
        </w:tc>
        <w:tc>
          <w:tcPr>
            <w:tcW w:w="1149" w:type="dxa"/>
            <w:vMerge/>
          </w:tcPr>
          <w:p w:rsidR="007E3C93" w:rsidRPr="00D0223A" w:rsidRDefault="007E3C93" w:rsidP="00361DBC">
            <w:pPr>
              <w:pStyle w:val="TableTitlecentred"/>
              <w:keepNext/>
              <w:rPr>
                <w:rFonts w:ascii="Arial Narrow" w:hAnsi="Arial Narrow"/>
                <w:sz w:val="20"/>
              </w:rPr>
            </w:pPr>
          </w:p>
        </w:tc>
      </w:tr>
      <w:tr w:rsidR="007E3C93" w:rsidRPr="00D0223A" w:rsidTr="00763BC1">
        <w:trPr>
          <w:cantSplit/>
          <w:trHeight w:val="170"/>
        </w:trPr>
        <w:tc>
          <w:tcPr>
            <w:tcW w:w="8302" w:type="dxa"/>
            <w:gridSpan w:val="17"/>
            <w:shd w:val="clear" w:color="auto" w:fill="D9D9D9" w:themeFill="background1" w:themeFillShade="D9"/>
          </w:tcPr>
          <w:p w:rsidR="007E3C93" w:rsidRPr="00D0223A" w:rsidRDefault="007E3C93" w:rsidP="00361DBC">
            <w:pPr>
              <w:pStyle w:val="TableTextcentred"/>
              <w:keepNext/>
              <w:keepLines/>
              <w:jc w:val="left"/>
              <w:rPr>
                <w:rFonts w:ascii="Arial Narrow" w:hAnsi="Arial Narrow" w:cstheme="minorHAnsi"/>
                <w:sz w:val="20"/>
              </w:rPr>
            </w:pPr>
            <w:r w:rsidRPr="00D0223A">
              <w:rPr>
                <w:rFonts w:ascii="Arial Narrow" w:hAnsi="Arial Narrow" w:cstheme="minorHAnsi"/>
                <w:sz w:val="20"/>
              </w:rPr>
              <w:t>SPS</w:t>
            </w:r>
          </w:p>
        </w:tc>
      </w:tr>
      <w:tr w:rsidR="007E3C93" w:rsidRPr="00D0223A" w:rsidTr="00763BC1">
        <w:trPr>
          <w:cantSplit/>
          <w:trHeight w:val="170"/>
        </w:trPr>
        <w:tc>
          <w:tcPr>
            <w:tcW w:w="881" w:type="dxa"/>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Full</w:t>
            </w:r>
          </w:p>
        </w:tc>
        <w:tc>
          <w:tcPr>
            <w:tcW w:w="915" w:type="dxa"/>
            <w:noWrap/>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60+</w:t>
            </w:r>
          </w:p>
        </w:tc>
        <w:tc>
          <w:tcPr>
            <w:tcW w:w="1134" w:type="dxa"/>
            <w:gridSpan w:val="3"/>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19,254</w:t>
            </w:r>
          </w:p>
        </w:tc>
        <w:tc>
          <w:tcPr>
            <w:tcW w:w="567" w:type="dxa"/>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27</w:t>
            </w:r>
          </w:p>
        </w:tc>
        <w:tc>
          <w:tcPr>
            <w:tcW w:w="1134" w:type="dxa"/>
            <w:gridSpan w:val="3"/>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0.464</w:t>
            </w:r>
          </w:p>
        </w:tc>
        <w:tc>
          <w:tcPr>
            <w:tcW w:w="813" w:type="dxa"/>
            <w:gridSpan w:val="2"/>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19,247</w:t>
            </w:r>
          </w:p>
        </w:tc>
        <w:tc>
          <w:tcPr>
            <w:tcW w:w="644" w:type="dxa"/>
            <w:gridSpan w:val="3"/>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80</w:t>
            </w:r>
          </w:p>
        </w:tc>
        <w:tc>
          <w:tcPr>
            <w:tcW w:w="1051" w:type="dxa"/>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1.384</w:t>
            </w:r>
          </w:p>
        </w:tc>
        <w:tc>
          <w:tcPr>
            <w:tcW w:w="1163" w:type="dxa"/>
            <w:gridSpan w:val="2"/>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 xml:space="preserve">66.5% </w:t>
            </w:r>
          </w:p>
          <w:p w:rsidR="007E3C93" w:rsidRPr="00D0223A" w:rsidRDefault="007E3C93" w:rsidP="00361DBC">
            <w:pPr>
              <w:pStyle w:val="TableTextcentred"/>
              <w:keepNext/>
              <w:rPr>
                <w:rFonts w:ascii="Arial Narrow" w:hAnsi="Arial Narrow"/>
                <w:sz w:val="20"/>
              </w:rPr>
            </w:pPr>
            <w:r w:rsidRPr="00D0223A">
              <w:rPr>
                <w:rFonts w:ascii="Arial Narrow" w:hAnsi="Arial Narrow"/>
                <w:sz w:val="20"/>
              </w:rPr>
              <w:t>(47.5, 79.2)</w:t>
            </w:r>
          </w:p>
        </w:tc>
      </w:tr>
      <w:tr w:rsidR="007E3C93" w:rsidRPr="00D0223A" w:rsidTr="00763BC1">
        <w:trPr>
          <w:cantSplit/>
          <w:trHeight w:val="170"/>
        </w:trPr>
        <w:tc>
          <w:tcPr>
            <w:tcW w:w="881" w:type="dxa"/>
            <w:vMerge w:val="restart"/>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Pre-spec’d</w:t>
            </w:r>
          </w:p>
        </w:tc>
        <w:tc>
          <w:tcPr>
            <w:tcW w:w="915" w:type="dxa"/>
            <w:noWrap/>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60-69</w:t>
            </w:r>
          </w:p>
        </w:tc>
        <w:tc>
          <w:tcPr>
            <w:tcW w:w="1134" w:type="dxa"/>
            <w:gridSpan w:val="3"/>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10,370</w:t>
            </w:r>
          </w:p>
        </w:tc>
        <w:tc>
          <w:tcPr>
            <w:tcW w:w="567" w:type="dxa"/>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8</w:t>
            </w:r>
          </w:p>
        </w:tc>
        <w:tc>
          <w:tcPr>
            <w:tcW w:w="1134" w:type="dxa"/>
            <w:gridSpan w:val="3"/>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0.255</w:t>
            </w:r>
          </w:p>
        </w:tc>
        <w:tc>
          <w:tcPr>
            <w:tcW w:w="813" w:type="dxa"/>
            <w:gridSpan w:val="2"/>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10,356</w:t>
            </w:r>
          </w:p>
        </w:tc>
        <w:tc>
          <w:tcPr>
            <w:tcW w:w="644" w:type="dxa"/>
            <w:gridSpan w:val="3"/>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23</w:t>
            </w:r>
          </w:p>
        </w:tc>
        <w:tc>
          <w:tcPr>
            <w:tcW w:w="1051" w:type="dxa"/>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0.743</w:t>
            </w:r>
          </w:p>
        </w:tc>
        <w:tc>
          <w:tcPr>
            <w:tcW w:w="1163" w:type="dxa"/>
            <w:gridSpan w:val="2"/>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 xml:space="preserve">65.6% </w:t>
            </w:r>
          </w:p>
          <w:p w:rsidR="007E3C93" w:rsidRPr="00D0223A" w:rsidRDefault="007E3C93" w:rsidP="00361DBC">
            <w:pPr>
              <w:pStyle w:val="TableTextcentred"/>
              <w:keepNext/>
              <w:rPr>
                <w:rFonts w:ascii="Arial Narrow" w:hAnsi="Arial Narrow"/>
                <w:sz w:val="20"/>
              </w:rPr>
            </w:pPr>
            <w:r w:rsidRPr="00D0223A">
              <w:rPr>
                <w:rFonts w:ascii="Arial Narrow" w:hAnsi="Arial Narrow"/>
                <w:sz w:val="20"/>
              </w:rPr>
              <w:t>(20.4, 86.7)</w:t>
            </w:r>
          </w:p>
        </w:tc>
      </w:tr>
      <w:tr w:rsidR="007E3C93" w:rsidRPr="00D0223A" w:rsidTr="00763BC1">
        <w:trPr>
          <w:cantSplit/>
          <w:trHeight w:val="170"/>
        </w:trPr>
        <w:tc>
          <w:tcPr>
            <w:tcW w:w="881" w:type="dxa"/>
            <w:vMerge/>
          </w:tcPr>
          <w:p w:rsidR="007E3C93" w:rsidRPr="00D0223A" w:rsidRDefault="007E3C93" w:rsidP="00361DBC">
            <w:pPr>
              <w:pStyle w:val="TableTextcentred"/>
              <w:keepNext/>
              <w:jc w:val="left"/>
              <w:rPr>
                <w:rFonts w:ascii="Arial Narrow" w:hAnsi="Arial Narrow"/>
                <w:sz w:val="20"/>
              </w:rPr>
            </w:pPr>
          </w:p>
        </w:tc>
        <w:tc>
          <w:tcPr>
            <w:tcW w:w="915" w:type="dxa"/>
            <w:noWrap/>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70+</w:t>
            </w:r>
          </w:p>
        </w:tc>
        <w:tc>
          <w:tcPr>
            <w:tcW w:w="1134" w:type="dxa"/>
            <w:gridSpan w:val="3"/>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8,884</w:t>
            </w:r>
          </w:p>
        </w:tc>
        <w:tc>
          <w:tcPr>
            <w:tcW w:w="567" w:type="dxa"/>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19</w:t>
            </w:r>
          </w:p>
        </w:tc>
        <w:tc>
          <w:tcPr>
            <w:tcW w:w="1134" w:type="dxa"/>
            <w:gridSpan w:val="3"/>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0.707</w:t>
            </w:r>
          </w:p>
        </w:tc>
        <w:tc>
          <w:tcPr>
            <w:tcW w:w="813" w:type="dxa"/>
            <w:gridSpan w:val="2"/>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8,891</w:t>
            </w:r>
          </w:p>
        </w:tc>
        <w:tc>
          <w:tcPr>
            <w:tcW w:w="644" w:type="dxa"/>
            <w:gridSpan w:val="3"/>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57</w:t>
            </w:r>
          </w:p>
        </w:tc>
        <w:tc>
          <w:tcPr>
            <w:tcW w:w="1051" w:type="dxa"/>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2.128</w:t>
            </w:r>
          </w:p>
        </w:tc>
        <w:tc>
          <w:tcPr>
            <w:tcW w:w="1163" w:type="dxa"/>
            <w:gridSpan w:val="2"/>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66.8%</w:t>
            </w:r>
          </w:p>
          <w:p w:rsidR="007E3C93" w:rsidRPr="00D0223A" w:rsidRDefault="007E3C93" w:rsidP="00361DBC">
            <w:pPr>
              <w:pStyle w:val="TableTextcentred"/>
              <w:keepNext/>
              <w:rPr>
                <w:rFonts w:ascii="Arial Narrow" w:hAnsi="Arial Narrow"/>
                <w:sz w:val="20"/>
              </w:rPr>
            </w:pPr>
            <w:r w:rsidRPr="00D0223A">
              <w:rPr>
                <w:rFonts w:ascii="Arial Narrow" w:hAnsi="Arial Narrow"/>
                <w:sz w:val="20"/>
              </w:rPr>
              <w:t xml:space="preserve"> (43.3, 81.3)</w:t>
            </w:r>
          </w:p>
        </w:tc>
      </w:tr>
      <w:tr w:rsidR="007E3C93" w:rsidRPr="00D0223A" w:rsidTr="00763BC1">
        <w:trPr>
          <w:cantSplit/>
          <w:trHeight w:val="170"/>
        </w:trPr>
        <w:tc>
          <w:tcPr>
            <w:tcW w:w="881" w:type="dxa"/>
            <w:vMerge w:val="restart"/>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 xml:space="preserve">10 years </w:t>
            </w:r>
          </w:p>
        </w:tc>
        <w:tc>
          <w:tcPr>
            <w:tcW w:w="915" w:type="dxa"/>
            <w:noWrap/>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60-69</w:t>
            </w:r>
          </w:p>
        </w:tc>
        <w:tc>
          <w:tcPr>
            <w:tcW w:w="1134"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813" w:type="dxa"/>
            <w:gridSpan w:val="2"/>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644"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051" w:type="dxa"/>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63" w:type="dxa"/>
            <w:gridSpan w:val="2"/>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 xml:space="preserve">'''''''''''''' </w:t>
            </w:r>
          </w:p>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 '''''''''''''</w:t>
            </w:r>
          </w:p>
        </w:tc>
      </w:tr>
      <w:tr w:rsidR="007E3C93" w:rsidRPr="00D0223A" w:rsidTr="00763BC1">
        <w:trPr>
          <w:cantSplit/>
          <w:trHeight w:val="170"/>
        </w:trPr>
        <w:tc>
          <w:tcPr>
            <w:tcW w:w="881" w:type="dxa"/>
            <w:vMerge/>
          </w:tcPr>
          <w:p w:rsidR="007E3C93" w:rsidRPr="00D0223A" w:rsidRDefault="007E3C93" w:rsidP="00361DBC">
            <w:pPr>
              <w:pStyle w:val="TableTextcentred"/>
              <w:keepNext/>
              <w:jc w:val="left"/>
              <w:rPr>
                <w:rFonts w:ascii="Arial Narrow" w:hAnsi="Arial Narrow"/>
                <w:sz w:val="20"/>
              </w:rPr>
            </w:pPr>
          </w:p>
        </w:tc>
        <w:tc>
          <w:tcPr>
            <w:tcW w:w="915" w:type="dxa"/>
            <w:noWrap/>
          </w:tcPr>
          <w:p w:rsidR="007E3C93" w:rsidRPr="00D0223A" w:rsidRDefault="007E3C93" w:rsidP="00361DBC">
            <w:pPr>
              <w:pStyle w:val="TableTextcentred"/>
              <w:keepNext/>
              <w:jc w:val="left"/>
              <w:rPr>
                <w:rFonts w:ascii="Arial Narrow" w:hAnsi="Arial Narrow"/>
                <w:b/>
                <w:sz w:val="20"/>
              </w:rPr>
            </w:pPr>
            <w:r w:rsidRPr="00D0223A">
              <w:rPr>
                <w:rFonts w:ascii="Arial Narrow" w:hAnsi="Arial Narrow"/>
                <w:b/>
                <w:sz w:val="20"/>
              </w:rPr>
              <w:t>70-79</w:t>
            </w:r>
          </w:p>
        </w:tc>
        <w:tc>
          <w:tcPr>
            <w:tcW w:w="113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813" w:type="dxa"/>
            <w:gridSpan w:val="2"/>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64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051" w:type="dxa"/>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63" w:type="dxa"/>
            <w:gridSpan w:val="2"/>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xml:space="preserve">'''''''''''' </w:t>
            </w:r>
          </w:p>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w:t>
            </w:r>
          </w:p>
        </w:tc>
      </w:tr>
      <w:tr w:rsidR="007E3C93" w:rsidRPr="00D0223A" w:rsidTr="00763BC1">
        <w:trPr>
          <w:cantSplit/>
          <w:trHeight w:val="170"/>
        </w:trPr>
        <w:tc>
          <w:tcPr>
            <w:tcW w:w="881" w:type="dxa"/>
            <w:vMerge/>
          </w:tcPr>
          <w:p w:rsidR="007E3C93" w:rsidRPr="00D0223A" w:rsidRDefault="007E3C93" w:rsidP="00361DBC">
            <w:pPr>
              <w:pStyle w:val="TableTextcentred"/>
              <w:keepNext/>
              <w:jc w:val="left"/>
              <w:rPr>
                <w:rFonts w:ascii="Arial Narrow" w:hAnsi="Arial Narrow"/>
                <w:sz w:val="20"/>
              </w:rPr>
            </w:pPr>
          </w:p>
        </w:tc>
        <w:tc>
          <w:tcPr>
            <w:tcW w:w="915" w:type="dxa"/>
            <w:noWrap/>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80+</w:t>
            </w:r>
          </w:p>
        </w:tc>
        <w:tc>
          <w:tcPr>
            <w:tcW w:w="1134"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813" w:type="dxa"/>
            <w:gridSpan w:val="2"/>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644"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051" w:type="dxa"/>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63" w:type="dxa"/>
            <w:gridSpan w:val="2"/>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 xml:space="preserve">'''''''''''''''' </w:t>
            </w:r>
          </w:p>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 '''''''''''''</w:t>
            </w:r>
          </w:p>
        </w:tc>
      </w:tr>
      <w:tr w:rsidR="007E3C93" w:rsidRPr="00D0223A" w:rsidTr="00763BC1">
        <w:trPr>
          <w:cantSplit/>
          <w:trHeight w:val="170"/>
        </w:trPr>
        <w:tc>
          <w:tcPr>
            <w:tcW w:w="881" w:type="dxa"/>
            <w:vMerge w:val="restart"/>
          </w:tcPr>
          <w:p w:rsidR="007E3C93" w:rsidRPr="00D0223A" w:rsidRDefault="007E3C93" w:rsidP="00361DBC">
            <w:pPr>
              <w:pStyle w:val="TableTextcentred"/>
              <w:keepNext/>
              <w:jc w:val="left"/>
              <w:rPr>
                <w:rFonts w:ascii="Arial Narrow" w:hAnsi="Arial Narrow"/>
                <w:b/>
                <w:sz w:val="20"/>
              </w:rPr>
            </w:pPr>
            <w:r w:rsidRPr="00D0223A">
              <w:rPr>
                <w:rFonts w:ascii="Arial Narrow" w:hAnsi="Arial Narrow"/>
                <w:b/>
                <w:sz w:val="20"/>
              </w:rPr>
              <w:t>5 years</w:t>
            </w:r>
          </w:p>
        </w:tc>
        <w:tc>
          <w:tcPr>
            <w:tcW w:w="915" w:type="dxa"/>
            <w:noWrap/>
          </w:tcPr>
          <w:p w:rsidR="007E3C93" w:rsidRPr="00D0223A" w:rsidRDefault="007E3C93" w:rsidP="00361DBC">
            <w:pPr>
              <w:pStyle w:val="TableTextcentred"/>
              <w:keepNext/>
              <w:jc w:val="left"/>
              <w:rPr>
                <w:rFonts w:ascii="Arial Narrow" w:hAnsi="Arial Narrow"/>
                <w:b/>
                <w:sz w:val="20"/>
              </w:rPr>
            </w:pPr>
            <w:r w:rsidRPr="00D0223A">
              <w:rPr>
                <w:rFonts w:ascii="Arial Narrow" w:hAnsi="Arial Narrow"/>
                <w:b/>
                <w:sz w:val="20"/>
              </w:rPr>
              <w:t>60-64</w:t>
            </w:r>
          </w:p>
        </w:tc>
        <w:tc>
          <w:tcPr>
            <w:tcW w:w="113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813" w:type="dxa"/>
            <w:gridSpan w:val="2"/>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64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051" w:type="dxa"/>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63" w:type="dxa"/>
            <w:gridSpan w:val="2"/>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xml:space="preserve">''''''''''' </w:t>
            </w:r>
          </w:p>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w:t>
            </w:r>
          </w:p>
        </w:tc>
      </w:tr>
      <w:tr w:rsidR="007E3C93" w:rsidRPr="00D0223A" w:rsidTr="00763BC1">
        <w:trPr>
          <w:cantSplit/>
          <w:trHeight w:val="170"/>
        </w:trPr>
        <w:tc>
          <w:tcPr>
            <w:tcW w:w="881" w:type="dxa"/>
            <w:vMerge/>
          </w:tcPr>
          <w:p w:rsidR="007E3C93" w:rsidRPr="00D0223A" w:rsidRDefault="007E3C93" w:rsidP="00361DBC">
            <w:pPr>
              <w:pStyle w:val="TableTextcentred"/>
              <w:keepNext/>
              <w:jc w:val="left"/>
              <w:rPr>
                <w:rFonts w:ascii="Arial Narrow" w:hAnsi="Arial Narrow"/>
                <w:b/>
                <w:sz w:val="20"/>
              </w:rPr>
            </w:pPr>
          </w:p>
        </w:tc>
        <w:tc>
          <w:tcPr>
            <w:tcW w:w="915" w:type="dxa"/>
            <w:noWrap/>
          </w:tcPr>
          <w:p w:rsidR="007E3C93" w:rsidRPr="00D0223A" w:rsidRDefault="007E3C93" w:rsidP="00361DBC">
            <w:pPr>
              <w:pStyle w:val="TableTextcentred"/>
              <w:keepNext/>
              <w:jc w:val="left"/>
              <w:rPr>
                <w:rFonts w:ascii="Arial Narrow" w:hAnsi="Arial Narrow"/>
                <w:b/>
                <w:sz w:val="20"/>
              </w:rPr>
            </w:pPr>
            <w:r w:rsidRPr="00D0223A">
              <w:rPr>
                <w:rFonts w:ascii="Arial Narrow" w:hAnsi="Arial Narrow"/>
                <w:b/>
                <w:sz w:val="20"/>
              </w:rPr>
              <w:t>65-69</w:t>
            </w:r>
          </w:p>
        </w:tc>
        <w:tc>
          <w:tcPr>
            <w:tcW w:w="113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813" w:type="dxa"/>
            <w:gridSpan w:val="2"/>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64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051" w:type="dxa"/>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63" w:type="dxa"/>
            <w:gridSpan w:val="2"/>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xml:space="preserve">''''''''''''' </w:t>
            </w:r>
          </w:p>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w:t>
            </w:r>
          </w:p>
        </w:tc>
      </w:tr>
      <w:tr w:rsidR="007E3C93" w:rsidRPr="00D0223A" w:rsidTr="00763BC1">
        <w:trPr>
          <w:cantSplit/>
          <w:trHeight w:val="170"/>
        </w:trPr>
        <w:tc>
          <w:tcPr>
            <w:tcW w:w="881" w:type="dxa"/>
            <w:vMerge/>
          </w:tcPr>
          <w:p w:rsidR="007E3C93" w:rsidRPr="00D0223A" w:rsidRDefault="007E3C93" w:rsidP="00361DBC">
            <w:pPr>
              <w:pStyle w:val="TableTextcentred"/>
              <w:keepNext/>
              <w:jc w:val="left"/>
              <w:rPr>
                <w:rFonts w:ascii="Arial Narrow" w:hAnsi="Arial Narrow"/>
                <w:b/>
                <w:sz w:val="20"/>
              </w:rPr>
            </w:pPr>
          </w:p>
        </w:tc>
        <w:tc>
          <w:tcPr>
            <w:tcW w:w="915" w:type="dxa"/>
            <w:noWrap/>
          </w:tcPr>
          <w:p w:rsidR="007E3C93" w:rsidRPr="00D0223A" w:rsidRDefault="007E3C93" w:rsidP="00361DBC">
            <w:pPr>
              <w:pStyle w:val="TableTextcentred"/>
              <w:keepNext/>
              <w:jc w:val="left"/>
              <w:rPr>
                <w:rFonts w:ascii="Arial Narrow" w:hAnsi="Arial Narrow"/>
                <w:b/>
                <w:sz w:val="20"/>
              </w:rPr>
            </w:pPr>
            <w:r w:rsidRPr="00D0223A">
              <w:rPr>
                <w:rFonts w:ascii="Arial Narrow" w:hAnsi="Arial Narrow"/>
                <w:b/>
                <w:sz w:val="20"/>
              </w:rPr>
              <w:t>70-74</w:t>
            </w:r>
          </w:p>
        </w:tc>
        <w:tc>
          <w:tcPr>
            <w:tcW w:w="113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813" w:type="dxa"/>
            <w:gridSpan w:val="2"/>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64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051" w:type="dxa"/>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63" w:type="dxa"/>
            <w:gridSpan w:val="2"/>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xml:space="preserve">''''''''''''' </w:t>
            </w:r>
          </w:p>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w:t>
            </w:r>
          </w:p>
        </w:tc>
      </w:tr>
      <w:tr w:rsidR="007E3C93" w:rsidRPr="00D0223A" w:rsidTr="00763BC1">
        <w:trPr>
          <w:cantSplit/>
          <w:trHeight w:val="170"/>
        </w:trPr>
        <w:tc>
          <w:tcPr>
            <w:tcW w:w="881" w:type="dxa"/>
            <w:vMerge/>
          </w:tcPr>
          <w:p w:rsidR="007E3C93" w:rsidRPr="00D0223A" w:rsidRDefault="007E3C93" w:rsidP="00361DBC">
            <w:pPr>
              <w:pStyle w:val="TableTextcentred"/>
              <w:keepNext/>
              <w:jc w:val="left"/>
              <w:rPr>
                <w:rFonts w:ascii="Arial Narrow" w:hAnsi="Arial Narrow"/>
                <w:b/>
                <w:sz w:val="20"/>
              </w:rPr>
            </w:pPr>
          </w:p>
        </w:tc>
        <w:tc>
          <w:tcPr>
            <w:tcW w:w="915" w:type="dxa"/>
            <w:noWrap/>
          </w:tcPr>
          <w:p w:rsidR="007E3C93" w:rsidRPr="00D0223A" w:rsidRDefault="007E3C93" w:rsidP="00361DBC">
            <w:pPr>
              <w:pStyle w:val="TableTextcentred"/>
              <w:keepNext/>
              <w:jc w:val="left"/>
              <w:rPr>
                <w:rFonts w:ascii="Arial Narrow" w:hAnsi="Arial Narrow"/>
                <w:b/>
                <w:sz w:val="20"/>
              </w:rPr>
            </w:pPr>
            <w:r w:rsidRPr="00D0223A">
              <w:rPr>
                <w:rFonts w:ascii="Arial Narrow" w:hAnsi="Arial Narrow"/>
                <w:b/>
                <w:sz w:val="20"/>
              </w:rPr>
              <w:t>75-79</w:t>
            </w:r>
          </w:p>
        </w:tc>
        <w:tc>
          <w:tcPr>
            <w:tcW w:w="113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813" w:type="dxa"/>
            <w:gridSpan w:val="2"/>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64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051" w:type="dxa"/>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63" w:type="dxa"/>
            <w:gridSpan w:val="2"/>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xml:space="preserve">''''''''''''' </w:t>
            </w:r>
          </w:p>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w:t>
            </w:r>
          </w:p>
        </w:tc>
      </w:tr>
      <w:tr w:rsidR="007E3C93" w:rsidRPr="00D0223A" w:rsidTr="00763BC1">
        <w:trPr>
          <w:cantSplit/>
          <w:trHeight w:val="170"/>
        </w:trPr>
        <w:tc>
          <w:tcPr>
            <w:tcW w:w="8302" w:type="dxa"/>
            <w:gridSpan w:val="17"/>
            <w:shd w:val="clear" w:color="auto" w:fill="D9D9D9" w:themeFill="background1" w:themeFillShade="D9"/>
          </w:tcPr>
          <w:p w:rsidR="007E3C93" w:rsidRPr="00D0223A" w:rsidRDefault="007E3C93" w:rsidP="00361DBC">
            <w:pPr>
              <w:pStyle w:val="TableTextcentred"/>
              <w:keepNext/>
              <w:keepLines/>
              <w:jc w:val="left"/>
              <w:rPr>
                <w:rFonts w:ascii="Arial Narrow" w:hAnsi="Arial Narrow"/>
                <w:sz w:val="20"/>
              </w:rPr>
            </w:pPr>
            <w:r w:rsidRPr="00D0223A">
              <w:rPr>
                <w:rFonts w:ascii="Arial Narrow" w:hAnsi="Arial Narrow" w:cstheme="minorHAnsi"/>
                <w:sz w:val="20"/>
              </w:rPr>
              <w:t>STPS</w:t>
            </w:r>
          </w:p>
        </w:tc>
      </w:tr>
      <w:tr w:rsidR="007E3C93" w:rsidRPr="00D0223A" w:rsidTr="00763BC1">
        <w:trPr>
          <w:cantSplit/>
          <w:trHeight w:val="170"/>
        </w:trPr>
        <w:tc>
          <w:tcPr>
            <w:tcW w:w="881" w:type="dxa"/>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Full</w:t>
            </w:r>
          </w:p>
        </w:tc>
        <w:tc>
          <w:tcPr>
            <w:tcW w:w="915" w:type="dxa"/>
            <w:noWrap/>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60+</w:t>
            </w:r>
          </w:p>
        </w:tc>
        <w:tc>
          <w:tcPr>
            <w:tcW w:w="1134" w:type="dxa"/>
            <w:gridSpan w:val="3"/>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7,320</w:t>
            </w:r>
          </w:p>
        </w:tc>
        <w:tc>
          <w:tcPr>
            <w:tcW w:w="567" w:type="dxa"/>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7</w:t>
            </w:r>
          </w:p>
        </w:tc>
        <w:tc>
          <w:tcPr>
            <w:tcW w:w="1134" w:type="dxa"/>
            <w:gridSpan w:val="3"/>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0.704</w:t>
            </w:r>
          </w:p>
        </w:tc>
        <w:tc>
          <w:tcPr>
            <w:tcW w:w="827" w:type="dxa"/>
            <w:gridSpan w:val="3"/>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6,950</w:t>
            </w:r>
          </w:p>
        </w:tc>
        <w:tc>
          <w:tcPr>
            <w:tcW w:w="630" w:type="dxa"/>
            <w:gridSpan w:val="2"/>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12</w:t>
            </w:r>
          </w:p>
        </w:tc>
        <w:tc>
          <w:tcPr>
            <w:tcW w:w="1065" w:type="dxa"/>
            <w:gridSpan w:val="2"/>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1.764</w:t>
            </w:r>
          </w:p>
        </w:tc>
        <w:tc>
          <w:tcPr>
            <w:tcW w:w="1149" w:type="dxa"/>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 xml:space="preserve">60.1% </w:t>
            </w:r>
          </w:p>
          <w:p w:rsidR="007E3C93" w:rsidRPr="00D0223A" w:rsidRDefault="007E3C93" w:rsidP="00361DBC">
            <w:pPr>
              <w:pStyle w:val="TableTextcentred"/>
              <w:keepNext/>
              <w:rPr>
                <w:rFonts w:ascii="Arial Narrow" w:hAnsi="Arial Narrow"/>
                <w:sz w:val="20"/>
              </w:rPr>
            </w:pPr>
            <w:r w:rsidRPr="00D0223A">
              <w:rPr>
                <w:rFonts w:ascii="Arial Narrow" w:hAnsi="Arial Narrow"/>
                <w:sz w:val="20"/>
              </w:rPr>
              <w:t>(-9.8, 86.7)</w:t>
            </w:r>
          </w:p>
        </w:tc>
      </w:tr>
      <w:tr w:rsidR="007E3C93" w:rsidRPr="00D0223A" w:rsidTr="00763BC1">
        <w:trPr>
          <w:cantSplit/>
          <w:trHeight w:val="170"/>
        </w:trPr>
        <w:tc>
          <w:tcPr>
            <w:tcW w:w="881" w:type="dxa"/>
            <w:vMerge w:val="restart"/>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Pre-spec’d</w:t>
            </w:r>
          </w:p>
        </w:tc>
        <w:tc>
          <w:tcPr>
            <w:tcW w:w="915" w:type="dxa"/>
            <w:noWrap/>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 xml:space="preserve">60-69 </w:t>
            </w:r>
          </w:p>
        </w:tc>
        <w:tc>
          <w:tcPr>
            <w:tcW w:w="1134"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827"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630" w:type="dxa"/>
            <w:gridSpan w:val="2"/>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065" w:type="dxa"/>
            <w:gridSpan w:val="2"/>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49" w:type="dxa"/>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 xml:space="preserve">''''''''''''''' </w:t>
            </w:r>
          </w:p>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 '''''''''''''</w:t>
            </w:r>
          </w:p>
        </w:tc>
      </w:tr>
      <w:tr w:rsidR="007E3C93" w:rsidRPr="00D0223A" w:rsidTr="00763BC1">
        <w:trPr>
          <w:cantSplit/>
          <w:trHeight w:val="170"/>
        </w:trPr>
        <w:tc>
          <w:tcPr>
            <w:tcW w:w="881" w:type="dxa"/>
            <w:vMerge/>
          </w:tcPr>
          <w:p w:rsidR="007E3C93" w:rsidRPr="00D0223A" w:rsidRDefault="007E3C93" w:rsidP="00361DBC">
            <w:pPr>
              <w:pStyle w:val="TableTextcentred"/>
              <w:keepNext/>
              <w:jc w:val="left"/>
              <w:rPr>
                <w:rFonts w:ascii="Arial Narrow" w:hAnsi="Arial Narrow"/>
                <w:sz w:val="20"/>
              </w:rPr>
            </w:pPr>
          </w:p>
        </w:tc>
        <w:tc>
          <w:tcPr>
            <w:tcW w:w="915" w:type="dxa"/>
            <w:noWrap/>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70+*</w:t>
            </w:r>
          </w:p>
        </w:tc>
        <w:tc>
          <w:tcPr>
            <w:tcW w:w="1134"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827"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630" w:type="dxa"/>
            <w:gridSpan w:val="2"/>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065" w:type="dxa"/>
            <w:gridSpan w:val="2"/>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49" w:type="dxa"/>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 xml:space="preserve">'''''''''''''''' </w:t>
            </w:r>
          </w:p>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 '''''''''''''</w:t>
            </w:r>
          </w:p>
        </w:tc>
      </w:tr>
      <w:tr w:rsidR="007E3C93" w:rsidRPr="00D0223A" w:rsidTr="00763BC1">
        <w:trPr>
          <w:cantSplit/>
          <w:trHeight w:val="170"/>
        </w:trPr>
        <w:tc>
          <w:tcPr>
            <w:tcW w:w="881" w:type="dxa"/>
            <w:vMerge w:val="restart"/>
          </w:tcPr>
          <w:p w:rsidR="007E3C93" w:rsidRPr="00D0223A" w:rsidRDefault="007E3C93" w:rsidP="00361DBC">
            <w:pPr>
              <w:pStyle w:val="TableTextcentred"/>
              <w:keepNext/>
              <w:jc w:val="left"/>
              <w:rPr>
                <w:rFonts w:ascii="Arial Narrow" w:hAnsi="Arial Narrow"/>
                <w:b/>
                <w:sz w:val="20"/>
              </w:rPr>
            </w:pPr>
            <w:r w:rsidRPr="00D0223A">
              <w:rPr>
                <w:rFonts w:ascii="Arial Narrow" w:hAnsi="Arial Narrow"/>
                <w:b/>
                <w:sz w:val="20"/>
              </w:rPr>
              <w:t>10 years</w:t>
            </w:r>
          </w:p>
        </w:tc>
        <w:tc>
          <w:tcPr>
            <w:tcW w:w="915" w:type="dxa"/>
            <w:noWrap/>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60-69</w:t>
            </w:r>
          </w:p>
        </w:tc>
        <w:tc>
          <w:tcPr>
            <w:tcW w:w="1134"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827"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630" w:type="dxa"/>
            <w:gridSpan w:val="2"/>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065" w:type="dxa"/>
            <w:gridSpan w:val="2"/>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49" w:type="dxa"/>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 xml:space="preserve">'''''''''''''' </w:t>
            </w:r>
          </w:p>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 '''''''''''</w:t>
            </w:r>
          </w:p>
        </w:tc>
      </w:tr>
      <w:tr w:rsidR="007E3C93" w:rsidRPr="00D0223A" w:rsidTr="00763BC1">
        <w:trPr>
          <w:cantSplit/>
          <w:trHeight w:val="170"/>
        </w:trPr>
        <w:tc>
          <w:tcPr>
            <w:tcW w:w="881" w:type="dxa"/>
            <w:vMerge/>
          </w:tcPr>
          <w:p w:rsidR="007E3C93" w:rsidRPr="00D0223A" w:rsidRDefault="007E3C93" w:rsidP="00361DBC">
            <w:pPr>
              <w:pStyle w:val="TableTextcentred"/>
              <w:keepNext/>
              <w:jc w:val="left"/>
              <w:rPr>
                <w:rFonts w:ascii="Arial Narrow" w:hAnsi="Arial Narrow"/>
                <w:b/>
                <w:sz w:val="20"/>
              </w:rPr>
            </w:pPr>
          </w:p>
        </w:tc>
        <w:tc>
          <w:tcPr>
            <w:tcW w:w="915" w:type="dxa"/>
            <w:noWrap/>
          </w:tcPr>
          <w:p w:rsidR="007E3C93" w:rsidRPr="00D0223A" w:rsidRDefault="007E3C93" w:rsidP="00361DBC">
            <w:pPr>
              <w:pStyle w:val="TableTextcentred"/>
              <w:keepNext/>
              <w:jc w:val="left"/>
              <w:rPr>
                <w:rFonts w:ascii="Arial Narrow" w:hAnsi="Arial Narrow"/>
                <w:b/>
                <w:sz w:val="20"/>
              </w:rPr>
            </w:pPr>
            <w:r w:rsidRPr="00D0223A">
              <w:rPr>
                <w:rFonts w:ascii="Arial Narrow" w:hAnsi="Arial Narrow"/>
                <w:b/>
                <w:sz w:val="20"/>
              </w:rPr>
              <w:t>70-79</w:t>
            </w:r>
          </w:p>
        </w:tc>
        <w:tc>
          <w:tcPr>
            <w:tcW w:w="1134"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827" w:type="dxa"/>
            <w:gridSpan w:val="3"/>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630" w:type="dxa"/>
            <w:gridSpan w:val="2"/>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065" w:type="dxa"/>
            <w:gridSpan w:val="2"/>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49" w:type="dxa"/>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w:t>
            </w:r>
          </w:p>
        </w:tc>
      </w:tr>
      <w:tr w:rsidR="007E3C93" w:rsidRPr="00D0223A" w:rsidTr="00763BC1">
        <w:trPr>
          <w:cantSplit/>
          <w:trHeight w:val="170"/>
        </w:trPr>
        <w:tc>
          <w:tcPr>
            <w:tcW w:w="881" w:type="dxa"/>
            <w:shd w:val="clear" w:color="auto" w:fill="D9D9D9" w:themeFill="background1" w:themeFillShade="D9"/>
          </w:tcPr>
          <w:p w:rsidR="007E3C93" w:rsidRPr="00D0223A" w:rsidRDefault="007E3C93" w:rsidP="00361DBC">
            <w:pPr>
              <w:pStyle w:val="TableTextcentred"/>
              <w:keepNext/>
              <w:keepLines/>
              <w:jc w:val="left"/>
              <w:rPr>
                <w:rFonts w:ascii="Arial Narrow" w:hAnsi="Arial Narrow" w:cstheme="minorHAnsi"/>
                <w:sz w:val="20"/>
              </w:rPr>
            </w:pPr>
            <w:r w:rsidRPr="00D0223A">
              <w:rPr>
                <w:rFonts w:ascii="Arial Narrow" w:hAnsi="Arial Narrow" w:cstheme="minorHAnsi"/>
                <w:sz w:val="20"/>
              </w:rPr>
              <w:t>LTPS</w:t>
            </w:r>
          </w:p>
        </w:tc>
        <w:tc>
          <w:tcPr>
            <w:tcW w:w="7421" w:type="dxa"/>
            <w:gridSpan w:val="16"/>
            <w:shd w:val="clear" w:color="auto" w:fill="D9D9D9" w:themeFill="background1" w:themeFillShade="D9"/>
          </w:tcPr>
          <w:p w:rsidR="007E3C93" w:rsidRPr="00D0223A" w:rsidRDefault="007E3C93" w:rsidP="00361DBC">
            <w:pPr>
              <w:pStyle w:val="TableTextcentred"/>
              <w:keepNext/>
              <w:keepLines/>
              <w:jc w:val="left"/>
              <w:rPr>
                <w:rFonts w:ascii="Arial Narrow" w:hAnsi="Arial Narrow"/>
                <w:sz w:val="20"/>
              </w:rPr>
            </w:pPr>
            <w:r w:rsidRPr="00D0223A">
              <w:rPr>
                <w:rFonts w:ascii="Arial Narrow" w:hAnsi="Arial Narrow"/>
                <w:sz w:val="20"/>
              </w:rPr>
              <w:t>LTPS</w:t>
            </w:r>
          </w:p>
        </w:tc>
      </w:tr>
      <w:tr w:rsidR="007E3C93" w:rsidRPr="00D0223A" w:rsidTr="00763BC1">
        <w:trPr>
          <w:cantSplit/>
          <w:trHeight w:val="170"/>
        </w:trPr>
        <w:tc>
          <w:tcPr>
            <w:tcW w:w="881" w:type="dxa"/>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Full</w:t>
            </w:r>
          </w:p>
        </w:tc>
        <w:tc>
          <w:tcPr>
            <w:tcW w:w="915" w:type="dxa"/>
            <w:noWrap/>
          </w:tcPr>
          <w:p w:rsidR="007E3C93" w:rsidRPr="00D0223A" w:rsidRDefault="007E3C93" w:rsidP="00361DBC">
            <w:pPr>
              <w:pStyle w:val="TableTextcentred"/>
              <w:keepNext/>
              <w:jc w:val="left"/>
              <w:rPr>
                <w:rFonts w:ascii="Arial Narrow" w:hAnsi="Arial Narrow"/>
                <w:iCs/>
                <w:sz w:val="20"/>
              </w:rPr>
            </w:pPr>
            <w:r w:rsidRPr="00D0223A">
              <w:rPr>
                <w:rFonts w:ascii="Arial Narrow" w:hAnsi="Arial Narrow"/>
                <w:sz w:val="20"/>
              </w:rPr>
              <w:t>60+</w:t>
            </w:r>
          </w:p>
        </w:tc>
        <w:tc>
          <w:tcPr>
            <w:tcW w:w="1134" w:type="dxa"/>
            <w:gridSpan w:val="3"/>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6,867</w:t>
            </w:r>
          </w:p>
        </w:tc>
        <w:tc>
          <w:tcPr>
            <w:tcW w:w="567" w:type="dxa"/>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32</w:t>
            </w:r>
          </w:p>
        </w:tc>
        <w:tc>
          <w:tcPr>
            <w:tcW w:w="1134" w:type="dxa"/>
            <w:gridSpan w:val="3"/>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1.267</w:t>
            </w:r>
          </w:p>
        </w:tc>
        <w:tc>
          <w:tcPr>
            <w:tcW w:w="1444" w:type="dxa"/>
            <w:gridSpan w:val="4"/>
            <w:vMerge w:val="restart"/>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 xml:space="preserve">Method III </w:t>
            </w:r>
          </w:p>
        </w:tc>
        <w:tc>
          <w:tcPr>
            <w:tcW w:w="1064" w:type="dxa"/>
            <w:gridSpan w:val="2"/>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1.892</w:t>
            </w:r>
          </w:p>
        </w:tc>
        <w:tc>
          <w:tcPr>
            <w:tcW w:w="1163" w:type="dxa"/>
            <w:gridSpan w:val="2"/>
            <w:noWrap/>
          </w:tcPr>
          <w:p w:rsidR="007E3C93" w:rsidRPr="00D0223A" w:rsidRDefault="007E3C93" w:rsidP="00361DBC">
            <w:pPr>
              <w:pStyle w:val="TableTextcentred"/>
              <w:keepNext/>
              <w:rPr>
                <w:rFonts w:ascii="Arial Narrow" w:hAnsi="Arial Narrow"/>
                <w:sz w:val="20"/>
              </w:rPr>
            </w:pPr>
            <w:r w:rsidRPr="00D0223A">
              <w:rPr>
                <w:rFonts w:ascii="Arial Narrow" w:hAnsi="Arial Narrow"/>
                <w:sz w:val="20"/>
              </w:rPr>
              <w:t xml:space="preserve">33.0% </w:t>
            </w:r>
          </w:p>
          <w:p w:rsidR="007E3C93" w:rsidRPr="00D0223A" w:rsidRDefault="007E3C93" w:rsidP="00361DBC">
            <w:pPr>
              <w:pStyle w:val="TableTextcentred"/>
              <w:keepNext/>
              <w:rPr>
                <w:rFonts w:ascii="Arial Narrow" w:hAnsi="Arial Narrow"/>
                <w:sz w:val="20"/>
              </w:rPr>
            </w:pPr>
            <w:r w:rsidRPr="00D0223A">
              <w:rPr>
                <w:rFonts w:ascii="Arial Narrow" w:hAnsi="Arial Narrow"/>
                <w:sz w:val="20"/>
              </w:rPr>
              <w:t>(5.4, 54.2)</w:t>
            </w:r>
          </w:p>
        </w:tc>
      </w:tr>
      <w:tr w:rsidR="007E3C93" w:rsidRPr="00D0223A" w:rsidTr="00763BC1">
        <w:trPr>
          <w:cantSplit/>
          <w:trHeight w:val="170"/>
        </w:trPr>
        <w:tc>
          <w:tcPr>
            <w:tcW w:w="881" w:type="dxa"/>
            <w:vMerge w:val="restart"/>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sz w:val="20"/>
              </w:rPr>
              <w:t>Pre-spec’d</w:t>
            </w:r>
          </w:p>
        </w:tc>
        <w:tc>
          <w:tcPr>
            <w:tcW w:w="915" w:type="dxa"/>
            <w:noWrap/>
          </w:tcPr>
          <w:p w:rsidR="007E3C93" w:rsidRPr="00D0223A" w:rsidRDefault="007E3C93" w:rsidP="00361DBC">
            <w:pPr>
              <w:pStyle w:val="TableTextcentred"/>
              <w:keepNext/>
              <w:jc w:val="left"/>
              <w:rPr>
                <w:rFonts w:ascii="Arial Narrow" w:hAnsi="Arial Narrow"/>
                <w:sz w:val="20"/>
              </w:rPr>
            </w:pPr>
            <w:r w:rsidRPr="00D0223A">
              <w:rPr>
                <w:rFonts w:ascii="Arial Narrow" w:hAnsi="Arial Narrow"/>
                <w:iCs/>
                <w:sz w:val="20"/>
              </w:rPr>
              <w:t>60</w:t>
            </w:r>
            <w:r w:rsidRPr="00D0223A">
              <w:rPr>
                <w:rFonts w:ascii="Arial Narrow" w:hAnsi="Arial Narrow"/>
                <w:sz w:val="20"/>
              </w:rPr>
              <w:t>-</w:t>
            </w:r>
            <w:r w:rsidRPr="00D0223A">
              <w:rPr>
                <w:rFonts w:ascii="Arial Narrow" w:hAnsi="Arial Narrow"/>
                <w:iCs/>
                <w:sz w:val="20"/>
              </w:rPr>
              <w:t xml:space="preserve">69 </w:t>
            </w:r>
          </w:p>
        </w:tc>
        <w:tc>
          <w:tcPr>
            <w:tcW w:w="1134"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444" w:type="dxa"/>
            <w:gridSpan w:val="4"/>
            <w:vMerge/>
          </w:tcPr>
          <w:p w:rsidR="007E3C93" w:rsidRPr="00D0223A" w:rsidRDefault="007E3C93" w:rsidP="00361DBC">
            <w:pPr>
              <w:pStyle w:val="TableTextcentred"/>
              <w:keepNext/>
              <w:rPr>
                <w:rFonts w:ascii="Arial Narrow" w:hAnsi="Arial Narrow"/>
                <w:color w:val="0070C0"/>
                <w:sz w:val="20"/>
              </w:rPr>
            </w:pPr>
          </w:p>
        </w:tc>
        <w:tc>
          <w:tcPr>
            <w:tcW w:w="1064" w:type="dxa"/>
            <w:gridSpan w:val="2"/>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63" w:type="dxa"/>
            <w:gridSpan w:val="2"/>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xml:space="preserve">'''''''''''' </w:t>
            </w:r>
          </w:p>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w:t>
            </w:r>
          </w:p>
        </w:tc>
      </w:tr>
      <w:tr w:rsidR="007E3C93" w:rsidRPr="00D0223A" w:rsidTr="00763BC1">
        <w:trPr>
          <w:cantSplit/>
          <w:trHeight w:val="170"/>
        </w:trPr>
        <w:tc>
          <w:tcPr>
            <w:tcW w:w="881" w:type="dxa"/>
            <w:vMerge/>
          </w:tcPr>
          <w:p w:rsidR="007E3C93" w:rsidRPr="00D0223A" w:rsidRDefault="007E3C93" w:rsidP="00361DBC">
            <w:pPr>
              <w:pStyle w:val="TableTextcentred"/>
              <w:keepNext/>
              <w:jc w:val="left"/>
              <w:rPr>
                <w:rFonts w:ascii="Arial Narrow" w:hAnsi="Arial Narrow"/>
                <w:iCs/>
                <w:sz w:val="20"/>
              </w:rPr>
            </w:pPr>
          </w:p>
        </w:tc>
        <w:tc>
          <w:tcPr>
            <w:tcW w:w="915" w:type="dxa"/>
            <w:noWrap/>
          </w:tcPr>
          <w:p w:rsidR="007E3C93" w:rsidRPr="00D0223A" w:rsidRDefault="007E3C93" w:rsidP="00361DBC">
            <w:pPr>
              <w:pStyle w:val="TableTextcentred"/>
              <w:keepNext/>
              <w:jc w:val="left"/>
              <w:rPr>
                <w:rFonts w:ascii="Arial Narrow" w:hAnsi="Arial Narrow"/>
                <w:iCs/>
                <w:sz w:val="20"/>
              </w:rPr>
            </w:pPr>
            <w:r w:rsidRPr="00D0223A">
              <w:rPr>
                <w:rFonts w:ascii="Arial Narrow" w:hAnsi="Arial Narrow"/>
                <w:iCs/>
                <w:sz w:val="20"/>
              </w:rPr>
              <w:t>70+</w:t>
            </w:r>
          </w:p>
        </w:tc>
        <w:tc>
          <w:tcPr>
            <w:tcW w:w="1134" w:type="dxa"/>
            <w:gridSpan w:val="3"/>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567" w:type="dxa"/>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34" w:type="dxa"/>
            <w:gridSpan w:val="3"/>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444" w:type="dxa"/>
            <w:gridSpan w:val="4"/>
            <w:vMerge/>
          </w:tcPr>
          <w:p w:rsidR="007E3C93" w:rsidRPr="00D0223A" w:rsidRDefault="007E3C93" w:rsidP="00361DBC">
            <w:pPr>
              <w:pStyle w:val="TableTextcentred"/>
              <w:keepNext/>
              <w:rPr>
                <w:rFonts w:ascii="Arial Narrow" w:hAnsi="Arial Narrow"/>
                <w:color w:val="0070C0"/>
                <w:sz w:val="20"/>
              </w:rPr>
            </w:pPr>
          </w:p>
        </w:tc>
        <w:tc>
          <w:tcPr>
            <w:tcW w:w="1064" w:type="dxa"/>
            <w:gridSpan w:val="2"/>
            <w:noWrap/>
          </w:tcPr>
          <w:p w:rsidR="007E3C93" w:rsidRPr="00FE405A" w:rsidRDefault="00FE405A" w:rsidP="00361DBC">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1163" w:type="dxa"/>
            <w:gridSpan w:val="2"/>
            <w:noWrap/>
          </w:tcPr>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xml:space="preserve">'''''''''''' </w:t>
            </w:r>
          </w:p>
          <w:p w:rsidR="007E3C93" w:rsidRPr="00FE405A" w:rsidRDefault="00FE405A" w:rsidP="00361DBC">
            <w:pPr>
              <w:pStyle w:val="TableTextcentred"/>
              <w:keepNext/>
              <w:rPr>
                <w:rFonts w:ascii="Arial Narrow" w:hAnsi="Arial Narrow"/>
                <w:b/>
                <w:sz w:val="20"/>
                <w:highlight w:val="black"/>
              </w:rPr>
            </w:pPr>
            <w:r>
              <w:rPr>
                <w:rFonts w:ascii="Arial Narrow" w:hAnsi="Arial Narrow"/>
                <w:b/>
                <w:noProof/>
                <w:color w:val="000000"/>
                <w:sz w:val="20"/>
                <w:highlight w:val="black"/>
              </w:rPr>
              <w:t>''''''''' '''''''''''</w:t>
            </w:r>
          </w:p>
        </w:tc>
      </w:tr>
    </w:tbl>
    <w:p w:rsidR="007E3C93" w:rsidRPr="00D0223A" w:rsidRDefault="007E3C93" w:rsidP="007E3C93">
      <w:pPr>
        <w:pStyle w:val="TableFooter"/>
        <w:ind w:left="720"/>
      </w:pPr>
      <w:r w:rsidRPr="00D0223A">
        <w:t>Analyses presented for the first time in the re-submission are highlighted in bold text.</w:t>
      </w:r>
    </w:p>
    <w:p w:rsidR="007E3C93" w:rsidRPr="003313B8" w:rsidRDefault="007E3C93" w:rsidP="007E3C93">
      <w:pPr>
        <w:pStyle w:val="TableFooter"/>
        <w:ind w:left="720"/>
      </w:pPr>
      <w:r w:rsidRPr="00D0223A">
        <w:t xml:space="preserve">Full = Full trial population; Pre-spec’d = the pre-specified age group analysis; 10 years = analysis by ten-year age band; 5 years = analysis by five-year age band; Method III = Method used to estimate historical control rates, where PHN incidence is </w:t>
      </w:r>
      <w:r w:rsidRPr="003313B8">
        <w:t>calculated from SPS and STPS adjusting for age.</w:t>
      </w:r>
    </w:p>
    <w:p w:rsidR="007E3C93" w:rsidRPr="00D0223A" w:rsidRDefault="007E3C93" w:rsidP="007E3C93">
      <w:pPr>
        <w:pStyle w:val="TableFooter"/>
        <w:ind w:left="720"/>
      </w:pPr>
      <w:r w:rsidRPr="003313B8">
        <w:t xml:space="preserve">*The pre-specified subgroup of 70+ had an estimated vaccine efficacy of </w:t>
      </w:r>
      <w:r w:rsidR="00FE405A">
        <w:rPr>
          <w:noProof/>
          <w:color w:val="000000"/>
          <w:highlight w:val="black"/>
        </w:rPr>
        <w:t>'''''''''</w:t>
      </w:r>
      <w:r w:rsidRPr="003313B8">
        <w:t xml:space="preserve">%, as there were </w:t>
      </w:r>
      <w:r w:rsidR="00FE405A">
        <w:rPr>
          <w:noProof/>
          <w:color w:val="000000"/>
          <w:highlight w:val="black"/>
        </w:rPr>
        <w:t>'''''''''</w:t>
      </w:r>
      <w:r w:rsidRPr="003313B8">
        <w:t xml:space="preserve"> additional cases of zoster in the 80+ age group in the vaccine arm and </w:t>
      </w:r>
      <w:r w:rsidR="00FE405A">
        <w:rPr>
          <w:noProof/>
          <w:color w:val="000000"/>
          <w:highlight w:val="black"/>
        </w:rPr>
        <w:t>'''''''''''</w:t>
      </w:r>
      <w:r w:rsidRPr="003313B8">
        <w:t xml:space="preserve"> in the ‘no vaccine’ arm.</w:t>
      </w:r>
    </w:p>
    <w:p w:rsidR="007E3C93" w:rsidRPr="00D0223A" w:rsidRDefault="007E3C93" w:rsidP="007E3C93">
      <w:pPr>
        <w:pStyle w:val="TableFooter"/>
        <w:ind w:left="720"/>
      </w:pPr>
      <w:r w:rsidRPr="00D0223A">
        <w:t xml:space="preserve">Source: </w:t>
      </w:r>
      <w:r w:rsidRPr="00D0223A">
        <w:tab/>
        <w:t>Table B.</w:t>
      </w:r>
      <w:r w:rsidR="00843EFC">
        <w:t>3</w:t>
      </w:r>
      <w:r w:rsidRPr="00D0223A">
        <w:t>.2, Section B July 2014 Resubmission</w:t>
      </w:r>
    </w:p>
    <w:p w:rsidR="00C020B9" w:rsidRPr="00D0223A" w:rsidRDefault="00C020B9" w:rsidP="007E3C93">
      <w:pPr>
        <w:pStyle w:val="TableFooter"/>
        <w:rPr>
          <w:rFonts w:ascii="Arial" w:hAnsi="Arial"/>
          <w:sz w:val="22"/>
          <w:szCs w:val="22"/>
        </w:rPr>
      </w:pPr>
    </w:p>
    <w:p w:rsidR="00FA7339" w:rsidRPr="00FF242D" w:rsidRDefault="00FA7339" w:rsidP="00FF242D">
      <w:pPr>
        <w:rPr>
          <w:b/>
          <w:szCs w:val="22"/>
        </w:rPr>
      </w:pPr>
      <w:bookmarkStart w:id="28" w:name="_Toc269216217"/>
      <w:bookmarkStart w:id="29" w:name="_Toc395780734"/>
      <w:bookmarkStart w:id="30" w:name="_Toc397415402"/>
      <w:r w:rsidRPr="00FF242D">
        <w:rPr>
          <w:b/>
          <w:szCs w:val="22"/>
        </w:rPr>
        <w:t>Comparative harms</w:t>
      </w:r>
      <w:bookmarkEnd w:id="28"/>
      <w:bookmarkEnd w:id="29"/>
      <w:bookmarkEnd w:id="30"/>
    </w:p>
    <w:p w:rsidR="00FF242D" w:rsidRDefault="00FF242D" w:rsidP="00FF242D">
      <w:pPr>
        <w:pStyle w:val="ListParagraph"/>
      </w:pPr>
    </w:p>
    <w:p w:rsidR="007E3C93" w:rsidRPr="00D0223A" w:rsidRDefault="007E3C93" w:rsidP="00C9248D">
      <w:pPr>
        <w:pStyle w:val="ListParagraph"/>
        <w:numPr>
          <w:ilvl w:val="1"/>
          <w:numId w:val="1"/>
        </w:numPr>
      </w:pPr>
      <w:r w:rsidRPr="00D0223A">
        <w:t xml:space="preserve">The re-submission provided safety data, from an adverse event monitoring substudy </w:t>
      </w:r>
      <w:r w:rsidRPr="00D0223A">
        <w:lastRenderedPageBreak/>
        <w:t xml:space="preserve">(a subgroup of the SPS) </w:t>
      </w:r>
      <w:r w:rsidR="00BD53E7" w:rsidRPr="00D0223A">
        <w:t xml:space="preserve">and the </w:t>
      </w:r>
      <w:r w:rsidR="00946A87" w:rsidRPr="00D0223A">
        <w:t>Pre-Sub-Committee Response (</w:t>
      </w:r>
      <w:r w:rsidR="00BD53E7" w:rsidRPr="00D0223A">
        <w:t xml:space="preserve">p1) provided safety data from the full SPS population, both </w:t>
      </w:r>
      <w:r w:rsidRPr="00D0223A">
        <w:t>stratified by age</w:t>
      </w:r>
      <w:r w:rsidR="00BD53E7" w:rsidRPr="00D0223A">
        <w:t xml:space="preserve">. The ESC noted that there </w:t>
      </w:r>
      <w:r w:rsidR="00BE082C" w:rsidRPr="00D0223A">
        <w:t xml:space="preserve">were </w:t>
      </w:r>
      <w:r w:rsidR="00BD53E7" w:rsidRPr="00D0223A">
        <w:t>no serious vaccine-related adverse events in the immunised cohort.</w:t>
      </w:r>
      <w:r w:rsidRPr="00D0223A">
        <w:t xml:space="preserve"> </w:t>
      </w:r>
    </w:p>
    <w:p w:rsidR="00946A87" w:rsidRPr="00D0223A" w:rsidRDefault="00946A87" w:rsidP="007E3C93">
      <w:pPr>
        <w:pStyle w:val="ListParagraph"/>
        <w:ind w:left="0"/>
        <w:rPr>
          <w:szCs w:val="22"/>
        </w:rPr>
      </w:pPr>
    </w:p>
    <w:p w:rsidR="007E3C93" w:rsidRPr="00FF242D" w:rsidRDefault="007E3C93" w:rsidP="00FF242D">
      <w:pPr>
        <w:rPr>
          <w:b/>
          <w:szCs w:val="22"/>
        </w:rPr>
      </w:pPr>
      <w:bookmarkStart w:id="31" w:name="_Toc269216218"/>
      <w:bookmarkStart w:id="32" w:name="_Toc395780735"/>
      <w:bookmarkStart w:id="33" w:name="_Toc397415403"/>
      <w:r w:rsidRPr="00FF242D">
        <w:rPr>
          <w:b/>
          <w:szCs w:val="22"/>
        </w:rPr>
        <w:t>Benefits/harms</w:t>
      </w:r>
      <w:bookmarkEnd w:id="31"/>
      <w:bookmarkEnd w:id="32"/>
      <w:bookmarkEnd w:id="33"/>
    </w:p>
    <w:p w:rsidR="007E3C93" w:rsidRPr="00D0223A" w:rsidRDefault="007E3C93" w:rsidP="007E3C93">
      <w:pPr>
        <w:pStyle w:val="ListParagraph"/>
        <w:ind w:left="0"/>
        <w:rPr>
          <w:szCs w:val="22"/>
        </w:rPr>
      </w:pPr>
    </w:p>
    <w:p w:rsidR="007E3C93" w:rsidRPr="00D0223A" w:rsidRDefault="007E3C93" w:rsidP="00C9248D">
      <w:pPr>
        <w:pStyle w:val="ListParagraph"/>
        <w:numPr>
          <w:ilvl w:val="1"/>
          <w:numId w:val="1"/>
        </w:numPr>
      </w:pPr>
      <w:r w:rsidRPr="00D0223A">
        <w:t xml:space="preserve">A summary of the comparative benefits and harms for zoster vaccine versus placebo is presented in </w:t>
      </w:r>
      <w:r w:rsidR="00D040EF" w:rsidRPr="00D0223A">
        <w:t>the table below</w:t>
      </w:r>
      <w:r w:rsidRPr="00D0223A">
        <w:t xml:space="preserve">. </w:t>
      </w:r>
    </w:p>
    <w:p w:rsidR="00361DBC" w:rsidRPr="00D0223A" w:rsidRDefault="00361DBC" w:rsidP="007E3C93">
      <w:pPr>
        <w:pStyle w:val="ListParagraph"/>
        <w:rPr>
          <w:rStyle w:val="CommentReference"/>
        </w:rPr>
      </w:pPr>
    </w:p>
    <w:p w:rsidR="007E3C93" w:rsidRPr="00D0223A" w:rsidRDefault="007E3C93" w:rsidP="00361DBC">
      <w:pPr>
        <w:pStyle w:val="ListParagraph"/>
        <w:keepNext/>
        <w:rPr>
          <w:rStyle w:val="CommentReference"/>
        </w:rPr>
      </w:pPr>
      <w:r w:rsidRPr="00D0223A">
        <w:rPr>
          <w:rStyle w:val="CommentReference"/>
        </w:rPr>
        <w:t>Summary of comparative benefits and harms for zoster vaccine and placebo from the overall population of SPS, STPS and LTPS</w:t>
      </w:r>
    </w:p>
    <w:tbl>
      <w:tblPr>
        <w:tblW w:w="4549" w:type="pct"/>
        <w:tblInd w:w="817" w:type="dxa"/>
        <w:tblLayout w:type="fixed"/>
        <w:tblCellMar>
          <w:right w:w="57" w:type="dxa"/>
        </w:tblCellMar>
        <w:tblLook w:val="04A0" w:firstRow="1" w:lastRow="0" w:firstColumn="1" w:lastColumn="0" w:noHBand="0" w:noVBand="1"/>
      </w:tblPr>
      <w:tblGrid>
        <w:gridCol w:w="1984"/>
        <w:gridCol w:w="994"/>
        <w:gridCol w:w="1276"/>
        <w:gridCol w:w="1417"/>
        <w:gridCol w:w="1561"/>
        <w:gridCol w:w="1131"/>
      </w:tblGrid>
      <w:tr w:rsidR="007E3C93" w:rsidRPr="00D0223A" w:rsidTr="00D54BFC">
        <w:trPr>
          <w:cantSplit/>
        </w:trPr>
        <w:tc>
          <w:tcPr>
            <w:tcW w:w="1187" w:type="pct"/>
            <w:vMerge w:val="restart"/>
            <w:tcBorders>
              <w:top w:val="single" w:sz="4" w:space="0" w:color="auto"/>
              <w:left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b/>
                <w:snapToGrid/>
                <w:sz w:val="20"/>
                <w:lang w:eastAsia="en-AU"/>
              </w:rPr>
            </w:pPr>
          </w:p>
        </w:tc>
        <w:tc>
          <w:tcPr>
            <w:tcW w:w="594" w:type="pct"/>
            <w:vMerge w:val="restart"/>
            <w:tcBorders>
              <w:top w:val="single" w:sz="4" w:space="0" w:color="auto"/>
              <w:left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r w:rsidRPr="00D0223A">
              <w:rPr>
                <w:rFonts w:ascii="Arial Narrow" w:hAnsi="Arial Narrow"/>
                <w:b/>
                <w:snapToGrid/>
                <w:sz w:val="20"/>
                <w:lang w:eastAsia="en-AU"/>
              </w:rPr>
              <w:t>N</w:t>
            </w:r>
          </w:p>
        </w:tc>
        <w:tc>
          <w:tcPr>
            <w:tcW w:w="763" w:type="pct"/>
            <w:vMerge w:val="restart"/>
            <w:tcBorders>
              <w:top w:val="single" w:sz="4" w:space="0" w:color="auto"/>
              <w:left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r w:rsidRPr="00D0223A">
              <w:rPr>
                <w:rFonts w:ascii="Arial Narrow" w:hAnsi="Arial Narrow"/>
                <w:b/>
                <w:snapToGrid/>
                <w:sz w:val="20"/>
                <w:lang w:eastAsia="en-AU"/>
              </w:rPr>
              <w:t>Vaccine efficacy (95%CI)</w:t>
            </w:r>
            <w:r w:rsidRPr="00D0223A">
              <w:rPr>
                <w:rFonts w:ascii="Arial Narrow" w:hAnsi="Arial Narrow"/>
                <w:b/>
                <w:snapToGrid/>
                <w:sz w:val="20"/>
                <w:vertAlign w:val="superscript"/>
                <w:lang w:eastAsia="en-AU"/>
              </w:rPr>
              <w:t>c</w:t>
            </w:r>
          </w:p>
        </w:tc>
        <w:tc>
          <w:tcPr>
            <w:tcW w:w="1780" w:type="pct"/>
            <w:gridSpan w:val="2"/>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r w:rsidRPr="00D0223A">
              <w:rPr>
                <w:rFonts w:ascii="Arial Narrow" w:hAnsi="Arial Narrow"/>
                <w:b/>
                <w:snapToGrid/>
                <w:sz w:val="20"/>
                <w:lang w:eastAsia="en-AU"/>
              </w:rPr>
              <w:t>Event rate/1000 person years</w:t>
            </w:r>
          </w:p>
        </w:tc>
        <w:tc>
          <w:tcPr>
            <w:tcW w:w="676" w:type="pct"/>
            <w:vMerge w:val="restart"/>
            <w:tcBorders>
              <w:top w:val="single" w:sz="4" w:space="0" w:color="auto"/>
              <w:left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r w:rsidRPr="00D0223A">
              <w:rPr>
                <w:rFonts w:ascii="Arial Narrow" w:hAnsi="Arial Narrow"/>
                <w:b/>
                <w:snapToGrid/>
                <w:sz w:val="20"/>
                <w:lang w:eastAsia="en-AU"/>
              </w:rPr>
              <w:t>Increment (pyr)</w:t>
            </w:r>
          </w:p>
        </w:tc>
      </w:tr>
      <w:tr w:rsidR="007E3C93" w:rsidRPr="00D0223A" w:rsidTr="00D54BFC">
        <w:trPr>
          <w:cantSplit/>
        </w:trPr>
        <w:tc>
          <w:tcPr>
            <w:tcW w:w="1187" w:type="pct"/>
            <w:vMerge/>
            <w:tcBorders>
              <w:left w:val="single" w:sz="4" w:space="0" w:color="auto"/>
              <w:bottom w:val="single" w:sz="4" w:space="0" w:color="auto"/>
              <w:right w:val="single" w:sz="4" w:space="0" w:color="auto"/>
            </w:tcBorders>
            <w:shd w:val="clear" w:color="auto" w:fill="auto"/>
            <w:hideMark/>
          </w:tcPr>
          <w:p w:rsidR="007E3C93" w:rsidRPr="00D0223A" w:rsidRDefault="007E3C93" w:rsidP="00361DBC">
            <w:pPr>
              <w:keepNext/>
              <w:jc w:val="left"/>
              <w:rPr>
                <w:rFonts w:ascii="Arial Narrow" w:hAnsi="Arial Narrow"/>
                <w:b/>
                <w:snapToGrid/>
                <w:sz w:val="20"/>
                <w:vertAlign w:val="superscript"/>
                <w:lang w:eastAsia="en-AU"/>
              </w:rPr>
            </w:pPr>
          </w:p>
        </w:tc>
        <w:tc>
          <w:tcPr>
            <w:tcW w:w="594" w:type="pct"/>
            <w:vMerge/>
            <w:tcBorders>
              <w:left w:val="single" w:sz="4" w:space="0" w:color="auto"/>
              <w:bottom w:val="single" w:sz="4" w:space="0" w:color="auto"/>
              <w:right w:val="single" w:sz="4" w:space="0" w:color="auto"/>
            </w:tcBorders>
            <w:shd w:val="clear" w:color="auto" w:fill="auto"/>
            <w:hideMark/>
          </w:tcPr>
          <w:p w:rsidR="007E3C93" w:rsidRPr="00D0223A" w:rsidRDefault="007E3C93" w:rsidP="00361DBC">
            <w:pPr>
              <w:keepNext/>
              <w:jc w:val="center"/>
              <w:rPr>
                <w:rFonts w:ascii="Arial Narrow" w:hAnsi="Arial Narrow"/>
                <w:b/>
                <w:snapToGrid/>
                <w:sz w:val="20"/>
                <w:vertAlign w:val="superscript"/>
                <w:lang w:eastAsia="en-AU"/>
              </w:rPr>
            </w:pPr>
          </w:p>
        </w:tc>
        <w:tc>
          <w:tcPr>
            <w:tcW w:w="763" w:type="pct"/>
            <w:vMerge/>
            <w:tcBorders>
              <w:left w:val="single" w:sz="4" w:space="0" w:color="auto"/>
              <w:bottom w:val="single" w:sz="4" w:space="0" w:color="auto"/>
              <w:right w:val="single" w:sz="4" w:space="0" w:color="auto"/>
            </w:tcBorders>
            <w:shd w:val="clear" w:color="auto" w:fill="auto"/>
            <w:hideMark/>
          </w:tcPr>
          <w:p w:rsidR="007E3C93" w:rsidRPr="00D0223A" w:rsidRDefault="007E3C93" w:rsidP="00361DBC">
            <w:pPr>
              <w:keepNext/>
              <w:jc w:val="center"/>
              <w:rPr>
                <w:rFonts w:ascii="Arial Narrow" w:hAnsi="Arial Narrow"/>
                <w:b/>
                <w:snapToGrid/>
                <w:sz w:val="20"/>
                <w:vertAlign w:val="superscript"/>
                <w:lang w:eastAsia="en-AU"/>
              </w:rPr>
            </w:pP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7E3C93" w:rsidRPr="00D0223A" w:rsidRDefault="007E3C93" w:rsidP="00361DBC">
            <w:pPr>
              <w:keepNext/>
              <w:jc w:val="center"/>
              <w:rPr>
                <w:rFonts w:ascii="Arial Narrow" w:hAnsi="Arial Narrow"/>
                <w:b/>
                <w:snapToGrid/>
                <w:sz w:val="20"/>
                <w:vertAlign w:val="superscript"/>
                <w:lang w:eastAsia="en-AU"/>
              </w:rPr>
            </w:pPr>
            <w:r w:rsidRPr="00D0223A">
              <w:rPr>
                <w:rFonts w:ascii="Arial Narrow" w:hAnsi="Arial Narrow"/>
                <w:b/>
                <w:snapToGrid/>
                <w:sz w:val="20"/>
                <w:lang w:eastAsia="en-AU"/>
              </w:rPr>
              <w:t>Zoster vaccine</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rsidR="007E3C93" w:rsidRPr="00D0223A" w:rsidRDefault="007E3C93" w:rsidP="00361DBC">
            <w:pPr>
              <w:keepNext/>
              <w:jc w:val="center"/>
              <w:rPr>
                <w:rFonts w:ascii="Arial Narrow" w:hAnsi="Arial Narrow"/>
                <w:b/>
                <w:snapToGrid/>
                <w:sz w:val="20"/>
                <w:vertAlign w:val="superscript"/>
                <w:lang w:eastAsia="en-AU"/>
              </w:rPr>
            </w:pPr>
            <w:r w:rsidRPr="00D0223A">
              <w:rPr>
                <w:rFonts w:ascii="Arial Narrow" w:hAnsi="Arial Narrow"/>
                <w:b/>
                <w:snapToGrid/>
                <w:sz w:val="20"/>
                <w:lang w:eastAsia="en-AU"/>
              </w:rPr>
              <w:t>Placebo</w:t>
            </w:r>
          </w:p>
        </w:tc>
        <w:tc>
          <w:tcPr>
            <w:tcW w:w="676" w:type="pct"/>
            <w:vMerge/>
            <w:tcBorders>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p>
        </w:tc>
      </w:tr>
      <w:tr w:rsidR="007E3C93" w:rsidRPr="00D0223A" w:rsidTr="00D54BFC">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7E3C93" w:rsidRPr="00D0223A" w:rsidRDefault="007E3C93" w:rsidP="00361DBC">
            <w:pPr>
              <w:keepNext/>
              <w:jc w:val="left"/>
              <w:rPr>
                <w:rFonts w:ascii="Arial Narrow" w:hAnsi="Arial Narrow"/>
                <w:b/>
                <w:snapToGrid/>
                <w:sz w:val="20"/>
                <w:lang w:eastAsia="en-AU"/>
              </w:rPr>
            </w:pPr>
            <w:r w:rsidRPr="00D0223A">
              <w:rPr>
                <w:rFonts w:ascii="Arial Narrow" w:hAnsi="Arial Narrow"/>
                <w:b/>
                <w:snapToGrid/>
                <w:sz w:val="20"/>
                <w:lang w:eastAsia="en-AU"/>
              </w:rPr>
              <w:t>Benefits</w:t>
            </w:r>
          </w:p>
        </w:tc>
      </w:tr>
      <w:tr w:rsidR="007E3C93" w:rsidRPr="00D0223A" w:rsidTr="00D54BFC">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snapToGrid/>
                <w:sz w:val="20"/>
                <w:lang w:eastAsia="en-AU"/>
              </w:rPr>
            </w:pPr>
            <w:r w:rsidRPr="00D0223A">
              <w:rPr>
                <w:rFonts w:ascii="Arial Narrow" w:hAnsi="Arial Narrow"/>
                <w:b/>
                <w:snapToGrid/>
                <w:sz w:val="20"/>
                <w:lang w:eastAsia="en-AU"/>
              </w:rPr>
              <w:t>Reduction in zoster</w:t>
            </w:r>
          </w:p>
        </w:tc>
      </w:tr>
      <w:tr w:rsidR="007E3C93" w:rsidRPr="00D0223A" w:rsidTr="00D54BFC">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snapToGrid/>
                <w:sz w:val="20"/>
                <w:lang w:eastAsia="en-AU"/>
              </w:rPr>
            </w:pPr>
            <w:r w:rsidRPr="00D0223A">
              <w:rPr>
                <w:rFonts w:ascii="Arial Narrow" w:hAnsi="Arial Narrow"/>
                <w:snapToGrid/>
                <w:sz w:val="20"/>
                <w:lang w:eastAsia="en-AU"/>
              </w:rPr>
              <w:t>SPS</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38,492</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color w:val="000000"/>
                <w:sz w:val="20"/>
                <w:lang w:eastAsia="en-AU"/>
              </w:rPr>
            </w:pPr>
            <w:r w:rsidRPr="00D0223A">
              <w:rPr>
                <w:rFonts w:ascii="Arial Narrow" w:hAnsi="Arial Narrow"/>
                <w:snapToGrid/>
                <w:color w:val="000000"/>
                <w:sz w:val="20"/>
                <w:lang w:eastAsia="en-AU"/>
              </w:rPr>
              <w:t>51.3%</w:t>
            </w:r>
          </w:p>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color w:val="000000"/>
                <w:sz w:val="20"/>
                <w:lang w:eastAsia="en-AU"/>
              </w:rPr>
              <w:t>(44.2, 57.6)</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5.42</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11.12</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-5.7</w:t>
            </w:r>
          </w:p>
        </w:tc>
      </w:tr>
      <w:tr w:rsidR="007E3C93" w:rsidRPr="00D0223A" w:rsidTr="00D54BFC">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snapToGrid/>
                <w:sz w:val="20"/>
                <w:lang w:eastAsia="en-AU"/>
              </w:rPr>
            </w:pPr>
            <w:r w:rsidRPr="00D0223A">
              <w:rPr>
                <w:rFonts w:ascii="Arial Narrow" w:hAnsi="Arial Narrow"/>
                <w:snapToGrid/>
                <w:sz w:val="20"/>
                <w:lang w:eastAsia="en-AU"/>
              </w:rPr>
              <w:t>STPS</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14,270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color w:val="000000"/>
                <w:sz w:val="20"/>
                <w:lang w:eastAsia="en-AU"/>
              </w:rPr>
            </w:pPr>
            <w:r w:rsidRPr="00D0223A">
              <w:rPr>
                <w:rFonts w:ascii="Arial Narrow" w:hAnsi="Arial Narrow"/>
                <w:snapToGrid/>
                <w:color w:val="000000"/>
                <w:sz w:val="20"/>
                <w:lang w:eastAsia="en-AU"/>
              </w:rPr>
              <w:t>39.6%</w:t>
            </w:r>
          </w:p>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color w:val="000000"/>
                <w:sz w:val="20"/>
                <w:lang w:eastAsia="en-AU"/>
              </w:rPr>
              <w:t>(18.2, 55.5)</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8.43</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13.97</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-5.5</w:t>
            </w:r>
          </w:p>
        </w:tc>
      </w:tr>
      <w:tr w:rsidR="007E3C93" w:rsidRPr="00D0223A" w:rsidTr="00D54BFC">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snapToGrid/>
                <w:sz w:val="20"/>
                <w:lang w:eastAsia="en-AU"/>
              </w:rPr>
            </w:pPr>
            <w:r w:rsidRPr="00D0223A">
              <w:rPr>
                <w:rFonts w:ascii="Arial Narrow" w:hAnsi="Arial Narrow"/>
                <w:snapToGrid/>
                <w:sz w:val="20"/>
                <w:lang w:eastAsia="en-AU"/>
              </w:rPr>
              <w:t>LTPS (Method 3)</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6,867</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color w:val="000000"/>
                <w:sz w:val="20"/>
                <w:lang w:eastAsia="en-AU"/>
              </w:rPr>
            </w:pPr>
            <w:r w:rsidRPr="00D0223A">
              <w:rPr>
                <w:rFonts w:ascii="Arial Narrow" w:hAnsi="Arial Narrow"/>
                <w:snapToGrid/>
                <w:color w:val="000000"/>
                <w:sz w:val="20"/>
                <w:lang w:eastAsia="en-AU"/>
              </w:rPr>
              <w:t>26.8%</w:t>
            </w:r>
          </w:p>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color w:val="000000"/>
                <w:sz w:val="20"/>
                <w:lang w:eastAsia="en-AU"/>
              </w:rPr>
              <w:t>(17.4, 35.4)</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E3C93" w:rsidRPr="00FE405A" w:rsidRDefault="00FE405A" w:rsidP="00361DBC">
            <w:pPr>
              <w:keepNext/>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7E3C93" w:rsidRPr="00FE405A" w:rsidRDefault="00FE405A" w:rsidP="00361DBC">
            <w:pPr>
              <w:keepNext/>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7E3C93" w:rsidRPr="00FE405A" w:rsidRDefault="00FE405A" w:rsidP="00361DBC">
            <w:pPr>
              <w:keepNext/>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7E3C93" w:rsidRPr="00D0223A" w:rsidTr="00D54BFC">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b/>
                <w:snapToGrid/>
                <w:sz w:val="20"/>
                <w:lang w:eastAsia="en-AU"/>
              </w:rPr>
            </w:pPr>
            <w:r w:rsidRPr="00D0223A">
              <w:rPr>
                <w:rFonts w:ascii="Arial Narrow" w:hAnsi="Arial Narrow"/>
                <w:b/>
                <w:snapToGrid/>
                <w:sz w:val="20"/>
                <w:lang w:eastAsia="en-AU"/>
              </w:rPr>
              <w:t>Reduction in PHN</w:t>
            </w:r>
          </w:p>
        </w:tc>
      </w:tr>
      <w:tr w:rsidR="007E3C93" w:rsidRPr="00D0223A" w:rsidTr="00D54BFC">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snapToGrid/>
                <w:sz w:val="20"/>
                <w:lang w:eastAsia="en-AU"/>
              </w:rPr>
            </w:pPr>
            <w:r w:rsidRPr="00D0223A">
              <w:rPr>
                <w:rFonts w:ascii="Arial Narrow" w:hAnsi="Arial Narrow"/>
                <w:snapToGrid/>
                <w:sz w:val="20"/>
                <w:lang w:eastAsia="en-AU"/>
              </w:rPr>
              <w:t>SPS</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38,492</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color w:val="000000"/>
                <w:sz w:val="20"/>
                <w:lang w:eastAsia="en-AU"/>
              </w:rPr>
            </w:pPr>
            <w:r w:rsidRPr="00D0223A">
              <w:rPr>
                <w:rFonts w:ascii="Arial Narrow" w:hAnsi="Arial Narrow"/>
                <w:snapToGrid/>
                <w:color w:val="000000"/>
                <w:sz w:val="20"/>
                <w:lang w:eastAsia="en-AU"/>
              </w:rPr>
              <w:t>66.5%</w:t>
            </w:r>
          </w:p>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color w:val="000000"/>
                <w:sz w:val="20"/>
                <w:lang w:eastAsia="en-AU"/>
              </w:rPr>
              <w:t>(47.5, 79.2)</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0.46</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1.38</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-0.9</w:t>
            </w:r>
          </w:p>
        </w:tc>
      </w:tr>
      <w:tr w:rsidR="007E3C93" w:rsidRPr="00D0223A" w:rsidTr="00D54BFC">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snapToGrid/>
                <w:sz w:val="20"/>
                <w:lang w:eastAsia="en-AU"/>
              </w:rPr>
            </w:pPr>
            <w:r w:rsidRPr="00D0223A">
              <w:rPr>
                <w:rFonts w:ascii="Arial Narrow" w:hAnsi="Arial Narrow"/>
                <w:snapToGrid/>
                <w:sz w:val="20"/>
                <w:lang w:eastAsia="en-AU"/>
              </w:rPr>
              <w:t>STPS</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14,270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color w:val="000000"/>
                <w:sz w:val="20"/>
                <w:lang w:eastAsia="en-AU"/>
              </w:rPr>
            </w:pPr>
            <w:r w:rsidRPr="00D0223A">
              <w:rPr>
                <w:rFonts w:ascii="Arial Narrow" w:hAnsi="Arial Narrow"/>
                <w:snapToGrid/>
                <w:color w:val="000000"/>
                <w:sz w:val="20"/>
                <w:lang w:eastAsia="en-AU"/>
              </w:rPr>
              <w:t>60.1%</w:t>
            </w:r>
          </w:p>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color w:val="000000"/>
                <w:sz w:val="20"/>
                <w:lang w:eastAsia="en-AU"/>
              </w:rPr>
              <w:t>(-9.8, 86.7)</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0.70</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1.76</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-1.1</w:t>
            </w:r>
          </w:p>
        </w:tc>
      </w:tr>
      <w:tr w:rsidR="007E3C93" w:rsidRPr="00D0223A" w:rsidTr="00D54BFC">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snapToGrid/>
                <w:sz w:val="20"/>
                <w:lang w:eastAsia="en-AU"/>
              </w:rPr>
            </w:pPr>
            <w:r w:rsidRPr="00D0223A">
              <w:rPr>
                <w:rFonts w:ascii="Arial Narrow" w:hAnsi="Arial Narrow"/>
                <w:snapToGrid/>
                <w:sz w:val="20"/>
                <w:lang w:eastAsia="en-AU"/>
              </w:rPr>
              <w:t>LTPS (Method 3)</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6,867</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color w:val="000000"/>
                <w:sz w:val="20"/>
                <w:lang w:eastAsia="en-AU"/>
              </w:rPr>
            </w:pPr>
            <w:r w:rsidRPr="00D0223A">
              <w:rPr>
                <w:rFonts w:ascii="Arial Narrow" w:hAnsi="Arial Narrow"/>
                <w:snapToGrid/>
                <w:color w:val="000000"/>
                <w:sz w:val="20"/>
                <w:lang w:eastAsia="en-AU"/>
              </w:rPr>
              <w:t>33.0%</w:t>
            </w:r>
          </w:p>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color w:val="000000"/>
                <w:sz w:val="20"/>
                <w:lang w:eastAsia="en-AU"/>
              </w:rPr>
              <w:t>(5.4, 54.2)</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E3C93" w:rsidRPr="00FE405A" w:rsidRDefault="00FE405A" w:rsidP="00361DBC">
            <w:pPr>
              <w:keepNext/>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7E3C93" w:rsidRPr="00FE405A" w:rsidRDefault="00FE405A" w:rsidP="00361DBC">
            <w:pPr>
              <w:keepNext/>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7E3C93" w:rsidRPr="00FE405A" w:rsidRDefault="00FE405A" w:rsidP="00361DBC">
            <w:pPr>
              <w:keepNext/>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7E3C93" w:rsidRPr="00D0223A" w:rsidTr="00D54BFC">
        <w:trPr>
          <w:cantSplit/>
          <w:trHeight w:val="233"/>
        </w:trPr>
        <w:tc>
          <w:tcPr>
            <w:tcW w:w="1187" w:type="pct"/>
            <w:vMerge w:val="restart"/>
            <w:tcBorders>
              <w:top w:val="single" w:sz="4" w:space="0" w:color="auto"/>
              <w:left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b/>
                <w:snapToGrid/>
                <w:sz w:val="20"/>
                <w:lang w:eastAsia="en-AU"/>
              </w:rPr>
            </w:pPr>
          </w:p>
        </w:tc>
        <w:tc>
          <w:tcPr>
            <w:tcW w:w="594" w:type="pct"/>
            <w:vMerge w:val="restart"/>
            <w:tcBorders>
              <w:top w:val="single" w:sz="4" w:space="0" w:color="auto"/>
              <w:left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r w:rsidRPr="00D0223A">
              <w:rPr>
                <w:rFonts w:ascii="Arial Narrow" w:hAnsi="Arial Narrow"/>
                <w:b/>
                <w:snapToGrid/>
                <w:sz w:val="20"/>
                <w:lang w:eastAsia="en-AU"/>
              </w:rPr>
              <w:t>N</w:t>
            </w:r>
          </w:p>
        </w:tc>
        <w:tc>
          <w:tcPr>
            <w:tcW w:w="763" w:type="pct"/>
            <w:vMerge w:val="restart"/>
            <w:tcBorders>
              <w:top w:val="single" w:sz="4" w:space="0" w:color="auto"/>
              <w:left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r w:rsidRPr="00D0223A">
              <w:rPr>
                <w:rFonts w:ascii="Arial Narrow" w:hAnsi="Arial Narrow"/>
                <w:b/>
                <w:snapToGrid/>
                <w:sz w:val="20"/>
                <w:lang w:eastAsia="en-AU"/>
              </w:rPr>
              <w:t>RR (95%CI)</w:t>
            </w:r>
          </w:p>
        </w:tc>
        <w:tc>
          <w:tcPr>
            <w:tcW w:w="1780" w:type="pct"/>
            <w:gridSpan w:val="2"/>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r w:rsidRPr="00D0223A">
              <w:rPr>
                <w:rFonts w:ascii="Arial Narrow" w:hAnsi="Arial Narrow"/>
                <w:b/>
                <w:snapToGrid/>
                <w:sz w:val="20"/>
                <w:lang w:eastAsia="en-AU"/>
              </w:rPr>
              <w:t>Event rate (%)</w:t>
            </w:r>
            <w:r w:rsidRPr="00D0223A">
              <w:rPr>
                <w:rFonts w:ascii="Arial Narrow" w:hAnsi="Arial Narrow"/>
                <w:b/>
                <w:snapToGrid/>
                <w:sz w:val="20"/>
                <w:vertAlign w:val="superscript"/>
                <w:lang w:eastAsia="en-AU"/>
              </w:rPr>
              <w:t>b</w:t>
            </w:r>
          </w:p>
        </w:tc>
        <w:tc>
          <w:tcPr>
            <w:tcW w:w="676" w:type="pct"/>
            <w:vMerge w:val="restart"/>
            <w:tcBorders>
              <w:top w:val="single" w:sz="4" w:space="0" w:color="auto"/>
              <w:left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b/>
                <w:snapToGrid/>
                <w:sz w:val="20"/>
                <w:lang w:eastAsia="en-AU"/>
              </w:rPr>
              <w:t>RD (%)</w:t>
            </w:r>
          </w:p>
        </w:tc>
      </w:tr>
      <w:tr w:rsidR="007E3C93" w:rsidRPr="00D0223A" w:rsidTr="00D54BFC">
        <w:trPr>
          <w:cantSplit/>
          <w:trHeight w:val="232"/>
        </w:trPr>
        <w:tc>
          <w:tcPr>
            <w:tcW w:w="1187" w:type="pct"/>
            <w:vMerge/>
            <w:tcBorders>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b/>
                <w:snapToGrid/>
                <w:sz w:val="20"/>
                <w:lang w:eastAsia="en-AU"/>
              </w:rPr>
            </w:pPr>
          </w:p>
        </w:tc>
        <w:tc>
          <w:tcPr>
            <w:tcW w:w="594" w:type="pct"/>
            <w:vMerge/>
            <w:tcBorders>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p>
        </w:tc>
        <w:tc>
          <w:tcPr>
            <w:tcW w:w="763" w:type="pct"/>
            <w:vMerge/>
            <w:tcBorders>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r w:rsidRPr="00D0223A">
              <w:rPr>
                <w:rFonts w:ascii="Arial Narrow" w:hAnsi="Arial Narrow"/>
                <w:b/>
                <w:snapToGrid/>
                <w:sz w:val="20"/>
                <w:lang w:eastAsia="en-AU"/>
              </w:rPr>
              <w:t>Zoster vaccine</w:t>
            </w:r>
          </w:p>
        </w:tc>
        <w:tc>
          <w:tcPr>
            <w:tcW w:w="933" w:type="pct"/>
            <w:tcBorders>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b/>
                <w:snapToGrid/>
                <w:sz w:val="20"/>
                <w:lang w:eastAsia="en-AU"/>
              </w:rPr>
            </w:pPr>
            <w:r w:rsidRPr="00D0223A">
              <w:rPr>
                <w:rFonts w:ascii="Arial Narrow" w:hAnsi="Arial Narrow"/>
                <w:b/>
                <w:snapToGrid/>
                <w:sz w:val="20"/>
                <w:lang w:eastAsia="en-AU"/>
              </w:rPr>
              <w:t>Placebo</w:t>
            </w:r>
          </w:p>
        </w:tc>
        <w:tc>
          <w:tcPr>
            <w:tcW w:w="676" w:type="pct"/>
            <w:vMerge/>
            <w:tcBorders>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p>
        </w:tc>
      </w:tr>
      <w:tr w:rsidR="007E3C93" w:rsidRPr="00D0223A" w:rsidTr="00D54BFC">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7E3C93" w:rsidRPr="00D0223A" w:rsidRDefault="007E3C93" w:rsidP="00361DBC">
            <w:pPr>
              <w:keepNext/>
              <w:jc w:val="left"/>
              <w:rPr>
                <w:rFonts w:ascii="Arial Narrow" w:hAnsi="Arial Narrow"/>
                <w:b/>
                <w:snapToGrid/>
                <w:sz w:val="20"/>
                <w:lang w:eastAsia="en-AU"/>
              </w:rPr>
            </w:pPr>
            <w:r w:rsidRPr="00D0223A">
              <w:rPr>
                <w:rFonts w:ascii="Arial Narrow" w:hAnsi="Arial Narrow"/>
                <w:b/>
                <w:snapToGrid/>
                <w:sz w:val="20"/>
                <w:lang w:eastAsia="en-AU"/>
              </w:rPr>
              <w:t>Harms</w:t>
            </w:r>
          </w:p>
        </w:tc>
      </w:tr>
      <w:tr w:rsidR="007E3C93" w:rsidRPr="00D0223A" w:rsidTr="00D54BFC">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snapToGrid/>
                <w:sz w:val="20"/>
                <w:lang w:eastAsia="en-AU"/>
              </w:rPr>
            </w:pPr>
            <w:r w:rsidRPr="00D0223A">
              <w:rPr>
                <w:rFonts w:ascii="Arial Narrow" w:hAnsi="Arial Narrow"/>
                <w:snapToGrid/>
                <w:sz w:val="20"/>
                <w:lang w:eastAsia="en-AU"/>
              </w:rPr>
              <w:t>Injection site adverse event (AEMS)</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6,616</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2.91</w:t>
            </w:r>
          </w:p>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(2.67, 3.17)</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48.3</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16.6</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31.7</w:t>
            </w:r>
          </w:p>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(29.6, 33.8)</w:t>
            </w:r>
          </w:p>
        </w:tc>
      </w:tr>
      <w:tr w:rsidR="007E3C93" w:rsidRPr="00D0223A" w:rsidTr="00D54BFC">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left"/>
              <w:rPr>
                <w:rFonts w:ascii="Arial Narrow" w:hAnsi="Arial Narrow"/>
                <w:snapToGrid/>
                <w:sz w:val="20"/>
                <w:lang w:eastAsia="en-AU"/>
              </w:rPr>
            </w:pPr>
            <w:r w:rsidRPr="00D0223A">
              <w:rPr>
                <w:rFonts w:ascii="Arial Narrow" w:hAnsi="Arial Narrow"/>
                <w:snapToGrid/>
                <w:sz w:val="20"/>
                <w:lang w:eastAsia="en-AU"/>
              </w:rPr>
              <w:t>Allergic reactions (VSD)</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193,083</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2.13</w:t>
            </w:r>
          </w:p>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(1.87, 2.40)</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0.13</w:t>
            </w:r>
            <w:r w:rsidRPr="00D0223A">
              <w:rPr>
                <w:rFonts w:ascii="Arial Narrow" w:hAnsi="Arial Narrow"/>
                <w:snapToGrid/>
                <w:sz w:val="20"/>
                <w:vertAlign w:val="superscript"/>
                <w:lang w:eastAsia="en-AU"/>
              </w:rPr>
              <w:t>a</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7E3C93" w:rsidRPr="00D0223A" w:rsidRDefault="007E3C93" w:rsidP="00361DBC">
            <w:pPr>
              <w:keepNext/>
              <w:jc w:val="center"/>
              <w:rPr>
                <w:rFonts w:ascii="Arial Narrow" w:hAnsi="Arial Narrow"/>
                <w:snapToGrid/>
                <w:sz w:val="20"/>
                <w:lang w:eastAsia="en-AU"/>
              </w:rPr>
            </w:pPr>
            <w:r w:rsidRPr="00D0223A">
              <w:rPr>
                <w:rFonts w:ascii="Arial Narrow" w:hAnsi="Arial Narrow"/>
                <w:snapToGrid/>
                <w:sz w:val="20"/>
                <w:lang w:eastAsia="en-AU"/>
              </w:rPr>
              <w:t>-</w:t>
            </w:r>
          </w:p>
        </w:tc>
      </w:tr>
    </w:tbl>
    <w:p w:rsidR="007E3C93" w:rsidRPr="00D0223A" w:rsidRDefault="007E3C93" w:rsidP="00361DBC">
      <w:pPr>
        <w:pStyle w:val="TableFootnoteindent"/>
        <w:keepNext/>
        <w:widowControl w:val="0"/>
        <w:tabs>
          <w:tab w:val="clear" w:pos="284"/>
          <w:tab w:val="left" w:pos="142"/>
        </w:tabs>
        <w:ind w:left="709" w:firstLine="0"/>
        <w:rPr>
          <w:rFonts w:cs="Arial"/>
          <w:sz w:val="18"/>
          <w:szCs w:val="18"/>
        </w:rPr>
      </w:pPr>
      <w:r w:rsidRPr="00D0223A">
        <w:rPr>
          <w:rStyle w:val="CommentReference"/>
        </w:rPr>
        <w:tab/>
      </w:r>
      <w:r w:rsidRPr="00D0223A">
        <w:rPr>
          <w:rFonts w:cs="Arial"/>
          <w:sz w:val="18"/>
          <w:szCs w:val="18"/>
        </w:rPr>
        <w:t>Source: Table 5, p8 of the Commentary for March 2014 PBAC meeting and Table B.3.5, p47 of the re-submission.</w:t>
      </w:r>
    </w:p>
    <w:p w:rsidR="007E3C93" w:rsidRPr="00D0223A" w:rsidRDefault="007E3C93" w:rsidP="00361DBC">
      <w:pPr>
        <w:pStyle w:val="TableFootnoteindent"/>
        <w:keepNext/>
        <w:widowControl w:val="0"/>
        <w:tabs>
          <w:tab w:val="clear" w:pos="284"/>
          <w:tab w:val="left" w:pos="142"/>
        </w:tabs>
        <w:ind w:left="709" w:firstLine="0"/>
        <w:rPr>
          <w:rFonts w:cs="Arial"/>
          <w:sz w:val="18"/>
          <w:szCs w:val="18"/>
        </w:rPr>
      </w:pPr>
      <w:r w:rsidRPr="00D0223A">
        <w:rPr>
          <w:rFonts w:cs="Arial"/>
          <w:sz w:val="18"/>
          <w:szCs w:val="18"/>
        </w:rPr>
        <w:t>VSD = Vaccine Safety Datalink; AEMS = adverse event monitoring substudy of Protocol 004 (presented in previous submission); pyr = person years; RR = risk ratio; RD = risk difference</w:t>
      </w:r>
    </w:p>
    <w:p w:rsidR="007E3C93" w:rsidRPr="00D0223A" w:rsidRDefault="007E3C93" w:rsidP="007E3C93">
      <w:pPr>
        <w:pStyle w:val="TableFootnoteindent"/>
        <w:widowControl w:val="0"/>
        <w:tabs>
          <w:tab w:val="clear" w:pos="284"/>
          <w:tab w:val="left" w:pos="142"/>
        </w:tabs>
        <w:ind w:left="709" w:firstLine="0"/>
        <w:rPr>
          <w:rFonts w:cs="Arial"/>
          <w:sz w:val="18"/>
          <w:szCs w:val="18"/>
        </w:rPr>
      </w:pPr>
      <w:r w:rsidRPr="00D0223A">
        <w:rPr>
          <w:rFonts w:cs="Arial"/>
          <w:sz w:val="18"/>
          <w:szCs w:val="18"/>
          <w:vertAlign w:val="superscript"/>
        </w:rPr>
        <w:t xml:space="preserve">a </w:t>
      </w:r>
      <w:r w:rsidRPr="00D0223A">
        <w:rPr>
          <w:rFonts w:cs="Arial"/>
          <w:sz w:val="18"/>
          <w:szCs w:val="18"/>
        </w:rPr>
        <w:t>Event</w:t>
      </w:r>
      <w:r w:rsidRPr="00D0223A">
        <w:rPr>
          <w:rFonts w:cs="Arial"/>
          <w:sz w:val="18"/>
          <w:szCs w:val="18"/>
          <w:vertAlign w:val="superscript"/>
        </w:rPr>
        <w:t xml:space="preserve"> </w:t>
      </w:r>
      <w:r w:rsidRPr="00D0223A">
        <w:rPr>
          <w:rFonts w:cs="Arial"/>
          <w:sz w:val="18"/>
          <w:szCs w:val="18"/>
        </w:rPr>
        <w:t>rate is 257 patients (of 193,083) that had an allergic reaction during 7 days following vaccination.</w:t>
      </w:r>
    </w:p>
    <w:p w:rsidR="007E3C93" w:rsidRPr="00D0223A" w:rsidRDefault="007E3C93" w:rsidP="007E3C93">
      <w:pPr>
        <w:pStyle w:val="TableFootnoteindent"/>
        <w:widowControl w:val="0"/>
        <w:tabs>
          <w:tab w:val="clear" w:pos="284"/>
          <w:tab w:val="left" w:pos="142"/>
        </w:tabs>
        <w:ind w:left="709" w:firstLine="0"/>
        <w:rPr>
          <w:rFonts w:cs="Arial"/>
          <w:sz w:val="18"/>
          <w:szCs w:val="18"/>
        </w:rPr>
      </w:pPr>
      <w:r w:rsidRPr="00D0223A">
        <w:rPr>
          <w:rFonts w:cs="Arial"/>
          <w:sz w:val="18"/>
          <w:szCs w:val="18"/>
          <w:vertAlign w:val="superscript"/>
        </w:rPr>
        <w:t xml:space="preserve">b </w:t>
      </w:r>
      <w:r w:rsidRPr="00D0223A">
        <w:rPr>
          <w:rFonts w:cs="Arial"/>
          <w:sz w:val="18"/>
          <w:szCs w:val="18"/>
        </w:rPr>
        <w:t>AEMS reported adverse events in the 42 days following vaccination. VSD reported allergic reactions that occurred in the 7 days following vaccination.</w:t>
      </w:r>
    </w:p>
    <w:p w:rsidR="007E3C93" w:rsidRPr="00D0223A" w:rsidRDefault="007E3C93" w:rsidP="007E3C93">
      <w:pPr>
        <w:pStyle w:val="TableFootnoteindent"/>
        <w:widowControl w:val="0"/>
        <w:tabs>
          <w:tab w:val="clear" w:pos="284"/>
          <w:tab w:val="left" w:pos="142"/>
        </w:tabs>
        <w:ind w:left="709" w:firstLine="0"/>
        <w:rPr>
          <w:rFonts w:cs="Arial"/>
          <w:sz w:val="18"/>
          <w:szCs w:val="18"/>
        </w:rPr>
      </w:pPr>
      <w:r w:rsidRPr="00D0223A">
        <w:rPr>
          <w:rFonts w:cs="Arial"/>
          <w:sz w:val="18"/>
          <w:szCs w:val="18"/>
          <w:vertAlign w:val="superscript"/>
        </w:rPr>
        <w:t>c</w:t>
      </w:r>
      <w:r w:rsidRPr="00D0223A">
        <w:rPr>
          <w:rFonts w:cs="Arial"/>
          <w:sz w:val="18"/>
          <w:szCs w:val="18"/>
        </w:rPr>
        <w:t xml:space="preserve"> Vaccine efficacy is 1 minus the relative risk reduction * 100%.</w:t>
      </w:r>
    </w:p>
    <w:p w:rsidR="007E3C93" w:rsidRPr="00D0223A" w:rsidRDefault="007E3C93" w:rsidP="007E3C93">
      <w:pPr>
        <w:pStyle w:val="TableFootnoteindent"/>
        <w:widowControl w:val="0"/>
        <w:tabs>
          <w:tab w:val="clear" w:pos="284"/>
          <w:tab w:val="left" w:pos="1134"/>
        </w:tabs>
        <w:ind w:left="709" w:firstLine="0"/>
        <w:rPr>
          <w:rFonts w:cs="Arial"/>
          <w:sz w:val="18"/>
          <w:szCs w:val="18"/>
        </w:rPr>
      </w:pPr>
      <w:r w:rsidRPr="00D0223A">
        <w:rPr>
          <w:rFonts w:cs="Arial"/>
          <w:sz w:val="18"/>
          <w:szCs w:val="18"/>
        </w:rPr>
        <w:t>Method 3 uses data from SPS and STPS and adjusts for age and calendar effects for zoster and for age effects only for PHN to estimate the control rate.</w:t>
      </w:r>
    </w:p>
    <w:p w:rsidR="007E3C93" w:rsidRPr="00D0223A" w:rsidRDefault="007E3C93" w:rsidP="007E3C93">
      <w:pPr>
        <w:pStyle w:val="TableFootnoteindent"/>
        <w:widowControl w:val="0"/>
        <w:tabs>
          <w:tab w:val="clear" w:pos="284"/>
          <w:tab w:val="left" w:pos="142"/>
        </w:tabs>
        <w:ind w:left="709" w:firstLine="0"/>
        <w:rPr>
          <w:rFonts w:cs="Arial"/>
          <w:sz w:val="18"/>
          <w:szCs w:val="18"/>
        </w:rPr>
      </w:pPr>
      <w:r w:rsidRPr="00D0223A">
        <w:rPr>
          <w:rFonts w:cs="Arial"/>
          <w:sz w:val="18"/>
          <w:szCs w:val="18"/>
        </w:rPr>
        <w:t>Increment is the difference between the event rates per 1000 person years. Note that in these trials only the first zoster case per person was counted.</w:t>
      </w:r>
    </w:p>
    <w:p w:rsidR="007E3C93" w:rsidRPr="00D0223A" w:rsidRDefault="007E3C93" w:rsidP="007E3C93">
      <w:pPr>
        <w:pStyle w:val="ListParagraph"/>
        <w:rPr>
          <w:rStyle w:val="CommentReference"/>
          <w:rFonts w:ascii="Arial" w:hAnsi="Arial"/>
        </w:rPr>
      </w:pPr>
    </w:p>
    <w:p w:rsidR="007E3C93" w:rsidRPr="00D0223A" w:rsidRDefault="007E3C93" w:rsidP="00C9248D">
      <w:pPr>
        <w:pStyle w:val="ListParagraph"/>
        <w:widowControl/>
        <w:numPr>
          <w:ilvl w:val="1"/>
          <w:numId w:val="1"/>
        </w:numPr>
      </w:pPr>
      <w:r w:rsidRPr="00D0223A">
        <w:t xml:space="preserve">Assuming vaccine efficacy is </w:t>
      </w:r>
      <w:r w:rsidR="00BE082C" w:rsidRPr="00D0223A">
        <w:t xml:space="preserve">maintained </w:t>
      </w:r>
      <w:r w:rsidRPr="00D0223A">
        <w:t xml:space="preserve">for 10 years (the duration suggested in the evaluation based on the approximate duration of the SPS, STPS and LTPS combined), the evidence presented in the re-submission </w:t>
      </w:r>
      <w:r w:rsidRPr="00D0223A">
        <w:rPr>
          <w:szCs w:val="22"/>
        </w:rPr>
        <w:t>suggest</w:t>
      </w:r>
      <w:r w:rsidR="00BE082C" w:rsidRPr="00D0223A">
        <w:rPr>
          <w:szCs w:val="22"/>
        </w:rPr>
        <w:t>s</w:t>
      </w:r>
      <w:r w:rsidRPr="00D0223A">
        <w:rPr>
          <w:szCs w:val="22"/>
        </w:rPr>
        <w:t xml:space="preserve"> that</w:t>
      </w:r>
      <w:r w:rsidRPr="00D0223A">
        <w:t xml:space="preserve"> for every 1000 </w:t>
      </w:r>
      <w:r w:rsidR="00DC6F91" w:rsidRPr="00D0223A">
        <w:t xml:space="preserve">people (ITT) </w:t>
      </w:r>
      <w:r w:rsidRPr="00D0223A">
        <w:t xml:space="preserve">receiving zoster vaccination, compared with those who are </w:t>
      </w:r>
      <w:r w:rsidR="00986C0D" w:rsidRPr="00D0223A">
        <w:t>unvaccinated</w:t>
      </w:r>
      <w:r w:rsidRPr="00D0223A">
        <w:t>:</w:t>
      </w:r>
    </w:p>
    <w:p w:rsidR="007E3C93" w:rsidRPr="00D0223A" w:rsidRDefault="007E3C93" w:rsidP="00C9248D">
      <w:pPr>
        <w:pStyle w:val="ListParagraph"/>
        <w:widowControl/>
        <w:numPr>
          <w:ilvl w:val="0"/>
          <w:numId w:val="11"/>
        </w:numPr>
      </w:pPr>
      <w:r w:rsidRPr="00D0223A">
        <w:t>Between 38 and 57 more people would avoid a case of zoster; and</w:t>
      </w:r>
    </w:p>
    <w:p w:rsidR="007E3C93" w:rsidRPr="00D0223A" w:rsidRDefault="007E3C93" w:rsidP="00C9248D">
      <w:pPr>
        <w:pStyle w:val="ListParagraph"/>
        <w:widowControl/>
        <w:numPr>
          <w:ilvl w:val="0"/>
          <w:numId w:val="11"/>
        </w:numPr>
      </w:pPr>
      <w:r w:rsidRPr="00D0223A">
        <w:t>Between 6 and 11 more people would avoid a case of PHN.</w:t>
      </w:r>
    </w:p>
    <w:p w:rsidR="007E3C93" w:rsidRPr="00D0223A" w:rsidRDefault="007E3C93" w:rsidP="007E3C93">
      <w:pPr>
        <w:widowControl/>
        <w:ind w:left="720"/>
      </w:pPr>
    </w:p>
    <w:p w:rsidR="007E3C93" w:rsidRPr="00D0223A" w:rsidRDefault="007E3C93" w:rsidP="007E3C93">
      <w:pPr>
        <w:widowControl/>
        <w:ind w:left="720"/>
      </w:pPr>
      <w:r w:rsidRPr="00D0223A">
        <w:t>On the basis of evidence presented in the re-submission, in the 42 days following zoster vaccination, for every 1000 people receiving zoster vaccination, compared with those who are unvaccinated:</w:t>
      </w:r>
    </w:p>
    <w:p w:rsidR="007E3C93" w:rsidRPr="00D0223A" w:rsidRDefault="007E3C93" w:rsidP="00C9248D">
      <w:pPr>
        <w:pStyle w:val="ListParagraph"/>
        <w:widowControl/>
        <w:numPr>
          <w:ilvl w:val="0"/>
          <w:numId w:val="6"/>
        </w:numPr>
      </w:pPr>
      <w:r w:rsidRPr="00D0223A">
        <w:t>320 more people would experience an injection site adverse event</w:t>
      </w:r>
      <w:r w:rsidR="00DC6F91" w:rsidRPr="00D0223A">
        <w:t xml:space="preserve"> (ITT)</w:t>
      </w:r>
      <w:r w:rsidRPr="00D0223A">
        <w:t xml:space="preserve">; </w:t>
      </w:r>
    </w:p>
    <w:p w:rsidR="007E3C93" w:rsidRPr="00D0223A" w:rsidRDefault="007E3C93" w:rsidP="007E3C93"/>
    <w:p w:rsidR="007E3C93" w:rsidRPr="00FF242D" w:rsidRDefault="007E3C93" w:rsidP="00FF242D">
      <w:pPr>
        <w:rPr>
          <w:b/>
          <w:szCs w:val="22"/>
        </w:rPr>
      </w:pPr>
      <w:bookmarkStart w:id="34" w:name="_Toc269216219"/>
      <w:bookmarkStart w:id="35" w:name="_Toc395780736"/>
      <w:bookmarkStart w:id="36" w:name="_Toc397415404"/>
      <w:r w:rsidRPr="00FF242D">
        <w:rPr>
          <w:b/>
          <w:szCs w:val="22"/>
        </w:rPr>
        <w:t>Clinical claim</w:t>
      </w:r>
      <w:bookmarkEnd w:id="34"/>
      <w:bookmarkEnd w:id="35"/>
      <w:bookmarkEnd w:id="36"/>
    </w:p>
    <w:p w:rsidR="007E3C93" w:rsidRPr="00D0223A" w:rsidRDefault="007E3C93" w:rsidP="007E3C93">
      <w:pPr>
        <w:pStyle w:val="BodyText"/>
      </w:pPr>
    </w:p>
    <w:p w:rsidR="00C9248D" w:rsidRPr="00D0223A" w:rsidRDefault="0012129B" w:rsidP="007C3BFB">
      <w:pPr>
        <w:pStyle w:val="ListParagraph"/>
        <w:widowControl/>
        <w:numPr>
          <w:ilvl w:val="1"/>
          <w:numId w:val="1"/>
        </w:numPr>
        <w:rPr>
          <w:i/>
        </w:rPr>
      </w:pPr>
      <w:r w:rsidRPr="00D0223A">
        <w:t xml:space="preserve">A </w:t>
      </w:r>
      <w:r w:rsidR="007E3C93" w:rsidRPr="00D0223A">
        <w:t xml:space="preserve">clinical claim </w:t>
      </w:r>
      <w:r w:rsidR="00602D90" w:rsidRPr="00D0223A">
        <w:t xml:space="preserve">was </w:t>
      </w:r>
      <w:r w:rsidRPr="00D0223A">
        <w:t xml:space="preserve">not stated </w:t>
      </w:r>
      <w:r w:rsidR="00361DBC" w:rsidRPr="00D0223A">
        <w:t>in the re-submission.</w:t>
      </w:r>
      <w:r w:rsidR="007E3C93" w:rsidRPr="00D0223A">
        <w:t xml:space="preserve"> </w:t>
      </w:r>
      <w:r w:rsidR="008836F9" w:rsidRPr="00D0223A">
        <w:t xml:space="preserve">The </w:t>
      </w:r>
      <w:r w:rsidR="007E3C93" w:rsidRPr="00D0223A">
        <w:t xml:space="preserve">presented evidence </w:t>
      </w:r>
      <w:r w:rsidR="0050402C" w:rsidRPr="00D0223A">
        <w:t xml:space="preserve">supported </w:t>
      </w:r>
      <w:r w:rsidR="007E3C93" w:rsidRPr="00D0223A">
        <w:t>a claim that zoster vaccine is superior to placebo in terms of reducing the incidence of zoster and PHN and inferior to placebo in terms of comparative safety for the target cohort of people aged 70 years and a catch up cohort aged 71-79 years.</w:t>
      </w:r>
      <w:r w:rsidR="008836F9" w:rsidRPr="00D0223A">
        <w:t xml:space="preserve"> The ESC noted that the vaccine was not as effective in the 70-79 age group com</w:t>
      </w:r>
      <w:r w:rsidR="00361DBC" w:rsidRPr="00D0223A">
        <w:t>pared to 60</w:t>
      </w:r>
      <w:r w:rsidR="00361DBC" w:rsidRPr="00D0223A">
        <w:noBreakHyphen/>
      </w:r>
      <w:r w:rsidR="008836F9" w:rsidRPr="00D0223A">
        <w:t xml:space="preserve">69 age group for reducing incidence of zoster, but this reduction was offset by </w:t>
      </w:r>
      <w:r w:rsidR="00BE082C" w:rsidRPr="00D0223A">
        <w:t xml:space="preserve">a greater </w:t>
      </w:r>
      <w:r w:rsidR="008836F9" w:rsidRPr="00D0223A">
        <w:t xml:space="preserve">reduction in PHN in the older group. Overall, the ESC considered that the vaccine is </w:t>
      </w:r>
      <w:r w:rsidR="008F0F41" w:rsidRPr="00D0223A">
        <w:t>effective and probably more effective in the older age group with acceptable safety</w:t>
      </w:r>
      <w:r w:rsidRPr="00D0223A">
        <w:t>.</w:t>
      </w:r>
      <w:r w:rsidR="007C3BFB" w:rsidRPr="00D0223A" w:rsidDel="007C3BFB">
        <w:rPr>
          <w:i/>
        </w:rPr>
        <w:t xml:space="preserve"> </w:t>
      </w:r>
    </w:p>
    <w:p w:rsidR="008320AB" w:rsidRPr="00D0223A" w:rsidRDefault="008320AB" w:rsidP="008320AB">
      <w:pPr>
        <w:pStyle w:val="ListParagraph"/>
      </w:pPr>
    </w:p>
    <w:p w:rsidR="008320AB" w:rsidRPr="009A480C" w:rsidRDefault="008320AB" w:rsidP="008320AB">
      <w:pPr>
        <w:pStyle w:val="ListParagraph"/>
        <w:numPr>
          <w:ilvl w:val="1"/>
          <w:numId w:val="1"/>
        </w:numPr>
      </w:pPr>
      <w:r w:rsidRPr="009A480C">
        <w:t>In the post-submission advice, ATAGI maintained that</w:t>
      </w:r>
      <w:r w:rsidR="00B84250" w:rsidRPr="009A480C">
        <w:t xml:space="preserve"> “</w:t>
      </w:r>
      <w:r w:rsidRPr="009A480C">
        <w:t>it is reasonable to assume that the initial vaccine efficacy of Zostavax would decrease with increased age. ATAGI reiterates that it is highly likely that Zostavax vaccine efficacy could wane at a faster rate in those vaccinated at an older age compared with a younger age…. ATAGI considers that it is particularly difficult to confidently derive vaccine efficacy estimates for single-year age groups from the available clinical trial data over time, and notes that uncertainty relating to age-specific initial vaccine efficacy and rate of waning remains…. With regard to waning, ATAGI notes that a recent summary statement on herpes zoster vaccination from the USA Advisory Committee on Immunization Practices (ACIP) concluded, based on all available evidence, that vaccine efficacy of Zostavax for preventing HZ [zoster] in persons ≥60 years of age beyond year 5 remains uncertain. ACIP also highlighted that Zostavax vaccine efficacy estimates against PHN (although having point estimates that were higher than that for HZ) were not statistically significantly different from zero from year 3 onwards</w:t>
      </w:r>
      <w:r w:rsidR="00B84250" w:rsidRPr="009A480C">
        <w:t>”</w:t>
      </w:r>
      <w:r w:rsidRPr="009A480C">
        <w:t>.</w:t>
      </w:r>
    </w:p>
    <w:p w:rsidR="008320AB" w:rsidRPr="00D0223A" w:rsidRDefault="008320AB" w:rsidP="008320AB">
      <w:pPr>
        <w:rPr>
          <w:szCs w:val="22"/>
        </w:rPr>
      </w:pPr>
    </w:p>
    <w:p w:rsidR="007E3C93" w:rsidRPr="00FF242D" w:rsidRDefault="007E3C93" w:rsidP="00FF242D">
      <w:pPr>
        <w:rPr>
          <w:b/>
          <w:szCs w:val="22"/>
        </w:rPr>
      </w:pPr>
      <w:bookmarkStart w:id="37" w:name="_Toc269216220"/>
      <w:bookmarkStart w:id="38" w:name="_Toc395780737"/>
      <w:bookmarkStart w:id="39" w:name="_Toc397415405"/>
      <w:r w:rsidRPr="00FF242D">
        <w:rPr>
          <w:b/>
          <w:szCs w:val="22"/>
        </w:rPr>
        <w:t>Economic analysis</w:t>
      </w:r>
      <w:bookmarkEnd w:id="37"/>
      <w:bookmarkEnd w:id="38"/>
      <w:bookmarkEnd w:id="39"/>
      <w:r w:rsidRPr="00FF242D">
        <w:rPr>
          <w:b/>
          <w:szCs w:val="22"/>
        </w:rPr>
        <w:t xml:space="preserve"> </w:t>
      </w:r>
    </w:p>
    <w:p w:rsidR="007E3C93" w:rsidRPr="00D0223A" w:rsidRDefault="007E3C93" w:rsidP="007E3C93">
      <w:pPr>
        <w:ind w:left="720" w:hanging="720"/>
        <w:rPr>
          <w:szCs w:val="22"/>
        </w:rPr>
      </w:pPr>
    </w:p>
    <w:p w:rsidR="007E3C93" w:rsidRPr="00D0223A" w:rsidRDefault="007E3C93" w:rsidP="00C9248D">
      <w:pPr>
        <w:pStyle w:val="ListParagraph"/>
        <w:widowControl/>
        <w:numPr>
          <w:ilvl w:val="1"/>
          <w:numId w:val="1"/>
        </w:numPr>
        <w:rPr>
          <w:szCs w:val="22"/>
        </w:rPr>
      </w:pPr>
      <w:r w:rsidRPr="00D0223A">
        <w:t xml:space="preserve">The </w:t>
      </w:r>
      <w:r w:rsidR="00BE082C" w:rsidRPr="00D0223A">
        <w:t xml:space="preserve">submission </w:t>
      </w:r>
      <w:r w:rsidR="00602D90" w:rsidRPr="00D0223A">
        <w:t xml:space="preserve">presented </w:t>
      </w:r>
      <w:r w:rsidR="00BE082C" w:rsidRPr="00D0223A">
        <w:t xml:space="preserve">a </w:t>
      </w:r>
      <w:r w:rsidRPr="00D0223A">
        <w:t>cost-utility analysis. The model structure, time horizon, outcomes measured and methods used to generate the results (</w:t>
      </w:r>
      <w:r w:rsidR="00D040EF" w:rsidRPr="00D0223A">
        <w:t>table below</w:t>
      </w:r>
      <w:r w:rsidRPr="00D0223A">
        <w:t>) remain</w:t>
      </w:r>
      <w:r w:rsidR="00602D90" w:rsidRPr="00D0223A">
        <w:t>ed</w:t>
      </w:r>
      <w:r w:rsidRPr="00D0223A">
        <w:t xml:space="preserve"> unchanged from the model in the submission considered at the March 2014 PBAC meeting. A number of key variables from the previous re-submission </w:t>
      </w:r>
      <w:r w:rsidR="00602D90" w:rsidRPr="00D0223A">
        <w:t>were</w:t>
      </w:r>
      <w:r w:rsidRPr="00D0223A">
        <w:t xml:space="preserve"> updated, including an updated price, and vaccine efficacy in terms of a reduction of the incidence of zoster (+/- PHN) and severity and duration of zoster (+/- PHN). </w:t>
      </w:r>
      <w:r w:rsidRPr="00D0223A">
        <w:rPr>
          <w:color w:val="FF0000"/>
        </w:rPr>
        <w:t xml:space="preserve"> </w:t>
      </w:r>
    </w:p>
    <w:p w:rsidR="007E3C93" w:rsidRPr="00D0223A" w:rsidRDefault="007E3C93" w:rsidP="007E3C93">
      <w:pPr>
        <w:widowControl/>
        <w:rPr>
          <w:szCs w:val="22"/>
        </w:rPr>
      </w:pPr>
    </w:p>
    <w:p w:rsidR="007E3C93" w:rsidRPr="00D0223A" w:rsidRDefault="007E3C93" w:rsidP="00361DBC">
      <w:pPr>
        <w:keepNext/>
        <w:ind w:firstLine="720"/>
        <w:rPr>
          <w:rStyle w:val="CommentReference"/>
        </w:rPr>
      </w:pPr>
      <w:r w:rsidRPr="00D0223A">
        <w:rPr>
          <w:rStyle w:val="CommentReference"/>
        </w:rPr>
        <w:lastRenderedPageBreak/>
        <w:t>Summary of model structure and rationale</w:t>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6579"/>
      </w:tblGrid>
      <w:tr w:rsidR="007E3C93" w:rsidRPr="00D0223A" w:rsidTr="008F34F1">
        <w:tc>
          <w:tcPr>
            <w:tcW w:w="1764" w:type="dxa"/>
            <w:shd w:val="clear" w:color="auto" w:fill="auto"/>
          </w:tcPr>
          <w:p w:rsidR="007E3C93" w:rsidRPr="00D0223A" w:rsidRDefault="007E3C93" w:rsidP="00361DBC">
            <w:pPr>
              <w:pStyle w:val="tabletext1"/>
              <w:keepNext/>
            </w:pPr>
            <w:r w:rsidRPr="00D0223A">
              <w:t>Time horizon</w:t>
            </w:r>
          </w:p>
        </w:tc>
        <w:tc>
          <w:tcPr>
            <w:tcW w:w="6579" w:type="dxa"/>
            <w:shd w:val="clear" w:color="auto" w:fill="auto"/>
          </w:tcPr>
          <w:p w:rsidR="007E3C93" w:rsidRPr="00D0223A" w:rsidRDefault="007E3C93" w:rsidP="00361DBC">
            <w:pPr>
              <w:pStyle w:val="tabletext1"/>
              <w:keepNext/>
            </w:pPr>
            <w:r w:rsidRPr="00D0223A">
              <w:t xml:space="preserve">Until patients are 105 years. This equates to 35 years of follow-up for a 70 year old cohort in the model. There were up to 7 years follow up for the pooled results of the SPS and STPS trials. </w:t>
            </w:r>
          </w:p>
        </w:tc>
      </w:tr>
      <w:tr w:rsidR="007E3C93" w:rsidRPr="00D0223A" w:rsidTr="008F34F1">
        <w:tc>
          <w:tcPr>
            <w:tcW w:w="1764" w:type="dxa"/>
            <w:shd w:val="clear" w:color="auto" w:fill="auto"/>
          </w:tcPr>
          <w:p w:rsidR="007E3C93" w:rsidRPr="00D0223A" w:rsidRDefault="007E3C93" w:rsidP="00361DBC">
            <w:pPr>
              <w:pStyle w:val="tabletext1"/>
              <w:keepNext/>
            </w:pPr>
            <w:r w:rsidRPr="00D0223A">
              <w:t>Outcomes</w:t>
            </w:r>
          </w:p>
        </w:tc>
        <w:tc>
          <w:tcPr>
            <w:tcW w:w="6579" w:type="dxa"/>
            <w:shd w:val="clear" w:color="auto" w:fill="auto"/>
          </w:tcPr>
          <w:p w:rsidR="007E3C93" w:rsidRPr="00D0223A" w:rsidRDefault="007E3C93" w:rsidP="00361DBC">
            <w:pPr>
              <w:pStyle w:val="tabletext1"/>
              <w:keepNext/>
            </w:pPr>
            <w:r w:rsidRPr="00D0223A">
              <w:t>QALYs</w:t>
            </w:r>
          </w:p>
        </w:tc>
      </w:tr>
      <w:tr w:rsidR="007E3C93" w:rsidRPr="00D0223A" w:rsidTr="008F34F1">
        <w:tc>
          <w:tcPr>
            <w:tcW w:w="1764" w:type="dxa"/>
            <w:shd w:val="clear" w:color="auto" w:fill="auto"/>
          </w:tcPr>
          <w:p w:rsidR="007E3C93" w:rsidRPr="00D0223A" w:rsidRDefault="007E3C93" w:rsidP="00361DBC">
            <w:pPr>
              <w:pStyle w:val="tabletext1"/>
              <w:keepNext/>
              <w:jc w:val="left"/>
            </w:pPr>
            <w:r w:rsidRPr="00D0223A">
              <w:t>Methods used to generate results</w:t>
            </w:r>
          </w:p>
        </w:tc>
        <w:tc>
          <w:tcPr>
            <w:tcW w:w="6579" w:type="dxa"/>
            <w:shd w:val="clear" w:color="auto" w:fill="auto"/>
          </w:tcPr>
          <w:p w:rsidR="007E3C93" w:rsidRPr="00D0223A" w:rsidRDefault="007E3C93" w:rsidP="00361DBC">
            <w:pPr>
              <w:pStyle w:val="tabletext1"/>
              <w:keepNext/>
            </w:pPr>
            <w:r w:rsidRPr="00D0223A">
              <w:t>Markov model cohort expected value analysis</w:t>
            </w:r>
          </w:p>
        </w:tc>
      </w:tr>
      <w:tr w:rsidR="007E3C93" w:rsidRPr="00D0223A" w:rsidTr="008F34F1">
        <w:tc>
          <w:tcPr>
            <w:tcW w:w="1764" w:type="dxa"/>
            <w:shd w:val="clear" w:color="auto" w:fill="auto"/>
          </w:tcPr>
          <w:p w:rsidR="007E3C93" w:rsidRPr="00D0223A" w:rsidRDefault="007E3C93" w:rsidP="00361DBC">
            <w:pPr>
              <w:pStyle w:val="tabletext1"/>
              <w:keepNext/>
            </w:pPr>
            <w:r w:rsidRPr="00D0223A">
              <w:t>Cycle length</w:t>
            </w:r>
          </w:p>
        </w:tc>
        <w:tc>
          <w:tcPr>
            <w:tcW w:w="6579" w:type="dxa"/>
            <w:shd w:val="clear" w:color="auto" w:fill="auto"/>
          </w:tcPr>
          <w:p w:rsidR="007E3C93" w:rsidRPr="00D0223A" w:rsidRDefault="007E3C93" w:rsidP="00361DBC">
            <w:pPr>
              <w:pStyle w:val="tabletext1"/>
              <w:keepNext/>
            </w:pPr>
            <w:r w:rsidRPr="00D0223A">
              <w:t>1 year</w:t>
            </w:r>
          </w:p>
        </w:tc>
      </w:tr>
      <w:tr w:rsidR="007E3C93" w:rsidRPr="00D0223A" w:rsidTr="008F34F1">
        <w:tc>
          <w:tcPr>
            <w:tcW w:w="1764" w:type="dxa"/>
            <w:shd w:val="clear" w:color="auto" w:fill="auto"/>
          </w:tcPr>
          <w:p w:rsidR="007E3C93" w:rsidRPr="00D0223A" w:rsidRDefault="007E3C93" w:rsidP="00361DBC">
            <w:pPr>
              <w:pStyle w:val="tabletext1"/>
              <w:keepNext/>
            </w:pPr>
            <w:r w:rsidRPr="00D0223A">
              <w:t>Transition probabilities</w:t>
            </w:r>
          </w:p>
        </w:tc>
        <w:tc>
          <w:tcPr>
            <w:tcW w:w="6579" w:type="dxa"/>
            <w:shd w:val="clear" w:color="auto" w:fill="auto"/>
          </w:tcPr>
          <w:p w:rsidR="007E3C93" w:rsidRPr="00D0223A" w:rsidRDefault="007E3C93" w:rsidP="00361DBC">
            <w:pPr>
              <w:pStyle w:val="tabletext1"/>
              <w:keepNext/>
            </w:pPr>
            <w:r w:rsidRPr="00D0223A">
              <w:t>Comparator arm:</w:t>
            </w:r>
          </w:p>
          <w:p w:rsidR="007E3C93" w:rsidRPr="00D0223A" w:rsidRDefault="007E3C93" w:rsidP="00C9248D">
            <w:pPr>
              <w:pStyle w:val="tabletext1"/>
              <w:keepNext/>
              <w:numPr>
                <w:ilvl w:val="0"/>
                <w:numId w:val="3"/>
              </w:numPr>
            </w:pPr>
            <w:r w:rsidRPr="00D0223A">
              <w:t>Zoster - age specific annual incidence rate of zoster (BEACH data);</w:t>
            </w:r>
          </w:p>
          <w:p w:rsidR="007E3C93" w:rsidRPr="00D0223A" w:rsidRDefault="007E3C93" w:rsidP="00C9248D">
            <w:pPr>
              <w:pStyle w:val="tabletext1"/>
              <w:keepNext/>
              <w:numPr>
                <w:ilvl w:val="0"/>
                <w:numId w:val="3"/>
              </w:numPr>
            </w:pPr>
            <w:r w:rsidRPr="00D0223A">
              <w:t>Age specific annual incidence rate of PHN given zoster (SPS data);</w:t>
            </w:r>
          </w:p>
          <w:p w:rsidR="007E3C93" w:rsidRPr="00D0223A" w:rsidRDefault="007E3C93" w:rsidP="00C9248D">
            <w:pPr>
              <w:pStyle w:val="tabletext1"/>
              <w:keepNext/>
              <w:numPr>
                <w:ilvl w:val="0"/>
                <w:numId w:val="3"/>
              </w:numPr>
              <w:ind w:left="714" w:hanging="357"/>
            </w:pPr>
            <w:r w:rsidRPr="00D0223A">
              <w:t>Age specific all-cause mortality (ABS data).</w:t>
            </w:r>
          </w:p>
          <w:p w:rsidR="007E3C93" w:rsidRPr="00D0223A" w:rsidRDefault="007E3C93" w:rsidP="00361DBC">
            <w:pPr>
              <w:pStyle w:val="tabletext1"/>
              <w:keepNext/>
            </w:pPr>
            <w:r w:rsidRPr="00D0223A">
              <w:t>Vaccine arm:</w:t>
            </w:r>
          </w:p>
          <w:p w:rsidR="007E3C93" w:rsidRPr="00D0223A" w:rsidRDefault="007E3C93" w:rsidP="00C9248D">
            <w:pPr>
              <w:pStyle w:val="tabletext1"/>
              <w:keepNext/>
              <w:numPr>
                <w:ilvl w:val="0"/>
                <w:numId w:val="4"/>
              </w:numPr>
            </w:pPr>
            <w:r w:rsidRPr="00D0223A">
              <w:t xml:space="preserve">Age specific annual incidence rate of zoster (BEACH data) adjusted for the expected vaccine efficacy as observed in the trials, using either trial-based estimates or modelled estimates; </w:t>
            </w:r>
          </w:p>
          <w:p w:rsidR="007E3C93" w:rsidRPr="00D0223A" w:rsidRDefault="007E3C93" w:rsidP="00C9248D">
            <w:pPr>
              <w:pStyle w:val="tabletext1"/>
              <w:keepNext/>
              <w:numPr>
                <w:ilvl w:val="0"/>
                <w:numId w:val="4"/>
              </w:numPr>
            </w:pPr>
            <w:r w:rsidRPr="00D0223A">
              <w:t xml:space="preserve">Age specific annual incidence rate of PHN given zoster (SPS) adjusted for the expected vaccine efficacy as observed in the trials, using either trial-based estimates or modelled estimates; </w:t>
            </w:r>
          </w:p>
          <w:p w:rsidR="007E3C93" w:rsidRPr="00D0223A" w:rsidRDefault="007E3C93" w:rsidP="00C9248D">
            <w:pPr>
              <w:pStyle w:val="tabletext1"/>
              <w:keepNext/>
              <w:numPr>
                <w:ilvl w:val="0"/>
                <w:numId w:val="4"/>
              </w:numPr>
            </w:pPr>
            <w:r w:rsidRPr="00D0223A">
              <w:t xml:space="preserve">Age specific all-cause mortality (ABS data). </w:t>
            </w:r>
          </w:p>
        </w:tc>
      </w:tr>
      <w:tr w:rsidR="007E3C93" w:rsidRPr="00D0223A" w:rsidTr="008F34F1">
        <w:tc>
          <w:tcPr>
            <w:tcW w:w="1764" w:type="dxa"/>
            <w:shd w:val="clear" w:color="auto" w:fill="auto"/>
          </w:tcPr>
          <w:p w:rsidR="007E3C93" w:rsidRPr="00D0223A" w:rsidRDefault="007E3C93" w:rsidP="00361DBC">
            <w:pPr>
              <w:pStyle w:val="tabletext1"/>
              <w:keepNext/>
            </w:pPr>
            <w:r w:rsidRPr="00D0223A">
              <w:t>Discount rate</w:t>
            </w:r>
          </w:p>
        </w:tc>
        <w:tc>
          <w:tcPr>
            <w:tcW w:w="6579" w:type="dxa"/>
            <w:shd w:val="clear" w:color="auto" w:fill="auto"/>
          </w:tcPr>
          <w:p w:rsidR="007E3C93" w:rsidRPr="00D0223A" w:rsidRDefault="007E3C93" w:rsidP="00361DBC">
            <w:pPr>
              <w:pStyle w:val="tabletext1"/>
              <w:keepNext/>
            </w:pPr>
            <w:r w:rsidRPr="00D0223A">
              <w:t>5% for costs and outcomes</w:t>
            </w:r>
          </w:p>
        </w:tc>
      </w:tr>
      <w:tr w:rsidR="007E3C93" w:rsidRPr="00D0223A" w:rsidTr="008F34F1">
        <w:tc>
          <w:tcPr>
            <w:tcW w:w="1764" w:type="dxa"/>
            <w:shd w:val="clear" w:color="auto" w:fill="auto"/>
          </w:tcPr>
          <w:p w:rsidR="007E3C93" w:rsidRPr="00D0223A" w:rsidRDefault="007E3C93" w:rsidP="00361DBC">
            <w:pPr>
              <w:pStyle w:val="tabletext1"/>
              <w:keepNext/>
            </w:pPr>
            <w:r w:rsidRPr="00D0223A">
              <w:t>Software package</w:t>
            </w:r>
          </w:p>
        </w:tc>
        <w:tc>
          <w:tcPr>
            <w:tcW w:w="6579" w:type="dxa"/>
            <w:shd w:val="clear" w:color="auto" w:fill="auto"/>
          </w:tcPr>
          <w:p w:rsidR="007E3C93" w:rsidRPr="00D0223A" w:rsidRDefault="007E3C93" w:rsidP="00361DBC">
            <w:pPr>
              <w:pStyle w:val="tabletext1"/>
              <w:keepNext/>
            </w:pPr>
            <w:r w:rsidRPr="00D0223A">
              <w:t>TreeAge Pro 2013</w:t>
            </w:r>
          </w:p>
        </w:tc>
      </w:tr>
    </w:tbl>
    <w:p w:rsidR="007E3C93" w:rsidRPr="00D0223A" w:rsidRDefault="007E3C93" w:rsidP="007E3C93">
      <w:pPr>
        <w:pStyle w:val="TableFooter"/>
        <w:ind w:left="720"/>
      </w:pPr>
      <w:r w:rsidRPr="00D0223A">
        <w:t>QALYs = quality-adjusted life-years; BEACH = Bettering the Evaluation of Care and Health; SPS = Shingles Prevention Study; STPS = Short Term Persistence Study; ABS = Australian Bureau of Statistics.</w:t>
      </w:r>
    </w:p>
    <w:p w:rsidR="007E3C93" w:rsidRPr="00D0223A" w:rsidRDefault="007E3C93" w:rsidP="007E3C93">
      <w:pPr>
        <w:pStyle w:val="TableFooter"/>
        <w:ind w:firstLine="720"/>
      </w:pPr>
      <w:r w:rsidRPr="00D0223A">
        <w:t>Source: Compiled during the evaluation</w:t>
      </w:r>
    </w:p>
    <w:p w:rsidR="007E3C93" w:rsidRPr="00D0223A" w:rsidRDefault="007E3C93" w:rsidP="007E3C93">
      <w:pPr>
        <w:widowControl/>
        <w:rPr>
          <w:szCs w:val="22"/>
        </w:rPr>
      </w:pPr>
    </w:p>
    <w:p w:rsidR="007E3C93" w:rsidRPr="00D0223A" w:rsidRDefault="007E3C93" w:rsidP="00C9248D">
      <w:pPr>
        <w:pStyle w:val="ListParagraph"/>
        <w:widowControl/>
        <w:numPr>
          <w:ilvl w:val="1"/>
          <w:numId w:val="1"/>
        </w:numPr>
      </w:pPr>
      <w:r w:rsidRPr="00D0223A">
        <w:rPr>
          <w:szCs w:val="22"/>
        </w:rPr>
        <w:t xml:space="preserve">The re-submission </w:t>
      </w:r>
      <w:r w:rsidR="00602D90" w:rsidRPr="00D0223A">
        <w:rPr>
          <w:szCs w:val="22"/>
        </w:rPr>
        <w:t xml:space="preserve">presented </w:t>
      </w:r>
      <w:r w:rsidRPr="00D0223A">
        <w:rPr>
          <w:szCs w:val="22"/>
        </w:rPr>
        <w:t>two base case analyses in which vaccine efficacies are estimated using two approaches – trial based estimates and modelled estimates. Truncating the duration of the model reduces some of the potential overestimation of vaccine efficacy from the LTPS peri</w:t>
      </w:r>
      <w:r w:rsidR="00345841" w:rsidRPr="00D0223A">
        <w:rPr>
          <w:szCs w:val="22"/>
        </w:rPr>
        <w:t>od (as discussed</w:t>
      </w:r>
      <w:r w:rsidR="00144B98" w:rsidRPr="00D0223A">
        <w:rPr>
          <w:szCs w:val="22"/>
        </w:rPr>
        <w:t xml:space="preserve"> above</w:t>
      </w:r>
      <w:r w:rsidR="00345841" w:rsidRPr="00D0223A">
        <w:rPr>
          <w:szCs w:val="22"/>
        </w:rPr>
        <w:t>).</w:t>
      </w:r>
      <w:r w:rsidRPr="00D0223A">
        <w:rPr>
          <w:szCs w:val="22"/>
        </w:rPr>
        <w:t xml:space="preserve"> The economic model (when using trial-based mean vaccine efficacy) is not particularly sensitive to vaccine efficacy in terms of reducing zoster.</w:t>
      </w:r>
    </w:p>
    <w:p w:rsidR="007E3C93" w:rsidRPr="00D0223A" w:rsidRDefault="007E3C93" w:rsidP="007E3C93">
      <w:pPr>
        <w:pStyle w:val="ListParagraph"/>
        <w:widowControl/>
      </w:pPr>
    </w:p>
    <w:p w:rsidR="007E3C93" w:rsidRPr="00D0223A" w:rsidRDefault="007E3C93" w:rsidP="00C9248D">
      <w:pPr>
        <w:pStyle w:val="ListParagraph"/>
        <w:widowControl/>
        <w:numPr>
          <w:ilvl w:val="1"/>
          <w:numId w:val="1"/>
        </w:numPr>
        <w:rPr>
          <w:szCs w:val="22"/>
        </w:rPr>
      </w:pPr>
      <w:r w:rsidRPr="00D0223A">
        <w:t xml:space="preserve">The key drivers of the model are summarised in </w:t>
      </w:r>
      <w:r w:rsidR="00D040EF" w:rsidRPr="00D0223A">
        <w:t>the table below</w:t>
      </w:r>
      <w:r w:rsidRPr="00D0223A">
        <w:t>.</w:t>
      </w:r>
    </w:p>
    <w:p w:rsidR="007E3C93" w:rsidRPr="00D0223A" w:rsidRDefault="007E3C93" w:rsidP="007E3C93">
      <w:pPr>
        <w:widowControl/>
        <w:rPr>
          <w:szCs w:val="22"/>
        </w:rPr>
      </w:pPr>
    </w:p>
    <w:p w:rsidR="007E3C93" w:rsidRPr="00D0223A" w:rsidRDefault="007E3C93" w:rsidP="00361DBC">
      <w:pPr>
        <w:keepNext/>
        <w:ind w:firstLine="720"/>
        <w:rPr>
          <w:rStyle w:val="CommentReference"/>
        </w:rPr>
      </w:pPr>
      <w:r w:rsidRPr="00D0223A">
        <w:rPr>
          <w:rStyle w:val="CommentReference"/>
        </w:rPr>
        <w:lastRenderedPageBreak/>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9"/>
        <w:gridCol w:w="4366"/>
        <w:gridCol w:w="2250"/>
      </w:tblGrid>
      <w:tr w:rsidR="007E3C93" w:rsidRPr="00D0223A" w:rsidTr="008F34F1">
        <w:trPr>
          <w:tblHeader/>
        </w:trPr>
        <w:tc>
          <w:tcPr>
            <w:tcW w:w="1036" w:type="pct"/>
            <w:shd w:val="clear" w:color="auto" w:fill="auto"/>
            <w:vAlign w:val="center"/>
          </w:tcPr>
          <w:p w:rsidR="007E3C93" w:rsidRPr="00D0223A" w:rsidRDefault="007E3C93" w:rsidP="00361DBC">
            <w:pPr>
              <w:keepNext/>
              <w:ind w:left="114"/>
              <w:rPr>
                <w:rFonts w:ascii="Arial Narrow" w:hAnsi="Arial Narrow"/>
                <w:b/>
                <w:sz w:val="20"/>
              </w:rPr>
            </w:pPr>
            <w:r w:rsidRPr="00D0223A">
              <w:rPr>
                <w:rFonts w:ascii="Arial Narrow" w:hAnsi="Arial Narrow"/>
                <w:b/>
                <w:sz w:val="20"/>
              </w:rPr>
              <w:t>Description</w:t>
            </w:r>
          </w:p>
        </w:tc>
        <w:tc>
          <w:tcPr>
            <w:tcW w:w="2616" w:type="pct"/>
            <w:shd w:val="clear" w:color="auto" w:fill="auto"/>
            <w:vAlign w:val="center"/>
          </w:tcPr>
          <w:p w:rsidR="007E3C93" w:rsidRPr="00D0223A" w:rsidRDefault="007E3C93" w:rsidP="00361DBC">
            <w:pPr>
              <w:keepNext/>
              <w:ind w:left="86" w:right="113"/>
              <w:jc w:val="center"/>
              <w:rPr>
                <w:rFonts w:ascii="Arial Narrow" w:hAnsi="Arial Narrow"/>
                <w:b/>
                <w:sz w:val="20"/>
              </w:rPr>
            </w:pPr>
            <w:r w:rsidRPr="00D0223A">
              <w:rPr>
                <w:rFonts w:ascii="Arial Narrow" w:hAnsi="Arial Narrow"/>
                <w:b/>
                <w:sz w:val="20"/>
              </w:rPr>
              <w:t>Method/Value</w:t>
            </w:r>
          </w:p>
        </w:tc>
        <w:tc>
          <w:tcPr>
            <w:tcW w:w="1348" w:type="pct"/>
            <w:shd w:val="clear" w:color="auto" w:fill="auto"/>
            <w:vAlign w:val="center"/>
          </w:tcPr>
          <w:p w:rsidR="007E3C93" w:rsidRPr="00D0223A" w:rsidRDefault="007E3C93" w:rsidP="00361DBC">
            <w:pPr>
              <w:keepNext/>
              <w:jc w:val="center"/>
              <w:rPr>
                <w:rFonts w:ascii="Arial Narrow" w:hAnsi="Arial Narrow"/>
                <w:b/>
                <w:sz w:val="20"/>
              </w:rPr>
            </w:pPr>
            <w:r w:rsidRPr="00D0223A">
              <w:rPr>
                <w:rFonts w:ascii="Arial Narrow" w:hAnsi="Arial Narrow"/>
                <w:b/>
                <w:sz w:val="20"/>
              </w:rPr>
              <w:t>Impact</w:t>
            </w:r>
          </w:p>
        </w:tc>
      </w:tr>
      <w:tr w:rsidR="007E3C93" w:rsidRPr="00D0223A" w:rsidTr="008F34F1">
        <w:tc>
          <w:tcPr>
            <w:tcW w:w="1036" w:type="pct"/>
            <w:shd w:val="clear" w:color="auto" w:fill="auto"/>
            <w:vAlign w:val="center"/>
          </w:tcPr>
          <w:p w:rsidR="007E3C93" w:rsidRPr="00D0223A" w:rsidRDefault="007E3C93" w:rsidP="00361DBC">
            <w:pPr>
              <w:keepNext/>
              <w:ind w:left="114"/>
              <w:jc w:val="left"/>
              <w:rPr>
                <w:rFonts w:ascii="Arial Narrow" w:hAnsi="Arial Narrow"/>
                <w:sz w:val="20"/>
              </w:rPr>
            </w:pPr>
            <w:r w:rsidRPr="00D0223A">
              <w:rPr>
                <w:rFonts w:ascii="Arial Narrow" w:hAnsi="Arial Narrow"/>
                <w:sz w:val="20"/>
              </w:rPr>
              <w:t>Incidence of zoster*</w:t>
            </w:r>
          </w:p>
        </w:tc>
        <w:tc>
          <w:tcPr>
            <w:tcW w:w="2616" w:type="pct"/>
            <w:shd w:val="clear" w:color="auto" w:fill="auto"/>
            <w:vAlign w:val="center"/>
          </w:tcPr>
          <w:p w:rsidR="007E3C93" w:rsidRPr="00D0223A" w:rsidRDefault="007E3C93" w:rsidP="00361DBC">
            <w:pPr>
              <w:keepNext/>
              <w:ind w:left="86" w:right="113"/>
              <w:jc w:val="left"/>
              <w:rPr>
                <w:rFonts w:ascii="Arial Narrow" w:hAnsi="Arial Narrow"/>
                <w:sz w:val="20"/>
              </w:rPr>
            </w:pPr>
            <w:r w:rsidRPr="00D0223A">
              <w:rPr>
                <w:rFonts w:ascii="Arial Narrow" w:hAnsi="Arial Narrow"/>
                <w:sz w:val="20"/>
              </w:rPr>
              <w:t xml:space="preserve">Estimated from BEACH data (70-79 years: </w:t>
            </w:r>
            <w:r w:rsidR="00FE405A">
              <w:rPr>
                <w:rFonts w:ascii="Arial Narrow" w:hAnsi="Arial Narrow"/>
                <w:noProof/>
                <w:color w:val="000000"/>
                <w:sz w:val="20"/>
                <w:highlight w:val="black"/>
              </w:rPr>
              <w:t>'''''''''''''</w:t>
            </w:r>
            <w:r w:rsidRPr="00D0223A">
              <w:rPr>
                <w:rFonts w:ascii="Arial Narrow" w:hAnsi="Arial Narrow"/>
                <w:sz w:val="20"/>
              </w:rPr>
              <w:t xml:space="preserve">%; 80 + years: </w:t>
            </w:r>
            <w:r w:rsidR="00FE405A">
              <w:rPr>
                <w:rFonts w:ascii="Arial Narrow" w:hAnsi="Arial Narrow"/>
                <w:noProof/>
                <w:color w:val="000000"/>
                <w:sz w:val="20"/>
                <w:highlight w:val="black"/>
              </w:rPr>
              <w:t>''''''''''''''</w:t>
            </w:r>
            <w:r w:rsidRPr="00D0223A">
              <w:rPr>
                <w:rFonts w:ascii="Arial Narrow" w:hAnsi="Arial Narrow"/>
                <w:sz w:val="20"/>
              </w:rPr>
              <w:t>%) which include immunocompromised people and may be an over-estimate of the true incidence of zoster in the proposed immunocompetent NIP population. This estimate from BEACH data is significantly higher than the incidence observed in the SPS trial (70 + years: 1.1434%).</w:t>
            </w:r>
          </w:p>
        </w:tc>
        <w:tc>
          <w:tcPr>
            <w:tcW w:w="1348" w:type="pct"/>
            <w:shd w:val="clear" w:color="auto" w:fill="auto"/>
            <w:vAlign w:val="center"/>
          </w:tcPr>
          <w:p w:rsidR="007E3C93" w:rsidRPr="00D0223A" w:rsidRDefault="007E3C93" w:rsidP="00361DBC">
            <w:pPr>
              <w:keepNext/>
              <w:jc w:val="center"/>
              <w:rPr>
                <w:rFonts w:ascii="Arial Narrow" w:hAnsi="Arial Narrow"/>
                <w:sz w:val="20"/>
              </w:rPr>
            </w:pPr>
            <w:r w:rsidRPr="00D0223A">
              <w:rPr>
                <w:rFonts w:ascii="Arial Narrow" w:hAnsi="Arial Narrow"/>
                <w:sz w:val="20"/>
              </w:rPr>
              <w:t>Moderate (favours vaccine)</w:t>
            </w:r>
          </w:p>
        </w:tc>
      </w:tr>
      <w:tr w:rsidR="007E3C93" w:rsidRPr="00D0223A" w:rsidTr="008F34F1">
        <w:tc>
          <w:tcPr>
            <w:tcW w:w="1036" w:type="pct"/>
            <w:shd w:val="clear" w:color="auto" w:fill="auto"/>
            <w:vAlign w:val="center"/>
          </w:tcPr>
          <w:p w:rsidR="007E3C93" w:rsidRPr="00D0223A" w:rsidRDefault="007E3C93" w:rsidP="00361DBC">
            <w:pPr>
              <w:keepNext/>
              <w:ind w:left="114"/>
              <w:jc w:val="left"/>
              <w:rPr>
                <w:rFonts w:ascii="Arial Narrow" w:hAnsi="Arial Narrow"/>
                <w:sz w:val="20"/>
              </w:rPr>
            </w:pPr>
            <w:r w:rsidRPr="00D0223A">
              <w:rPr>
                <w:rFonts w:ascii="Arial Narrow" w:hAnsi="Arial Narrow"/>
                <w:sz w:val="20"/>
              </w:rPr>
              <w:t>Incidence of PHN, given zoster*</w:t>
            </w:r>
          </w:p>
        </w:tc>
        <w:tc>
          <w:tcPr>
            <w:tcW w:w="2616" w:type="pct"/>
            <w:shd w:val="clear" w:color="auto" w:fill="auto"/>
            <w:vAlign w:val="center"/>
          </w:tcPr>
          <w:p w:rsidR="007E3C93" w:rsidRPr="00D0223A" w:rsidRDefault="007E3C93" w:rsidP="00361DBC">
            <w:pPr>
              <w:keepNext/>
              <w:ind w:left="86" w:right="113"/>
              <w:jc w:val="left"/>
              <w:rPr>
                <w:rFonts w:ascii="Arial Narrow" w:hAnsi="Arial Narrow"/>
                <w:sz w:val="20"/>
              </w:rPr>
            </w:pPr>
            <w:r w:rsidRPr="00D0223A">
              <w:rPr>
                <w:rFonts w:ascii="Arial Narrow" w:hAnsi="Arial Narrow"/>
                <w:sz w:val="20"/>
              </w:rPr>
              <w:t xml:space="preserve">Calculated using SPS data for all patients aged over 70 years at vaccination (70-99 years; 18.5%), which is considerably higher than the incidence of PHN observed in the ITT population (mean age at vaccination 69.4 years) of 12.4472%. The estimate used in the base-case of the model is likely to be an overestimate for the 70 year old ongoing cohort. </w:t>
            </w:r>
          </w:p>
        </w:tc>
        <w:tc>
          <w:tcPr>
            <w:tcW w:w="1348" w:type="pct"/>
            <w:shd w:val="clear" w:color="auto" w:fill="auto"/>
            <w:vAlign w:val="center"/>
          </w:tcPr>
          <w:p w:rsidR="007E3C93" w:rsidRPr="00D0223A" w:rsidRDefault="007E3C93" w:rsidP="00361DBC">
            <w:pPr>
              <w:keepNext/>
              <w:jc w:val="center"/>
              <w:rPr>
                <w:rFonts w:ascii="Arial Narrow" w:hAnsi="Arial Narrow"/>
                <w:sz w:val="20"/>
              </w:rPr>
            </w:pPr>
            <w:r w:rsidRPr="00D0223A">
              <w:rPr>
                <w:rFonts w:ascii="Arial Narrow" w:hAnsi="Arial Narrow"/>
                <w:sz w:val="20"/>
              </w:rPr>
              <w:t>Moderate (favours vaccine)</w:t>
            </w:r>
          </w:p>
        </w:tc>
      </w:tr>
      <w:tr w:rsidR="007E3C93" w:rsidRPr="00D0223A" w:rsidTr="008F34F1">
        <w:tc>
          <w:tcPr>
            <w:tcW w:w="1036" w:type="pct"/>
            <w:shd w:val="clear" w:color="auto" w:fill="auto"/>
            <w:vAlign w:val="center"/>
          </w:tcPr>
          <w:p w:rsidR="007E3C93" w:rsidRPr="00D0223A" w:rsidRDefault="007E3C93" w:rsidP="00361DBC">
            <w:pPr>
              <w:keepNext/>
              <w:ind w:left="114"/>
              <w:jc w:val="left"/>
              <w:rPr>
                <w:rFonts w:ascii="Arial Narrow" w:hAnsi="Arial Narrow"/>
                <w:sz w:val="20"/>
              </w:rPr>
            </w:pPr>
            <w:r w:rsidRPr="00D0223A">
              <w:rPr>
                <w:rFonts w:ascii="Arial Narrow" w:hAnsi="Arial Narrow"/>
                <w:sz w:val="20"/>
              </w:rPr>
              <w:t>Disutility associated with a case of PHN*</w:t>
            </w:r>
          </w:p>
        </w:tc>
        <w:tc>
          <w:tcPr>
            <w:tcW w:w="2616" w:type="pct"/>
            <w:shd w:val="clear" w:color="auto" w:fill="auto"/>
            <w:vAlign w:val="center"/>
          </w:tcPr>
          <w:p w:rsidR="007E3C93" w:rsidRPr="00D0223A" w:rsidRDefault="007E3C93" w:rsidP="00361DBC">
            <w:pPr>
              <w:keepNext/>
              <w:ind w:left="86" w:right="113"/>
              <w:rPr>
                <w:rFonts w:ascii="Arial Narrow" w:hAnsi="Arial Narrow"/>
                <w:sz w:val="20"/>
              </w:rPr>
            </w:pPr>
            <w:r w:rsidRPr="00D0223A">
              <w:rPr>
                <w:rFonts w:ascii="Arial Narrow" w:hAnsi="Arial Narrow"/>
                <w:sz w:val="20"/>
              </w:rPr>
              <w:t xml:space="preserve">Based on the distribution of patients by </w:t>
            </w:r>
            <w:r w:rsidRPr="00D0223A">
              <w:rPr>
                <w:rFonts w:ascii="Arial Narrow" w:hAnsi="Arial Narrow"/>
                <w:sz w:val="20"/>
                <w:u w:val="single"/>
              </w:rPr>
              <w:t>average</w:t>
            </w:r>
            <w:r w:rsidRPr="00D0223A">
              <w:rPr>
                <w:rFonts w:ascii="Arial Narrow" w:hAnsi="Arial Narrow"/>
                <w:sz w:val="20"/>
              </w:rPr>
              <w:t xml:space="preserve"> pain score in the SPS over time, weighted by the expected QALY loss associated with each of the pain categories from the MASTER study. Non-clinically relevant pain scores have been included.</w:t>
            </w:r>
          </w:p>
          <w:p w:rsidR="007E3C93" w:rsidRPr="00D0223A" w:rsidRDefault="007E3C93" w:rsidP="00361DBC">
            <w:pPr>
              <w:keepNext/>
              <w:ind w:left="86" w:right="113"/>
              <w:rPr>
                <w:rFonts w:ascii="Arial Narrow" w:hAnsi="Arial Narrow"/>
                <w:sz w:val="20"/>
              </w:rPr>
            </w:pPr>
            <w:r w:rsidRPr="00D0223A">
              <w:rPr>
                <w:rFonts w:ascii="Arial Narrow" w:hAnsi="Arial Narrow"/>
                <w:sz w:val="20"/>
              </w:rPr>
              <w:t>The SPS study results may not be representative, given the very small number of patients being followed beyond the protocol specified period (26 weeks), which appears to drive much of the disutility (e</w:t>
            </w:r>
            <w:r w:rsidR="00FB6400" w:rsidRPr="00D0223A">
              <w:rPr>
                <w:rFonts w:ascii="Arial Narrow" w:hAnsi="Arial Narrow"/>
                <w:sz w:val="20"/>
              </w:rPr>
              <w:t>.</w:t>
            </w:r>
            <w:r w:rsidRPr="00D0223A">
              <w:rPr>
                <w:rFonts w:ascii="Arial Narrow" w:hAnsi="Arial Narrow"/>
                <w:sz w:val="20"/>
              </w:rPr>
              <w:t>g</w:t>
            </w:r>
            <w:r w:rsidR="00FB6400" w:rsidRPr="00D0223A">
              <w:rPr>
                <w:rFonts w:ascii="Arial Narrow" w:hAnsi="Arial Narrow"/>
                <w:sz w:val="20"/>
              </w:rPr>
              <w:t>.</w:t>
            </w:r>
            <w:r w:rsidRPr="00D0223A">
              <w:rPr>
                <w:rFonts w:ascii="Arial Narrow" w:hAnsi="Arial Narrow"/>
                <w:sz w:val="20"/>
              </w:rPr>
              <w:t xml:space="preserve"> the duration of PHN was some 3.29 years). </w:t>
            </w:r>
          </w:p>
        </w:tc>
        <w:tc>
          <w:tcPr>
            <w:tcW w:w="1348" w:type="pct"/>
            <w:shd w:val="clear" w:color="auto" w:fill="auto"/>
            <w:vAlign w:val="center"/>
          </w:tcPr>
          <w:p w:rsidR="007E3C93" w:rsidRPr="00D0223A" w:rsidRDefault="007E3C93" w:rsidP="00361DBC">
            <w:pPr>
              <w:keepNext/>
              <w:jc w:val="center"/>
              <w:rPr>
                <w:rFonts w:ascii="Arial Narrow" w:hAnsi="Arial Narrow"/>
                <w:sz w:val="20"/>
              </w:rPr>
            </w:pPr>
            <w:r w:rsidRPr="00D0223A">
              <w:rPr>
                <w:rFonts w:ascii="Arial Narrow" w:hAnsi="Arial Narrow"/>
                <w:sz w:val="20"/>
              </w:rPr>
              <w:t>Moderate (favours vaccine)</w:t>
            </w:r>
          </w:p>
        </w:tc>
      </w:tr>
      <w:tr w:rsidR="007E3C93" w:rsidRPr="00D0223A" w:rsidTr="00F31958">
        <w:tc>
          <w:tcPr>
            <w:tcW w:w="1036" w:type="pct"/>
            <w:shd w:val="clear" w:color="auto" w:fill="auto"/>
            <w:vAlign w:val="center"/>
          </w:tcPr>
          <w:p w:rsidR="007E3C93" w:rsidRPr="00D0223A" w:rsidRDefault="007E3C93" w:rsidP="00361DBC">
            <w:pPr>
              <w:keepNext/>
              <w:ind w:left="114"/>
              <w:jc w:val="left"/>
              <w:rPr>
                <w:rFonts w:ascii="Arial Narrow" w:hAnsi="Arial Narrow"/>
                <w:sz w:val="20"/>
              </w:rPr>
            </w:pPr>
            <w:r w:rsidRPr="00D0223A">
              <w:rPr>
                <w:rFonts w:ascii="Arial Narrow" w:hAnsi="Arial Narrow"/>
                <w:sz w:val="20"/>
              </w:rPr>
              <w:t>Duration of vaccine efficacy (incidence &amp; severity and duration)</w:t>
            </w:r>
          </w:p>
        </w:tc>
        <w:tc>
          <w:tcPr>
            <w:tcW w:w="2616" w:type="pct"/>
            <w:shd w:val="clear" w:color="auto" w:fill="auto"/>
          </w:tcPr>
          <w:p w:rsidR="007E3C93" w:rsidRPr="00D0223A" w:rsidRDefault="007E3C93" w:rsidP="00F31958">
            <w:pPr>
              <w:keepNext/>
              <w:ind w:left="86" w:right="113"/>
              <w:jc w:val="left"/>
              <w:rPr>
                <w:rFonts w:ascii="Arial Narrow" w:hAnsi="Arial Narrow"/>
                <w:sz w:val="20"/>
              </w:rPr>
            </w:pPr>
            <w:r w:rsidRPr="00D0223A">
              <w:rPr>
                <w:rFonts w:ascii="Arial Narrow" w:hAnsi="Arial Narrow"/>
                <w:sz w:val="20"/>
              </w:rPr>
              <w:t>Vaccine efficacy wanes over 13 years in the modelled and trial-based base case models, rather than over 10 years as proposed by ESC for the 60 year old cohort.</w:t>
            </w:r>
          </w:p>
        </w:tc>
        <w:tc>
          <w:tcPr>
            <w:tcW w:w="1348" w:type="pct"/>
            <w:shd w:val="clear" w:color="auto" w:fill="auto"/>
            <w:vAlign w:val="center"/>
          </w:tcPr>
          <w:p w:rsidR="007E3C93" w:rsidRPr="00D0223A" w:rsidRDefault="007E3C93" w:rsidP="00361DBC">
            <w:pPr>
              <w:keepNext/>
              <w:jc w:val="center"/>
              <w:rPr>
                <w:rFonts w:ascii="Arial Narrow" w:hAnsi="Arial Narrow"/>
                <w:sz w:val="20"/>
              </w:rPr>
            </w:pPr>
            <w:r w:rsidRPr="00D0223A">
              <w:rPr>
                <w:rFonts w:ascii="Arial Narrow" w:hAnsi="Arial Narrow"/>
                <w:sz w:val="20"/>
              </w:rPr>
              <w:t>Moderate (favours vaccine)</w:t>
            </w:r>
          </w:p>
        </w:tc>
      </w:tr>
      <w:tr w:rsidR="007E3C93" w:rsidRPr="00D0223A" w:rsidTr="008F34F1">
        <w:tc>
          <w:tcPr>
            <w:tcW w:w="1036" w:type="pct"/>
            <w:shd w:val="clear" w:color="auto" w:fill="auto"/>
            <w:vAlign w:val="center"/>
          </w:tcPr>
          <w:p w:rsidR="007E3C93" w:rsidRPr="00D0223A" w:rsidRDefault="007E3C93" w:rsidP="00361DBC">
            <w:pPr>
              <w:keepNext/>
              <w:ind w:left="114"/>
              <w:jc w:val="left"/>
              <w:rPr>
                <w:rFonts w:ascii="Arial Narrow" w:hAnsi="Arial Narrow"/>
                <w:sz w:val="20"/>
              </w:rPr>
            </w:pPr>
            <w:r w:rsidRPr="00D0223A">
              <w:rPr>
                <w:rFonts w:ascii="Arial Narrow" w:hAnsi="Arial Narrow"/>
                <w:sz w:val="20"/>
              </w:rPr>
              <w:t>Vaccine efficacy in terms of a reduction in the duration and severity of zoster (+/- PHN)</w:t>
            </w:r>
          </w:p>
        </w:tc>
        <w:tc>
          <w:tcPr>
            <w:tcW w:w="2616" w:type="pct"/>
            <w:shd w:val="clear" w:color="auto" w:fill="auto"/>
            <w:vAlign w:val="center"/>
          </w:tcPr>
          <w:p w:rsidR="007E3C93" w:rsidRPr="00D0223A" w:rsidRDefault="007E3C93" w:rsidP="00361DBC">
            <w:pPr>
              <w:keepNext/>
              <w:ind w:left="86" w:right="113"/>
              <w:jc w:val="left"/>
              <w:rPr>
                <w:rFonts w:ascii="Arial Narrow" w:hAnsi="Arial Narrow"/>
                <w:sz w:val="20"/>
              </w:rPr>
            </w:pPr>
            <w:r w:rsidRPr="00D0223A">
              <w:rPr>
                <w:rFonts w:ascii="Arial Narrow" w:hAnsi="Arial Narrow"/>
                <w:sz w:val="20"/>
              </w:rPr>
              <w:t>Vaccine efficacy in term of reduction in disutility:</w:t>
            </w:r>
          </w:p>
          <w:p w:rsidR="007E3C93" w:rsidRPr="00D0223A" w:rsidRDefault="007E3C93" w:rsidP="00361DBC">
            <w:pPr>
              <w:keepNext/>
              <w:ind w:left="86" w:right="113"/>
              <w:jc w:val="left"/>
              <w:rPr>
                <w:rFonts w:ascii="Arial Narrow" w:hAnsi="Arial Narrow"/>
                <w:sz w:val="20"/>
              </w:rPr>
            </w:pPr>
            <w:r w:rsidRPr="00D0223A">
              <w:rPr>
                <w:rFonts w:ascii="Arial Narrow" w:hAnsi="Arial Narrow"/>
                <w:sz w:val="20"/>
              </w:rPr>
              <w:t xml:space="preserve">Zoster: </w:t>
            </w:r>
            <w:r w:rsidR="00FE405A">
              <w:rPr>
                <w:rFonts w:ascii="Arial Narrow" w:hAnsi="Arial Narrow"/>
                <w:noProof/>
                <w:color w:val="000000"/>
                <w:sz w:val="20"/>
                <w:highlight w:val="black"/>
              </w:rPr>
              <w:t>''''''''''</w:t>
            </w:r>
            <w:r w:rsidRPr="00D0223A">
              <w:rPr>
                <w:rFonts w:ascii="Arial Narrow" w:hAnsi="Arial Narrow"/>
                <w:sz w:val="20"/>
              </w:rPr>
              <w:t>%</w:t>
            </w:r>
          </w:p>
          <w:p w:rsidR="007E3C93" w:rsidRPr="00D0223A" w:rsidRDefault="007E3C93" w:rsidP="00361DBC">
            <w:pPr>
              <w:keepNext/>
              <w:ind w:left="86" w:right="113"/>
              <w:jc w:val="left"/>
              <w:rPr>
                <w:rFonts w:ascii="Arial Narrow" w:hAnsi="Arial Narrow"/>
                <w:sz w:val="20"/>
              </w:rPr>
            </w:pPr>
            <w:r w:rsidRPr="00D0223A">
              <w:rPr>
                <w:rFonts w:ascii="Arial Narrow" w:hAnsi="Arial Narrow"/>
                <w:sz w:val="20"/>
              </w:rPr>
              <w:t xml:space="preserve">PHN: </w:t>
            </w:r>
            <w:r w:rsidR="00FE405A">
              <w:rPr>
                <w:rFonts w:ascii="Arial Narrow" w:hAnsi="Arial Narrow"/>
                <w:noProof/>
                <w:color w:val="000000"/>
                <w:sz w:val="20"/>
                <w:highlight w:val="black"/>
              </w:rPr>
              <w:t>''''''''''''''</w:t>
            </w:r>
          </w:p>
          <w:p w:rsidR="007E3C93" w:rsidRPr="00D0223A" w:rsidRDefault="007E3C93" w:rsidP="00361DBC">
            <w:pPr>
              <w:keepNext/>
              <w:ind w:left="86" w:right="113"/>
              <w:jc w:val="left"/>
              <w:rPr>
                <w:rFonts w:ascii="Arial Narrow" w:hAnsi="Arial Narrow"/>
                <w:sz w:val="20"/>
              </w:rPr>
            </w:pPr>
            <w:r w:rsidRPr="00D0223A">
              <w:rPr>
                <w:rFonts w:ascii="Arial Narrow" w:hAnsi="Arial Narrow"/>
                <w:sz w:val="20"/>
              </w:rPr>
              <w:t>The above estimates are derived from the 70-99 year old cohort. This is likely to be an overestimate of the disutility for a 70 year old</w:t>
            </w:r>
            <w:r w:rsidR="00361DBC" w:rsidRPr="00D0223A">
              <w:rPr>
                <w:rFonts w:ascii="Arial Narrow" w:hAnsi="Arial Narrow"/>
                <w:sz w:val="20"/>
              </w:rPr>
              <w:t>.</w:t>
            </w:r>
          </w:p>
        </w:tc>
        <w:tc>
          <w:tcPr>
            <w:tcW w:w="1348" w:type="pct"/>
            <w:shd w:val="clear" w:color="auto" w:fill="auto"/>
            <w:vAlign w:val="center"/>
          </w:tcPr>
          <w:p w:rsidR="007E3C93" w:rsidRPr="00D0223A" w:rsidRDefault="007E3C93" w:rsidP="00361DBC">
            <w:pPr>
              <w:keepNext/>
              <w:jc w:val="center"/>
              <w:rPr>
                <w:rFonts w:ascii="Arial Narrow" w:hAnsi="Arial Narrow"/>
                <w:sz w:val="20"/>
              </w:rPr>
            </w:pPr>
            <w:r w:rsidRPr="00D0223A">
              <w:rPr>
                <w:rFonts w:ascii="Arial Narrow" w:hAnsi="Arial Narrow"/>
                <w:sz w:val="20"/>
              </w:rPr>
              <w:t>Low (favours vaccine)</w:t>
            </w:r>
          </w:p>
        </w:tc>
      </w:tr>
    </w:tbl>
    <w:p w:rsidR="007E3C93" w:rsidRPr="00D0223A" w:rsidRDefault="007E3C93" w:rsidP="00361DBC">
      <w:pPr>
        <w:pStyle w:val="TableFooter"/>
        <w:keepNext/>
        <w:ind w:firstLine="720"/>
      </w:pPr>
      <w:r w:rsidRPr="00D0223A">
        <w:t xml:space="preserve">*These variables refer to the background incidence and disutility that are applied in the control arm. </w:t>
      </w:r>
    </w:p>
    <w:p w:rsidR="007E3C93" w:rsidRPr="00D0223A" w:rsidRDefault="007E3C93" w:rsidP="007E3C93">
      <w:pPr>
        <w:pStyle w:val="TableFooter"/>
        <w:ind w:firstLine="720"/>
      </w:pPr>
      <w:r w:rsidRPr="00D0223A">
        <w:t>Source: compiled during the evaluation</w:t>
      </w:r>
    </w:p>
    <w:p w:rsidR="007E3C93" w:rsidRPr="00D0223A" w:rsidRDefault="007E3C93" w:rsidP="007E3C93">
      <w:pPr>
        <w:widowControl/>
        <w:rPr>
          <w:szCs w:val="22"/>
        </w:rPr>
      </w:pPr>
    </w:p>
    <w:p w:rsidR="007E3C93" w:rsidRPr="00D0223A" w:rsidRDefault="007E3C93" w:rsidP="00C9248D">
      <w:pPr>
        <w:pStyle w:val="ListParagraph"/>
        <w:widowControl/>
        <w:numPr>
          <w:ilvl w:val="1"/>
          <w:numId w:val="1"/>
        </w:numPr>
        <w:rPr>
          <w:szCs w:val="22"/>
        </w:rPr>
      </w:pPr>
      <w:r w:rsidRPr="00D0223A">
        <w:t xml:space="preserve">The results of economic evaluations for the ongoing cohort and catch up cohorts are summarised in </w:t>
      </w:r>
      <w:r w:rsidR="00D040EF" w:rsidRPr="00D0223A">
        <w:t>the tables below</w:t>
      </w:r>
      <w:r w:rsidRPr="00D0223A">
        <w:t>.</w:t>
      </w:r>
    </w:p>
    <w:p w:rsidR="007E3C93" w:rsidRPr="00D0223A" w:rsidRDefault="007E3C93" w:rsidP="007E3C93">
      <w:pPr>
        <w:widowControl/>
        <w:rPr>
          <w:sz w:val="18"/>
          <w:szCs w:val="22"/>
        </w:rPr>
      </w:pPr>
    </w:p>
    <w:p w:rsidR="007E3C93" w:rsidRPr="00D0223A" w:rsidRDefault="007E3C93" w:rsidP="007E3C93">
      <w:pPr>
        <w:ind w:firstLine="720"/>
        <w:rPr>
          <w:rStyle w:val="CommentReference"/>
        </w:rPr>
      </w:pPr>
      <w:r w:rsidRPr="00D0223A">
        <w:rPr>
          <w:rStyle w:val="CommentReference"/>
        </w:rPr>
        <w:t>Results of the economic evaluation for the ongoing cohort</w:t>
      </w:r>
    </w:p>
    <w:tbl>
      <w:tblPr>
        <w:tblW w:w="837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2937"/>
        <w:gridCol w:w="2007"/>
        <w:gridCol w:w="2291"/>
      </w:tblGrid>
      <w:tr w:rsidR="007E3C93" w:rsidRPr="00D0223A" w:rsidTr="005119D7">
        <w:tc>
          <w:tcPr>
            <w:tcW w:w="1137" w:type="dxa"/>
          </w:tcPr>
          <w:p w:rsidR="007E3C93" w:rsidRPr="00D0223A" w:rsidRDefault="007E3C93" w:rsidP="008F34F1">
            <w:pPr>
              <w:jc w:val="center"/>
              <w:rPr>
                <w:rFonts w:ascii="Arial Narrow" w:hAnsi="Arial Narrow"/>
                <w:b/>
                <w:sz w:val="20"/>
              </w:rPr>
            </w:pPr>
            <w:r w:rsidRPr="00D0223A">
              <w:rPr>
                <w:rFonts w:ascii="Arial Narrow" w:hAnsi="Arial Narrow"/>
                <w:b/>
                <w:sz w:val="20"/>
              </w:rPr>
              <w:t>Vaccination Age</w:t>
            </w:r>
          </w:p>
        </w:tc>
        <w:tc>
          <w:tcPr>
            <w:tcW w:w="2937" w:type="dxa"/>
          </w:tcPr>
          <w:p w:rsidR="007E3C93" w:rsidRPr="00D0223A" w:rsidRDefault="007E3C93" w:rsidP="008F34F1">
            <w:pPr>
              <w:jc w:val="center"/>
              <w:rPr>
                <w:rFonts w:ascii="Arial Narrow" w:hAnsi="Arial Narrow"/>
                <w:b/>
                <w:sz w:val="20"/>
              </w:rPr>
            </w:pPr>
            <w:r w:rsidRPr="00D0223A">
              <w:rPr>
                <w:rFonts w:ascii="Arial Narrow" w:hAnsi="Arial Narrow"/>
                <w:b/>
                <w:sz w:val="20"/>
              </w:rPr>
              <w:t>Discounted Incremental cost ($)</w:t>
            </w:r>
          </w:p>
        </w:tc>
        <w:tc>
          <w:tcPr>
            <w:tcW w:w="2007" w:type="dxa"/>
          </w:tcPr>
          <w:p w:rsidR="007E3C93" w:rsidRPr="00D0223A" w:rsidRDefault="007E3C93" w:rsidP="008F34F1">
            <w:pPr>
              <w:jc w:val="center"/>
              <w:rPr>
                <w:rFonts w:ascii="Arial Narrow" w:hAnsi="Arial Narrow"/>
                <w:b/>
                <w:sz w:val="20"/>
              </w:rPr>
            </w:pPr>
            <w:r w:rsidRPr="00D0223A">
              <w:rPr>
                <w:rFonts w:ascii="Arial Narrow" w:hAnsi="Arial Narrow"/>
                <w:b/>
                <w:sz w:val="20"/>
              </w:rPr>
              <w:t>Discounted Incremental effectiveness (QALY)</w:t>
            </w:r>
          </w:p>
        </w:tc>
        <w:tc>
          <w:tcPr>
            <w:tcW w:w="2291" w:type="dxa"/>
          </w:tcPr>
          <w:p w:rsidR="007E3C93" w:rsidRPr="00D0223A" w:rsidRDefault="007E3C93" w:rsidP="008F34F1">
            <w:pPr>
              <w:jc w:val="center"/>
              <w:rPr>
                <w:rFonts w:ascii="Arial Narrow" w:hAnsi="Arial Narrow"/>
                <w:b/>
                <w:sz w:val="20"/>
              </w:rPr>
            </w:pPr>
            <w:r w:rsidRPr="00D0223A">
              <w:rPr>
                <w:rFonts w:ascii="Arial Narrow" w:hAnsi="Arial Narrow"/>
                <w:b/>
                <w:sz w:val="20"/>
              </w:rPr>
              <w:t>ICER</w:t>
            </w:r>
          </w:p>
          <w:p w:rsidR="007E3C93" w:rsidRPr="00D0223A" w:rsidRDefault="007E3C93" w:rsidP="008F34F1">
            <w:pPr>
              <w:jc w:val="center"/>
              <w:rPr>
                <w:rFonts w:ascii="Arial Narrow" w:hAnsi="Arial Narrow"/>
                <w:b/>
                <w:sz w:val="20"/>
              </w:rPr>
            </w:pPr>
            <w:r w:rsidRPr="00D0223A">
              <w:rPr>
                <w:rFonts w:ascii="Arial Narrow" w:hAnsi="Arial Narrow"/>
                <w:b/>
                <w:sz w:val="20"/>
              </w:rPr>
              <w:t>($/QALY)</w:t>
            </w:r>
          </w:p>
        </w:tc>
      </w:tr>
      <w:tr w:rsidR="007E3C93" w:rsidRPr="00D0223A" w:rsidTr="005119D7">
        <w:tblPrEx>
          <w:tblLook w:val="04A0" w:firstRow="1" w:lastRow="0" w:firstColumn="1" w:lastColumn="0" w:noHBand="0" w:noVBand="1"/>
        </w:tblPrEx>
        <w:trPr>
          <w:trHeight w:val="133"/>
        </w:trPr>
        <w:tc>
          <w:tcPr>
            <w:tcW w:w="8372" w:type="dxa"/>
            <w:gridSpan w:val="4"/>
            <w:shd w:val="clear" w:color="auto" w:fill="D9D9D9" w:themeFill="background1" w:themeFillShade="D9"/>
          </w:tcPr>
          <w:p w:rsidR="007E3C93" w:rsidRPr="00D0223A" w:rsidRDefault="007E3C93" w:rsidP="008F34F1">
            <w:pPr>
              <w:jc w:val="left"/>
              <w:rPr>
                <w:rFonts w:ascii="Arial Narrow" w:hAnsi="Arial Narrow"/>
                <w:sz w:val="20"/>
                <w:vertAlign w:val="superscript"/>
              </w:rPr>
            </w:pPr>
            <w:r w:rsidRPr="00D0223A">
              <w:rPr>
                <w:rFonts w:ascii="Arial Narrow" w:hAnsi="Arial Narrow"/>
                <w:sz w:val="20"/>
              </w:rPr>
              <w:t>Vaccine efficacy:  Trial-based estimates</w:t>
            </w:r>
          </w:p>
        </w:tc>
      </w:tr>
      <w:tr w:rsidR="007E3C93" w:rsidRPr="00D0223A" w:rsidTr="005119D7">
        <w:tc>
          <w:tcPr>
            <w:tcW w:w="1137" w:type="dxa"/>
            <w:vAlign w:val="center"/>
          </w:tcPr>
          <w:p w:rsidR="007E3C93" w:rsidRPr="00D0223A" w:rsidRDefault="007E3C93" w:rsidP="008F34F1">
            <w:pPr>
              <w:jc w:val="center"/>
              <w:rPr>
                <w:rFonts w:ascii="Arial Narrow" w:hAnsi="Arial Narrow"/>
                <w:sz w:val="20"/>
              </w:rPr>
            </w:pPr>
            <w:r w:rsidRPr="00D0223A">
              <w:rPr>
                <w:rFonts w:ascii="Arial Narrow" w:hAnsi="Arial Narrow"/>
                <w:sz w:val="20"/>
              </w:rPr>
              <w:t>70</w:t>
            </w:r>
          </w:p>
        </w:tc>
        <w:tc>
          <w:tcPr>
            <w:tcW w:w="2937"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2007"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2291"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r>
      <w:tr w:rsidR="007E3C93" w:rsidRPr="00D0223A" w:rsidTr="005119D7">
        <w:tblPrEx>
          <w:tblLook w:val="04A0" w:firstRow="1" w:lastRow="0" w:firstColumn="1" w:lastColumn="0" w:noHBand="0" w:noVBand="1"/>
        </w:tblPrEx>
        <w:trPr>
          <w:trHeight w:val="111"/>
        </w:trPr>
        <w:tc>
          <w:tcPr>
            <w:tcW w:w="8372" w:type="dxa"/>
            <w:gridSpan w:val="4"/>
            <w:shd w:val="clear" w:color="auto" w:fill="D9D9D9" w:themeFill="background1" w:themeFillShade="D9"/>
          </w:tcPr>
          <w:p w:rsidR="007E3C93" w:rsidRPr="00D0223A" w:rsidRDefault="007E3C93" w:rsidP="008F34F1">
            <w:pPr>
              <w:jc w:val="left"/>
              <w:rPr>
                <w:rFonts w:ascii="Arial Narrow" w:hAnsi="Arial Narrow"/>
                <w:sz w:val="20"/>
                <w:vertAlign w:val="superscript"/>
              </w:rPr>
            </w:pPr>
            <w:r w:rsidRPr="00D0223A">
              <w:rPr>
                <w:rFonts w:ascii="Arial Narrow" w:hAnsi="Arial Narrow"/>
                <w:sz w:val="20"/>
              </w:rPr>
              <w:t>Vaccine efficacy:  Modelled estimates</w:t>
            </w:r>
          </w:p>
        </w:tc>
      </w:tr>
      <w:tr w:rsidR="007E3C93" w:rsidRPr="00D0223A" w:rsidTr="005119D7">
        <w:tc>
          <w:tcPr>
            <w:tcW w:w="1137" w:type="dxa"/>
            <w:vAlign w:val="center"/>
          </w:tcPr>
          <w:p w:rsidR="007E3C93" w:rsidRPr="00D0223A" w:rsidRDefault="007E3C93" w:rsidP="008F34F1">
            <w:pPr>
              <w:jc w:val="center"/>
              <w:rPr>
                <w:rFonts w:ascii="Arial Narrow" w:hAnsi="Arial Narrow"/>
                <w:sz w:val="20"/>
              </w:rPr>
            </w:pPr>
            <w:r w:rsidRPr="00D0223A">
              <w:rPr>
                <w:rFonts w:ascii="Arial Narrow" w:hAnsi="Arial Narrow"/>
                <w:sz w:val="20"/>
              </w:rPr>
              <w:t>70</w:t>
            </w:r>
          </w:p>
        </w:tc>
        <w:tc>
          <w:tcPr>
            <w:tcW w:w="2937"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2007"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2291"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r>
      <w:tr w:rsidR="007E3C93" w:rsidRPr="00D0223A" w:rsidTr="005119D7">
        <w:tc>
          <w:tcPr>
            <w:tcW w:w="8372" w:type="dxa"/>
            <w:gridSpan w:val="4"/>
            <w:vAlign w:val="center"/>
          </w:tcPr>
          <w:p w:rsidR="007E3C93" w:rsidRPr="00D0223A" w:rsidRDefault="007E3C93" w:rsidP="008F34F1">
            <w:pPr>
              <w:rPr>
                <w:rFonts w:ascii="Arial Narrow" w:hAnsi="Arial Narrow"/>
                <w:sz w:val="20"/>
              </w:rPr>
            </w:pPr>
            <w:r w:rsidRPr="00D0223A">
              <w:rPr>
                <w:rFonts w:ascii="Arial Narrow" w:hAnsi="Arial Narrow"/>
                <w:sz w:val="20"/>
              </w:rPr>
              <w:t>Modelled evaluation for the previous submission (March 2014 PBAC meeting) - 60 year old cohort, price and efficacy of vaccine have been updated</w:t>
            </w:r>
          </w:p>
        </w:tc>
      </w:tr>
      <w:tr w:rsidR="007E3C93" w:rsidRPr="00D0223A" w:rsidTr="005119D7">
        <w:tc>
          <w:tcPr>
            <w:tcW w:w="1137" w:type="dxa"/>
            <w:vAlign w:val="center"/>
          </w:tcPr>
          <w:p w:rsidR="007E3C93" w:rsidRPr="00D0223A" w:rsidRDefault="007E3C93" w:rsidP="008F34F1">
            <w:pPr>
              <w:jc w:val="center"/>
              <w:rPr>
                <w:rFonts w:ascii="Arial Narrow" w:hAnsi="Arial Narrow"/>
                <w:sz w:val="20"/>
              </w:rPr>
            </w:pPr>
            <w:r w:rsidRPr="00D0223A">
              <w:rPr>
                <w:rFonts w:ascii="Arial Narrow" w:hAnsi="Arial Narrow"/>
                <w:sz w:val="20"/>
              </w:rPr>
              <w:t>60</w:t>
            </w:r>
          </w:p>
        </w:tc>
        <w:tc>
          <w:tcPr>
            <w:tcW w:w="2937"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2007"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2291"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r>
    </w:tbl>
    <w:p w:rsidR="007E3C93" w:rsidRPr="00D0223A" w:rsidRDefault="007E3C93" w:rsidP="005119D7">
      <w:pPr>
        <w:pStyle w:val="TableFooter"/>
        <w:ind w:left="709"/>
        <w:rPr>
          <w:rStyle w:val="CommentReference"/>
          <w:b w:val="0"/>
          <w:sz w:val="18"/>
          <w:szCs w:val="18"/>
        </w:rPr>
      </w:pPr>
      <w:r w:rsidRPr="00D0223A">
        <w:rPr>
          <w:rStyle w:val="CommentReference"/>
          <w:b w:val="0"/>
          <w:sz w:val="18"/>
          <w:szCs w:val="18"/>
        </w:rPr>
        <w:t>QALY = quality-adjusted life years; ICER = incremental cost effectiveness ratio</w:t>
      </w:r>
    </w:p>
    <w:p w:rsidR="007E3C93" w:rsidRPr="00D0223A" w:rsidRDefault="007E3C93" w:rsidP="005119D7">
      <w:pPr>
        <w:pStyle w:val="TableFooter"/>
        <w:ind w:left="709"/>
        <w:rPr>
          <w:szCs w:val="18"/>
        </w:rPr>
      </w:pPr>
      <w:r w:rsidRPr="00D0223A">
        <w:rPr>
          <w:szCs w:val="18"/>
        </w:rPr>
        <w:t>Numbers may not be added up due to rounding.</w:t>
      </w:r>
    </w:p>
    <w:p w:rsidR="007E3C93" w:rsidRPr="00D0223A" w:rsidRDefault="007E3C93" w:rsidP="005119D7">
      <w:pPr>
        <w:pStyle w:val="TableFooter"/>
        <w:ind w:left="709"/>
        <w:rPr>
          <w:szCs w:val="18"/>
        </w:rPr>
      </w:pPr>
      <w:r w:rsidRPr="00D0223A">
        <w:rPr>
          <w:szCs w:val="18"/>
        </w:rPr>
        <w:t>Source: Table D.5.5, Section D, p90 of the re-submission</w:t>
      </w:r>
    </w:p>
    <w:p w:rsidR="00D040EF" w:rsidRPr="00D0223A" w:rsidRDefault="00D040EF" w:rsidP="007E3C93">
      <w:pPr>
        <w:ind w:firstLine="720"/>
        <w:rPr>
          <w:rStyle w:val="CommentReference"/>
        </w:rPr>
      </w:pPr>
    </w:p>
    <w:p w:rsidR="007E3C93" w:rsidRPr="00D0223A" w:rsidRDefault="007E3C93" w:rsidP="007E3C93">
      <w:pPr>
        <w:ind w:firstLine="720"/>
        <w:rPr>
          <w:rStyle w:val="CommentReference"/>
        </w:rPr>
      </w:pPr>
      <w:r w:rsidRPr="00D0223A">
        <w:rPr>
          <w:rStyle w:val="CommentReference"/>
        </w:rPr>
        <w:t>Results of the economic evaluation for the catch-up cohort</w:t>
      </w:r>
    </w:p>
    <w:tbl>
      <w:tblPr>
        <w:tblW w:w="8358"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709"/>
        <w:gridCol w:w="2168"/>
        <w:gridCol w:w="1451"/>
      </w:tblGrid>
      <w:tr w:rsidR="007E3C93" w:rsidRPr="00D0223A" w:rsidTr="005119D7">
        <w:tc>
          <w:tcPr>
            <w:tcW w:w="2030" w:type="dxa"/>
          </w:tcPr>
          <w:p w:rsidR="007E3C93" w:rsidRPr="00D0223A" w:rsidRDefault="007E3C93" w:rsidP="008F34F1">
            <w:pPr>
              <w:jc w:val="center"/>
              <w:rPr>
                <w:rFonts w:ascii="Arial Narrow" w:hAnsi="Arial Narrow"/>
                <w:b/>
                <w:sz w:val="20"/>
                <w:szCs w:val="22"/>
              </w:rPr>
            </w:pPr>
            <w:r w:rsidRPr="00D0223A">
              <w:rPr>
                <w:rFonts w:ascii="Arial Narrow" w:hAnsi="Arial Narrow"/>
                <w:b/>
                <w:sz w:val="20"/>
                <w:szCs w:val="22"/>
              </w:rPr>
              <w:t>Vaccination Age</w:t>
            </w:r>
          </w:p>
        </w:tc>
        <w:tc>
          <w:tcPr>
            <w:tcW w:w="2709" w:type="dxa"/>
          </w:tcPr>
          <w:p w:rsidR="007E3C93" w:rsidRPr="00D0223A" w:rsidRDefault="007E3C93" w:rsidP="008F34F1">
            <w:pPr>
              <w:jc w:val="center"/>
              <w:rPr>
                <w:rFonts w:ascii="Arial Narrow" w:hAnsi="Arial Narrow"/>
                <w:b/>
                <w:sz w:val="20"/>
                <w:szCs w:val="22"/>
              </w:rPr>
            </w:pPr>
            <w:r w:rsidRPr="00D0223A">
              <w:rPr>
                <w:rFonts w:ascii="Arial Narrow" w:hAnsi="Arial Narrow"/>
                <w:b/>
                <w:sz w:val="20"/>
                <w:szCs w:val="22"/>
              </w:rPr>
              <w:t>Discounted Incremental cost ($)</w:t>
            </w:r>
          </w:p>
        </w:tc>
        <w:tc>
          <w:tcPr>
            <w:tcW w:w="2168" w:type="dxa"/>
          </w:tcPr>
          <w:p w:rsidR="007E3C93" w:rsidRPr="00D0223A" w:rsidRDefault="007E3C93" w:rsidP="008F34F1">
            <w:pPr>
              <w:jc w:val="center"/>
              <w:rPr>
                <w:rFonts w:ascii="Arial Narrow" w:hAnsi="Arial Narrow"/>
                <w:b/>
                <w:sz w:val="20"/>
                <w:szCs w:val="22"/>
              </w:rPr>
            </w:pPr>
            <w:r w:rsidRPr="00D0223A">
              <w:rPr>
                <w:rFonts w:ascii="Arial Narrow" w:hAnsi="Arial Narrow"/>
                <w:b/>
                <w:sz w:val="20"/>
                <w:szCs w:val="22"/>
              </w:rPr>
              <w:t>Discounted Incremental effectiveness (QALY)</w:t>
            </w:r>
          </w:p>
        </w:tc>
        <w:tc>
          <w:tcPr>
            <w:tcW w:w="1451" w:type="dxa"/>
          </w:tcPr>
          <w:p w:rsidR="007E3C93" w:rsidRPr="00D0223A" w:rsidRDefault="007E3C93" w:rsidP="008F34F1">
            <w:pPr>
              <w:jc w:val="center"/>
              <w:rPr>
                <w:rFonts w:ascii="Arial Narrow" w:hAnsi="Arial Narrow"/>
                <w:b/>
                <w:sz w:val="20"/>
                <w:szCs w:val="22"/>
              </w:rPr>
            </w:pPr>
            <w:r w:rsidRPr="00D0223A">
              <w:rPr>
                <w:rFonts w:ascii="Arial Narrow" w:hAnsi="Arial Narrow"/>
                <w:b/>
                <w:sz w:val="20"/>
                <w:szCs w:val="22"/>
              </w:rPr>
              <w:t xml:space="preserve">ICER </w:t>
            </w:r>
            <w:r w:rsidRPr="00D0223A">
              <w:rPr>
                <w:rFonts w:ascii="Arial Narrow" w:hAnsi="Arial Narrow"/>
                <w:b/>
                <w:sz w:val="20"/>
                <w:szCs w:val="22"/>
              </w:rPr>
              <w:br/>
              <w:t>($/QALY)</w:t>
            </w:r>
          </w:p>
        </w:tc>
      </w:tr>
      <w:tr w:rsidR="007E3C93" w:rsidRPr="00D0223A" w:rsidTr="005119D7">
        <w:tblPrEx>
          <w:tblLook w:val="04A0" w:firstRow="1" w:lastRow="0" w:firstColumn="1" w:lastColumn="0" w:noHBand="0" w:noVBand="1"/>
        </w:tblPrEx>
        <w:trPr>
          <w:trHeight w:val="160"/>
        </w:trPr>
        <w:tc>
          <w:tcPr>
            <w:tcW w:w="8358" w:type="dxa"/>
            <w:gridSpan w:val="4"/>
            <w:shd w:val="clear" w:color="auto" w:fill="D9D9D9" w:themeFill="background1" w:themeFillShade="D9"/>
          </w:tcPr>
          <w:p w:rsidR="007E3C93" w:rsidRPr="00D0223A" w:rsidRDefault="007E3C93" w:rsidP="008F34F1">
            <w:pPr>
              <w:rPr>
                <w:rFonts w:ascii="Arial Narrow" w:hAnsi="Arial Narrow"/>
                <w:b/>
                <w:sz w:val="20"/>
                <w:szCs w:val="22"/>
              </w:rPr>
            </w:pPr>
            <w:r w:rsidRPr="00D0223A">
              <w:rPr>
                <w:rFonts w:ascii="Arial Narrow" w:hAnsi="Arial Narrow"/>
                <w:b/>
                <w:sz w:val="20"/>
                <w:szCs w:val="22"/>
              </w:rPr>
              <w:t>Vaccine efficacy:  Trial-based estimates</w:t>
            </w:r>
            <w:r w:rsidRPr="00D0223A">
              <w:rPr>
                <w:rFonts w:ascii="Arial Narrow" w:hAnsi="Arial Narrow"/>
                <w:b/>
                <w:sz w:val="20"/>
                <w:szCs w:val="22"/>
                <w:vertAlign w:val="superscript"/>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71</w:t>
            </w:r>
          </w:p>
        </w:tc>
        <w:tc>
          <w:tcPr>
            <w:tcW w:w="2709"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72</w:t>
            </w:r>
          </w:p>
        </w:tc>
        <w:tc>
          <w:tcPr>
            <w:tcW w:w="2709"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73</w:t>
            </w:r>
          </w:p>
        </w:tc>
        <w:tc>
          <w:tcPr>
            <w:tcW w:w="2709"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74</w:t>
            </w:r>
          </w:p>
        </w:tc>
        <w:tc>
          <w:tcPr>
            <w:tcW w:w="2709"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75</w:t>
            </w:r>
          </w:p>
        </w:tc>
        <w:tc>
          <w:tcPr>
            <w:tcW w:w="2709"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76</w:t>
            </w:r>
          </w:p>
        </w:tc>
        <w:tc>
          <w:tcPr>
            <w:tcW w:w="2709"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77</w:t>
            </w:r>
          </w:p>
        </w:tc>
        <w:tc>
          <w:tcPr>
            <w:tcW w:w="2709"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78</w:t>
            </w:r>
          </w:p>
        </w:tc>
        <w:tc>
          <w:tcPr>
            <w:tcW w:w="2709"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79</w:t>
            </w:r>
          </w:p>
        </w:tc>
        <w:tc>
          <w:tcPr>
            <w:tcW w:w="2709"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Weighted average</w:t>
            </w:r>
          </w:p>
        </w:tc>
        <w:tc>
          <w:tcPr>
            <w:tcW w:w="2709"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blPrEx>
          <w:tblLook w:val="04A0" w:firstRow="1" w:lastRow="0" w:firstColumn="1" w:lastColumn="0" w:noHBand="0" w:noVBand="1"/>
        </w:tblPrEx>
        <w:trPr>
          <w:trHeight w:val="167"/>
        </w:trPr>
        <w:tc>
          <w:tcPr>
            <w:tcW w:w="8358" w:type="dxa"/>
            <w:gridSpan w:val="4"/>
            <w:shd w:val="clear" w:color="auto" w:fill="D9D9D9" w:themeFill="background1" w:themeFillShade="D9"/>
          </w:tcPr>
          <w:p w:rsidR="007E3C93" w:rsidRPr="003313B8" w:rsidRDefault="007E3C93" w:rsidP="008F34F1">
            <w:pPr>
              <w:rPr>
                <w:rFonts w:ascii="Arial Narrow" w:hAnsi="Arial Narrow"/>
                <w:b/>
                <w:sz w:val="20"/>
                <w:szCs w:val="22"/>
                <w:vertAlign w:val="superscript"/>
              </w:rPr>
            </w:pPr>
            <w:r w:rsidRPr="003313B8">
              <w:rPr>
                <w:rFonts w:ascii="Arial Narrow" w:hAnsi="Arial Narrow"/>
                <w:b/>
                <w:sz w:val="20"/>
                <w:szCs w:val="22"/>
              </w:rPr>
              <w:t>Vaccine efficacy:  Modelled estimates</w:t>
            </w:r>
            <w:r w:rsidRPr="003313B8">
              <w:rPr>
                <w:rFonts w:ascii="Arial Narrow" w:hAnsi="Arial Narrow"/>
                <w:b/>
                <w:sz w:val="20"/>
                <w:szCs w:val="22"/>
                <w:vertAlign w:val="superscript"/>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71</w:t>
            </w:r>
          </w:p>
        </w:tc>
        <w:tc>
          <w:tcPr>
            <w:tcW w:w="2709"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72</w:t>
            </w:r>
          </w:p>
        </w:tc>
        <w:tc>
          <w:tcPr>
            <w:tcW w:w="2709"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73</w:t>
            </w:r>
          </w:p>
        </w:tc>
        <w:tc>
          <w:tcPr>
            <w:tcW w:w="2709"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74</w:t>
            </w:r>
          </w:p>
        </w:tc>
        <w:tc>
          <w:tcPr>
            <w:tcW w:w="2709"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75</w:t>
            </w:r>
          </w:p>
        </w:tc>
        <w:tc>
          <w:tcPr>
            <w:tcW w:w="2709"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76</w:t>
            </w:r>
          </w:p>
        </w:tc>
        <w:tc>
          <w:tcPr>
            <w:tcW w:w="2709"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3313B8">
              <w:rPr>
                <w:rFonts w:ascii="Arial Narrow" w:hAnsi="Arial Narrow"/>
                <w:sz w:val="20"/>
                <w:szCs w:val="22"/>
              </w:rPr>
              <w:t>77</w:t>
            </w:r>
          </w:p>
        </w:tc>
        <w:tc>
          <w:tcPr>
            <w:tcW w:w="2709"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3313B8">
              <w:rPr>
                <w:rFonts w:ascii="Arial Narrow" w:hAnsi="Arial Narrow"/>
                <w:sz w:val="20"/>
                <w:szCs w:val="22"/>
              </w:rPr>
              <w:t>78</w:t>
            </w:r>
          </w:p>
        </w:tc>
        <w:tc>
          <w:tcPr>
            <w:tcW w:w="2709"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3313B8">
              <w:rPr>
                <w:rFonts w:ascii="Arial Narrow" w:hAnsi="Arial Narrow"/>
                <w:sz w:val="20"/>
                <w:szCs w:val="22"/>
              </w:rPr>
              <w:t>79</w:t>
            </w:r>
          </w:p>
        </w:tc>
        <w:tc>
          <w:tcPr>
            <w:tcW w:w="2709"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Weighted average</w:t>
            </w:r>
          </w:p>
        </w:tc>
        <w:tc>
          <w:tcPr>
            <w:tcW w:w="2709" w:type="dxa"/>
            <w:vAlign w:val="center"/>
          </w:tcPr>
          <w:p w:rsidR="007E3C93" w:rsidRPr="00FE405A" w:rsidRDefault="00FE405A" w:rsidP="008F34F1">
            <w:pPr>
              <w:jc w:val="center"/>
              <w:rPr>
                <w:rFonts w:ascii="Arial Narrow" w:hAnsi="Arial Narrow" w:cs="Calibri"/>
                <w:bCs/>
                <w:color w:val="000000"/>
                <w:sz w:val="20"/>
                <w:szCs w:val="22"/>
                <w:highlight w:val="black"/>
              </w:rPr>
            </w:pPr>
            <w:r>
              <w:rPr>
                <w:rFonts w:ascii="Arial Narrow" w:hAnsi="Arial Narrow" w:cs="Calibri"/>
                <w:bCs/>
                <w:noProof/>
                <w:color w:val="000000"/>
                <w:sz w:val="20"/>
                <w:szCs w:val="22"/>
                <w:highlight w:val="black"/>
              </w:rPr>
              <w:t>''''''''''''</w:t>
            </w:r>
          </w:p>
        </w:tc>
        <w:tc>
          <w:tcPr>
            <w:tcW w:w="2168" w:type="dxa"/>
            <w:vAlign w:val="center"/>
          </w:tcPr>
          <w:p w:rsidR="007E3C93" w:rsidRPr="00FE405A" w:rsidRDefault="00FE405A" w:rsidP="008F34F1">
            <w:pPr>
              <w:jc w:val="center"/>
              <w:rPr>
                <w:rFonts w:ascii="Arial Narrow" w:hAnsi="Arial Narrow" w:cs="Calibri"/>
                <w:bCs/>
                <w:color w:val="000000"/>
                <w:sz w:val="20"/>
                <w:szCs w:val="22"/>
                <w:highlight w:val="black"/>
              </w:rPr>
            </w:pPr>
            <w:r>
              <w:rPr>
                <w:rFonts w:ascii="Arial Narrow" w:hAnsi="Arial Narrow" w:cs="Calibri"/>
                <w:bCs/>
                <w:noProof/>
                <w:color w:val="000000"/>
                <w:sz w:val="20"/>
                <w:szCs w:val="22"/>
                <w:highlight w:val="black"/>
              </w:rPr>
              <w:t>''''''''''''''''''''</w:t>
            </w:r>
          </w:p>
        </w:tc>
        <w:tc>
          <w:tcPr>
            <w:tcW w:w="1451" w:type="dxa"/>
            <w:vAlign w:val="center"/>
          </w:tcPr>
          <w:p w:rsidR="007E3C93" w:rsidRPr="00FE405A" w:rsidRDefault="00FE405A" w:rsidP="008F34F1">
            <w:pPr>
              <w:jc w:val="center"/>
              <w:rPr>
                <w:rFonts w:ascii="Arial Narrow" w:hAnsi="Arial Narrow" w:cs="Calibri"/>
                <w:bCs/>
                <w:color w:val="000000"/>
                <w:sz w:val="20"/>
                <w:szCs w:val="22"/>
                <w:highlight w:val="black"/>
              </w:rPr>
            </w:pPr>
            <w:r>
              <w:rPr>
                <w:rFonts w:ascii="Arial Narrow" w:hAnsi="Arial Narrow" w:cs="Calibri"/>
                <w:bCs/>
                <w:noProof/>
                <w:color w:val="000000"/>
                <w:sz w:val="20"/>
                <w:szCs w:val="22"/>
                <w:highlight w:val="black"/>
              </w:rPr>
              <w:t>''''''''''''''''</w:t>
            </w:r>
          </w:p>
        </w:tc>
      </w:tr>
      <w:tr w:rsidR="007E3C93" w:rsidRPr="00D0223A" w:rsidTr="005119D7">
        <w:tc>
          <w:tcPr>
            <w:tcW w:w="8358" w:type="dxa"/>
            <w:gridSpan w:val="4"/>
          </w:tcPr>
          <w:p w:rsidR="007E3C93" w:rsidRPr="003313B8" w:rsidRDefault="007E3C93" w:rsidP="008F34F1">
            <w:pPr>
              <w:jc w:val="left"/>
              <w:rPr>
                <w:rFonts w:ascii="Arial Narrow" w:hAnsi="Arial Narrow" w:cs="Calibri"/>
                <w:bCs/>
                <w:color w:val="000000"/>
                <w:sz w:val="20"/>
                <w:szCs w:val="22"/>
              </w:rPr>
            </w:pPr>
            <w:r w:rsidRPr="003313B8">
              <w:rPr>
                <w:rFonts w:ascii="Arial Narrow" w:hAnsi="Arial Narrow"/>
                <w:sz w:val="20"/>
              </w:rPr>
              <w:t>Modelled evaluation for the previous submission (March 2014 PBAC meeting) - 61-79 year old cohort, price and efficacy of vaccine have been updated</w:t>
            </w:r>
          </w:p>
        </w:tc>
      </w:tr>
      <w:tr w:rsidR="007E3C93" w:rsidRPr="00D0223A" w:rsidTr="005119D7">
        <w:tc>
          <w:tcPr>
            <w:tcW w:w="2030" w:type="dxa"/>
          </w:tcPr>
          <w:p w:rsidR="007E3C93" w:rsidRPr="00D0223A" w:rsidRDefault="007E3C93" w:rsidP="008F34F1">
            <w:pPr>
              <w:jc w:val="center"/>
              <w:rPr>
                <w:rFonts w:ascii="Arial Narrow" w:hAnsi="Arial Narrow"/>
                <w:sz w:val="20"/>
                <w:szCs w:val="22"/>
              </w:rPr>
            </w:pPr>
            <w:r w:rsidRPr="00D0223A">
              <w:rPr>
                <w:rFonts w:ascii="Arial Narrow" w:hAnsi="Arial Narrow"/>
                <w:sz w:val="20"/>
                <w:szCs w:val="22"/>
              </w:rPr>
              <w:t>61-79</w:t>
            </w:r>
          </w:p>
        </w:tc>
        <w:tc>
          <w:tcPr>
            <w:tcW w:w="2709" w:type="dxa"/>
            <w:vAlign w:val="center"/>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2168" w:type="dxa"/>
            <w:vAlign w:val="bottom"/>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451" w:type="dxa"/>
            <w:vAlign w:val="bottom"/>
          </w:tcPr>
          <w:p w:rsidR="007E3C93" w:rsidRPr="00FE405A" w:rsidRDefault="00FE405A" w:rsidP="008F34F1">
            <w:pPr>
              <w:jc w:val="center"/>
              <w:rPr>
                <w:rFonts w:ascii="Arial Narrow" w:hAnsi="Arial Narrow"/>
                <w:sz w:val="20"/>
                <w:szCs w:val="22"/>
                <w:highlight w:val="black"/>
              </w:rPr>
            </w:pPr>
            <w:r>
              <w:rPr>
                <w:rFonts w:ascii="Arial Narrow" w:hAnsi="Arial Narrow"/>
                <w:noProof/>
                <w:color w:val="000000"/>
                <w:sz w:val="20"/>
                <w:szCs w:val="22"/>
                <w:highlight w:val="black"/>
              </w:rPr>
              <w:t>'''''''''''''''''</w:t>
            </w:r>
          </w:p>
        </w:tc>
      </w:tr>
    </w:tbl>
    <w:p w:rsidR="007E3C93" w:rsidRPr="00D0223A" w:rsidRDefault="007E3C93" w:rsidP="005119D7">
      <w:pPr>
        <w:pStyle w:val="TableFootnoteindent"/>
        <w:tabs>
          <w:tab w:val="clear" w:pos="284"/>
          <w:tab w:val="left" w:pos="709"/>
        </w:tabs>
        <w:ind w:left="720" w:hanging="11"/>
        <w:rPr>
          <w:rStyle w:val="CommentReference"/>
          <w:b w:val="0"/>
        </w:rPr>
      </w:pPr>
      <w:r w:rsidRPr="00D0223A">
        <w:rPr>
          <w:rStyle w:val="CommentReference"/>
          <w:b w:val="0"/>
          <w:vertAlign w:val="superscript"/>
        </w:rPr>
        <w:t>*</w:t>
      </w:r>
      <w:r w:rsidRPr="00D0223A">
        <w:rPr>
          <w:rStyle w:val="CommentReference"/>
          <w:b w:val="0"/>
        </w:rPr>
        <w:t>VE_HZ_option=VE_HZ_Interpolated; VE_PHN_option=VE_PHN</w:t>
      </w:r>
      <w:r w:rsidR="005119D7" w:rsidRPr="00D0223A">
        <w:rPr>
          <w:rStyle w:val="CommentReference"/>
          <w:b w:val="0"/>
        </w:rPr>
        <w:t xml:space="preserve">_SPS_STPS_LTPS; VE_HZ_duration= </w:t>
      </w:r>
      <w:r w:rsidRPr="00D0223A">
        <w:rPr>
          <w:rStyle w:val="CommentReference"/>
          <w:b w:val="0"/>
        </w:rPr>
        <w:t>VE_PHN_duration=13 years.</w:t>
      </w:r>
    </w:p>
    <w:p w:rsidR="007E3C93" w:rsidRPr="00D0223A" w:rsidRDefault="007E3C93" w:rsidP="005119D7">
      <w:pPr>
        <w:pStyle w:val="TableFootnoteindent"/>
        <w:tabs>
          <w:tab w:val="clear" w:pos="284"/>
          <w:tab w:val="left" w:pos="709"/>
        </w:tabs>
        <w:ind w:left="720" w:hanging="11"/>
        <w:rPr>
          <w:rStyle w:val="CommentReference"/>
          <w:b w:val="0"/>
        </w:rPr>
      </w:pPr>
      <w:r w:rsidRPr="00D0223A">
        <w:rPr>
          <w:rStyle w:val="CommentReference"/>
          <w:b w:val="0"/>
          <w:vertAlign w:val="superscript"/>
        </w:rPr>
        <w:t>**</w:t>
      </w:r>
      <w:r w:rsidRPr="00D0223A">
        <w:rPr>
          <w:rStyle w:val="CommentReference"/>
          <w:b w:val="0"/>
        </w:rPr>
        <w:t>VE_HZ_option=VE_HZ_Model3; VE_PHN_option=VE_PHN_Model3_Truncated.</w:t>
      </w:r>
    </w:p>
    <w:p w:rsidR="007E3C93" w:rsidRPr="00D0223A" w:rsidRDefault="007E3C93" w:rsidP="005119D7">
      <w:pPr>
        <w:pStyle w:val="TableFootnoteindent"/>
        <w:tabs>
          <w:tab w:val="clear" w:pos="284"/>
          <w:tab w:val="left" w:pos="709"/>
        </w:tabs>
        <w:ind w:left="720" w:hanging="11"/>
        <w:rPr>
          <w:szCs w:val="18"/>
        </w:rPr>
      </w:pPr>
      <w:r w:rsidRPr="00D0223A">
        <w:t>Source: Table D.5.6, Section D, p91 of the re-submission</w:t>
      </w:r>
    </w:p>
    <w:p w:rsidR="007E3C93" w:rsidRPr="00D0223A" w:rsidRDefault="007E3C93" w:rsidP="007E3C93">
      <w:pPr>
        <w:widowControl/>
        <w:rPr>
          <w:szCs w:val="22"/>
        </w:rPr>
      </w:pPr>
    </w:p>
    <w:p w:rsidR="006B09BE" w:rsidRPr="009A480C" w:rsidRDefault="00B84250" w:rsidP="00204621">
      <w:pPr>
        <w:pStyle w:val="ListParagraph"/>
        <w:widowControl/>
        <w:numPr>
          <w:ilvl w:val="1"/>
          <w:numId w:val="1"/>
        </w:numPr>
        <w:rPr>
          <w:szCs w:val="22"/>
        </w:rPr>
      </w:pPr>
      <w:r w:rsidRPr="009A480C">
        <w:rPr>
          <w:szCs w:val="22"/>
        </w:rPr>
        <w:t>For the trial-based estimates, t</w:t>
      </w:r>
      <w:r w:rsidR="006B09BE" w:rsidRPr="009A480C">
        <w:rPr>
          <w:szCs w:val="22"/>
        </w:rPr>
        <w:t>he ICER for the ongoing 70 year cohort was</w:t>
      </w:r>
      <w:r w:rsidR="00204621" w:rsidRPr="009A480C">
        <w:rPr>
          <w:szCs w:val="22"/>
        </w:rPr>
        <w:t xml:space="preserve"> </w:t>
      </w:r>
      <w:r w:rsidR="003313B8">
        <w:rPr>
          <w:szCs w:val="22"/>
        </w:rPr>
        <w:t>$15,000/QALY - $45,000/QALY</w:t>
      </w:r>
      <w:r w:rsidR="00204621" w:rsidRPr="009A480C">
        <w:rPr>
          <w:szCs w:val="22"/>
        </w:rPr>
        <w:t xml:space="preserve"> and for the catch-up cohort varied between </w:t>
      </w:r>
      <w:r w:rsidR="003313B8">
        <w:rPr>
          <w:szCs w:val="22"/>
        </w:rPr>
        <w:t>$15,000/QALY - $45,000/QALY</w:t>
      </w:r>
      <w:r w:rsidR="00204621" w:rsidRPr="009A480C">
        <w:rPr>
          <w:szCs w:val="22"/>
        </w:rPr>
        <w:t xml:space="preserve"> and $</w:t>
      </w:r>
      <w:r w:rsidR="003313B8">
        <w:rPr>
          <w:szCs w:val="22"/>
        </w:rPr>
        <w:t>15,000/QALY - $45,000/QALY</w:t>
      </w:r>
      <w:r w:rsidR="00204621" w:rsidRPr="009A480C">
        <w:rPr>
          <w:szCs w:val="22"/>
        </w:rPr>
        <w:t xml:space="preserve"> (trial-based estimates)</w:t>
      </w:r>
      <w:r w:rsidRPr="009A480C">
        <w:rPr>
          <w:szCs w:val="22"/>
        </w:rPr>
        <w:t xml:space="preserve">. </w:t>
      </w:r>
      <w:r w:rsidR="00204621" w:rsidRPr="009A480C">
        <w:rPr>
          <w:szCs w:val="22"/>
        </w:rPr>
        <w:t xml:space="preserve"> </w:t>
      </w:r>
      <w:r w:rsidRPr="009A480C">
        <w:rPr>
          <w:szCs w:val="22"/>
        </w:rPr>
        <w:t xml:space="preserve">Using the modelled estimate, the ICER for the ongoing 70 year cohort was </w:t>
      </w:r>
      <w:r w:rsidR="003313B8">
        <w:rPr>
          <w:szCs w:val="22"/>
        </w:rPr>
        <w:t>$15,000/QALY - $45,000/QALY</w:t>
      </w:r>
      <w:r w:rsidRPr="009A480C">
        <w:rPr>
          <w:szCs w:val="22"/>
        </w:rPr>
        <w:t xml:space="preserve"> and for the catch-up cohort varied between </w:t>
      </w:r>
      <w:r w:rsidR="000B3906">
        <w:rPr>
          <w:szCs w:val="22"/>
        </w:rPr>
        <w:t>$15,000/QALY - $45,000/QALY</w:t>
      </w:r>
      <w:r w:rsidR="00204621" w:rsidRPr="009A480C">
        <w:rPr>
          <w:szCs w:val="22"/>
        </w:rPr>
        <w:t xml:space="preserve"> and </w:t>
      </w:r>
      <w:r w:rsidR="000B3906">
        <w:rPr>
          <w:szCs w:val="22"/>
        </w:rPr>
        <w:t>$15,000/QALY - $45,000/QALY</w:t>
      </w:r>
      <w:r w:rsidR="00204621" w:rsidRPr="009A480C">
        <w:rPr>
          <w:szCs w:val="22"/>
        </w:rPr>
        <w:t xml:space="preserve">. </w:t>
      </w:r>
    </w:p>
    <w:p w:rsidR="00204621" w:rsidRPr="009A480C" w:rsidRDefault="00204621" w:rsidP="00204621">
      <w:pPr>
        <w:pStyle w:val="PBACheading1"/>
        <w:numPr>
          <w:ilvl w:val="0"/>
          <w:numId w:val="0"/>
        </w:numPr>
        <w:ind w:left="720" w:hanging="720"/>
      </w:pPr>
    </w:p>
    <w:p w:rsidR="007E3C93" w:rsidRPr="000B3906" w:rsidRDefault="00B84250" w:rsidP="00C9248D">
      <w:pPr>
        <w:pStyle w:val="ListParagraph"/>
        <w:widowControl/>
        <w:numPr>
          <w:ilvl w:val="1"/>
          <w:numId w:val="1"/>
        </w:numPr>
        <w:rPr>
          <w:szCs w:val="22"/>
        </w:rPr>
      </w:pPr>
      <w:r w:rsidRPr="009A480C">
        <w:rPr>
          <w:szCs w:val="22"/>
        </w:rPr>
        <w:t>Compared to the March 2014 re-submission, a</w:t>
      </w:r>
      <w:r w:rsidR="007E3C93" w:rsidRPr="009A480C">
        <w:rPr>
          <w:szCs w:val="22"/>
        </w:rPr>
        <w:t>pplying</w:t>
      </w:r>
      <w:r w:rsidR="007E3C93" w:rsidRPr="00D0223A">
        <w:rPr>
          <w:szCs w:val="22"/>
        </w:rPr>
        <w:t xml:space="preserve"> the conservative estimates of vaccine efficacy, changing the requested ongoing population from 60 year olds to 70 year olds, and reducing the price of vaccine per dose results in a more favourable ICER for the ongoing cohort compared with that in the previous submission. This improvement is primarily a function of differences between the two cohorts in the no-vaccine arm, </w:t>
      </w:r>
      <w:r w:rsidR="007E3C93" w:rsidRPr="000B3906">
        <w:rPr>
          <w:szCs w:val="22"/>
        </w:rPr>
        <w:t>including an:</w:t>
      </w:r>
    </w:p>
    <w:p w:rsidR="007E3C93" w:rsidRPr="000B3906" w:rsidRDefault="007E3C93" w:rsidP="00C9248D">
      <w:pPr>
        <w:pStyle w:val="ListParagraph"/>
        <w:widowControl/>
        <w:numPr>
          <w:ilvl w:val="0"/>
          <w:numId w:val="8"/>
        </w:numPr>
        <w:ind w:left="1134" w:hanging="425"/>
        <w:rPr>
          <w:szCs w:val="22"/>
        </w:rPr>
      </w:pPr>
      <w:r w:rsidRPr="000B3906">
        <w:rPr>
          <w:szCs w:val="22"/>
        </w:rPr>
        <w:t>Increased incidence of zoster (</w:t>
      </w:r>
      <w:r w:rsidR="00FE405A">
        <w:rPr>
          <w:noProof/>
          <w:color w:val="000000"/>
          <w:szCs w:val="22"/>
          <w:highlight w:val="black"/>
        </w:rPr>
        <w:t>'''''''''''''</w:t>
      </w:r>
      <w:r w:rsidRPr="000B3906">
        <w:rPr>
          <w:szCs w:val="22"/>
        </w:rPr>
        <w:t>% for 6</w:t>
      </w:r>
      <w:r w:rsidR="00361DBC" w:rsidRPr="000B3906">
        <w:rPr>
          <w:szCs w:val="22"/>
        </w:rPr>
        <w:t xml:space="preserve">0 year olds vs </w:t>
      </w:r>
      <w:r w:rsidR="00FE405A">
        <w:rPr>
          <w:noProof/>
          <w:color w:val="000000"/>
          <w:szCs w:val="22"/>
          <w:highlight w:val="black"/>
        </w:rPr>
        <w:t>'''''''''''''''</w:t>
      </w:r>
      <w:r w:rsidR="00361DBC" w:rsidRPr="000B3906">
        <w:rPr>
          <w:szCs w:val="22"/>
        </w:rPr>
        <w:t>% for 70</w:t>
      </w:r>
      <w:r w:rsidR="00361DBC" w:rsidRPr="000B3906">
        <w:rPr>
          <w:szCs w:val="22"/>
        </w:rPr>
        <w:noBreakHyphen/>
        <w:t>79 </w:t>
      </w:r>
      <w:r w:rsidRPr="000B3906">
        <w:rPr>
          <w:szCs w:val="22"/>
        </w:rPr>
        <w:t>year olds) and PHN (given zoster; 6.9% for 60 year olds vs 18.5% for 70+ year olds);</w:t>
      </w:r>
    </w:p>
    <w:p w:rsidR="007E3C93" w:rsidRPr="000B3906" w:rsidRDefault="007E3C93" w:rsidP="00C9248D">
      <w:pPr>
        <w:pStyle w:val="ListParagraph"/>
        <w:widowControl/>
        <w:numPr>
          <w:ilvl w:val="0"/>
          <w:numId w:val="8"/>
        </w:numPr>
        <w:ind w:left="1134" w:hanging="425"/>
        <w:rPr>
          <w:szCs w:val="22"/>
        </w:rPr>
      </w:pPr>
      <w:r w:rsidRPr="000B3906">
        <w:rPr>
          <w:szCs w:val="22"/>
        </w:rPr>
        <w:t>Increased severity and duration of zoster (dis</w:t>
      </w:r>
      <w:r w:rsidR="00361DBC" w:rsidRPr="000B3906">
        <w:rPr>
          <w:szCs w:val="22"/>
        </w:rPr>
        <w:t xml:space="preserve">utility; </w:t>
      </w:r>
      <w:r w:rsidR="00FE405A">
        <w:rPr>
          <w:noProof/>
          <w:color w:val="000000"/>
          <w:szCs w:val="22"/>
          <w:highlight w:val="black"/>
        </w:rPr>
        <w:t>''''''''''''''''</w:t>
      </w:r>
      <w:r w:rsidR="00361DBC" w:rsidRPr="000B3906">
        <w:rPr>
          <w:szCs w:val="22"/>
        </w:rPr>
        <w:t xml:space="preserve"> QALYs vs </w:t>
      </w:r>
      <w:r w:rsidR="00FE405A">
        <w:rPr>
          <w:noProof/>
          <w:color w:val="000000"/>
          <w:szCs w:val="22"/>
          <w:highlight w:val="black"/>
        </w:rPr>
        <w:t>'''''''''''''''''</w:t>
      </w:r>
      <w:r w:rsidR="00361DBC" w:rsidRPr="000B3906">
        <w:rPr>
          <w:szCs w:val="22"/>
        </w:rPr>
        <w:t> </w:t>
      </w:r>
      <w:r w:rsidRPr="000B3906">
        <w:rPr>
          <w:szCs w:val="22"/>
        </w:rPr>
        <w:t xml:space="preserve">QALYs for 60-69 year olds and 70+ year olds, respectively) and PHN </w:t>
      </w:r>
      <w:r w:rsidRPr="000B3906">
        <w:rPr>
          <w:szCs w:val="22"/>
        </w:rPr>
        <w:lastRenderedPageBreak/>
        <w:t xml:space="preserve">(disutility; </w:t>
      </w:r>
      <w:r w:rsidR="00FE405A">
        <w:rPr>
          <w:noProof/>
          <w:color w:val="000000"/>
          <w:szCs w:val="22"/>
          <w:highlight w:val="black"/>
        </w:rPr>
        <w:t>''''''''''''''''''</w:t>
      </w:r>
      <w:r w:rsidRPr="000B3906">
        <w:rPr>
          <w:szCs w:val="22"/>
        </w:rPr>
        <w:t xml:space="preserve"> QALYs vs </w:t>
      </w:r>
      <w:r w:rsidR="00FE405A">
        <w:rPr>
          <w:noProof/>
          <w:color w:val="000000"/>
          <w:szCs w:val="22"/>
          <w:highlight w:val="black"/>
        </w:rPr>
        <w:t>'''''''''''''''</w:t>
      </w:r>
      <w:r w:rsidRPr="000B3906">
        <w:rPr>
          <w:szCs w:val="22"/>
        </w:rPr>
        <w:t xml:space="preserve"> QALYs for 60-69 year olds and 70+ year olds, respectively); and </w:t>
      </w:r>
    </w:p>
    <w:p w:rsidR="007E3C93" w:rsidRPr="000B3906" w:rsidRDefault="007E3C93" w:rsidP="00C9248D">
      <w:pPr>
        <w:pStyle w:val="ListParagraph"/>
        <w:widowControl/>
        <w:numPr>
          <w:ilvl w:val="0"/>
          <w:numId w:val="8"/>
        </w:numPr>
        <w:ind w:left="1134" w:hanging="425"/>
        <w:rPr>
          <w:szCs w:val="22"/>
        </w:rPr>
      </w:pPr>
      <w:r w:rsidRPr="000B3906">
        <w:rPr>
          <w:szCs w:val="22"/>
        </w:rPr>
        <w:t>Increasing cost associated with a case of zoster (combined with PHN) ($</w:t>
      </w:r>
      <w:r w:rsidR="00FE405A">
        <w:rPr>
          <w:noProof/>
          <w:color w:val="000000"/>
          <w:szCs w:val="22"/>
          <w:highlight w:val="black"/>
        </w:rPr>
        <w:t>''''''''''</w:t>
      </w:r>
      <w:r w:rsidRPr="000B3906">
        <w:rPr>
          <w:szCs w:val="22"/>
        </w:rPr>
        <w:t xml:space="preserve"> for 60-69 year olds vs $</w:t>
      </w:r>
      <w:r w:rsidR="00FE405A">
        <w:rPr>
          <w:noProof/>
          <w:color w:val="000000"/>
          <w:szCs w:val="22"/>
          <w:highlight w:val="black"/>
        </w:rPr>
        <w:t>'''''''''</w:t>
      </w:r>
      <w:r w:rsidRPr="000B3906">
        <w:rPr>
          <w:szCs w:val="22"/>
        </w:rPr>
        <w:t xml:space="preserve"> for 70-79 year olds).</w:t>
      </w:r>
    </w:p>
    <w:p w:rsidR="007E3C93" w:rsidRPr="00D0223A" w:rsidRDefault="007E3C93" w:rsidP="007E3C93">
      <w:pPr>
        <w:widowControl/>
        <w:rPr>
          <w:szCs w:val="22"/>
        </w:rPr>
      </w:pPr>
    </w:p>
    <w:p w:rsidR="007E3C93" w:rsidRPr="00D0223A" w:rsidRDefault="007E3C93" w:rsidP="00C9248D">
      <w:pPr>
        <w:pStyle w:val="ListParagraph"/>
        <w:widowControl/>
        <w:numPr>
          <w:ilvl w:val="1"/>
          <w:numId w:val="1"/>
        </w:numPr>
        <w:rPr>
          <w:szCs w:val="22"/>
        </w:rPr>
      </w:pPr>
      <w:r w:rsidRPr="00D0223A">
        <w:t>While the above estimates of background incidence of zoster (+/- PHN) and the disutility associated with a case of zoster (+/- PHN) were applied in the previous submission, limiting the duration of vaccine efficacy to 13 years (base case) or 1</w:t>
      </w:r>
      <w:r w:rsidR="00361DBC" w:rsidRPr="00D0223A">
        <w:t>0 </w:t>
      </w:r>
      <w:r w:rsidRPr="00D0223A">
        <w:t>years (sensitivity analysis) meant that many of the differences between the two arms were a result of the underlying burden of zoster disease, which is considerably lower in the 60 year old cohort compared with the 70 year old cohort.</w:t>
      </w:r>
    </w:p>
    <w:p w:rsidR="007E3C93" w:rsidRPr="00D0223A" w:rsidRDefault="007E3C93" w:rsidP="007E3C93">
      <w:pPr>
        <w:pStyle w:val="ListParagraph"/>
        <w:widowControl/>
        <w:rPr>
          <w:szCs w:val="22"/>
        </w:rPr>
      </w:pPr>
    </w:p>
    <w:p w:rsidR="007E3C93" w:rsidRPr="009A480C" w:rsidRDefault="00047FDB" w:rsidP="00C9248D">
      <w:pPr>
        <w:pStyle w:val="ListParagraph"/>
        <w:widowControl/>
        <w:numPr>
          <w:ilvl w:val="1"/>
          <w:numId w:val="1"/>
        </w:numPr>
        <w:rPr>
          <w:szCs w:val="22"/>
        </w:rPr>
      </w:pPr>
      <w:r w:rsidRPr="009A480C">
        <w:rPr>
          <w:szCs w:val="22"/>
        </w:rPr>
        <w:t xml:space="preserve">The PBAC noted the sensitivity analysis based on the following inputs: </w:t>
      </w:r>
    </w:p>
    <w:p w:rsidR="007E3C93" w:rsidRPr="009A480C" w:rsidRDefault="00047FDB" w:rsidP="00047FDB">
      <w:pPr>
        <w:pStyle w:val="ListParagraph"/>
        <w:widowControl/>
        <w:numPr>
          <w:ilvl w:val="0"/>
          <w:numId w:val="7"/>
        </w:numPr>
        <w:rPr>
          <w:szCs w:val="22"/>
        </w:rPr>
      </w:pPr>
      <w:r w:rsidRPr="009A480C">
        <w:rPr>
          <w:szCs w:val="22"/>
        </w:rPr>
        <w:t xml:space="preserve">Incidence of zoster in the Australian </w:t>
      </w:r>
      <w:r w:rsidR="0018117D" w:rsidRPr="009A480C">
        <w:rPr>
          <w:szCs w:val="22"/>
        </w:rPr>
        <w:t>population:</w:t>
      </w:r>
      <w:r w:rsidRPr="009A480C">
        <w:rPr>
          <w:szCs w:val="22"/>
        </w:rPr>
        <w:t xml:space="preserve"> the </w:t>
      </w:r>
      <w:r w:rsidR="007E3C93" w:rsidRPr="009A480C">
        <w:rPr>
          <w:szCs w:val="22"/>
        </w:rPr>
        <w:t xml:space="preserve">incidence of zoster estimated from BEACH data for an immunocompetent 70-79 year old cohort </w:t>
      </w:r>
      <w:r w:rsidRPr="009A480C">
        <w:rPr>
          <w:szCs w:val="22"/>
        </w:rPr>
        <w:t>is greater that the trial incidence</w:t>
      </w:r>
      <w:r w:rsidR="007E3C93" w:rsidRPr="009A480C">
        <w:rPr>
          <w:szCs w:val="22"/>
        </w:rPr>
        <w:t xml:space="preserve">. ATAGI has acknowledged the limitation of the </w:t>
      </w:r>
      <w:r w:rsidRPr="009A480C">
        <w:rPr>
          <w:szCs w:val="22"/>
        </w:rPr>
        <w:t xml:space="preserve">BEACH </w:t>
      </w:r>
      <w:r w:rsidR="007E3C93" w:rsidRPr="009A480C">
        <w:rPr>
          <w:szCs w:val="22"/>
        </w:rPr>
        <w:t xml:space="preserve">data and that </w:t>
      </w:r>
      <w:r w:rsidR="00003F88" w:rsidRPr="009A480C">
        <w:rPr>
          <w:szCs w:val="22"/>
        </w:rPr>
        <w:t>the estimates are</w:t>
      </w:r>
      <w:r w:rsidR="007E3C93" w:rsidRPr="009A480C">
        <w:rPr>
          <w:szCs w:val="22"/>
        </w:rPr>
        <w:t xml:space="preserve"> high in comparison to other estimates, </w:t>
      </w:r>
      <w:r w:rsidR="00003F88" w:rsidRPr="009A480C">
        <w:rPr>
          <w:szCs w:val="22"/>
        </w:rPr>
        <w:t xml:space="preserve">but </w:t>
      </w:r>
      <w:r w:rsidR="007E3C93" w:rsidRPr="009A480C">
        <w:rPr>
          <w:szCs w:val="22"/>
        </w:rPr>
        <w:t xml:space="preserve">considered </w:t>
      </w:r>
      <w:r w:rsidR="00003F88" w:rsidRPr="009A480C">
        <w:rPr>
          <w:szCs w:val="22"/>
        </w:rPr>
        <w:t xml:space="preserve">they </w:t>
      </w:r>
      <w:r w:rsidR="0014285A" w:rsidRPr="009A480C">
        <w:rPr>
          <w:szCs w:val="22"/>
        </w:rPr>
        <w:t xml:space="preserve">are </w:t>
      </w:r>
      <w:r w:rsidR="007E3C93" w:rsidRPr="009A480C">
        <w:rPr>
          <w:szCs w:val="22"/>
        </w:rPr>
        <w:t>the best available.</w:t>
      </w:r>
    </w:p>
    <w:p w:rsidR="007E3C93" w:rsidRPr="009A480C" w:rsidRDefault="00047FDB" w:rsidP="00047FDB">
      <w:pPr>
        <w:pStyle w:val="ListParagraph"/>
        <w:widowControl/>
        <w:numPr>
          <w:ilvl w:val="0"/>
          <w:numId w:val="7"/>
        </w:numPr>
        <w:rPr>
          <w:szCs w:val="22"/>
        </w:rPr>
      </w:pPr>
      <w:r w:rsidRPr="009A480C">
        <w:rPr>
          <w:szCs w:val="22"/>
        </w:rPr>
        <w:t>Proportion of patients with zoster who develop PHN:</w:t>
      </w:r>
      <w:r w:rsidR="007E3C93" w:rsidRPr="009A480C">
        <w:rPr>
          <w:szCs w:val="22"/>
        </w:rPr>
        <w:t xml:space="preserve"> The SPS estimate is derived from patients aged between 70 and 99 years, and may overestimate the proportion of patients with </w:t>
      </w:r>
      <w:r w:rsidR="007E3C93" w:rsidRPr="009A480C">
        <w:rPr>
          <w:szCs w:val="22"/>
          <w:u w:val="single"/>
        </w:rPr>
        <w:t>zoster who develop PHN</w:t>
      </w:r>
      <w:r w:rsidR="007E3C93" w:rsidRPr="009A480C">
        <w:rPr>
          <w:szCs w:val="22"/>
        </w:rPr>
        <w:t xml:space="preserve"> for the 70 year old cohort. This is significantly higher than the estimate for the SPS ITT population (age at vaccination 60-99 years; mean age 69.4 years; 12.4472%); and</w:t>
      </w:r>
    </w:p>
    <w:p w:rsidR="007E3C93" w:rsidRPr="009A480C" w:rsidRDefault="00047FDB" w:rsidP="007E3C93">
      <w:pPr>
        <w:pStyle w:val="ListParagraph"/>
        <w:widowControl/>
        <w:numPr>
          <w:ilvl w:val="0"/>
          <w:numId w:val="7"/>
        </w:numPr>
      </w:pPr>
      <w:r w:rsidRPr="009A480C">
        <w:rPr>
          <w:szCs w:val="22"/>
        </w:rPr>
        <w:t>Disutility associated with a case of zoster (+/- PHN) in the comparator arm: The PBAC recalled that, during the consideration of the submission before the recommendation in 2008, the committee had been concerned about the retrospective data collection in the Canadian MASTER study.</w:t>
      </w:r>
    </w:p>
    <w:p w:rsidR="009A480C" w:rsidRPr="00D0223A" w:rsidRDefault="009A480C" w:rsidP="009A480C">
      <w:pPr>
        <w:widowControl/>
      </w:pPr>
    </w:p>
    <w:p w:rsidR="007E3C93" w:rsidRPr="00D0223A" w:rsidRDefault="00D040EF" w:rsidP="00C9248D">
      <w:pPr>
        <w:pStyle w:val="ListParagraph"/>
        <w:widowControl/>
        <w:numPr>
          <w:ilvl w:val="1"/>
          <w:numId w:val="1"/>
        </w:numPr>
        <w:rPr>
          <w:szCs w:val="22"/>
        </w:rPr>
      </w:pPr>
      <w:r w:rsidRPr="00D0223A">
        <w:t>The table below</w:t>
      </w:r>
      <w:r w:rsidR="00905EB2" w:rsidRPr="00D0223A">
        <w:t xml:space="preserve"> </w:t>
      </w:r>
      <w:r w:rsidR="007E3C93" w:rsidRPr="00D0223A">
        <w:t xml:space="preserve">summarises the results of sensitivity analyses conducted during the evaluation for the key variables. </w:t>
      </w:r>
    </w:p>
    <w:p w:rsidR="007E3C93" w:rsidRPr="00D0223A" w:rsidRDefault="007E3C93" w:rsidP="007E3C93">
      <w:pPr>
        <w:pStyle w:val="ListParagraph"/>
        <w:rPr>
          <w:szCs w:val="22"/>
        </w:rPr>
      </w:pPr>
    </w:p>
    <w:p w:rsidR="007E3C93" w:rsidRPr="00D0223A" w:rsidRDefault="007E3C93" w:rsidP="007E3C93">
      <w:pPr>
        <w:pStyle w:val="ListParagraph"/>
        <w:widowControl/>
        <w:rPr>
          <w:rFonts w:ascii="Arial Narrow" w:hAnsi="Arial Narrow"/>
          <w:b/>
          <w:sz w:val="20"/>
          <w:szCs w:val="16"/>
          <w:vertAlign w:val="superscript"/>
        </w:rPr>
      </w:pPr>
      <w:r w:rsidRPr="00D0223A">
        <w:rPr>
          <w:rStyle w:val="CommentReference"/>
        </w:rPr>
        <w:t>Key sensitivity analyses conducted during the evaluation</w:t>
      </w:r>
      <w:r w:rsidRPr="00D0223A">
        <w:rPr>
          <w:rStyle w:val="CommentReference"/>
          <w:vertAlign w:val="superscript"/>
        </w:rPr>
        <w:t>1</w:t>
      </w:r>
    </w:p>
    <w:tbl>
      <w:tblPr>
        <w:tblStyle w:val="TableGrid"/>
        <w:tblW w:w="8363" w:type="dxa"/>
        <w:tblInd w:w="817" w:type="dxa"/>
        <w:tblLayout w:type="fixed"/>
        <w:tblLook w:val="01E0" w:firstRow="1" w:lastRow="1" w:firstColumn="1" w:lastColumn="1" w:noHBand="0" w:noVBand="0"/>
      </w:tblPr>
      <w:tblGrid>
        <w:gridCol w:w="426"/>
        <w:gridCol w:w="2267"/>
        <w:gridCol w:w="3119"/>
        <w:gridCol w:w="880"/>
        <w:gridCol w:w="821"/>
        <w:gridCol w:w="850"/>
      </w:tblGrid>
      <w:tr w:rsidR="007E3C93" w:rsidRPr="00D0223A" w:rsidTr="00361DBC">
        <w:trPr>
          <w:tblHeader/>
        </w:trPr>
        <w:tc>
          <w:tcPr>
            <w:tcW w:w="426" w:type="dxa"/>
            <w:vAlign w:val="center"/>
          </w:tcPr>
          <w:p w:rsidR="007E3C93" w:rsidRPr="00D0223A" w:rsidRDefault="007E3C93" w:rsidP="008F34F1">
            <w:pPr>
              <w:jc w:val="center"/>
              <w:rPr>
                <w:rFonts w:ascii="Arial Narrow" w:hAnsi="Arial Narrow"/>
                <w:sz w:val="20"/>
              </w:rPr>
            </w:pPr>
            <w:r w:rsidRPr="00D0223A">
              <w:rPr>
                <w:rFonts w:ascii="Arial Narrow" w:hAnsi="Arial Narrow"/>
                <w:b/>
                <w:sz w:val="20"/>
              </w:rPr>
              <w:t>#</w:t>
            </w:r>
          </w:p>
        </w:tc>
        <w:tc>
          <w:tcPr>
            <w:tcW w:w="2267" w:type="dxa"/>
            <w:vAlign w:val="center"/>
          </w:tcPr>
          <w:p w:rsidR="007E3C93" w:rsidRPr="00D0223A" w:rsidRDefault="007E3C93" w:rsidP="008F34F1">
            <w:pPr>
              <w:jc w:val="center"/>
              <w:rPr>
                <w:rFonts w:ascii="Arial Narrow" w:hAnsi="Arial Narrow"/>
                <w:b/>
                <w:sz w:val="20"/>
              </w:rPr>
            </w:pPr>
            <w:r w:rsidRPr="00D0223A">
              <w:rPr>
                <w:rFonts w:ascii="Arial Narrow" w:hAnsi="Arial Narrow"/>
                <w:b/>
                <w:sz w:val="20"/>
              </w:rPr>
              <w:t>Concern / Base case</w:t>
            </w:r>
          </w:p>
        </w:tc>
        <w:tc>
          <w:tcPr>
            <w:tcW w:w="3119" w:type="dxa"/>
            <w:vAlign w:val="center"/>
          </w:tcPr>
          <w:p w:rsidR="007E3C93" w:rsidRPr="00D0223A" w:rsidRDefault="007E3C93" w:rsidP="008F34F1">
            <w:pPr>
              <w:jc w:val="center"/>
              <w:rPr>
                <w:rFonts w:ascii="Arial Narrow" w:hAnsi="Arial Narrow"/>
                <w:sz w:val="20"/>
              </w:rPr>
            </w:pPr>
            <w:r w:rsidRPr="00D0223A">
              <w:rPr>
                <w:rFonts w:ascii="Arial Narrow" w:hAnsi="Arial Narrow"/>
                <w:b/>
                <w:sz w:val="20"/>
              </w:rPr>
              <w:t>Sensitivity Analyses</w:t>
            </w:r>
          </w:p>
        </w:tc>
        <w:tc>
          <w:tcPr>
            <w:tcW w:w="880" w:type="dxa"/>
            <w:vAlign w:val="center"/>
          </w:tcPr>
          <w:p w:rsidR="007E3C93" w:rsidRPr="00D0223A" w:rsidRDefault="007E3C93" w:rsidP="008F34F1">
            <w:pPr>
              <w:jc w:val="center"/>
              <w:rPr>
                <w:rFonts w:ascii="Arial Narrow" w:hAnsi="Arial Narrow"/>
                <w:b/>
                <w:sz w:val="20"/>
              </w:rPr>
            </w:pPr>
            <w:r w:rsidRPr="00D0223A">
              <w:rPr>
                <w:rFonts w:ascii="Arial Narrow" w:hAnsi="Arial Narrow"/>
                <w:b/>
                <w:sz w:val="20"/>
              </w:rPr>
              <w:t>Disc. Incr. Costs</w:t>
            </w:r>
          </w:p>
          <w:p w:rsidR="007E3C93" w:rsidRPr="00D0223A" w:rsidRDefault="007E3C93" w:rsidP="008F34F1">
            <w:pPr>
              <w:jc w:val="center"/>
              <w:rPr>
                <w:rFonts w:ascii="Arial Narrow" w:hAnsi="Arial Narrow"/>
                <w:sz w:val="20"/>
              </w:rPr>
            </w:pPr>
            <w:r w:rsidRPr="00D0223A">
              <w:rPr>
                <w:rFonts w:ascii="Arial Narrow" w:hAnsi="Arial Narrow"/>
                <w:b/>
                <w:sz w:val="20"/>
              </w:rPr>
              <w:t>($)</w:t>
            </w:r>
          </w:p>
        </w:tc>
        <w:tc>
          <w:tcPr>
            <w:tcW w:w="821" w:type="dxa"/>
            <w:vAlign w:val="center"/>
          </w:tcPr>
          <w:p w:rsidR="007E3C93" w:rsidRPr="00D0223A" w:rsidRDefault="007E3C93" w:rsidP="008F34F1">
            <w:pPr>
              <w:jc w:val="center"/>
              <w:rPr>
                <w:rFonts w:ascii="Arial Narrow" w:hAnsi="Arial Narrow"/>
                <w:b/>
                <w:sz w:val="20"/>
              </w:rPr>
            </w:pPr>
            <w:r w:rsidRPr="00D0223A">
              <w:rPr>
                <w:rFonts w:ascii="Arial Narrow" w:hAnsi="Arial Narrow"/>
                <w:b/>
                <w:sz w:val="20"/>
              </w:rPr>
              <w:t>Disc.</w:t>
            </w:r>
          </w:p>
          <w:p w:rsidR="007E3C93" w:rsidRPr="00D0223A" w:rsidRDefault="007E3C93" w:rsidP="008F34F1">
            <w:pPr>
              <w:jc w:val="center"/>
              <w:rPr>
                <w:rFonts w:ascii="Arial Narrow" w:hAnsi="Arial Narrow"/>
                <w:b/>
                <w:sz w:val="20"/>
              </w:rPr>
            </w:pPr>
            <w:r w:rsidRPr="00D0223A">
              <w:rPr>
                <w:rFonts w:ascii="Arial Narrow" w:hAnsi="Arial Narrow"/>
                <w:b/>
                <w:sz w:val="20"/>
              </w:rPr>
              <w:t>Incr.</w:t>
            </w:r>
          </w:p>
          <w:p w:rsidR="007E3C93" w:rsidRPr="00D0223A" w:rsidRDefault="007E3C93" w:rsidP="008F34F1">
            <w:pPr>
              <w:jc w:val="center"/>
              <w:rPr>
                <w:rFonts w:ascii="Arial Narrow" w:hAnsi="Arial Narrow"/>
                <w:sz w:val="20"/>
              </w:rPr>
            </w:pPr>
            <w:r w:rsidRPr="00D0223A">
              <w:rPr>
                <w:rFonts w:ascii="Arial Narrow" w:hAnsi="Arial Narrow"/>
                <w:b/>
                <w:sz w:val="20"/>
              </w:rPr>
              <w:t>Effect. (QALY)</w:t>
            </w:r>
          </w:p>
        </w:tc>
        <w:tc>
          <w:tcPr>
            <w:tcW w:w="850" w:type="dxa"/>
            <w:vAlign w:val="center"/>
          </w:tcPr>
          <w:p w:rsidR="007E3C93" w:rsidRPr="00D0223A" w:rsidRDefault="007E3C93" w:rsidP="008F34F1">
            <w:pPr>
              <w:jc w:val="center"/>
              <w:rPr>
                <w:rFonts w:ascii="Arial Narrow" w:hAnsi="Arial Narrow"/>
                <w:b/>
                <w:sz w:val="20"/>
              </w:rPr>
            </w:pPr>
            <w:r w:rsidRPr="00D0223A">
              <w:rPr>
                <w:rFonts w:ascii="Arial Narrow" w:hAnsi="Arial Narrow"/>
                <w:b/>
                <w:sz w:val="20"/>
              </w:rPr>
              <w:t>ICER</w:t>
            </w:r>
          </w:p>
          <w:p w:rsidR="007E3C93" w:rsidRPr="00D0223A" w:rsidRDefault="007E3C93" w:rsidP="008F34F1">
            <w:pPr>
              <w:ind w:right="-108"/>
              <w:jc w:val="center"/>
              <w:rPr>
                <w:rFonts w:ascii="Arial Narrow" w:hAnsi="Arial Narrow"/>
                <w:sz w:val="20"/>
              </w:rPr>
            </w:pPr>
            <w:r w:rsidRPr="00D0223A">
              <w:rPr>
                <w:rFonts w:ascii="Arial Narrow" w:hAnsi="Arial Narrow"/>
                <w:b/>
                <w:sz w:val="20"/>
              </w:rPr>
              <w:t>($/QALY)</w:t>
            </w:r>
          </w:p>
        </w:tc>
      </w:tr>
      <w:tr w:rsidR="007E3C93" w:rsidRPr="00D0223A" w:rsidTr="005119D7">
        <w:tc>
          <w:tcPr>
            <w:tcW w:w="8363" w:type="dxa"/>
            <w:gridSpan w:val="6"/>
            <w:vAlign w:val="center"/>
          </w:tcPr>
          <w:p w:rsidR="007E3C93" w:rsidRPr="00D0223A" w:rsidRDefault="007E3C93" w:rsidP="008F34F1">
            <w:pPr>
              <w:jc w:val="left"/>
              <w:rPr>
                <w:rFonts w:ascii="Arial Narrow" w:hAnsi="Arial Narrow"/>
                <w:sz w:val="20"/>
              </w:rPr>
            </w:pPr>
            <w:r w:rsidRPr="00D0223A">
              <w:rPr>
                <w:rFonts w:ascii="Arial Narrow" w:hAnsi="Arial Narrow"/>
                <w:b/>
                <w:sz w:val="20"/>
              </w:rPr>
              <w:t>Incidence of zoster in the Australian population</w:t>
            </w:r>
          </w:p>
        </w:tc>
      </w:tr>
      <w:tr w:rsidR="007E3C93" w:rsidRPr="00D0223A" w:rsidTr="005119D7">
        <w:trPr>
          <w:trHeight w:val="1001"/>
        </w:trPr>
        <w:tc>
          <w:tcPr>
            <w:tcW w:w="426" w:type="dxa"/>
            <w:vAlign w:val="center"/>
          </w:tcPr>
          <w:p w:rsidR="007E3C93" w:rsidRPr="00D0223A" w:rsidRDefault="007E3C93" w:rsidP="008F34F1">
            <w:pPr>
              <w:jc w:val="left"/>
              <w:rPr>
                <w:rFonts w:ascii="Arial Narrow" w:hAnsi="Arial Narrow"/>
                <w:sz w:val="20"/>
              </w:rPr>
            </w:pPr>
            <w:r w:rsidRPr="00D0223A">
              <w:rPr>
                <w:rFonts w:ascii="Arial Narrow" w:hAnsi="Arial Narrow"/>
                <w:sz w:val="20"/>
              </w:rPr>
              <w:t>1</w:t>
            </w:r>
          </w:p>
        </w:tc>
        <w:tc>
          <w:tcPr>
            <w:tcW w:w="2267" w:type="dxa"/>
          </w:tcPr>
          <w:p w:rsidR="007E3C93" w:rsidRPr="000B3906" w:rsidRDefault="007E3C93" w:rsidP="008F34F1">
            <w:pPr>
              <w:jc w:val="left"/>
              <w:rPr>
                <w:rFonts w:ascii="Arial Narrow" w:hAnsi="Arial Narrow"/>
                <w:sz w:val="20"/>
              </w:rPr>
            </w:pPr>
            <w:r w:rsidRPr="000B3906">
              <w:rPr>
                <w:rFonts w:ascii="Arial Narrow" w:hAnsi="Arial Narrow"/>
                <w:sz w:val="20"/>
              </w:rPr>
              <w:t>Whether the increasing incidence of zoster from BEACH data for the 70-79 year old cohort is appropriate or an over- estimate.</w:t>
            </w:r>
          </w:p>
          <w:p w:rsidR="007E3C93" w:rsidRPr="000B3906" w:rsidRDefault="007E3C93" w:rsidP="008F34F1">
            <w:pPr>
              <w:jc w:val="left"/>
              <w:rPr>
                <w:rFonts w:ascii="Arial Narrow" w:hAnsi="Arial Narrow"/>
                <w:sz w:val="20"/>
                <w:u w:val="single"/>
              </w:rPr>
            </w:pPr>
          </w:p>
          <w:p w:rsidR="007E3C93" w:rsidRPr="000B3906" w:rsidRDefault="007E3C93" w:rsidP="008F34F1">
            <w:pPr>
              <w:jc w:val="left"/>
              <w:rPr>
                <w:rFonts w:ascii="Arial Narrow" w:hAnsi="Arial Narrow"/>
                <w:sz w:val="20"/>
              </w:rPr>
            </w:pPr>
            <w:r w:rsidRPr="000B3906">
              <w:rPr>
                <w:rFonts w:ascii="Arial Narrow" w:hAnsi="Arial Narrow"/>
                <w:sz w:val="20"/>
                <w:u w:val="single"/>
              </w:rPr>
              <w:t>Base case:</w:t>
            </w:r>
            <w:r w:rsidRPr="000B3906">
              <w:rPr>
                <w:rFonts w:ascii="Arial Narrow" w:hAnsi="Arial Narrow"/>
                <w:sz w:val="20"/>
              </w:rPr>
              <w:t xml:space="preserve"> BEACH Data </w:t>
            </w:r>
          </w:p>
          <w:p w:rsidR="007E3C93" w:rsidRPr="000B3906" w:rsidRDefault="007E3C93" w:rsidP="008F34F1">
            <w:pPr>
              <w:jc w:val="left"/>
              <w:rPr>
                <w:rFonts w:ascii="Arial Narrow" w:hAnsi="Arial Narrow"/>
                <w:sz w:val="20"/>
              </w:rPr>
            </w:pPr>
            <w:r w:rsidRPr="000B3906">
              <w:rPr>
                <w:rFonts w:ascii="Arial Narrow" w:hAnsi="Arial Narrow"/>
                <w:sz w:val="20"/>
              </w:rPr>
              <w:t>70-79 years=</w:t>
            </w:r>
            <w:r w:rsidR="00FE405A">
              <w:rPr>
                <w:rFonts w:ascii="Arial Narrow" w:hAnsi="Arial Narrow"/>
                <w:noProof/>
                <w:color w:val="000000"/>
                <w:sz w:val="20"/>
                <w:highlight w:val="black"/>
              </w:rPr>
              <w:t>''''''''''''''</w:t>
            </w:r>
            <w:r w:rsidRPr="000B3906">
              <w:rPr>
                <w:rFonts w:ascii="Arial Narrow" w:hAnsi="Arial Narrow"/>
                <w:sz w:val="20"/>
              </w:rPr>
              <w:t xml:space="preserve">% </w:t>
            </w:r>
          </w:p>
          <w:p w:rsidR="007E3C93" w:rsidRPr="000B3906" w:rsidRDefault="007E3C93" w:rsidP="008F34F1">
            <w:pPr>
              <w:jc w:val="left"/>
              <w:rPr>
                <w:rFonts w:ascii="Arial Narrow" w:hAnsi="Arial Narrow"/>
                <w:sz w:val="20"/>
              </w:rPr>
            </w:pPr>
            <w:r w:rsidRPr="000B3906">
              <w:rPr>
                <w:rFonts w:ascii="Arial Narrow" w:hAnsi="Arial Narrow"/>
                <w:sz w:val="20"/>
              </w:rPr>
              <w:t>80+ years =</w:t>
            </w:r>
            <w:r w:rsidR="00FE405A">
              <w:rPr>
                <w:rFonts w:ascii="Arial Narrow" w:hAnsi="Arial Narrow"/>
                <w:noProof/>
                <w:color w:val="000000"/>
                <w:sz w:val="20"/>
                <w:highlight w:val="black"/>
              </w:rPr>
              <w:t>'''''''''''''''</w:t>
            </w:r>
            <w:r w:rsidRPr="000B3906">
              <w:rPr>
                <w:rFonts w:ascii="Arial Narrow" w:hAnsi="Arial Narrow"/>
                <w:sz w:val="20"/>
              </w:rPr>
              <w:t>%</w:t>
            </w:r>
          </w:p>
        </w:tc>
        <w:tc>
          <w:tcPr>
            <w:tcW w:w="3119" w:type="dxa"/>
            <w:vAlign w:val="center"/>
          </w:tcPr>
          <w:p w:rsidR="007E3C93" w:rsidRPr="000B3906" w:rsidRDefault="007E3C93" w:rsidP="008F34F1">
            <w:pPr>
              <w:jc w:val="left"/>
              <w:rPr>
                <w:rFonts w:ascii="Arial Narrow" w:hAnsi="Arial Narrow"/>
                <w:sz w:val="20"/>
              </w:rPr>
            </w:pPr>
            <w:r w:rsidRPr="000B3906">
              <w:rPr>
                <w:rFonts w:ascii="Arial Narrow" w:hAnsi="Arial Narrow"/>
                <w:sz w:val="20"/>
              </w:rPr>
              <w:t>Using the estimate of the incidence of zoster from the SPS (70 + years 1.1434%), rather than BEACH Data</w:t>
            </w:r>
          </w:p>
        </w:tc>
        <w:tc>
          <w:tcPr>
            <w:tcW w:w="880"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821"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850"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r>
      <w:tr w:rsidR="007E3C93" w:rsidRPr="00D0223A" w:rsidTr="005119D7">
        <w:tc>
          <w:tcPr>
            <w:tcW w:w="8363" w:type="dxa"/>
            <w:gridSpan w:val="6"/>
            <w:vAlign w:val="center"/>
          </w:tcPr>
          <w:p w:rsidR="007E3C93" w:rsidRPr="000B3906" w:rsidRDefault="007E3C93" w:rsidP="00361DBC">
            <w:pPr>
              <w:keepNext/>
              <w:jc w:val="left"/>
              <w:rPr>
                <w:rFonts w:ascii="Arial Narrow" w:hAnsi="Arial Narrow"/>
                <w:sz w:val="20"/>
              </w:rPr>
            </w:pPr>
            <w:r w:rsidRPr="000B3906">
              <w:rPr>
                <w:rFonts w:ascii="Arial Narrow" w:hAnsi="Arial Narrow"/>
                <w:b/>
                <w:sz w:val="20"/>
              </w:rPr>
              <w:lastRenderedPageBreak/>
              <w:t>Proportion of patients with zoster who develop PHN</w:t>
            </w:r>
          </w:p>
        </w:tc>
      </w:tr>
      <w:tr w:rsidR="007E3C93" w:rsidRPr="00D0223A" w:rsidTr="005119D7">
        <w:tc>
          <w:tcPr>
            <w:tcW w:w="426" w:type="dxa"/>
            <w:vAlign w:val="center"/>
          </w:tcPr>
          <w:p w:rsidR="007E3C93" w:rsidRPr="00D0223A" w:rsidRDefault="007E3C93" w:rsidP="00361DBC">
            <w:pPr>
              <w:keepNext/>
              <w:jc w:val="left"/>
              <w:rPr>
                <w:rFonts w:ascii="Arial Narrow" w:hAnsi="Arial Narrow"/>
                <w:sz w:val="20"/>
              </w:rPr>
            </w:pPr>
            <w:r w:rsidRPr="00D0223A">
              <w:rPr>
                <w:rFonts w:ascii="Arial Narrow" w:hAnsi="Arial Narrow"/>
                <w:sz w:val="20"/>
              </w:rPr>
              <w:t>2</w:t>
            </w:r>
          </w:p>
        </w:tc>
        <w:tc>
          <w:tcPr>
            <w:tcW w:w="2267" w:type="dxa"/>
            <w:vMerge w:val="restart"/>
          </w:tcPr>
          <w:p w:rsidR="007E3C93" w:rsidRPr="000B3906" w:rsidRDefault="007E3C93" w:rsidP="00361DBC">
            <w:pPr>
              <w:keepNext/>
              <w:jc w:val="left"/>
              <w:rPr>
                <w:rFonts w:ascii="Arial Narrow" w:hAnsi="Arial Narrow"/>
                <w:sz w:val="20"/>
              </w:rPr>
            </w:pPr>
            <w:r w:rsidRPr="000B3906">
              <w:rPr>
                <w:rFonts w:ascii="Arial Narrow" w:hAnsi="Arial Narrow"/>
                <w:sz w:val="20"/>
              </w:rPr>
              <w:t>Proportion of patients with zoster who develop PHN is estimated from SPS data for the 70 + year old cohort (i.e. patients vaccinated between 70-99 years of age).</w:t>
            </w:r>
          </w:p>
          <w:p w:rsidR="007E3C93" w:rsidRPr="000B3906" w:rsidRDefault="007E3C93" w:rsidP="00361DBC">
            <w:pPr>
              <w:keepNext/>
              <w:jc w:val="left"/>
              <w:rPr>
                <w:rFonts w:ascii="Arial Narrow" w:hAnsi="Arial Narrow"/>
                <w:sz w:val="20"/>
              </w:rPr>
            </w:pPr>
          </w:p>
          <w:p w:rsidR="007E3C93" w:rsidRPr="000B3906" w:rsidRDefault="007E3C93" w:rsidP="00361DBC">
            <w:pPr>
              <w:keepNext/>
              <w:jc w:val="left"/>
              <w:rPr>
                <w:rFonts w:ascii="Arial Narrow" w:hAnsi="Arial Narrow"/>
                <w:sz w:val="20"/>
              </w:rPr>
            </w:pPr>
            <w:r w:rsidRPr="000B3906">
              <w:rPr>
                <w:rFonts w:ascii="Arial Narrow" w:hAnsi="Arial Narrow"/>
                <w:sz w:val="20"/>
                <w:u w:val="single"/>
              </w:rPr>
              <w:t>Base case:</w:t>
            </w:r>
            <w:r w:rsidRPr="000B3906">
              <w:rPr>
                <w:rFonts w:ascii="Arial Narrow" w:hAnsi="Arial Narrow"/>
                <w:sz w:val="20"/>
              </w:rPr>
              <w:t xml:space="preserve"> 18.5% </w:t>
            </w:r>
          </w:p>
        </w:tc>
        <w:tc>
          <w:tcPr>
            <w:tcW w:w="3119" w:type="dxa"/>
            <w:vAlign w:val="center"/>
          </w:tcPr>
          <w:p w:rsidR="007E3C93" w:rsidRPr="000B3906" w:rsidRDefault="007E3C93" w:rsidP="00361DBC">
            <w:pPr>
              <w:keepNext/>
              <w:jc w:val="left"/>
              <w:rPr>
                <w:rFonts w:ascii="Arial Narrow" w:hAnsi="Arial Narrow"/>
                <w:sz w:val="20"/>
              </w:rPr>
            </w:pPr>
            <w:r w:rsidRPr="000B3906">
              <w:rPr>
                <w:rFonts w:ascii="Arial Narrow" w:hAnsi="Arial Narrow"/>
                <w:sz w:val="20"/>
              </w:rPr>
              <w:t>Reducing the proportion of patients with zoster who develop PHN to the lower bound of the 95% confidence interval from the SPS trial (pooled results for all patients aged over 70 years at vaccination: 15.7058%)</w:t>
            </w:r>
          </w:p>
        </w:tc>
        <w:tc>
          <w:tcPr>
            <w:tcW w:w="880" w:type="dxa"/>
            <w:vAlign w:val="center"/>
          </w:tcPr>
          <w:p w:rsidR="007E3C93" w:rsidRPr="00FE405A" w:rsidRDefault="00FE405A" w:rsidP="00361DBC">
            <w:pPr>
              <w:keepNext/>
              <w:jc w:val="center"/>
              <w:rPr>
                <w:rFonts w:ascii="Arial Narrow" w:hAnsi="Arial Narrow"/>
                <w:sz w:val="20"/>
                <w:highlight w:val="black"/>
              </w:rPr>
            </w:pPr>
            <w:r>
              <w:rPr>
                <w:rFonts w:ascii="Arial Narrow" w:hAnsi="Arial Narrow"/>
                <w:noProof/>
                <w:color w:val="000000"/>
                <w:sz w:val="20"/>
                <w:highlight w:val="black"/>
              </w:rPr>
              <w:t>'''''''''''''</w:t>
            </w:r>
          </w:p>
        </w:tc>
        <w:tc>
          <w:tcPr>
            <w:tcW w:w="821" w:type="dxa"/>
            <w:vAlign w:val="center"/>
          </w:tcPr>
          <w:p w:rsidR="007E3C93" w:rsidRPr="00FE405A" w:rsidRDefault="00FE405A" w:rsidP="00361DBC">
            <w:pPr>
              <w:keepNext/>
              <w:jc w:val="center"/>
              <w:rPr>
                <w:rFonts w:ascii="Arial Narrow" w:hAnsi="Arial Narrow"/>
                <w:sz w:val="20"/>
                <w:highlight w:val="black"/>
              </w:rPr>
            </w:pPr>
            <w:r>
              <w:rPr>
                <w:rFonts w:ascii="Arial Narrow" w:hAnsi="Arial Narrow"/>
                <w:noProof/>
                <w:color w:val="000000"/>
                <w:sz w:val="20"/>
                <w:highlight w:val="black"/>
              </w:rPr>
              <w:t>'''''''''''''''''''''</w:t>
            </w:r>
          </w:p>
        </w:tc>
        <w:tc>
          <w:tcPr>
            <w:tcW w:w="850" w:type="dxa"/>
            <w:vAlign w:val="center"/>
          </w:tcPr>
          <w:p w:rsidR="007E3C93" w:rsidRPr="00FE405A" w:rsidRDefault="00FE405A" w:rsidP="00361DBC">
            <w:pPr>
              <w:keepNext/>
              <w:jc w:val="center"/>
              <w:rPr>
                <w:rFonts w:ascii="Arial Narrow" w:hAnsi="Arial Narrow"/>
                <w:sz w:val="20"/>
                <w:highlight w:val="black"/>
              </w:rPr>
            </w:pPr>
            <w:r>
              <w:rPr>
                <w:rFonts w:ascii="Arial Narrow" w:hAnsi="Arial Narrow"/>
                <w:noProof/>
                <w:color w:val="000000"/>
                <w:sz w:val="20"/>
                <w:highlight w:val="black"/>
              </w:rPr>
              <w:t>''''''''''''''''''</w:t>
            </w:r>
          </w:p>
        </w:tc>
      </w:tr>
      <w:tr w:rsidR="007E3C93" w:rsidRPr="00D0223A" w:rsidTr="005119D7">
        <w:tc>
          <w:tcPr>
            <w:tcW w:w="426" w:type="dxa"/>
            <w:vAlign w:val="center"/>
          </w:tcPr>
          <w:p w:rsidR="007E3C93" w:rsidRPr="00D0223A" w:rsidRDefault="007E3C93" w:rsidP="008F34F1">
            <w:pPr>
              <w:jc w:val="left"/>
              <w:rPr>
                <w:rFonts w:ascii="Arial Narrow" w:hAnsi="Arial Narrow"/>
                <w:sz w:val="20"/>
              </w:rPr>
            </w:pPr>
            <w:r w:rsidRPr="00D0223A">
              <w:rPr>
                <w:rFonts w:ascii="Arial Narrow" w:hAnsi="Arial Narrow"/>
                <w:sz w:val="20"/>
              </w:rPr>
              <w:t>3</w:t>
            </w:r>
          </w:p>
        </w:tc>
        <w:tc>
          <w:tcPr>
            <w:tcW w:w="2267" w:type="dxa"/>
            <w:vMerge/>
          </w:tcPr>
          <w:p w:rsidR="007E3C93" w:rsidRPr="000B3906" w:rsidRDefault="007E3C93" w:rsidP="008F34F1">
            <w:pPr>
              <w:jc w:val="left"/>
              <w:rPr>
                <w:rFonts w:ascii="Arial Narrow" w:hAnsi="Arial Narrow"/>
                <w:b/>
                <w:sz w:val="20"/>
              </w:rPr>
            </w:pPr>
          </w:p>
        </w:tc>
        <w:tc>
          <w:tcPr>
            <w:tcW w:w="3119" w:type="dxa"/>
            <w:vAlign w:val="center"/>
          </w:tcPr>
          <w:p w:rsidR="007E3C93" w:rsidRPr="000B3906" w:rsidRDefault="007E3C93" w:rsidP="008F34F1">
            <w:pPr>
              <w:jc w:val="left"/>
              <w:rPr>
                <w:rFonts w:ascii="Arial Narrow" w:hAnsi="Arial Narrow"/>
                <w:sz w:val="20"/>
              </w:rPr>
            </w:pPr>
            <w:r w:rsidRPr="000B3906">
              <w:rPr>
                <w:rFonts w:ascii="Arial Narrow" w:hAnsi="Arial Narrow"/>
                <w:sz w:val="20"/>
              </w:rPr>
              <w:t>Reducing the proportion of patients with zoster who develop PHN to the estimate provided in the ITT population (mean age at vaccination 69.4) of the SPS (12.4472%)</w:t>
            </w:r>
          </w:p>
        </w:tc>
        <w:tc>
          <w:tcPr>
            <w:tcW w:w="880"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821"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850"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r>
      <w:tr w:rsidR="007E3C93" w:rsidRPr="00D0223A" w:rsidTr="005119D7">
        <w:tc>
          <w:tcPr>
            <w:tcW w:w="426" w:type="dxa"/>
            <w:vAlign w:val="center"/>
          </w:tcPr>
          <w:p w:rsidR="007E3C93" w:rsidRPr="00D0223A" w:rsidRDefault="007E3C93" w:rsidP="008F34F1">
            <w:pPr>
              <w:jc w:val="left"/>
              <w:rPr>
                <w:rFonts w:ascii="Arial Narrow" w:hAnsi="Arial Narrow"/>
                <w:sz w:val="20"/>
              </w:rPr>
            </w:pPr>
            <w:r w:rsidRPr="00D0223A">
              <w:rPr>
                <w:rFonts w:ascii="Arial Narrow" w:hAnsi="Arial Narrow"/>
                <w:sz w:val="20"/>
              </w:rPr>
              <w:t>4</w:t>
            </w:r>
          </w:p>
        </w:tc>
        <w:tc>
          <w:tcPr>
            <w:tcW w:w="2267" w:type="dxa"/>
            <w:vMerge/>
          </w:tcPr>
          <w:p w:rsidR="007E3C93" w:rsidRPr="000B3906" w:rsidRDefault="007E3C93" w:rsidP="008F34F1">
            <w:pPr>
              <w:jc w:val="left"/>
              <w:rPr>
                <w:rFonts w:ascii="Arial Narrow" w:hAnsi="Arial Narrow"/>
                <w:b/>
                <w:sz w:val="20"/>
              </w:rPr>
            </w:pPr>
          </w:p>
        </w:tc>
        <w:tc>
          <w:tcPr>
            <w:tcW w:w="3119" w:type="dxa"/>
            <w:vAlign w:val="center"/>
          </w:tcPr>
          <w:p w:rsidR="007E3C93" w:rsidRPr="000B3906" w:rsidRDefault="007E3C93" w:rsidP="008F34F1">
            <w:pPr>
              <w:jc w:val="left"/>
              <w:rPr>
                <w:rFonts w:ascii="Arial Narrow" w:hAnsi="Arial Narrow"/>
                <w:sz w:val="20"/>
              </w:rPr>
            </w:pPr>
            <w:r w:rsidRPr="000B3906">
              <w:rPr>
                <w:rFonts w:ascii="Arial Narrow" w:hAnsi="Arial Narrow"/>
                <w:sz w:val="20"/>
              </w:rPr>
              <w:t>Reducing the proportion of patients with zoster who develop PHN to 6.9% (the same proportion that was observed for the 60-69 year old cohort in the SPS) for 70-79 year olds only</w:t>
            </w:r>
          </w:p>
        </w:tc>
        <w:tc>
          <w:tcPr>
            <w:tcW w:w="880"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821"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850"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r>
      <w:tr w:rsidR="007E3C93" w:rsidRPr="00D0223A" w:rsidTr="005119D7">
        <w:tc>
          <w:tcPr>
            <w:tcW w:w="8363" w:type="dxa"/>
            <w:gridSpan w:val="6"/>
            <w:vAlign w:val="center"/>
          </w:tcPr>
          <w:p w:rsidR="007E3C93" w:rsidRPr="000B3906" w:rsidRDefault="007E3C93" w:rsidP="008F34F1">
            <w:pPr>
              <w:jc w:val="left"/>
              <w:rPr>
                <w:rFonts w:ascii="Arial Narrow" w:hAnsi="Arial Narrow"/>
                <w:sz w:val="20"/>
              </w:rPr>
            </w:pPr>
            <w:r w:rsidRPr="000B3906">
              <w:rPr>
                <w:rFonts w:ascii="Arial Narrow" w:hAnsi="Arial Narrow"/>
                <w:b/>
                <w:sz w:val="20"/>
              </w:rPr>
              <w:t>Disutility associated with a case of zoster (+/- PHN) in the comparator arm</w:t>
            </w:r>
          </w:p>
        </w:tc>
      </w:tr>
      <w:tr w:rsidR="007E3C93" w:rsidRPr="00D0223A" w:rsidTr="005119D7">
        <w:tc>
          <w:tcPr>
            <w:tcW w:w="426" w:type="dxa"/>
            <w:vAlign w:val="center"/>
          </w:tcPr>
          <w:p w:rsidR="007E3C93" w:rsidRPr="00D0223A" w:rsidRDefault="007E3C93" w:rsidP="008F34F1">
            <w:pPr>
              <w:jc w:val="left"/>
              <w:rPr>
                <w:rFonts w:ascii="Arial Narrow" w:hAnsi="Arial Narrow"/>
                <w:sz w:val="20"/>
              </w:rPr>
            </w:pPr>
            <w:r w:rsidRPr="00D0223A">
              <w:rPr>
                <w:rFonts w:ascii="Arial Narrow" w:hAnsi="Arial Narrow"/>
                <w:sz w:val="20"/>
              </w:rPr>
              <w:t>5</w:t>
            </w:r>
          </w:p>
        </w:tc>
        <w:tc>
          <w:tcPr>
            <w:tcW w:w="2267" w:type="dxa"/>
            <w:vMerge w:val="restart"/>
          </w:tcPr>
          <w:p w:rsidR="007E3C93" w:rsidRPr="000B3906" w:rsidRDefault="007E3C93" w:rsidP="008F34F1">
            <w:pPr>
              <w:rPr>
                <w:rFonts w:ascii="Arial Narrow" w:hAnsi="Arial Narrow"/>
                <w:sz w:val="20"/>
              </w:rPr>
            </w:pPr>
            <w:r w:rsidRPr="000B3906">
              <w:rPr>
                <w:rFonts w:ascii="Arial Narrow" w:hAnsi="Arial Narrow"/>
                <w:sz w:val="20"/>
              </w:rPr>
              <w:t xml:space="preserve">Estimated based on the distribution of patients by </w:t>
            </w:r>
            <w:r w:rsidRPr="000B3906">
              <w:rPr>
                <w:rFonts w:ascii="Arial Narrow" w:hAnsi="Arial Narrow"/>
                <w:sz w:val="20"/>
                <w:u w:val="single"/>
              </w:rPr>
              <w:t>average</w:t>
            </w:r>
            <w:r w:rsidRPr="000B3906">
              <w:rPr>
                <w:rFonts w:ascii="Arial Narrow" w:hAnsi="Arial Narrow"/>
                <w:sz w:val="20"/>
              </w:rPr>
              <w:t xml:space="preserve"> pain score in the SPS over time, weighted by the expected QALY loss associated with each of the pain categories from the MASTER study</w:t>
            </w:r>
            <w:r w:rsidR="00391E95" w:rsidRPr="000B3906">
              <w:rPr>
                <w:rFonts w:ascii="Arial Narrow" w:hAnsi="Arial Narrow"/>
                <w:sz w:val="20"/>
              </w:rPr>
              <w:t>.</w:t>
            </w:r>
          </w:p>
          <w:p w:rsidR="007E3C93" w:rsidRPr="000B3906" w:rsidRDefault="007E3C93" w:rsidP="008F34F1">
            <w:pPr>
              <w:rPr>
                <w:rFonts w:ascii="Arial Narrow" w:hAnsi="Arial Narrow"/>
                <w:sz w:val="20"/>
                <w:u w:val="single"/>
              </w:rPr>
            </w:pPr>
          </w:p>
          <w:p w:rsidR="007E3C93" w:rsidRPr="000B3906" w:rsidRDefault="007E3C93" w:rsidP="008F34F1">
            <w:pPr>
              <w:rPr>
                <w:rFonts w:ascii="Arial Narrow" w:hAnsi="Arial Narrow"/>
                <w:sz w:val="20"/>
                <w:u w:val="single"/>
              </w:rPr>
            </w:pPr>
            <w:r w:rsidRPr="000B3906">
              <w:rPr>
                <w:rFonts w:ascii="Arial Narrow" w:hAnsi="Arial Narrow"/>
                <w:sz w:val="20"/>
                <w:u w:val="single"/>
              </w:rPr>
              <w:t>Base case (70 + year olds):</w:t>
            </w:r>
          </w:p>
          <w:p w:rsidR="007E3C93" w:rsidRPr="000B3906" w:rsidRDefault="007E3C93" w:rsidP="008F34F1">
            <w:pPr>
              <w:rPr>
                <w:rFonts w:ascii="Arial Narrow" w:hAnsi="Arial Narrow"/>
                <w:sz w:val="20"/>
              </w:rPr>
            </w:pPr>
            <w:r w:rsidRPr="000B3906">
              <w:rPr>
                <w:rFonts w:ascii="Arial Narrow" w:hAnsi="Arial Narrow"/>
                <w:sz w:val="20"/>
              </w:rPr>
              <w:t xml:space="preserve">Disutility of zoster = </w:t>
            </w:r>
            <w:r w:rsidR="00FE405A">
              <w:rPr>
                <w:rFonts w:ascii="Arial Narrow" w:hAnsi="Arial Narrow"/>
                <w:noProof/>
                <w:color w:val="000000"/>
                <w:sz w:val="20"/>
                <w:highlight w:val="black"/>
              </w:rPr>
              <w:t>'''''''''''''''</w:t>
            </w:r>
          </w:p>
          <w:p w:rsidR="007E3C93" w:rsidRPr="000B3906" w:rsidRDefault="007E3C93" w:rsidP="008F34F1">
            <w:r w:rsidRPr="000B3906">
              <w:rPr>
                <w:rFonts w:ascii="Arial Narrow" w:hAnsi="Arial Narrow"/>
                <w:sz w:val="20"/>
              </w:rPr>
              <w:t xml:space="preserve">Disutility of PHN = </w:t>
            </w:r>
            <w:r w:rsidR="00FE405A">
              <w:rPr>
                <w:rFonts w:ascii="Arial Narrow" w:hAnsi="Arial Narrow"/>
                <w:noProof/>
                <w:color w:val="000000"/>
                <w:sz w:val="20"/>
                <w:highlight w:val="black"/>
              </w:rPr>
              <w:t>''''''''''''</w:t>
            </w:r>
          </w:p>
        </w:tc>
        <w:tc>
          <w:tcPr>
            <w:tcW w:w="3119" w:type="dxa"/>
            <w:vAlign w:val="center"/>
          </w:tcPr>
          <w:p w:rsidR="007E3C93" w:rsidRPr="000B3906" w:rsidRDefault="007E3C93" w:rsidP="008F34F1">
            <w:pPr>
              <w:jc w:val="left"/>
              <w:rPr>
                <w:rFonts w:ascii="Arial Narrow" w:hAnsi="Arial Narrow"/>
                <w:sz w:val="20"/>
              </w:rPr>
            </w:pPr>
            <w:r w:rsidRPr="000B3906">
              <w:rPr>
                <w:rFonts w:ascii="Arial Narrow" w:hAnsi="Arial Narrow"/>
                <w:sz w:val="20"/>
              </w:rPr>
              <w:t xml:space="preserve">Reducing the disutility associated with a case of PHN to the lower bound of the 95% confidence interval from SPS (age at vaccination 70-99 years; QALY Disutility = 0.124281067)  </w:t>
            </w:r>
          </w:p>
        </w:tc>
        <w:tc>
          <w:tcPr>
            <w:tcW w:w="880"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821"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850"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r>
      <w:tr w:rsidR="007E3C93" w:rsidRPr="00D0223A" w:rsidTr="005119D7">
        <w:tc>
          <w:tcPr>
            <w:tcW w:w="426" w:type="dxa"/>
            <w:vAlign w:val="center"/>
          </w:tcPr>
          <w:p w:rsidR="007E3C93" w:rsidRPr="00D0223A" w:rsidRDefault="007E3C93" w:rsidP="008F34F1">
            <w:pPr>
              <w:jc w:val="left"/>
              <w:rPr>
                <w:rFonts w:ascii="Arial Narrow" w:hAnsi="Arial Narrow"/>
                <w:sz w:val="20"/>
              </w:rPr>
            </w:pPr>
            <w:r w:rsidRPr="00D0223A">
              <w:rPr>
                <w:rFonts w:ascii="Arial Narrow" w:hAnsi="Arial Narrow"/>
                <w:sz w:val="20"/>
              </w:rPr>
              <w:t>6</w:t>
            </w:r>
          </w:p>
        </w:tc>
        <w:tc>
          <w:tcPr>
            <w:tcW w:w="2267" w:type="dxa"/>
            <w:vMerge/>
          </w:tcPr>
          <w:p w:rsidR="007E3C93" w:rsidRPr="000B3906" w:rsidRDefault="007E3C93" w:rsidP="008F34F1">
            <w:pPr>
              <w:jc w:val="left"/>
              <w:rPr>
                <w:rFonts w:ascii="Arial Narrow" w:hAnsi="Arial Narrow"/>
                <w:b/>
                <w:sz w:val="20"/>
              </w:rPr>
            </w:pPr>
          </w:p>
        </w:tc>
        <w:tc>
          <w:tcPr>
            <w:tcW w:w="3119" w:type="dxa"/>
            <w:vAlign w:val="center"/>
          </w:tcPr>
          <w:p w:rsidR="007E3C93" w:rsidRPr="000B3906" w:rsidRDefault="007E3C93" w:rsidP="008F34F1">
            <w:pPr>
              <w:jc w:val="left"/>
              <w:rPr>
                <w:rFonts w:ascii="Arial Narrow" w:hAnsi="Arial Narrow"/>
                <w:sz w:val="20"/>
              </w:rPr>
            </w:pPr>
            <w:r w:rsidRPr="000B3906">
              <w:rPr>
                <w:rFonts w:ascii="Arial Narrow" w:hAnsi="Arial Narrow"/>
                <w:sz w:val="20"/>
              </w:rPr>
              <w:t>Reducing the disutility associated with a case  of PHN for the 70 year old cohort equal to that estimated for the 60-69 year old cohort (0.1134)</w:t>
            </w:r>
          </w:p>
        </w:tc>
        <w:tc>
          <w:tcPr>
            <w:tcW w:w="880"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821"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c>
          <w:tcPr>
            <w:tcW w:w="850" w:type="dxa"/>
            <w:vAlign w:val="center"/>
          </w:tcPr>
          <w:p w:rsidR="007E3C93" w:rsidRPr="00FE405A" w:rsidRDefault="00FE405A" w:rsidP="008F34F1">
            <w:pPr>
              <w:jc w:val="center"/>
              <w:rPr>
                <w:rFonts w:ascii="Arial Narrow" w:hAnsi="Arial Narrow"/>
                <w:sz w:val="20"/>
                <w:highlight w:val="black"/>
              </w:rPr>
            </w:pPr>
            <w:r>
              <w:rPr>
                <w:rFonts w:ascii="Arial Narrow" w:hAnsi="Arial Narrow"/>
                <w:noProof/>
                <w:color w:val="000000"/>
                <w:sz w:val="20"/>
                <w:highlight w:val="black"/>
              </w:rPr>
              <w:t>''''''''''''''''</w:t>
            </w:r>
          </w:p>
        </w:tc>
      </w:tr>
    </w:tbl>
    <w:p w:rsidR="007E3C93" w:rsidRPr="00D0223A" w:rsidRDefault="007E3C93" w:rsidP="007E3C93">
      <w:pPr>
        <w:pStyle w:val="TableFootnoteindent"/>
        <w:tabs>
          <w:tab w:val="clear" w:pos="284"/>
          <w:tab w:val="left" w:pos="993"/>
        </w:tabs>
        <w:ind w:left="993"/>
      </w:pPr>
      <w:r w:rsidRPr="00D0223A">
        <w:rPr>
          <w:vertAlign w:val="superscript"/>
        </w:rPr>
        <w:t>1</w:t>
      </w:r>
      <w:r w:rsidRPr="00D0223A">
        <w:t xml:space="preserve"> </w:t>
      </w:r>
      <w:r w:rsidRPr="00D0223A">
        <w:tab/>
        <w:t>All changes made to the results to the base case using trial-based estimates, and are one-way sensitivity analyses.</w:t>
      </w:r>
      <w:r w:rsidR="00FF242D">
        <w:t xml:space="preserve"> </w:t>
      </w:r>
      <w:r w:rsidRPr="00D0223A">
        <w:t>Source: Compiled during the evaluation</w:t>
      </w:r>
    </w:p>
    <w:p w:rsidR="007E3C93" w:rsidRPr="00D0223A" w:rsidRDefault="007E3C93" w:rsidP="007E3C93">
      <w:pPr>
        <w:widowControl/>
        <w:rPr>
          <w:szCs w:val="22"/>
        </w:rPr>
      </w:pPr>
    </w:p>
    <w:p w:rsidR="00E15F4C" w:rsidRDefault="00E15F4C">
      <w:pPr>
        <w:widowControl/>
        <w:jc w:val="left"/>
        <w:rPr>
          <w:szCs w:val="22"/>
        </w:rPr>
      </w:pPr>
    </w:p>
    <w:p w:rsidR="00C6323A" w:rsidRPr="009A480C" w:rsidRDefault="00366F14" w:rsidP="00CB7929">
      <w:pPr>
        <w:pStyle w:val="ListParagraph"/>
        <w:widowControl/>
        <w:numPr>
          <w:ilvl w:val="1"/>
          <w:numId w:val="1"/>
        </w:numPr>
        <w:rPr>
          <w:szCs w:val="22"/>
        </w:rPr>
      </w:pPr>
      <w:r w:rsidRPr="009A480C">
        <w:rPr>
          <w:szCs w:val="22"/>
        </w:rPr>
        <w:t xml:space="preserve">The PBAC considered that the most uncertain input into the economic model was the duration of vaccine efficacy. </w:t>
      </w:r>
      <w:r w:rsidR="00FA6363" w:rsidRPr="009A480C">
        <w:rPr>
          <w:szCs w:val="22"/>
        </w:rPr>
        <w:t xml:space="preserve">The PBAC noted that: </w:t>
      </w:r>
    </w:p>
    <w:p w:rsidR="00C6323A" w:rsidRPr="009A480C" w:rsidRDefault="00C6323A" w:rsidP="00C6256D">
      <w:pPr>
        <w:pStyle w:val="ListParagraph"/>
        <w:widowControl/>
        <w:numPr>
          <w:ilvl w:val="2"/>
          <w:numId w:val="1"/>
        </w:numPr>
        <w:ind w:left="1134" w:hanging="567"/>
        <w:rPr>
          <w:szCs w:val="22"/>
        </w:rPr>
      </w:pPr>
      <w:r w:rsidRPr="009A480C">
        <w:rPr>
          <w:szCs w:val="22"/>
        </w:rPr>
        <w:t>data was based on the 3.4 years median duration of follow-up for participants in the SPS</w:t>
      </w:r>
      <w:r w:rsidR="0044649F" w:rsidRPr="009A480C">
        <w:rPr>
          <w:szCs w:val="22"/>
        </w:rPr>
        <w:t xml:space="preserve"> trial</w:t>
      </w:r>
      <w:r w:rsidR="00FA6363" w:rsidRPr="009A480C">
        <w:rPr>
          <w:szCs w:val="22"/>
        </w:rPr>
        <w:t>,</w:t>
      </w:r>
    </w:p>
    <w:p w:rsidR="0083066E" w:rsidRPr="009A480C" w:rsidRDefault="00C6323A" w:rsidP="00C6256D">
      <w:pPr>
        <w:pStyle w:val="ListParagraph"/>
        <w:widowControl/>
        <w:numPr>
          <w:ilvl w:val="2"/>
          <w:numId w:val="1"/>
        </w:numPr>
        <w:ind w:left="1134" w:hanging="567"/>
        <w:rPr>
          <w:szCs w:val="22"/>
        </w:rPr>
      </w:pPr>
      <w:r w:rsidRPr="009A480C">
        <w:rPr>
          <w:szCs w:val="22"/>
        </w:rPr>
        <w:t xml:space="preserve">the ACIP </w:t>
      </w:r>
      <w:r w:rsidR="0044649F" w:rsidRPr="009A480C">
        <w:rPr>
          <w:szCs w:val="22"/>
        </w:rPr>
        <w:t xml:space="preserve">(US) </w:t>
      </w:r>
      <w:r w:rsidRPr="009A480C">
        <w:rPr>
          <w:szCs w:val="22"/>
        </w:rPr>
        <w:t xml:space="preserve">concluded </w:t>
      </w:r>
      <w:r w:rsidR="00CE763C" w:rsidRPr="009A480C">
        <w:rPr>
          <w:szCs w:val="22"/>
        </w:rPr>
        <w:t xml:space="preserve">vaccine </w:t>
      </w:r>
      <w:r w:rsidRPr="009A480C">
        <w:rPr>
          <w:szCs w:val="22"/>
        </w:rPr>
        <w:t>efficacy preventing zoster in persons ≥60 years of age beyond year 5 remains uncertain and vaccine efficacy estimates against PHN</w:t>
      </w:r>
      <w:r w:rsidR="00CE763C" w:rsidRPr="009A480C">
        <w:rPr>
          <w:szCs w:val="22"/>
        </w:rPr>
        <w:t xml:space="preserve"> </w:t>
      </w:r>
      <w:r w:rsidRPr="009A480C">
        <w:rPr>
          <w:szCs w:val="22"/>
        </w:rPr>
        <w:t>were not statistically significantly different from zero from year 3</w:t>
      </w:r>
      <w:r w:rsidR="00CE763C" w:rsidRPr="009A480C">
        <w:rPr>
          <w:szCs w:val="22"/>
        </w:rPr>
        <w:t xml:space="preserve"> </w:t>
      </w:r>
      <w:r w:rsidRPr="009A480C">
        <w:rPr>
          <w:szCs w:val="22"/>
        </w:rPr>
        <w:t>onwards</w:t>
      </w:r>
    </w:p>
    <w:p w:rsidR="0083066E" w:rsidRPr="009A480C" w:rsidRDefault="00CA6CCC" w:rsidP="009A480C">
      <w:pPr>
        <w:pStyle w:val="ListParagraph"/>
        <w:widowControl/>
        <w:numPr>
          <w:ilvl w:val="2"/>
          <w:numId w:val="1"/>
        </w:numPr>
        <w:ind w:left="1134" w:hanging="567"/>
        <w:rPr>
          <w:szCs w:val="22"/>
        </w:rPr>
      </w:pPr>
      <w:r w:rsidRPr="009A480C">
        <w:rPr>
          <w:szCs w:val="22"/>
        </w:rPr>
        <w:t xml:space="preserve">In </w:t>
      </w:r>
      <w:r w:rsidR="0083066E" w:rsidRPr="009A480C">
        <w:rPr>
          <w:szCs w:val="22"/>
        </w:rPr>
        <w:t>its Immunisation Statement on varicella and herpes zoster vaccines</w:t>
      </w:r>
      <w:r w:rsidR="0044649F" w:rsidRPr="009A480C">
        <w:rPr>
          <w:szCs w:val="22"/>
        </w:rPr>
        <w:t xml:space="preserve"> (2010),</w:t>
      </w:r>
      <w:r w:rsidR="00FE3197" w:rsidRPr="009A480C">
        <w:rPr>
          <w:szCs w:val="22"/>
        </w:rPr>
        <w:t xml:space="preserve"> which recommended a universal herpes zoster vaccination programme for adults aged 70 years up to and including 79 years,</w:t>
      </w:r>
      <w:r w:rsidR="0044649F" w:rsidRPr="009A480C">
        <w:rPr>
          <w:szCs w:val="22"/>
        </w:rPr>
        <w:t xml:space="preserve"> the</w:t>
      </w:r>
      <w:r w:rsidR="0083066E" w:rsidRPr="009A480C">
        <w:rPr>
          <w:szCs w:val="22"/>
        </w:rPr>
        <w:t xml:space="preserve"> JCVI </w:t>
      </w:r>
      <w:r w:rsidR="0044649F" w:rsidRPr="009A480C">
        <w:rPr>
          <w:szCs w:val="22"/>
        </w:rPr>
        <w:t>(UK)</w:t>
      </w:r>
      <w:r w:rsidR="00CE763C" w:rsidRPr="009A480C">
        <w:rPr>
          <w:szCs w:val="22"/>
        </w:rPr>
        <w:t xml:space="preserve"> </w:t>
      </w:r>
      <w:r w:rsidR="0083066E" w:rsidRPr="009A480C">
        <w:rPr>
          <w:szCs w:val="22"/>
        </w:rPr>
        <w:t>considered the estimate</w:t>
      </w:r>
      <w:r w:rsidR="00C36ED8" w:rsidRPr="009A480C">
        <w:rPr>
          <w:szCs w:val="22"/>
        </w:rPr>
        <w:t>d</w:t>
      </w:r>
      <w:r w:rsidR="0083066E" w:rsidRPr="009A480C">
        <w:rPr>
          <w:szCs w:val="22"/>
        </w:rPr>
        <w:t xml:space="preserve"> duration of protection</w:t>
      </w:r>
      <w:r w:rsidR="00C36ED8" w:rsidRPr="009A480C">
        <w:rPr>
          <w:szCs w:val="22"/>
        </w:rPr>
        <w:t xml:space="preserve"> was</w:t>
      </w:r>
      <w:r w:rsidR="0083066E" w:rsidRPr="009A480C">
        <w:rPr>
          <w:szCs w:val="22"/>
        </w:rPr>
        <w:t xml:space="preserve"> at least 7.5 years. </w:t>
      </w:r>
    </w:p>
    <w:p w:rsidR="0083066E" w:rsidRPr="009A480C" w:rsidRDefault="008C32E2" w:rsidP="00C6256D">
      <w:pPr>
        <w:pStyle w:val="ListParagraph"/>
        <w:widowControl/>
        <w:numPr>
          <w:ilvl w:val="2"/>
          <w:numId w:val="1"/>
        </w:numPr>
        <w:ind w:left="1134" w:hanging="567"/>
        <w:rPr>
          <w:szCs w:val="22"/>
        </w:rPr>
      </w:pPr>
      <w:r w:rsidRPr="009A480C">
        <w:rPr>
          <w:szCs w:val="22"/>
        </w:rPr>
        <w:t xml:space="preserve">The Rapid Relative Effectiveness Assessment by the European </w:t>
      </w:r>
      <w:r w:rsidR="00CA6CCC" w:rsidRPr="009A480C">
        <w:rPr>
          <w:szCs w:val="22"/>
        </w:rPr>
        <w:t>Network</w:t>
      </w:r>
      <w:r w:rsidRPr="009A480C">
        <w:rPr>
          <w:szCs w:val="22"/>
        </w:rPr>
        <w:t xml:space="preserve"> for Health </w:t>
      </w:r>
      <w:r w:rsidR="00164E58" w:rsidRPr="009A480C">
        <w:rPr>
          <w:szCs w:val="22"/>
        </w:rPr>
        <w:t>Technology</w:t>
      </w:r>
      <w:r w:rsidRPr="009A480C">
        <w:rPr>
          <w:szCs w:val="22"/>
        </w:rPr>
        <w:t xml:space="preserve"> </w:t>
      </w:r>
      <w:r w:rsidR="00164E58" w:rsidRPr="009A480C">
        <w:rPr>
          <w:szCs w:val="22"/>
        </w:rPr>
        <w:t>Assessment</w:t>
      </w:r>
      <w:r w:rsidRPr="009A480C">
        <w:rPr>
          <w:szCs w:val="22"/>
        </w:rPr>
        <w:t xml:space="preserve"> (eunethta) stated that vaccine efficacy persists for at least 7 years</w:t>
      </w:r>
    </w:p>
    <w:p w:rsidR="008C32E2" w:rsidRPr="009A480C" w:rsidRDefault="008C32E2" w:rsidP="00C6256D">
      <w:pPr>
        <w:pStyle w:val="ListParagraph"/>
        <w:widowControl/>
        <w:numPr>
          <w:ilvl w:val="2"/>
          <w:numId w:val="1"/>
        </w:numPr>
        <w:ind w:left="1134" w:hanging="567"/>
        <w:rPr>
          <w:szCs w:val="22"/>
        </w:rPr>
      </w:pPr>
      <w:r w:rsidRPr="009A480C">
        <w:rPr>
          <w:szCs w:val="22"/>
        </w:rPr>
        <w:lastRenderedPageBreak/>
        <w:t xml:space="preserve">The advice from ATAGI that </w:t>
      </w:r>
      <w:r w:rsidRPr="009A480C">
        <w:t xml:space="preserve">is highly likely that Zostavax vaccine efficacy could wane at a faster rate in those vaccinated at an older age compared with a younger age (discussed above). </w:t>
      </w:r>
      <w:r w:rsidRPr="009A480C">
        <w:rPr>
          <w:szCs w:val="22"/>
        </w:rPr>
        <w:t xml:space="preserve"> </w:t>
      </w:r>
    </w:p>
    <w:p w:rsidR="006D18E7" w:rsidRPr="00D0223A" w:rsidRDefault="006D18E7" w:rsidP="006D18E7">
      <w:pPr>
        <w:pStyle w:val="ListParagraph"/>
        <w:widowControl/>
        <w:ind w:left="1134"/>
        <w:rPr>
          <w:szCs w:val="22"/>
          <w:highlight w:val="yellow"/>
        </w:rPr>
      </w:pPr>
    </w:p>
    <w:p w:rsidR="00366F14" w:rsidRPr="009A480C" w:rsidRDefault="00C6256D" w:rsidP="00C6256D">
      <w:pPr>
        <w:pStyle w:val="ListParagraph"/>
        <w:widowControl/>
        <w:numPr>
          <w:ilvl w:val="1"/>
          <w:numId w:val="1"/>
        </w:numPr>
        <w:rPr>
          <w:szCs w:val="22"/>
        </w:rPr>
      </w:pPr>
      <w:r w:rsidRPr="009A480C">
        <w:rPr>
          <w:szCs w:val="22"/>
        </w:rPr>
        <w:t>Overall, t</w:t>
      </w:r>
      <w:r w:rsidR="00366F14" w:rsidRPr="009A480C">
        <w:rPr>
          <w:szCs w:val="22"/>
        </w:rPr>
        <w:t xml:space="preserve">he PBAC </w:t>
      </w:r>
      <w:r w:rsidRPr="009A480C">
        <w:rPr>
          <w:szCs w:val="22"/>
        </w:rPr>
        <w:t>considered that the estimate of</w:t>
      </w:r>
      <w:r w:rsidR="00366F14" w:rsidRPr="009A480C">
        <w:rPr>
          <w:szCs w:val="22"/>
        </w:rPr>
        <w:t xml:space="preserve"> duration of vaccine efficacy </w:t>
      </w:r>
      <w:r w:rsidRPr="009A480C">
        <w:rPr>
          <w:szCs w:val="22"/>
        </w:rPr>
        <w:t>in the 70+year</w:t>
      </w:r>
      <w:r w:rsidR="008C78A4" w:rsidRPr="009A480C">
        <w:rPr>
          <w:szCs w:val="22"/>
        </w:rPr>
        <w:t xml:space="preserve"> old</w:t>
      </w:r>
      <w:r w:rsidRPr="009A480C">
        <w:rPr>
          <w:szCs w:val="22"/>
        </w:rPr>
        <w:t xml:space="preserve"> cohort </w:t>
      </w:r>
      <w:r w:rsidR="00C20D1D" w:rsidRPr="009A480C">
        <w:rPr>
          <w:szCs w:val="22"/>
        </w:rPr>
        <w:t xml:space="preserve">for both prevention of zoster and prevention of PHN </w:t>
      </w:r>
      <w:r w:rsidRPr="009A480C">
        <w:rPr>
          <w:szCs w:val="22"/>
        </w:rPr>
        <w:t>should be 7</w:t>
      </w:r>
      <w:r w:rsidR="008C78A4" w:rsidRPr="009A480C">
        <w:rPr>
          <w:szCs w:val="22"/>
        </w:rPr>
        <w:t xml:space="preserve"> </w:t>
      </w:r>
      <w:r w:rsidRPr="009A480C">
        <w:rPr>
          <w:szCs w:val="22"/>
        </w:rPr>
        <w:t xml:space="preserve">years </w:t>
      </w:r>
      <w:r w:rsidR="00366F14" w:rsidRPr="009A480C">
        <w:rPr>
          <w:szCs w:val="22"/>
        </w:rPr>
        <w:t>to inform the respecified base case.</w:t>
      </w:r>
      <w:r w:rsidR="008902B2" w:rsidRPr="009A480C">
        <w:rPr>
          <w:szCs w:val="22"/>
        </w:rPr>
        <w:t xml:space="preserve"> The PBAC noted that this estimate of the duration of vaccine efficacy was lower than the estimates in the re</w:t>
      </w:r>
      <w:r w:rsidR="008C78A4" w:rsidRPr="009A480C">
        <w:rPr>
          <w:szCs w:val="22"/>
        </w:rPr>
        <w:t xml:space="preserve">-submission and the range of 10-13 years considered during decision making for the </w:t>
      </w:r>
      <w:r w:rsidR="008C78A4" w:rsidRPr="009A480C">
        <w:t>60 year old ongoing cohort the catch-up cohort for individuals aged 61-79 years in the previous submission</w:t>
      </w:r>
      <w:r w:rsidR="00CD7F07" w:rsidRPr="009A480C">
        <w:t>.</w:t>
      </w:r>
    </w:p>
    <w:p w:rsidR="00366F14" w:rsidRPr="009A480C" w:rsidRDefault="00366F14" w:rsidP="00366F14">
      <w:pPr>
        <w:pStyle w:val="ListParagraph"/>
        <w:widowControl/>
        <w:rPr>
          <w:szCs w:val="22"/>
        </w:rPr>
      </w:pPr>
    </w:p>
    <w:p w:rsidR="00CB7929" w:rsidRPr="009A480C" w:rsidRDefault="00EF4C0C" w:rsidP="00CB7929">
      <w:pPr>
        <w:pStyle w:val="ListParagraph"/>
        <w:widowControl/>
        <w:numPr>
          <w:ilvl w:val="1"/>
          <w:numId w:val="1"/>
        </w:numPr>
        <w:rPr>
          <w:szCs w:val="22"/>
        </w:rPr>
      </w:pPr>
      <w:r w:rsidRPr="009A480C">
        <w:rPr>
          <w:szCs w:val="22"/>
        </w:rPr>
        <w:t>Respecifying</w:t>
      </w:r>
      <w:r w:rsidR="00BE3810" w:rsidRPr="009A480C">
        <w:rPr>
          <w:szCs w:val="22"/>
        </w:rPr>
        <w:t xml:space="preserve"> the</w:t>
      </w:r>
      <w:r w:rsidR="002834B1" w:rsidRPr="009A480C">
        <w:rPr>
          <w:szCs w:val="22"/>
        </w:rPr>
        <w:t xml:space="preserve"> </w:t>
      </w:r>
      <w:r w:rsidR="00E02DCE" w:rsidRPr="009A480C">
        <w:rPr>
          <w:szCs w:val="22"/>
        </w:rPr>
        <w:t xml:space="preserve">trial-based </w:t>
      </w:r>
      <w:r w:rsidR="002834B1" w:rsidRPr="009A480C">
        <w:rPr>
          <w:szCs w:val="22"/>
        </w:rPr>
        <w:t>base case</w:t>
      </w:r>
      <w:r w:rsidR="00E02DCE" w:rsidRPr="009A480C">
        <w:rPr>
          <w:szCs w:val="22"/>
        </w:rPr>
        <w:t xml:space="preserve"> model</w:t>
      </w:r>
      <w:r w:rsidR="006B09BE" w:rsidRPr="009A480C">
        <w:rPr>
          <w:szCs w:val="22"/>
        </w:rPr>
        <w:t xml:space="preserve"> for the ongoing 70 year old cohort</w:t>
      </w:r>
      <w:r w:rsidR="002834B1" w:rsidRPr="009A480C">
        <w:rPr>
          <w:szCs w:val="22"/>
        </w:rPr>
        <w:t>, where the duration of vaccine efficacy is 7 years</w:t>
      </w:r>
      <w:r w:rsidR="00991192" w:rsidRPr="009A480C">
        <w:rPr>
          <w:szCs w:val="22"/>
        </w:rPr>
        <w:t xml:space="preserve"> for both prevention of zoster and prevention of PHN</w:t>
      </w:r>
      <w:r w:rsidR="00CB7929" w:rsidRPr="009A480C">
        <w:rPr>
          <w:szCs w:val="22"/>
        </w:rPr>
        <w:t xml:space="preserve"> resulted in an ICER of around </w:t>
      </w:r>
      <w:r w:rsidR="000B3906">
        <w:rPr>
          <w:szCs w:val="22"/>
        </w:rPr>
        <w:t>$15,000/QALY - $45,000/QALY</w:t>
      </w:r>
      <w:r w:rsidR="00CB7929" w:rsidRPr="009A480C">
        <w:rPr>
          <w:szCs w:val="22"/>
        </w:rPr>
        <w:t xml:space="preserve">. The PBAC considered that even with the </w:t>
      </w:r>
      <w:r w:rsidR="006B09BE" w:rsidRPr="009A480C">
        <w:rPr>
          <w:szCs w:val="22"/>
        </w:rPr>
        <w:t>price proposed</w:t>
      </w:r>
      <w:r w:rsidR="00CB7929" w:rsidRPr="009A480C">
        <w:rPr>
          <w:szCs w:val="22"/>
        </w:rPr>
        <w:t xml:space="preserve"> in the </w:t>
      </w:r>
      <w:r w:rsidR="00B31C58" w:rsidRPr="009A480C">
        <w:rPr>
          <w:szCs w:val="22"/>
        </w:rPr>
        <w:t>re-</w:t>
      </w:r>
      <w:r w:rsidR="00CB7929" w:rsidRPr="009A480C">
        <w:rPr>
          <w:szCs w:val="22"/>
        </w:rPr>
        <w:t>submission</w:t>
      </w:r>
      <w:r w:rsidR="00B31C58" w:rsidRPr="009A480C">
        <w:rPr>
          <w:szCs w:val="22"/>
        </w:rPr>
        <w:t xml:space="preserve"> compared to the March 2014 </w:t>
      </w:r>
      <w:r w:rsidR="00264B42" w:rsidRPr="009A480C">
        <w:rPr>
          <w:szCs w:val="22"/>
        </w:rPr>
        <w:t>re-submission</w:t>
      </w:r>
      <w:r w:rsidR="00CB7929" w:rsidRPr="009A480C">
        <w:rPr>
          <w:szCs w:val="22"/>
        </w:rPr>
        <w:t>,</w:t>
      </w:r>
      <w:r w:rsidR="002834B1" w:rsidRPr="009A480C">
        <w:rPr>
          <w:szCs w:val="22"/>
        </w:rPr>
        <w:t xml:space="preserve"> zoster virus </w:t>
      </w:r>
      <w:r w:rsidR="00B31C58" w:rsidRPr="009A480C">
        <w:rPr>
          <w:szCs w:val="22"/>
        </w:rPr>
        <w:t>va</w:t>
      </w:r>
      <w:r w:rsidR="002834B1" w:rsidRPr="009A480C">
        <w:rPr>
          <w:szCs w:val="22"/>
        </w:rPr>
        <w:t>ccine live</w:t>
      </w:r>
      <w:r w:rsidR="00CB7929" w:rsidRPr="009A480C">
        <w:rPr>
          <w:szCs w:val="22"/>
        </w:rPr>
        <w:t xml:space="preserve"> was not acceptably cost-effective</w:t>
      </w:r>
      <w:r w:rsidR="00264B42" w:rsidRPr="009A480C">
        <w:rPr>
          <w:szCs w:val="22"/>
        </w:rPr>
        <w:t xml:space="preserve"> for the ongoing 70 year old cohort</w:t>
      </w:r>
      <w:r w:rsidR="00CB7929" w:rsidRPr="009A480C">
        <w:rPr>
          <w:szCs w:val="22"/>
        </w:rPr>
        <w:t xml:space="preserve">. </w:t>
      </w:r>
      <w:r w:rsidR="00B31C58" w:rsidRPr="009A480C">
        <w:rPr>
          <w:szCs w:val="22"/>
        </w:rPr>
        <w:t xml:space="preserve">The PBAC considered that a price reduction in the order of </w:t>
      </w:r>
      <w:r w:rsidR="00FE405A">
        <w:rPr>
          <w:noProof/>
          <w:color w:val="000000"/>
          <w:szCs w:val="22"/>
          <w:highlight w:val="black"/>
        </w:rPr>
        <w:t>'''''''''''''''</w:t>
      </w:r>
      <w:r w:rsidR="00B31C58" w:rsidRPr="009A480C">
        <w:rPr>
          <w:szCs w:val="22"/>
        </w:rPr>
        <w:t xml:space="preserve">% would be required to give an ICER </w:t>
      </w:r>
      <w:r w:rsidR="003506BC">
        <w:rPr>
          <w:szCs w:val="22"/>
        </w:rPr>
        <w:t>in a range of</w:t>
      </w:r>
      <w:r w:rsidR="00B31C58" w:rsidRPr="009A480C">
        <w:rPr>
          <w:szCs w:val="22"/>
        </w:rPr>
        <w:t xml:space="preserve"> </w:t>
      </w:r>
      <w:r w:rsidR="003506BC">
        <w:rPr>
          <w:szCs w:val="22"/>
        </w:rPr>
        <w:t>$15,000/QALY - $45,000/QALY</w:t>
      </w:r>
      <w:r w:rsidR="00B31C58" w:rsidRPr="009A480C">
        <w:rPr>
          <w:szCs w:val="22"/>
        </w:rPr>
        <w:t xml:space="preserve"> </w:t>
      </w:r>
      <w:r w:rsidR="00AB7429" w:rsidRPr="009A480C">
        <w:rPr>
          <w:szCs w:val="22"/>
        </w:rPr>
        <w:t xml:space="preserve">in </w:t>
      </w:r>
      <w:r w:rsidR="00B31C58" w:rsidRPr="009A480C">
        <w:rPr>
          <w:szCs w:val="22"/>
        </w:rPr>
        <w:t>the respecified base case.</w:t>
      </w:r>
    </w:p>
    <w:p w:rsidR="00264B42" w:rsidRPr="009A480C" w:rsidRDefault="00264B42" w:rsidP="00264B42">
      <w:pPr>
        <w:pStyle w:val="ListParagraph"/>
        <w:rPr>
          <w:szCs w:val="22"/>
        </w:rPr>
      </w:pPr>
    </w:p>
    <w:p w:rsidR="007E1CFE" w:rsidRPr="009A480C" w:rsidRDefault="00264B42" w:rsidP="00CB7929">
      <w:pPr>
        <w:pStyle w:val="ListParagraph"/>
        <w:widowControl/>
        <w:numPr>
          <w:ilvl w:val="1"/>
          <w:numId w:val="1"/>
        </w:numPr>
        <w:rPr>
          <w:szCs w:val="22"/>
        </w:rPr>
      </w:pPr>
      <w:r w:rsidRPr="009A480C">
        <w:rPr>
          <w:szCs w:val="22"/>
        </w:rPr>
        <w:t xml:space="preserve">The </w:t>
      </w:r>
      <w:r w:rsidR="0048547F" w:rsidRPr="009A480C">
        <w:rPr>
          <w:szCs w:val="22"/>
        </w:rPr>
        <w:t xml:space="preserve">PBAC noted that </w:t>
      </w:r>
      <w:r w:rsidR="00FE3197" w:rsidRPr="009A480C">
        <w:rPr>
          <w:szCs w:val="22"/>
        </w:rPr>
        <w:t xml:space="preserve">applying the same duration of vaccine efficacy to the trial-based model </w:t>
      </w:r>
      <w:r w:rsidR="0014285A" w:rsidRPr="009A480C">
        <w:rPr>
          <w:szCs w:val="22"/>
        </w:rPr>
        <w:t>for each year of</w:t>
      </w:r>
      <w:r w:rsidR="00FE3197" w:rsidRPr="009A480C">
        <w:rPr>
          <w:szCs w:val="22"/>
        </w:rPr>
        <w:t xml:space="preserve"> the catch up co</w:t>
      </w:r>
      <w:r w:rsidR="007E1CFE" w:rsidRPr="009A480C">
        <w:rPr>
          <w:szCs w:val="22"/>
        </w:rPr>
        <w:t xml:space="preserve">hort </w:t>
      </w:r>
      <w:r w:rsidR="0014285A" w:rsidRPr="009A480C">
        <w:rPr>
          <w:szCs w:val="22"/>
        </w:rPr>
        <w:t>resulted in</w:t>
      </w:r>
      <w:r w:rsidR="007E1CFE" w:rsidRPr="009A480C">
        <w:rPr>
          <w:szCs w:val="22"/>
        </w:rPr>
        <w:t xml:space="preserve"> ICER</w:t>
      </w:r>
      <w:r w:rsidR="0014285A" w:rsidRPr="009A480C">
        <w:rPr>
          <w:szCs w:val="22"/>
        </w:rPr>
        <w:t>s</w:t>
      </w:r>
      <w:r w:rsidR="00CE3F5A">
        <w:rPr>
          <w:szCs w:val="22"/>
        </w:rPr>
        <w:t xml:space="preserve"> ranging</w:t>
      </w:r>
      <w:r w:rsidR="007E1CFE" w:rsidRPr="009A480C">
        <w:rPr>
          <w:szCs w:val="22"/>
        </w:rPr>
        <w:t xml:space="preserve"> between </w:t>
      </w:r>
      <w:r w:rsidR="00CE3F5A">
        <w:rPr>
          <w:szCs w:val="22"/>
        </w:rPr>
        <w:t>$15,000/QALY - $45,000/QALY</w:t>
      </w:r>
      <w:r w:rsidR="007E1CFE" w:rsidRPr="009A480C">
        <w:rPr>
          <w:szCs w:val="22"/>
        </w:rPr>
        <w:t xml:space="preserve">. </w:t>
      </w:r>
    </w:p>
    <w:p w:rsidR="007E1CFE" w:rsidRPr="009A480C" w:rsidRDefault="007E1CFE" w:rsidP="007E1CFE">
      <w:pPr>
        <w:pStyle w:val="ListParagraph"/>
        <w:rPr>
          <w:szCs w:val="22"/>
        </w:rPr>
      </w:pPr>
    </w:p>
    <w:p w:rsidR="00264B42" w:rsidRPr="009A480C" w:rsidRDefault="007E1CFE" w:rsidP="007E1CFE">
      <w:pPr>
        <w:pStyle w:val="ListParagraph"/>
        <w:widowControl/>
        <w:numPr>
          <w:ilvl w:val="1"/>
          <w:numId w:val="1"/>
        </w:numPr>
      </w:pPr>
      <w:r w:rsidRPr="009A480C">
        <w:rPr>
          <w:szCs w:val="22"/>
        </w:rPr>
        <w:t xml:space="preserve">Overall, </w:t>
      </w:r>
      <w:r w:rsidR="0014285A" w:rsidRPr="009A480C">
        <w:rPr>
          <w:szCs w:val="22"/>
        </w:rPr>
        <w:t xml:space="preserve">with the reduction in price, </w:t>
      </w:r>
      <w:r w:rsidRPr="009A480C">
        <w:t>the PBAC accepted that the cost-effective</w:t>
      </w:r>
      <w:r w:rsidR="0031349A" w:rsidRPr="009A480C">
        <w:t>ness</w:t>
      </w:r>
      <w:r w:rsidRPr="009A480C">
        <w:rPr>
          <w:szCs w:val="22"/>
        </w:rPr>
        <w:t xml:space="preserve"> for the o</w:t>
      </w:r>
      <w:r w:rsidRPr="009A480C">
        <w:t xml:space="preserve">ngoing cohort of 70 year old individuals and catch-up cohort for individuals aged 71-79 years was </w:t>
      </w:r>
      <w:r w:rsidR="00973567" w:rsidRPr="009A480C">
        <w:t>acceptable</w:t>
      </w:r>
      <w:r w:rsidRPr="009A480C">
        <w:t xml:space="preserve">. </w:t>
      </w:r>
    </w:p>
    <w:p w:rsidR="00C9248D" w:rsidRPr="00D0223A" w:rsidRDefault="00C9248D" w:rsidP="00C9248D">
      <w:pPr>
        <w:pStyle w:val="ListParagraph"/>
        <w:rPr>
          <w:szCs w:val="22"/>
        </w:rPr>
      </w:pPr>
    </w:p>
    <w:p w:rsidR="00C9248D" w:rsidRPr="00D0223A" w:rsidRDefault="00C9248D" w:rsidP="00C9248D">
      <w:pPr>
        <w:pStyle w:val="ListParagraph"/>
        <w:ind w:left="709"/>
        <w:rPr>
          <w:i/>
          <w:szCs w:val="22"/>
        </w:rPr>
      </w:pPr>
      <w:r w:rsidRPr="00D0223A">
        <w:rPr>
          <w:i/>
          <w:szCs w:val="22"/>
        </w:rPr>
        <w:t>For more detail on PBAC’s view, see section 7 “PBAC outcome”</w:t>
      </w:r>
    </w:p>
    <w:p w:rsidR="00C9248D" w:rsidRPr="00D0223A" w:rsidRDefault="00C9248D" w:rsidP="007E3C93">
      <w:pPr>
        <w:widowControl/>
        <w:rPr>
          <w:szCs w:val="22"/>
        </w:rPr>
      </w:pPr>
    </w:p>
    <w:p w:rsidR="007E3C93" w:rsidRPr="00D0223A" w:rsidRDefault="007E3C93" w:rsidP="00006A4B">
      <w:pPr>
        <w:rPr>
          <w:b/>
        </w:rPr>
      </w:pPr>
      <w:bookmarkStart w:id="40" w:name="_Toc269216221"/>
      <w:bookmarkStart w:id="41" w:name="_Toc395780738"/>
      <w:r w:rsidRPr="00D0223A">
        <w:rPr>
          <w:b/>
        </w:rPr>
        <w:t>Drug cost/patient: $</w:t>
      </w:r>
      <w:r w:rsidR="00FE405A">
        <w:rPr>
          <w:b/>
          <w:noProof/>
          <w:color w:val="000000"/>
          <w:highlight w:val="black"/>
        </w:rPr>
        <w:t>'''''''</w:t>
      </w:r>
      <w:r w:rsidR="0014285A" w:rsidRPr="006D18E7">
        <w:rPr>
          <w:b/>
        </w:rPr>
        <w:t xml:space="preserve"> in the submission</w:t>
      </w:r>
      <w:r w:rsidRPr="006D18E7">
        <w:rPr>
          <w:b/>
        </w:rPr>
        <w:t>.</w:t>
      </w:r>
      <w:bookmarkEnd w:id="40"/>
      <w:bookmarkEnd w:id="41"/>
    </w:p>
    <w:p w:rsidR="007E3C93" w:rsidRPr="00D0223A" w:rsidRDefault="007E3C93" w:rsidP="007E3C93">
      <w:pPr>
        <w:widowControl/>
        <w:rPr>
          <w:szCs w:val="22"/>
        </w:rPr>
      </w:pPr>
    </w:p>
    <w:p w:rsidR="007E3C93" w:rsidRPr="00D0223A" w:rsidRDefault="007E3C93" w:rsidP="00C9248D">
      <w:pPr>
        <w:pStyle w:val="ListParagraph"/>
        <w:widowControl/>
        <w:numPr>
          <w:ilvl w:val="1"/>
          <w:numId w:val="1"/>
        </w:numPr>
        <w:rPr>
          <w:szCs w:val="22"/>
        </w:rPr>
      </w:pPr>
      <w:r w:rsidRPr="00D0223A">
        <w:rPr>
          <w:szCs w:val="22"/>
        </w:rPr>
        <w:t xml:space="preserve">The </w:t>
      </w:r>
      <w:r w:rsidR="0018117D" w:rsidRPr="00D0223A">
        <w:rPr>
          <w:szCs w:val="22"/>
        </w:rPr>
        <w:t xml:space="preserve">proposed </w:t>
      </w:r>
      <w:r w:rsidRPr="00D0223A">
        <w:rPr>
          <w:szCs w:val="22"/>
        </w:rPr>
        <w:t>vaccine cost is $</w:t>
      </w:r>
      <w:r w:rsidR="00FE405A">
        <w:rPr>
          <w:noProof/>
          <w:color w:val="000000"/>
          <w:szCs w:val="22"/>
          <w:highlight w:val="black"/>
        </w:rPr>
        <w:t>''''''''''</w:t>
      </w:r>
      <w:r w:rsidRPr="00D0223A">
        <w:rPr>
          <w:szCs w:val="22"/>
        </w:rPr>
        <w:t>/dose/patient.</w:t>
      </w:r>
    </w:p>
    <w:p w:rsidR="00E15F4C" w:rsidRDefault="00E15F4C">
      <w:pPr>
        <w:widowControl/>
        <w:jc w:val="left"/>
        <w:rPr>
          <w:b/>
        </w:rPr>
      </w:pPr>
      <w:bookmarkStart w:id="42" w:name="_Toc269216222"/>
      <w:bookmarkStart w:id="43" w:name="_Toc395780739"/>
      <w:bookmarkStart w:id="44" w:name="_Toc397415406"/>
    </w:p>
    <w:p w:rsidR="007E3C93" w:rsidRPr="00FF242D" w:rsidRDefault="007E3C93" w:rsidP="00FF242D">
      <w:pPr>
        <w:rPr>
          <w:b/>
          <w:szCs w:val="22"/>
        </w:rPr>
      </w:pPr>
      <w:r w:rsidRPr="00FF242D">
        <w:rPr>
          <w:b/>
          <w:szCs w:val="22"/>
        </w:rPr>
        <w:t>Estimated PBS usage &amp; financial implications</w:t>
      </w:r>
      <w:bookmarkEnd w:id="42"/>
      <w:bookmarkEnd w:id="43"/>
      <w:bookmarkEnd w:id="44"/>
    </w:p>
    <w:p w:rsidR="007E3C93" w:rsidRPr="00D0223A" w:rsidRDefault="007E3C93" w:rsidP="007E3C93"/>
    <w:p w:rsidR="007E3C93" w:rsidRPr="00D0223A" w:rsidRDefault="00552A2A" w:rsidP="00C9248D">
      <w:pPr>
        <w:pStyle w:val="ListParagraph"/>
        <w:widowControl/>
        <w:numPr>
          <w:ilvl w:val="1"/>
          <w:numId w:val="1"/>
        </w:numPr>
        <w:rPr>
          <w:szCs w:val="22"/>
        </w:rPr>
      </w:pPr>
      <w:r w:rsidRPr="00D0223A">
        <w:t>This re-submission wa</w:t>
      </w:r>
      <w:r w:rsidR="007E3C93" w:rsidRPr="00D0223A">
        <w:t>s not considered by DUSC. The approach taken in the current re-submission remains unchanged from the previous submission.</w:t>
      </w:r>
    </w:p>
    <w:p w:rsidR="007E3C93" w:rsidRPr="00D0223A" w:rsidRDefault="007E3C93" w:rsidP="007E3C93">
      <w:pPr>
        <w:widowControl/>
        <w:rPr>
          <w:szCs w:val="22"/>
        </w:rPr>
      </w:pPr>
    </w:p>
    <w:p w:rsidR="007E3C93" w:rsidRPr="00D0223A" w:rsidRDefault="007E3C93" w:rsidP="007E3C93">
      <w:pPr>
        <w:ind w:firstLine="709"/>
        <w:rPr>
          <w:rFonts w:ascii="Arial Narrow" w:hAnsi="Arial Narrow"/>
          <w:b/>
          <w:sz w:val="20"/>
          <w:szCs w:val="16"/>
        </w:rPr>
      </w:pPr>
      <w:r w:rsidRPr="00D0223A">
        <w:rPr>
          <w:rStyle w:val="CommentReference"/>
        </w:rPr>
        <w:t>Estimated use and financial implications</w:t>
      </w:r>
    </w:p>
    <w:tbl>
      <w:tblPr>
        <w:tblStyle w:val="TableGrid"/>
        <w:tblW w:w="4531" w:type="pct"/>
        <w:tblInd w:w="817" w:type="dxa"/>
        <w:tblLayout w:type="fixed"/>
        <w:tblLook w:val="04A0" w:firstRow="1" w:lastRow="0" w:firstColumn="1" w:lastColumn="0" w:noHBand="0" w:noVBand="1"/>
      </w:tblPr>
      <w:tblGrid>
        <w:gridCol w:w="2269"/>
        <w:gridCol w:w="1143"/>
        <w:gridCol w:w="1005"/>
        <w:gridCol w:w="973"/>
        <w:gridCol w:w="1005"/>
        <w:gridCol w:w="978"/>
        <w:gridCol w:w="1003"/>
      </w:tblGrid>
      <w:tr w:rsidR="007E3C93" w:rsidRPr="00D0223A" w:rsidTr="00D54BFC">
        <w:trPr>
          <w:trHeight w:val="255"/>
        </w:trPr>
        <w:tc>
          <w:tcPr>
            <w:tcW w:w="1354" w:type="pct"/>
            <w:shd w:val="clear" w:color="auto" w:fill="auto"/>
            <w:noWrap/>
            <w:vAlign w:val="center"/>
            <w:hideMark/>
          </w:tcPr>
          <w:p w:rsidR="007E3C93" w:rsidRPr="00D0223A" w:rsidRDefault="007E3C93" w:rsidP="008F34F1">
            <w:pPr>
              <w:jc w:val="left"/>
              <w:rPr>
                <w:rFonts w:ascii="Arial Narrow" w:hAnsi="Arial Narrow"/>
                <w:snapToGrid/>
                <w:sz w:val="20"/>
                <w:szCs w:val="20"/>
                <w:lang w:eastAsia="en-AU"/>
              </w:rPr>
            </w:pPr>
          </w:p>
        </w:tc>
        <w:tc>
          <w:tcPr>
            <w:tcW w:w="682" w:type="pct"/>
            <w:shd w:val="clear" w:color="auto" w:fill="auto"/>
            <w:noWrap/>
            <w:vAlign w:val="center"/>
            <w:hideMark/>
          </w:tcPr>
          <w:p w:rsidR="007E3C93" w:rsidRPr="00D0223A" w:rsidRDefault="007E3C93" w:rsidP="008F34F1">
            <w:pPr>
              <w:jc w:val="center"/>
              <w:rPr>
                <w:rFonts w:ascii="Arial Narrow" w:hAnsi="Arial Narrow"/>
                <w:b/>
                <w:bCs/>
                <w:snapToGrid/>
                <w:sz w:val="20"/>
                <w:szCs w:val="20"/>
                <w:lang w:eastAsia="en-AU"/>
              </w:rPr>
            </w:pPr>
            <w:r w:rsidRPr="00D0223A">
              <w:rPr>
                <w:rFonts w:ascii="Arial Narrow" w:hAnsi="Arial Narrow"/>
                <w:b/>
                <w:bCs/>
                <w:snapToGrid/>
                <w:sz w:val="20"/>
                <w:szCs w:val="20"/>
                <w:lang w:eastAsia="en-AU"/>
              </w:rPr>
              <w:t>Year 1</w:t>
            </w:r>
          </w:p>
        </w:tc>
        <w:tc>
          <w:tcPr>
            <w:tcW w:w="600" w:type="pct"/>
            <w:shd w:val="clear" w:color="auto" w:fill="auto"/>
            <w:noWrap/>
            <w:vAlign w:val="center"/>
            <w:hideMark/>
          </w:tcPr>
          <w:p w:rsidR="007E3C93" w:rsidRPr="00D0223A" w:rsidRDefault="007E3C93" w:rsidP="008F34F1">
            <w:pPr>
              <w:jc w:val="center"/>
              <w:rPr>
                <w:rFonts w:ascii="Arial Narrow" w:hAnsi="Arial Narrow"/>
                <w:b/>
                <w:bCs/>
                <w:snapToGrid/>
                <w:sz w:val="20"/>
                <w:szCs w:val="20"/>
                <w:lang w:eastAsia="en-AU"/>
              </w:rPr>
            </w:pPr>
            <w:r w:rsidRPr="00D0223A">
              <w:rPr>
                <w:rFonts w:ascii="Arial Narrow" w:hAnsi="Arial Narrow"/>
                <w:b/>
                <w:bCs/>
                <w:snapToGrid/>
                <w:sz w:val="20"/>
                <w:szCs w:val="20"/>
                <w:lang w:eastAsia="en-AU"/>
              </w:rPr>
              <w:t>Year 2</w:t>
            </w:r>
          </w:p>
        </w:tc>
        <w:tc>
          <w:tcPr>
            <w:tcW w:w="581" w:type="pct"/>
            <w:shd w:val="clear" w:color="auto" w:fill="auto"/>
            <w:noWrap/>
            <w:vAlign w:val="center"/>
            <w:hideMark/>
          </w:tcPr>
          <w:p w:rsidR="007E3C93" w:rsidRPr="00D0223A" w:rsidRDefault="007E3C93" w:rsidP="008F34F1">
            <w:pPr>
              <w:jc w:val="center"/>
              <w:rPr>
                <w:rFonts w:ascii="Arial Narrow" w:hAnsi="Arial Narrow"/>
                <w:b/>
                <w:bCs/>
                <w:snapToGrid/>
                <w:sz w:val="20"/>
                <w:szCs w:val="20"/>
                <w:lang w:eastAsia="en-AU"/>
              </w:rPr>
            </w:pPr>
            <w:r w:rsidRPr="00D0223A">
              <w:rPr>
                <w:rFonts w:ascii="Arial Narrow" w:hAnsi="Arial Narrow"/>
                <w:b/>
                <w:bCs/>
                <w:snapToGrid/>
                <w:sz w:val="20"/>
                <w:szCs w:val="20"/>
                <w:lang w:eastAsia="en-AU"/>
              </w:rPr>
              <w:t>Year 3</w:t>
            </w:r>
          </w:p>
        </w:tc>
        <w:tc>
          <w:tcPr>
            <w:tcW w:w="600" w:type="pct"/>
            <w:shd w:val="clear" w:color="auto" w:fill="auto"/>
            <w:noWrap/>
            <w:vAlign w:val="center"/>
            <w:hideMark/>
          </w:tcPr>
          <w:p w:rsidR="007E3C93" w:rsidRPr="00D0223A" w:rsidRDefault="007E3C93" w:rsidP="008F34F1">
            <w:pPr>
              <w:jc w:val="center"/>
              <w:rPr>
                <w:rFonts w:ascii="Arial Narrow" w:hAnsi="Arial Narrow"/>
                <w:b/>
                <w:bCs/>
                <w:snapToGrid/>
                <w:sz w:val="20"/>
                <w:szCs w:val="20"/>
                <w:lang w:eastAsia="en-AU"/>
              </w:rPr>
            </w:pPr>
            <w:r w:rsidRPr="00D0223A">
              <w:rPr>
                <w:rFonts w:ascii="Arial Narrow" w:hAnsi="Arial Narrow"/>
                <w:b/>
                <w:bCs/>
                <w:snapToGrid/>
                <w:sz w:val="20"/>
                <w:szCs w:val="20"/>
                <w:lang w:eastAsia="en-AU"/>
              </w:rPr>
              <w:t>Year 4</w:t>
            </w:r>
          </w:p>
        </w:tc>
        <w:tc>
          <w:tcPr>
            <w:tcW w:w="584" w:type="pct"/>
            <w:shd w:val="clear" w:color="auto" w:fill="auto"/>
            <w:noWrap/>
            <w:vAlign w:val="center"/>
            <w:hideMark/>
          </w:tcPr>
          <w:p w:rsidR="007E3C93" w:rsidRPr="00D0223A" w:rsidRDefault="007E3C93" w:rsidP="008F34F1">
            <w:pPr>
              <w:jc w:val="center"/>
              <w:rPr>
                <w:rFonts w:ascii="Arial Narrow" w:hAnsi="Arial Narrow"/>
                <w:b/>
                <w:bCs/>
                <w:snapToGrid/>
                <w:sz w:val="20"/>
                <w:szCs w:val="20"/>
                <w:lang w:eastAsia="en-AU"/>
              </w:rPr>
            </w:pPr>
            <w:r w:rsidRPr="00D0223A">
              <w:rPr>
                <w:rFonts w:ascii="Arial Narrow" w:hAnsi="Arial Narrow"/>
                <w:b/>
                <w:bCs/>
                <w:snapToGrid/>
                <w:sz w:val="20"/>
                <w:szCs w:val="20"/>
                <w:lang w:eastAsia="en-AU"/>
              </w:rPr>
              <w:t>Year 5</w:t>
            </w:r>
          </w:p>
        </w:tc>
        <w:tc>
          <w:tcPr>
            <w:tcW w:w="600" w:type="pct"/>
            <w:shd w:val="clear" w:color="auto" w:fill="auto"/>
            <w:noWrap/>
            <w:vAlign w:val="center"/>
            <w:hideMark/>
          </w:tcPr>
          <w:p w:rsidR="007E3C93" w:rsidRPr="00D0223A" w:rsidRDefault="007E3C93" w:rsidP="008F34F1">
            <w:pPr>
              <w:jc w:val="center"/>
              <w:rPr>
                <w:rFonts w:ascii="Arial Narrow" w:hAnsi="Arial Narrow"/>
                <w:b/>
                <w:bCs/>
                <w:snapToGrid/>
                <w:sz w:val="20"/>
                <w:szCs w:val="20"/>
                <w:lang w:eastAsia="en-AU"/>
              </w:rPr>
            </w:pPr>
            <w:r w:rsidRPr="00D0223A">
              <w:rPr>
                <w:rFonts w:ascii="Arial Narrow" w:hAnsi="Arial Narrow"/>
                <w:b/>
                <w:bCs/>
                <w:snapToGrid/>
                <w:sz w:val="20"/>
                <w:szCs w:val="20"/>
                <w:lang w:eastAsia="en-AU"/>
              </w:rPr>
              <w:t>Total</w:t>
            </w:r>
          </w:p>
        </w:tc>
      </w:tr>
      <w:tr w:rsidR="007E3C93" w:rsidRPr="00D0223A" w:rsidTr="00D54BFC">
        <w:trPr>
          <w:trHeight w:val="255"/>
        </w:trPr>
        <w:tc>
          <w:tcPr>
            <w:tcW w:w="5000" w:type="pct"/>
            <w:gridSpan w:val="7"/>
            <w:shd w:val="clear" w:color="auto" w:fill="auto"/>
            <w:noWrap/>
            <w:vAlign w:val="center"/>
            <w:hideMark/>
          </w:tcPr>
          <w:p w:rsidR="007E3C93" w:rsidRPr="000B3906" w:rsidRDefault="007E3C93" w:rsidP="008F34F1">
            <w:pPr>
              <w:jc w:val="left"/>
              <w:rPr>
                <w:rFonts w:ascii="Arial Narrow" w:hAnsi="Arial Narrow"/>
                <w:b/>
                <w:bCs/>
                <w:snapToGrid/>
                <w:sz w:val="20"/>
                <w:szCs w:val="20"/>
                <w:lang w:eastAsia="en-AU"/>
              </w:rPr>
            </w:pPr>
            <w:r w:rsidRPr="000B3906">
              <w:rPr>
                <w:rFonts w:ascii="Arial Narrow" w:hAnsi="Arial Narrow"/>
                <w:b/>
                <w:bCs/>
                <w:snapToGrid/>
                <w:sz w:val="20"/>
                <w:szCs w:val="20"/>
                <w:lang w:eastAsia="en-AU"/>
              </w:rPr>
              <w:t>Uptake of zoster vaccine in the 70 year-old cohort</w:t>
            </w: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70 year-old population</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Uptake</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D0223A" w:rsidRDefault="007E3C93" w:rsidP="008F34F1">
            <w:pPr>
              <w:jc w:val="center"/>
              <w:rPr>
                <w:rFonts w:ascii="Arial Narrow" w:hAnsi="Arial Narrow"/>
                <w:snapToGrid/>
                <w:sz w:val="20"/>
                <w:szCs w:val="20"/>
                <w:lang w:eastAsia="en-AU"/>
              </w:rPr>
            </w:pP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Persons vaccinated</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tabs>
                <w:tab w:val="left" w:pos="3801"/>
              </w:tabs>
              <w:jc w:val="left"/>
              <w:rPr>
                <w:rFonts w:ascii="Arial Narrow" w:hAnsi="Arial Narrow"/>
                <w:snapToGrid/>
                <w:sz w:val="20"/>
                <w:szCs w:val="20"/>
                <w:lang w:eastAsia="en-AU"/>
              </w:rPr>
            </w:pPr>
            <w:r w:rsidRPr="000B3906">
              <w:rPr>
                <w:rFonts w:ascii="Arial Narrow" w:hAnsi="Arial Narrow"/>
                <w:snapToGrid/>
                <w:sz w:val="20"/>
                <w:szCs w:val="20"/>
                <w:lang w:eastAsia="en-AU"/>
              </w:rPr>
              <w:t>Cost of zoster vaccine</w:t>
            </w:r>
          </w:p>
        </w:tc>
        <w:tc>
          <w:tcPr>
            <w:tcW w:w="682"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5000" w:type="pct"/>
            <w:gridSpan w:val="7"/>
            <w:shd w:val="clear" w:color="auto" w:fill="auto"/>
            <w:noWrap/>
            <w:vAlign w:val="center"/>
            <w:hideMark/>
          </w:tcPr>
          <w:p w:rsidR="007E3C93" w:rsidRPr="000B3906" w:rsidRDefault="007E3C93" w:rsidP="008F34F1">
            <w:pPr>
              <w:tabs>
                <w:tab w:val="left" w:pos="3801"/>
              </w:tabs>
              <w:jc w:val="left"/>
              <w:rPr>
                <w:rFonts w:ascii="Arial Narrow" w:hAnsi="Arial Narrow"/>
                <w:b/>
                <w:bCs/>
                <w:snapToGrid/>
                <w:sz w:val="20"/>
                <w:szCs w:val="20"/>
                <w:lang w:eastAsia="en-AU"/>
              </w:rPr>
            </w:pPr>
            <w:r w:rsidRPr="000B3906">
              <w:rPr>
                <w:rFonts w:ascii="Arial Narrow" w:hAnsi="Arial Narrow"/>
                <w:b/>
                <w:bCs/>
                <w:snapToGrid/>
                <w:sz w:val="20"/>
                <w:szCs w:val="20"/>
                <w:lang w:eastAsia="en-AU"/>
              </w:rPr>
              <w:t>Uptake of zoster vaccine in 70 year-olds who miss vaccination during their 70th year</w:t>
            </w: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tabs>
                <w:tab w:val="left" w:pos="3801"/>
              </w:tabs>
              <w:jc w:val="left"/>
              <w:rPr>
                <w:rFonts w:ascii="Arial Narrow" w:hAnsi="Arial Narrow"/>
                <w:snapToGrid/>
                <w:sz w:val="20"/>
                <w:szCs w:val="20"/>
                <w:lang w:eastAsia="en-AU"/>
              </w:rPr>
            </w:pPr>
            <w:r w:rsidRPr="000B3906">
              <w:rPr>
                <w:rFonts w:ascii="Arial Narrow" w:hAnsi="Arial Narrow"/>
                <w:snapToGrid/>
                <w:sz w:val="20"/>
                <w:szCs w:val="20"/>
                <w:lang w:eastAsia="en-AU"/>
              </w:rPr>
              <w:t>Unvaccinated from 70 year-old cohorts (mortality adjusted)</w:t>
            </w:r>
          </w:p>
        </w:tc>
        <w:tc>
          <w:tcPr>
            <w:tcW w:w="682" w:type="pct"/>
            <w:shd w:val="clear" w:color="auto" w:fill="auto"/>
            <w:noWrap/>
            <w:vAlign w:val="center"/>
            <w:hideMark/>
          </w:tcPr>
          <w:p w:rsidR="007E3C93" w:rsidRPr="000B3906" w:rsidRDefault="007E3C93" w:rsidP="008F34F1">
            <w:pPr>
              <w:tabs>
                <w:tab w:val="left" w:pos="3801"/>
              </w:tabs>
              <w:jc w:val="center"/>
              <w:rPr>
                <w:rFonts w:ascii="Arial Narrow" w:hAnsi="Arial Narrow"/>
                <w:snapToGrid/>
                <w:sz w:val="20"/>
                <w:szCs w:val="20"/>
                <w:lang w:eastAsia="en-AU"/>
              </w:rPr>
            </w:pP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D0223A" w:rsidRDefault="007E3C93" w:rsidP="008F34F1">
            <w:pPr>
              <w:tabs>
                <w:tab w:val="left" w:pos="3801"/>
              </w:tabs>
              <w:jc w:val="center"/>
              <w:rPr>
                <w:rFonts w:ascii="Arial Narrow" w:hAnsi="Arial Narrow"/>
                <w:snapToGrid/>
                <w:sz w:val="20"/>
                <w:szCs w:val="20"/>
                <w:lang w:eastAsia="en-AU"/>
              </w:rPr>
            </w:pP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tabs>
                <w:tab w:val="left" w:pos="3801"/>
              </w:tabs>
              <w:jc w:val="left"/>
              <w:rPr>
                <w:rFonts w:ascii="Arial Narrow" w:hAnsi="Arial Narrow"/>
                <w:snapToGrid/>
                <w:sz w:val="20"/>
                <w:szCs w:val="20"/>
                <w:lang w:eastAsia="en-AU"/>
              </w:rPr>
            </w:pPr>
            <w:r w:rsidRPr="000B3906">
              <w:rPr>
                <w:rFonts w:ascii="Arial Narrow" w:hAnsi="Arial Narrow"/>
                <w:snapToGrid/>
                <w:sz w:val="20"/>
                <w:szCs w:val="20"/>
                <w:lang w:eastAsia="en-AU"/>
              </w:rPr>
              <w:lastRenderedPageBreak/>
              <w:t>Uptake amongst unvaccinated</w:t>
            </w:r>
          </w:p>
        </w:tc>
        <w:tc>
          <w:tcPr>
            <w:tcW w:w="682" w:type="pct"/>
            <w:shd w:val="clear" w:color="auto" w:fill="auto"/>
            <w:noWrap/>
            <w:vAlign w:val="center"/>
            <w:hideMark/>
          </w:tcPr>
          <w:p w:rsidR="007E3C93" w:rsidRPr="000B3906" w:rsidRDefault="007E3C93" w:rsidP="008F34F1">
            <w:pPr>
              <w:tabs>
                <w:tab w:val="left" w:pos="3801"/>
              </w:tabs>
              <w:jc w:val="center"/>
              <w:rPr>
                <w:rFonts w:ascii="Arial Narrow" w:hAnsi="Arial Narrow"/>
                <w:snapToGrid/>
                <w:sz w:val="20"/>
                <w:szCs w:val="20"/>
                <w:lang w:eastAsia="en-AU"/>
              </w:rPr>
            </w:pP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D0223A" w:rsidRDefault="007E3C93" w:rsidP="008F34F1">
            <w:pPr>
              <w:tabs>
                <w:tab w:val="left" w:pos="3801"/>
              </w:tabs>
              <w:jc w:val="center"/>
              <w:rPr>
                <w:rFonts w:ascii="Arial Narrow" w:hAnsi="Arial Narrow"/>
                <w:snapToGrid/>
                <w:sz w:val="20"/>
                <w:szCs w:val="20"/>
                <w:lang w:eastAsia="en-AU"/>
              </w:rPr>
            </w:pP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tabs>
                <w:tab w:val="left" w:pos="3801"/>
              </w:tabs>
              <w:jc w:val="left"/>
              <w:rPr>
                <w:rFonts w:ascii="Arial Narrow" w:hAnsi="Arial Narrow"/>
                <w:snapToGrid/>
                <w:sz w:val="20"/>
                <w:szCs w:val="20"/>
                <w:lang w:eastAsia="en-AU"/>
              </w:rPr>
            </w:pPr>
            <w:r w:rsidRPr="000B3906">
              <w:rPr>
                <w:rFonts w:ascii="Arial Narrow" w:hAnsi="Arial Narrow"/>
                <w:snapToGrid/>
                <w:sz w:val="20"/>
                <w:szCs w:val="20"/>
                <w:lang w:eastAsia="en-AU"/>
              </w:rPr>
              <w:t>Persons vaccinated</w:t>
            </w:r>
          </w:p>
        </w:tc>
        <w:tc>
          <w:tcPr>
            <w:tcW w:w="682" w:type="pct"/>
            <w:shd w:val="clear" w:color="auto" w:fill="auto"/>
            <w:noWrap/>
            <w:vAlign w:val="center"/>
            <w:hideMark/>
          </w:tcPr>
          <w:p w:rsidR="007E3C93" w:rsidRPr="000B3906" w:rsidRDefault="007E3C93" w:rsidP="008F34F1">
            <w:pPr>
              <w:tabs>
                <w:tab w:val="left" w:pos="3801"/>
              </w:tabs>
              <w:jc w:val="center"/>
              <w:rPr>
                <w:rFonts w:ascii="Arial Narrow" w:hAnsi="Arial Narrow"/>
                <w:snapToGrid/>
                <w:sz w:val="20"/>
                <w:szCs w:val="20"/>
                <w:lang w:eastAsia="en-AU"/>
              </w:rPr>
            </w:pP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tabs>
                <w:tab w:val="left" w:pos="3801"/>
              </w:tabs>
              <w:jc w:val="left"/>
              <w:rPr>
                <w:rFonts w:ascii="Arial Narrow" w:hAnsi="Arial Narrow"/>
                <w:snapToGrid/>
                <w:sz w:val="20"/>
                <w:szCs w:val="20"/>
                <w:lang w:eastAsia="en-AU"/>
              </w:rPr>
            </w:pPr>
            <w:r w:rsidRPr="000B3906">
              <w:rPr>
                <w:rFonts w:ascii="Arial Narrow" w:hAnsi="Arial Narrow"/>
                <w:snapToGrid/>
                <w:sz w:val="20"/>
                <w:szCs w:val="20"/>
                <w:lang w:eastAsia="en-AU"/>
              </w:rPr>
              <w:t>Cost of zoster vaccine</w:t>
            </w:r>
          </w:p>
        </w:tc>
        <w:tc>
          <w:tcPr>
            <w:tcW w:w="682" w:type="pct"/>
            <w:shd w:val="clear" w:color="auto" w:fill="auto"/>
            <w:noWrap/>
            <w:vAlign w:val="center"/>
            <w:hideMark/>
          </w:tcPr>
          <w:p w:rsidR="007E3C93" w:rsidRPr="000B3906" w:rsidRDefault="007E3C93" w:rsidP="008F34F1">
            <w:pPr>
              <w:tabs>
                <w:tab w:val="left" w:pos="3801"/>
              </w:tabs>
              <w:jc w:val="center"/>
              <w:rPr>
                <w:rFonts w:ascii="Arial Narrow" w:hAnsi="Arial Narrow"/>
                <w:snapToGrid/>
                <w:sz w:val="20"/>
                <w:szCs w:val="20"/>
                <w:lang w:eastAsia="en-AU"/>
              </w:rPr>
            </w:pP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tabs>
                <w:tab w:val="left" w:pos="3801"/>
              </w:tabs>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300"/>
        </w:trPr>
        <w:tc>
          <w:tcPr>
            <w:tcW w:w="5000" w:type="pct"/>
            <w:gridSpan w:val="7"/>
            <w:shd w:val="clear" w:color="auto" w:fill="auto"/>
            <w:noWrap/>
            <w:vAlign w:val="center"/>
            <w:hideMark/>
          </w:tcPr>
          <w:p w:rsidR="007E3C93" w:rsidRPr="000B3906" w:rsidRDefault="007E3C93" w:rsidP="008F34F1">
            <w:pPr>
              <w:tabs>
                <w:tab w:val="left" w:pos="3801"/>
              </w:tabs>
              <w:jc w:val="left"/>
              <w:rPr>
                <w:rFonts w:ascii="Arial Narrow" w:hAnsi="Arial Narrow"/>
                <w:b/>
                <w:bCs/>
                <w:snapToGrid/>
                <w:sz w:val="20"/>
                <w:szCs w:val="20"/>
                <w:lang w:eastAsia="en-AU"/>
              </w:rPr>
            </w:pPr>
            <w:r w:rsidRPr="000B3906">
              <w:rPr>
                <w:rFonts w:ascii="Arial Narrow" w:hAnsi="Arial Narrow"/>
                <w:b/>
                <w:bCs/>
                <w:snapToGrid/>
                <w:sz w:val="20"/>
                <w:szCs w:val="20"/>
                <w:lang w:eastAsia="en-AU"/>
              </w:rPr>
              <w:t>Uptake of zoster vaccine in the catch-up cohort</w:t>
            </w: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Population</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D0223A" w:rsidRDefault="007E3C93" w:rsidP="008F34F1">
            <w:pPr>
              <w:jc w:val="center"/>
              <w:rPr>
                <w:rFonts w:ascii="Arial Narrow" w:hAnsi="Arial Narrow"/>
                <w:b/>
                <w:bCs/>
                <w:snapToGrid/>
                <w:sz w:val="20"/>
                <w:szCs w:val="20"/>
                <w:lang w:eastAsia="en-AU"/>
              </w:rPr>
            </w:pP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Unvaccinated from previous years (mortality adjusted)</w:t>
            </w:r>
          </w:p>
        </w:tc>
        <w:tc>
          <w:tcPr>
            <w:tcW w:w="682" w:type="pct"/>
            <w:shd w:val="clear" w:color="auto" w:fill="auto"/>
            <w:noWrap/>
            <w:vAlign w:val="center"/>
            <w:hideMark/>
          </w:tcPr>
          <w:p w:rsidR="007E3C93" w:rsidRPr="000B3906" w:rsidRDefault="007E3C93" w:rsidP="008F34F1">
            <w:pPr>
              <w:jc w:val="center"/>
              <w:rPr>
                <w:rFonts w:ascii="Arial Narrow" w:hAnsi="Arial Narrow"/>
                <w:snapToGrid/>
                <w:sz w:val="20"/>
                <w:szCs w:val="20"/>
                <w:lang w:eastAsia="en-AU"/>
              </w:rPr>
            </w:pPr>
            <w:r w:rsidRPr="000B3906">
              <w:rPr>
                <w:rFonts w:ascii="Arial Narrow" w:hAnsi="Arial Narrow"/>
                <w:snapToGrid/>
                <w:sz w:val="20"/>
                <w:szCs w:val="20"/>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D0223A" w:rsidRDefault="007E3C93" w:rsidP="008F34F1">
            <w:pPr>
              <w:jc w:val="center"/>
              <w:rPr>
                <w:rFonts w:ascii="Arial Narrow" w:hAnsi="Arial Narrow"/>
                <w:b/>
                <w:bCs/>
                <w:snapToGrid/>
                <w:sz w:val="20"/>
                <w:szCs w:val="20"/>
                <w:lang w:eastAsia="en-AU"/>
              </w:rPr>
            </w:pP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Uptake amongst unvaccinated</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D0223A" w:rsidRDefault="007E3C93" w:rsidP="008F34F1">
            <w:pPr>
              <w:jc w:val="center"/>
              <w:rPr>
                <w:rFonts w:ascii="Arial Narrow" w:hAnsi="Arial Narrow"/>
                <w:b/>
                <w:bCs/>
                <w:snapToGrid/>
                <w:sz w:val="20"/>
                <w:szCs w:val="20"/>
                <w:lang w:eastAsia="en-AU"/>
              </w:rPr>
            </w:pPr>
          </w:p>
        </w:tc>
      </w:tr>
      <w:tr w:rsidR="007E3C93" w:rsidRPr="00D0223A" w:rsidTr="00D54BFC">
        <w:trPr>
          <w:trHeight w:val="240"/>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Persons vaccinated</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40"/>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Cumulative % uptake</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340784" w:rsidRDefault="007E3C93" w:rsidP="008F34F1">
            <w:pPr>
              <w:jc w:val="center"/>
              <w:rPr>
                <w:rFonts w:ascii="Arial Narrow" w:hAnsi="Arial Narrow"/>
                <w:b/>
                <w:bCs/>
                <w:snapToGrid/>
                <w:sz w:val="20"/>
                <w:szCs w:val="20"/>
                <w:highlight w:val="yellow"/>
                <w:lang w:eastAsia="en-AU"/>
              </w:rPr>
            </w:pP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Cost of zoster vaccine</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5000" w:type="pct"/>
            <w:gridSpan w:val="7"/>
            <w:shd w:val="clear" w:color="auto" w:fill="auto"/>
            <w:noWrap/>
            <w:vAlign w:val="center"/>
            <w:hideMark/>
          </w:tcPr>
          <w:p w:rsidR="007E3C93" w:rsidRPr="000B3906" w:rsidRDefault="007E3C93" w:rsidP="008F34F1">
            <w:pPr>
              <w:jc w:val="left"/>
              <w:rPr>
                <w:rFonts w:ascii="Arial Narrow" w:hAnsi="Arial Narrow"/>
                <w:b/>
                <w:bCs/>
                <w:snapToGrid/>
                <w:sz w:val="20"/>
                <w:szCs w:val="20"/>
                <w:lang w:eastAsia="en-AU"/>
              </w:rPr>
            </w:pPr>
            <w:r w:rsidRPr="000B3906">
              <w:rPr>
                <w:rFonts w:ascii="Arial Narrow" w:hAnsi="Arial Narrow"/>
                <w:b/>
                <w:bCs/>
                <w:snapToGrid/>
                <w:sz w:val="20"/>
                <w:szCs w:val="20"/>
                <w:lang w:eastAsia="en-AU"/>
              </w:rPr>
              <w:t>Total uptake for all cohorts</w:t>
            </w: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Total doses from each cohort</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jc w:val="left"/>
              <w:rPr>
                <w:rFonts w:ascii="Arial Narrow" w:hAnsi="Arial Narrow"/>
                <w:snapToGrid/>
                <w:sz w:val="20"/>
                <w:szCs w:val="20"/>
                <w:lang w:eastAsia="en-AU"/>
              </w:rPr>
            </w:pPr>
            <w:r w:rsidRPr="000B3906">
              <w:rPr>
                <w:rFonts w:ascii="Arial Narrow" w:hAnsi="Arial Narrow"/>
                <w:snapToGrid/>
                <w:sz w:val="20"/>
                <w:szCs w:val="20"/>
                <w:lang w:eastAsia="en-AU"/>
              </w:rPr>
              <w:t>Total cost of zoster vaccine</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0B3906" w:rsidRDefault="007E3C93" w:rsidP="008F34F1">
            <w:pPr>
              <w:jc w:val="left"/>
              <w:rPr>
                <w:rFonts w:ascii="Arial Narrow" w:hAnsi="Arial Narrow" w:cs="Times New Roman"/>
                <w:snapToGrid/>
                <w:sz w:val="20"/>
                <w:szCs w:val="20"/>
                <w:lang w:eastAsia="en-AU"/>
              </w:rPr>
            </w:pPr>
            <w:r w:rsidRPr="000B3906">
              <w:rPr>
                <w:rFonts w:ascii="Arial Narrow" w:hAnsi="Arial Narrow" w:cs="Times New Roman"/>
                <w:snapToGrid/>
                <w:sz w:val="20"/>
                <w:szCs w:val="20"/>
                <w:lang w:eastAsia="en-AU"/>
              </w:rPr>
              <w:t>Total savings to PBS (Antivirals)</w:t>
            </w:r>
          </w:p>
        </w:tc>
        <w:tc>
          <w:tcPr>
            <w:tcW w:w="682" w:type="pct"/>
            <w:shd w:val="clear" w:color="auto" w:fill="auto"/>
            <w:noWrap/>
            <w:vAlign w:val="center"/>
            <w:hideMark/>
          </w:tcPr>
          <w:p w:rsidR="007E3C93" w:rsidRPr="00FE405A" w:rsidRDefault="00FE405A" w:rsidP="008F34F1">
            <w:pPr>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D0223A" w:rsidRDefault="007E3C93" w:rsidP="008F34F1">
            <w:pPr>
              <w:jc w:val="left"/>
              <w:rPr>
                <w:rFonts w:ascii="Arial Narrow" w:hAnsi="Arial Narrow"/>
                <w:snapToGrid/>
                <w:sz w:val="20"/>
                <w:szCs w:val="20"/>
                <w:lang w:eastAsia="en-AU"/>
              </w:rPr>
            </w:pPr>
            <w:r w:rsidRPr="00D0223A">
              <w:rPr>
                <w:rFonts w:ascii="Arial Narrow" w:hAnsi="Arial Narrow"/>
                <w:snapToGrid/>
                <w:sz w:val="20"/>
                <w:szCs w:val="20"/>
                <w:lang w:eastAsia="en-AU"/>
              </w:rPr>
              <w:t>Net cost to the PBS / RPBS</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5000" w:type="pct"/>
            <w:gridSpan w:val="7"/>
            <w:shd w:val="clear" w:color="auto" w:fill="auto"/>
            <w:noWrap/>
            <w:vAlign w:val="center"/>
            <w:hideMark/>
          </w:tcPr>
          <w:p w:rsidR="007E3C93" w:rsidRPr="00D0223A" w:rsidRDefault="007E3C93" w:rsidP="008F34F1">
            <w:pPr>
              <w:jc w:val="left"/>
              <w:rPr>
                <w:rFonts w:ascii="Arial Narrow" w:hAnsi="Arial Narrow"/>
                <w:b/>
                <w:bCs/>
                <w:snapToGrid/>
                <w:sz w:val="20"/>
                <w:szCs w:val="20"/>
                <w:lang w:eastAsia="en-AU"/>
              </w:rPr>
            </w:pPr>
            <w:r w:rsidRPr="00D0223A">
              <w:rPr>
                <w:rFonts w:ascii="Arial Narrow" w:hAnsi="Arial Narrow"/>
                <w:b/>
                <w:bCs/>
                <w:snapToGrid/>
                <w:sz w:val="20"/>
                <w:szCs w:val="20"/>
                <w:lang w:eastAsia="en-AU"/>
              </w:rPr>
              <w:t>Net increase cost to the MBS</w:t>
            </w:r>
          </w:p>
        </w:tc>
      </w:tr>
      <w:tr w:rsidR="007E3C93" w:rsidRPr="00D0223A" w:rsidTr="00D54BFC">
        <w:trPr>
          <w:trHeight w:val="255"/>
        </w:trPr>
        <w:tc>
          <w:tcPr>
            <w:tcW w:w="1354" w:type="pct"/>
            <w:shd w:val="clear" w:color="auto" w:fill="auto"/>
            <w:noWrap/>
            <w:vAlign w:val="center"/>
            <w:hideMark/>
          </w:tcPr>
          <w:p w:rsidR="007E3C93" w:rsidRPr="00D0223A" w:rsidRDefault="007E3C93" w:rsidP="008F34F1">
            <w:pPr>
              <w:jc w:val="left"/>
              <w:rPr>
                <w:rFonts w:ascii="Arial Narrow" w:hAnsi="Arial Narrow"/>
                <w:snapToGrid/>
                <w:sz w:val="20"/>
                <w:szCs w:val="20"/>
                <w:lang w:eastAsia="en-AU"/>
              </w:rPr>
            </w:pPr>
            <w:r w:rsidRPr="00D0223A">
              <w:rPr>
                <w:rFonts w:ascii="Arial Narrow" w:hAnsi="Arial Narrow"/>
                <w:snapToGrid/>
                <w:sz w:val="20"/>
                <w:szCs w:val="20"/>
                <w:lang w:eastAsia="en-AU"/>
              </w:rPr>
              <w:t>70 year-old cohort</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D0223A" w:rsidRDefault="007E3C93" w:rsidP="008F34F1">
            <w:pPr>
              <w:jc w:val="left"/>
              <w:rPr>
                <w:rFonts w:ascii="Arial Narrow" w:hAnsi="Arial Narrow"/>
                <w:snapToGrid/>
                <w:sz w:val="20"/>
                <w:szCs w:val="20"/>
                <w:lang w:eastAsia="en-AU"/>
              </w:rPr>
            </w:pPr>
            <w:r w:rsidRPr="00D0223A">
              <w:rPr>
                <w:rFonts w:ascii="Arial Narrow" w:hAnsi="Arial Narrow"/>
                <w:snapToGrid/>
                <w:sz w:val="20"/>
                <w:szCs w:val="20"/>
                <w:lang w:eastAsia="en-AU"/>
              </w:rPr>
              <w:t>70 year-old catch-up</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D0223A" w:rsidRDefault="007E3C93" w:rsidP="008F34F1">
            <w:pPr>
              <w:jc w:val="left"/>
              <w:rPr>
                <w:rFonts w:ascii="Arial Narrow" w:hAnsi="Arial Narrow"/>
                <w:snapToGrid/>
                <w:sz w:val="20"/>
                <w:szCs w:val="20"/>
                <w:lang w:eastAsia="en-AU"/>
              </w:rPr>
            </w:pPr>
            <w:r w:rsidRPr="00D0223A">
              <w:rPr>
                <w:rFonts w:ascii="Arial Narrow" w:hAnsi="Arial Narrow"/>
                <w:snapToGrid/>
                <w:sz w:val="20"/>
                <w:szCs w:val="20"/>
                <w:lang w:eastAsia="en-AU"/>
              </w:rPr>
              <w:t>71-79 catch-up</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5000" w:type="pct"/>
            <w:gridSpan w:val="7"/>
            <w:shd w:val="clear" w:color="auto" w:fill="auto"/>
            <w:noWrap/>
            <w:vAlign w:val="center"/>
            <w:hideMark/>
          </w:tcPr>
          <w:p w:rsidR="007E3C93" w:rsidRPr="00D0223A" w:rsidRDefault="007E3C93" w:rsidP="008F34F1">
            <w:pPr>
              <w:jc w:val="left"/>
              <w:rPr>
                <w:rFonts w:ascii="Arial Narrow" w:hAnsi="Arial Narrow"/>
                <w:b/>
                <w:bCs/>
                <w:snapToGrid/>
                <w:sz w:val="20"/>
                <w:szCs w:val="20"/>
                <w:lang w:eastAsia="en-AU"/>
              </w:rPr>
            </w:pPr>
            <w:r w:rsidRPr="00D0223A">
              <w:rPr>
                <w:rFonts w:ascii="Arial Narrow" w:hAnsi="Arial Narrow"/>
                <w:b/>
                <w:bCs/>
                <w:snapToGrid/>
                <w:sz w:val="20"/>
                <w:szCs w:val="20"/>
                <w:lang w:eastAsia="en-AU"/>
              </w:rPr>
              <w:t>Net financial implication for the Australian Government health budget</w:t>
            </w:r>
          </w:p>
        </w:tc>
      </w:tr>
      <w:tr w:rsidR="007E3C93" w:rsidRPr="00D0223A" w:rsidTr="00D54BFC">
        <w:trPr>
          <w:trHeight w:val="255"/>
        </w:trPr>
        <w:tc>
          <w:tcPr>
            <w:tcW w:w="1354" w:type="pct"/>
            <w:shd w:val="clear" w:color="auto" w:fill="auto"/>
            <w:noWrap/>
            <w:vAlign w:val="center"/>
            <w:hideMark/>
          </w:tcPr>
          <w:p w:rsidR="007E3C93" w:rsidRPr="00D0223A" w:rsidRDefault="007E3C93" w:rsidP="008F34F1">
            <w:pPr>
              <w:jc w:val="left"/>
              <w:rPr>
                <w:rFonts w:ascii="Arial Narrow" w:hAnsi="Arial Narrow"/>
                <w:snapToGrid/>
                <w:sz w:val="20"/>
                <w:szCs w:val="20"/>
                <w:lang w:eastAsia="en-AU"/>
              </w:rPr>
            </w:pPr>
            <w:r w:rsidRPr="00D0223A">
              <w:rPr>
                <w:rFonts w:ascii="Arial Narrow" w:hAnsi="Arial Narrow"/>
                <w:snapToGrid/>
                <w:sz w:val="20"/>
                <w:szCs w:val="20"/>
                <w:lang w:eastAsia="en-AU"/>
              </w:rPr>
              <w:t>70 year-old cohort</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D0223A" w:rsidRDefault="007E3C93" w:rsidP="008F34F1">
            <w:pPr>
              <w:jc w:val="left"/>
              <w:rPr>
                <w:rFonts w:ascii="Arial Narrow" w:hAnsi="Arial Narrow"/>
                <w:snapToGrid/>
                <w:sz w:val="20"/>
                <w:szCs w:val="20"/>
                <w:lang w:eastAsia="en-AU"/>
              </w:rPr>
            </w:pPr>
            <w:r w:rsidRPr="00D0223A">
              <w:rPr>
                <w:rFonts w:ascii="Arial Narrow" w:hAnsi="Arial Narrow"/>
                <w:snapToGrid/>
                <w:sz w:val="20"/>
                <w:szCs w:val="20"/>
                <w:lang w:eastAsia="en-AU"/>
              </w:rPr>
              <w:t>70 year-old catch-up</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D0223A" w:rsidRDefault="007E3C93" w:rsidP="008F34F1">
            <w:pPr>
              <w:jc w:val="left"/>
              <w:rPr>
                <w:rFonts w:ascii="Arial Narrow" w:hAnsi="Arial Narrow"/>
                <w:snapToGrid/>
                <w:sz w:val="20"/>
                <w:szCs w:val="20"/>
                <w:lang w:eastAsia="en-AU"/>
              </w:rPr>
            </w:pPr>
            <w:r w:rsidRPr="00D0223A">
              <w:rPr>
                <w:rFonts w:ascii="Arial Narrow" w:hAnsi="Arial Narrow"/>
                <w:snapToGrid/>
                <w:sz w:val="20"/>
                <w:szCs w:val="20"/>
                <w:lang w:eastAsia="en-AU"/>
              </w:rPr>
              <w:t>71-79 year-old catch-up</w:t>
            </w:r>
          </w:p>
        </w:tc>
        <w:tc>
          <w:tcPr>
            <w:tcW w:w="682"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snapToGrid/>
                <w:sz w:val="20"/>
                <w:szCs w:val="20"/>
                <w:highlight w:val="black"/>
                <w:lang w:eastAsia="en-AU"/>
              </w:rPr>
            </w:pPr>
            <w:r>
              <w:rPr>
                <w:rFonts w:ascii="Arial Narrow" w:hAnsi="Arial Narrow"/>
                <w:noProof/>
                <w:snapToGrid/>
                <w:color w:val="000000"/>
                <w:sz w:val="20"/>
                <w:szCs w:val="20"/>
                <w:highlight w:val="black"/>
                <w:lang w:eastAsia="en-AU"/>
              </w:rPr>
              <w:t>'''''''''''''''''''''</w:t>
            </w:r>
          </w:p>
        </w:tc>
      </w:tr>
      <w:tr w:rsidR="007E3C93" w:rsidRPr="00D0223A" w:rsidTr="00D54BFC">
        <w:trPr>
          <w:trHeight w:val="255"/>
        </w:trPr>
        <w:tc>
          <w:tcPr>
            <w:tcW w:w="1354" w:type="pct"/>
            <w:shd w:val="clear" w:color="auto" w:fill="auto"/>
            <w:noWrap/>
            <w:vAlign w:val="center"/>
            <w:hideMark/>
          </w:tcPr>
          <w:p w:rsidR="007E3C93" w:rsidRPr="00D0223A" w:rsidRDefault="007E3C93" w:rsidP="008F34F1">
            <w:pPr>
              <w:jc w:val="left"/>
              <w:rPr>
                <w:rFonts w:ascii="Arial Narrow" w:hAnsi="Arial Narrow"/>
                <w:b/>
                <w:snapToGrid/>
                <w:sz w:val="20"/>
                <w:szCs w:val="20"/>
                <w:lang w:eastAsia="en-AU"/>
              </w:rPr>
            </w:pPr>
            <w:r w:rsidRPr="00D0223A">
              <w:rPr>
                <w:rFonts w:ascii="Arial Narrow" w:hAnsi="Arial Narrow"/>
                <w:b/>
                <w:snapToGrid/>
                <w:sz w:val="20"/>
                <w:szCs w:val="20"/>
                <w:lang w:eastAsia="en-AU"/>
              </w:rPr>
              <w:t>Total</w:t>
            </w:r>
          </w:p>
        </w:tc>
        <w:tc>
          <w:tcPr>
            <w:tcW w:w="682" w:type="pct"/>
            <w:shd w:val="clear" w:color="auto" w:fill="auto"/>
            <w:noWrap/>
            <w:vAlign w:val="center"/>
            <w:hideMark/>
          </w:tcPr>
          <w:p w:rsidR="007E3C93" w:rsidRPr="00FE405A" w:rsidRDefault="00FE405A" w:rsidP="008F34F1">
            <w:pPr>
              <w:jc w:val="center"/>
              <w:rPr>
                <w:rFonts w:ascii="Arial Narrow" w:hAnsi="Arial Narrow"/>
                <w:b/>
                <w:snapToGrid/>
                <w:sz w:val="20"/>
                <w:szCs w:val="20"/>
                <w:highlight w:val="black"/>
                <w:lang w:eastAsia="en-AU"/>
              </w:rPr>
            </w:pPr>
            <w:r>
              <w:rPr>
                <w:rFonts w:ascii="Arial Narrow" w:hAnsi="Arial Narrow"/>
                <w:b/>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b/>
                <w:snapToGrid/>
                <w:sz w:val="20"/>
                <w:szCs w:val="20"/>
                <w:highlight w:val="black"/>
                <w:lang w:eastAsia="en-AU"/>
              </w:rPr>
            </w:pPr>
            <w:r>
              <w:rPr>
                <w:rFonts w:ascii="Arial Narrow" w:hAnsi="Arial Narrow"/>
                <w:b/>
                <w:noProof/>
                <w:snapToGrid/>
                <w:color w:val="000000"/>
                <w:sz w:val="20"/>
                <w:szCs w:val="20"/>
                <w:highlight w:val="black"/>
                <w:lang w:eastAsia="en-AU"/>
              </w:rPr>
              <w:t>''''''''''''''''''</w:t>
            </w:r>
          </w:p>
        </w:tc>
        <w:tc>
          <w:tcPr>
            <w:tcW w:w="581" w:type="pct"/>
            <w:shd w:val="clear" w:color="auto" w:fill="auto"/>
            <w:noWrap/>
            <w:vAlign w:val="center"/>
            <w:hideMark/>
          </w:tcPr>
          <w:p w:rsidR="007E3C93" w:rsidRPr="00FE405A" w:rsidRDefault="00FE405A" w:rsidP="008F34F1">
            <w:pPr>
              <w:jc w:val="center"/>
              <w:rPr>
                <w:rFonts w:ascii="Arial Narrow" w:hAnsi="Arial Narrow"/>
                <w:b/>
                <w:snapToGrid/>
                <w:sz w:val="20"/>
                <w:szCs w:val="20"/>
                <w:highlight w:val="black"/>
                <w:lang w:eastAsia="en-AU"/>
              </w:rPr>
            </w:pPr>
            <w:r>
              <w:rPr>
                <w:rFonts w:ascii="Arial Narrow" w:hAnsi="Arial Narrow"/>
                <w:b/>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b/>
                <w:snapToGrid/>
                <w:sz w:val="20"/>
                <w:szCs w:val="20"/>
                <w:highlight w:val="black"/>
                <w:lang w:eastAsia="en-AU"/>
              </w:rPr>
            </w:pPr>
            <w:r>
              <w:rPr>
                <w:rFonts w:ascii="Arial Narrow" w:hAnsi="Arial Narrow"/>
                <w:b/>
                <w:noProof/>
                <w:snapToGrid/>
                <w:color w:val="000000"/>
                <w:sz w:val="20"/>
                <w:szCs w:val="20"/>
                <w:highlight w:val="black"/>
                <w:lang w:eastAsia="en-AU"/>
              </w:rPr>
              <w:t>''''''''''''''''</w:t>
            </w:r>
          </w:p>
        </w:tc>
        <w:tc>
          <w:tcPr>
            <w:tcW w:w="584" w:type="pct"/>
            <w:shd w:val="clear" w:color="auto" w:fill="auto"/>
            <w:noWrap/>
            <w:vAlign w:val="center"/>
            <w:hideMark/>
          </w:tcPr>
          <w:p w:rsidR="007E3C93" w:rsidRPr="00FE405A" w:rsidRDefault="00FE405A" w:rsidP="008F34F1">
            <w:pPr>
              <w:jc w:val="center"/>
              <w:rPr>
                <w:rFonts w:ascii="Arial Narrow" w:hAnsi="Arial Narrow"/>
                <w:b/>
                <w:snapToGrid/>
                <w:sz w:val="20"/>
                <w:szCs w:val="20"/>
                <w:highlight w:val="black"/>
                <w:lang w:eastAsia="en-AU"/>
              </w:rPr>
            </w:pPr>
            <w:r>
              <w:rPr>
                <w:rFonts w:ascii="Arial Narrow" w:hAnsi="Arial Narrow"/>
                <w:b/>
                <w:noProof/>
                <w:snapToGrid/>
                <w:color w:val="000000"/>
                <w:sz w:val="20"/>
                <w:szCs w:val="20"/>
                <w:highlight w:val="black"/>
                <w:lang w:eastAsia="en-AU"/>
              </w:rPr>
              <w:t>''''''''''''''''''</w:t>
            </w:r>
          </w:p>
        </w:tc>
        <w:tc>
          <w:tcPr>
            <w:tcW w:w="600" w:type="pct"/>
            <w:shd w:val="clear" w:color="auto" w:fill="auto"/>
            <w:noWrap/>
            <w:vAlign w:val="center"/>
            <w:hideMark/>
          </w:tcPr>
          <w:p w:rsidR="007E3C93" w:rsidRPr="00FE405A" w:rsidRDefault="00FE405A" w:rsidP="008F34F1">
            <w:pPr>
              <w:jc w:val="center"/>
              <w:rPr>
                <w:rFonts w:ascii="Arial Narrow" w:hAnsi="Arial Narrow"/>
                <w:b/>
                <w:snapToGrid/>
                <w:sz w:val="20"/>
                <w:szCs w:val="20"/>
                <w:highlight w:val="black"/>
                <w:lang w:eastAsia="en-AU"/>
              </w:rPr>
            </w:pPr>
            <w:r>
              <w:rPr>
                <w:rFonts w:ascii="Arial Narrow" w:hAnsi="Arial Narrow"/>
                <w:b/>
                <w:noProof/>
                <w:snapToGrid/>
                <w:color w:val="000000"/>
                <w:sz w:val="20"/>
                <w:szCs w:val="20"/>
                <w:highlight w:val="black"/>
                <w:lang w:eastAsia="en-AU"/>
              </w:rPr>
              <w:t>'''''''''''''''''''''</w:t>
            </w:r>
          </w:p>
        </w:tc>
      </w:tr>
    </w:tbl>
    <w:p w:rsidR="007E3C93" w:rsidRDefault="007E3C93" w:rsidP="007E3C93">
      <w:pPr>
        <w:widowControl/>
        <w:rPr>
          <w:szCs w:val="22"/>
        </w:rPr>
      </w:pPr>
    </w:p>
    <w:p w:rsidR="00CE3F5A" w:rsidRPr="003506BC" w:rsidRDefault="00CE3F5A" w:rsidP="003506BC">
      <w:pPr>
        <w:pStyle w:val="ListParagraph"/>
        <w:widowControl/>
        <w:rPr>
          <w:i/>
          <w:szCs w:val="22"/>
        </w:rPr>
      </w:pPr>
      <w:r w:rsidRPr="003506BC">
        <w:rPr>
          <w:i/>
        </w:rPr>
        <w:t xml:space="preserve">The redacted table above shows that at Year 5, the estimated total doses from each cohort would be over 200,000 and the </w:t>
      </w:r>
      <w:r w:rsidR="003506BC" w:rsidRPr="003506BC">
        <w:rPr>
          <w:i/>
        </w:rPr>
        <w:t>total net financial implication for the Australian Government health budget would be $30 - $60 million.</w:t>
      </w:r>
    </w:p>
    <w:p w:rsidR="00CE3F5A" w:rsidRPr="00D0223A" w:rsidRDefault="00CE3F5A" w:rsidP="007E3C93">
      <w:pPr>
        <w:widowControl/>
        <w:rPr>
          <w:szCs w:val="22"/>
        </w:rPr>
      </w:pPr>
    </w:p>
    <w:p w:rsidR="007E3C93" w:rsidRPr="00D0223A" w:rsidRDefault="00C27B62" w:rsidP="00C9248D">
      <w:pPr>
        <w:pStyle w:val="ListParagraph"/>
        <w:widowControl/>
        <w:numPr>
          <w:ilvl w:val="1"/>
          <w:numId w:val="1"/>
        </w:numPr>
        <w:rPr>
          <w:szCs w:val="22"/>
        </w:rPr>
      </w:pPr>
      <w:r w:rsidRPr="00D0223A">
        <w:t>The cost to Government was estimate</w:t>
      </w:r>
      <w:r w:rsidR="0014285A">
        <w:t>d</w:t>
      </w:r>
      <w:r w:rsidRPr="00D0223A">
        <w:t xml:space="preserve"> to be approximately $</w:t>
      </w:r>
      <w:r w:rsidR="00FE405A">
        <w:rPr>
          <w:noProof/>
          <w:color w:val="000000"/>
          <w:highlight w:val="black"/>
        </w:rPr>
        <w:t>''''''''' ''''''''''''''''</w:t>
      </w:r>
      <w:r w:rsidRPr="00D0223A">
        <w:t xml:space="preserve"> over 5</w:t>
      </w:r>
      <w:r w:rsidR="00D54BFC">
        <w:t> </w:t>
      </w:r>
      <w:r w:rsidRPr="00D0223A">
        <w:t xml:space="preserve">years. </w:t>
      </w:r>
      <w:r w:rsidR="007E3C93" w:rsidRPr="00D0223A">
        <w:t xml:space="preserve"> </w:t>
      </w:r>
      <w:r w:rsidRPr="00D0223A">
        <w:t>The</w:t>
      </w:r>
      <w:r w:rsidR="007E3C93" w:rsidRPr="00D0223A">
        <w:t xml:space="preserve"> estimated population does not exclude those who are immunocompromised, although this population is determined to be small by the submission (approximately 1%). </w:t>
      </w:r>
    </w:p>
    <w:p w:rsidR="00720743" w:rsidRPr="00D0223A" w:rsidRDefault="00720743" w:rsidP="00720743">
      <w:pPr>
        <w:pStyle w:val="PBACheading1"/>
        <w:numPr>
          <w:ilvl w:val="0"/>
          <w:numId w:val="0"/>
        </w:numPr>
        <w:ind w:left="720" w:hanging="720"/>
      </w:pPr>
    </w:p>
    <w:p w:rsidR="00BA6A50" w:rsidRPr="006D18E7" w:rsidRDefault="00F50EE8" w:rsidP="00720743">
      <w:pPr>
        <w:pStyle w:val="ListParagraph"/>
        <w:widowControl/>
        <w:numPr>
          <w:ilvl w:val="1"/>
          <w:numId w:val="1"/>
        </w:numPr>
      </w:pPr>
      <w:r w:rsidRPr="006D18E7">
        <w:t xml:space="preserve">The post-submission </w:t>
      </w:r>
      <w:r w:rsidR="00BA6A50" w:rsidRPr="006D18E7">
        <w:t xml:space="preserve">ATAGI </w:t>
      </w:r>
      <w:r w:rsidR="00AF394C" w:rsidRPr="006D18E7">
        <w:t>advice considered</w:t>
      </w:r>
      <w:r w:rsidR="00BA6A50" w:rsidRPr="006D18E7">
        <w:t xml:space="preserve"> that the steady state vaccine coverage </w:t>
      </w:r>
      <w:r w:rsidR="00BA6A50" w:rsidRPr="000B3906">
        <w:t xml:space="preserve">estimate of </w:t>
      </w:r>
      <w:r w:rsidR="00FE405A">
        <w:rPr>
          <w:noProof/>
          <w:color w:val="000000"/>
          <w:highlight w:val="black"/>
        </w:rPr>
        <w:t>'''''''</w:t>
      </w:r>
      <w:r w:rsidR="00BA6A50" w:rsidRPr="000B3906">
        <w:t xml:space="preserve">% </w:t>
      </w:r>
      <w:r w:rsidR="00340784" w:rsidRPr="000B3906">
        <w:t xml:space="preserve">for </w:t>
      </w:r>
      <w:r w:rsidR="00BA6A50" w:rsidRPr="000B3906">
        <w:t>the ongoing</w:t>
      </w:r>
      <w:r w:rsidRPr="000B3906">
        <w:t xml:space="preserve"> </w:t>
      </w:r>
      <w:r w:rsidR="00BA6A50" w:rsidRPr="000B3906">
        <w:t xml:space="preserve">vaccination cohort (of 70-year olds) and approximately </w:t>
      </w:r>
      <w:r w:rsidR="00FE405A">
        <w:rPr>
          <w:noProof/>
          <w:color w:val="000000"/>
          <w:highlight w:val="black"/>
        </w:rPr>
        <w:t>''''''</w:t>
      </w:r>
      <w:r w:rsidR="00BA6A50" w:rsidRPr="000B3906">
        <w:t>% overall uptake in the catch-up</w:t>
      </w:r>
      <w:r w:rsidRPr="000B3906">
        <w:t xml:space="preserve"> </w:t>
      </w:r>
      <w:r w:rsidR="00BA6A50" w:rsidRPr="000B3906">
        <w:t>cohort (of ≥71-year olds) in the resubmission are likely</w:t>
      </w:r>
      <w:r w:rsidR="00BA6A50" w:rsidRPr="006D18E7">
        <w:t xml:space="preserve"> overestimates</w:t>
      </w:r>
      <w:r w:rsidR="00AF394C" w:rsidRPr="006D18E7">
        <w:t>.</w:t>
      </w:r>
      <w:r w:rsidRPr="006D18E7">
        <w:t xml:space="preserve"> ATAGI reiterate</w:t>
      </w:r>
      <w:r w:rsidR="00AF394C" w:rsidRPr="006D18E7">
        <w:t>d</w:t>
      </w:r>
      <w:r w:rsidRPr="006D18E7">
        <w:t xml:space="preserve"> that it is more reasonable to expect that steady state vaccination coverage would reach approximately </w:t>
      </w:r>
      <w:r w:rsidR="00FE405A">
        <w:rPr>
          <w:noProof/>
          <w:color w:val="000000"/>
          <w:highlight w:val="black"/>
        </w:rPr>
        <w:t>'''''''''''''''</w:t>
      </w:r>
      <w:r w:rsidRPr="006D18E7">
        <w:t xml:space="preserve">% in the revised target cohorts for ongoing vaccination based on </w:t>
      </w:r>
      <w:r w:rsidR="0084590B" w:rsidRPr="006D18E7">
        <w:t>Australian Institute of Health and Welfare</w:t>
      </w:r>
      <w:r w:rsidRPr="006D18E7">
        <w:t xml:space="preserve"> adult vaccination survey data for pneumococcal and influenza vaccinations in those aged ≥65 years </w:t>
      </w:r>
      <w:r w:rsidR="0084590B" w:rsidRPr="006D18E7">
        <w:t xml:space="preserve">(2004, 2006 and 2009) </w:t>
      </w:r>
      <w:r w:rsidRPr="006D18E7">
        <w:t xml:space="preserve">and cumulative vaccine coverage estimates of the funded Zostavax vaccination program </w:t>
      </w:r>
      <w:r w:rsidR="00720743" w:rsidRPr="006D18E7">
        <w:t xml:space="preserve">in the UK. </w:t>
      </w:r>
    </w:p>
    <w:p w:rsidR="00720743" w:rsidRPr="00D0223A" w:rsidRDefault="00720743" w:rsidP="00720743">
      <w:pPr>
        <w:widowControl/>
        <w:rPr>
          <w:szCs w:val="22"/>
        </w:rPr>
      </w:pPr>
    </w:p>
    <w:p w:rsidR="007E3C93" w:rsidRPr="00FF242D" w:rsidRDefault="007E3C93" w:rsidP="00FF242D">
      <w:pPr>
        <w:rPr>
          <w:b/>
          <w:szCs w:val="22"/>
        </w:rPr>
      </w:pPr>
      <w:bookmarkStart w:id="45" w:name="_Toc269216224"/>
      <w:bookmarkStart w:id="46" w:name="_Toc395780741"/>
      <w:bookmarkStart w:id="47" w:name="_Toc397415408"/>
      <w:r w:rsidRPr="00FF242D">
        <w:rPr>
          <w:b/>
          <w:szCs w:val="22"/>
        </w:rPr>
        <w:t>Financial Management – Risk Sharing Arrangements</w:t>
      </w:r>
      <w:bookmarkEnd w:id="45"/>
      <w:bookmarkEnd w:id="46"/>
      <w:bookmarkEnd w:id="47"/>
    </w:p>
    <w:p w:rsidR="007E3C93" w:rsidRPr="00D0223A" w:rsidRDefault="007E3C93" w:rsidP="00912B7D">
      <w:pPr>
        <w:keepNext/>
        <w:widowControl/>
        <w:rPr>
          <w:szCs w:val="22"/>
        </w:rPr>
      </w:pPr>
    </w:p>
    <w:p w:rsidR="007E3C93" w:rsidRPr="00FE405A" w:rsidRDefault="00FE405A" w:rsidP="009603B7">
      <w:pPr>
        <w:pStyle w:val="ListParagraph"/>
        <w:widowControl/>
        <w:numPr>
          <w:ilvl w:val="1"/>
          <w:numId w:val="1"/>
        </w:numPr>
        <w:rPr>
          <w:szCs w:val="22"/>
          <w:highlight w:val="black"/>
        </w:rPr>
      </w:pPr>
      <w:r>
        <w:rPr>
          <w:noProof/>
          <w:color w:val="000000"/>
          <w:highlight w:val="black"/>
        </w:rPr>
        <w:t>'''''''''' '''''''''''''''''''''''''''''' '''''''''''''''' ''' ''''''''''''''' '''' '''''''''''''''''' '''' ''''''''''''''' ''''''''''''''''''' '''''''''''''''''' '''' ''''''' '''''''''' ''''''''' ''''''''''''' ''''' '''''''' ''''''''''''''''''''' ''''' ''''''''''''''' ''''''''' '''''''''''''''''''''''''''''''''' '''' ''' ''''''''''''''''''''''''' '''''''''''''''''' ''''''' ''''''''''''' '''''''''''''''''' '''''''''' '''''''''' '''''''''''''''''''''''''''' ''''''''''' ''''''' '''''''''''''''''''''' '''''''''''''''''''''''''''''' '''''''''' '''''''''''' '''''''''''''' '''''''''' '''''''''''''''' '''''' ''''''' ''''''''''''''''''''' ''''' ''''''''''''''''' ''' ''''' ''''''' '''''''''''''''''''''''''''' ''''''' ''''''''''''''''''''' ''''''''''''''''''''''''''' '''''''''''' '''''''' '''''''''''''''''' ''''' '''''''' ''''''''''''''''''''''''' ''''''''''''''''''' ''''''''''''' ''''' '''''''''''''''''''''''''''' ''''''''' ''''''''''' '''''''''''''' ''''''''' '''' ''''''''''''''''''''''''''' '''''''''''''''''''''''''''' ''''''''''' ''''''''''''' '''''''''''''''''''' '''''''''''''' ''''''' ''''''''''''''''''' ''''' '''''''' ''''''' ''' ''''''''''''''''''''''''''''''' '''''''''''''''''' ''''' '''''''' ''''''''''''''''''''''''' '''''''''''''''''''</w:t>
      </w:r>
      <w:r w:rsidR="00BB72F6" w:rsidRPr="00FE405A">
        <w:rPr>
          <w:highlight w:val="black"/>
        </w:rPr>
        <w:t xml:space="preserve"> </w:t>
      </w:r>
    </w:p>
    <w:p w:rsidR="009603B7" w:rsidRPr="00D0223A" w:rsidRDefault="009603B7" w:rsidP="009603B7">
      <w:pPr>
        <w:pStyle w:val="PBACheading1"/>
        <w:numPr>
          <w:ilvl w:val="0"/>
          <w:numId w:val="0"/>
        </w:numPr>
        <w:ind w:left="720" w:hanging="720"/>
      </w:pPr>
    </w:p>
    <w:p w:rsidR="00FE5BD5" w:rsidRPr="00D0223A" w:rsidRDefault="00FE5BD5" w:rsidP="00FE5BD5">
      <w:pPr>
        <w:pStyle w:val="ListParagraph"/>
        <w:ind w:left="709"/>
        <w:rPr>
          <w:i/>
          <w:szCs w:val="22"/>
        </w:rPr>
      </w:pPr>
      <w:r w:rsidRPr="00D0223A">
        <w:rPr>
          <w:i/>
          <w:szCs w:val="22"/>
        </w:rPr>
        <w:t>For more detail on PBAC’s view, see section 7 “PBAC outcome”</w:t>
      </w:r>
    </w:p>
    <w:p w:rsidR="00FE5BD5" w:rsidRDefault="00FE5BD5" w:rsidP="007E3C93">
      <w:pPr>
        <w:widowControl/>
        <w:rPr>
          <w:szCs w:val="22"/>
        </w:rPr>
      </w:pPr>
    </w:p>
    <w:p w:rsidR="00D54BFC" w:rsidRPr="00D0223A" w:rsidRDefault="00D54BFC" w:rsidP="007E3C93">
      <w:pPr>
        <w:widowControl/>
        <w:rPr>
          <w:szCs w:val="22"/>
        </w:rPr>
      </w:pPr>
    </w:p>
    <w:p w:rsidR="00C9248D" w:rsidRPr="00D0223A" w:rsidRDefault="00C9248D" w:rsidP="00C9248D">
      <w:pPr>
        <w:pStyle w:val="PBACheading1"/>
        <w:rPr>
          <w:b/>
        </w:rPr>
      </w:pPr>
      <w:r w:rsidRPr="00D0223A">
        <w:rPr>
          <w:b/>
        </w:rPr>
        <w:t xml:space="preserve">PBAC Outcome </w:t>
      </w:r>
    </w:p>
    <w:p w:rsidR="00C9248D" w:rsidRPr="00D0223A" w:rsidRDefault="00C9248D" w:rsidP="00C9248D">
      <w:pPr>
        <w:rPr>
          <w:b/>
          <w:szCs w:val="22"/>
        </w:rPr>
      </w:pPr>
    </w:p>
    <w:p w:rsidR="00C9248D" w:rsidRPr="00D0223A" w:rsidRDefault="00C9248D" w:rsidP="00C9248D">
      <w:pPr>
        <w:pStyle w:val="ListParagraph"/>
        <w:widowControl/>
        <w:numPr>
          <w:ilvl w:val="1"/>
          <w:numId w:val="1"/>
        </w:numPr>
        <w:rPr>
          <w:szCs w:val="22"/>
        </w:rPr>
      </w:pPr>
      <w:r w:rsidRPr="00D0223A">
        <w:rPr>
          <w:szCs w:val="22"/>
        </w:rPr>
        <w:t>The PBAC recommended the listing of</w:t>
      </w:r>
      <w:r w:rsidR="00B235D1" w:rsidRPr="00D0223A">
        <w:rPr>
          <w:szCs w:val="22"/>
        </w:rPr>
        <w:t xml:space="preserve"> zoster virus vaccine live on the National Immunisation Program (NIP) for the vaccination of </w:t>
      </w:r>
      <w:r w:rsidR="00C27B62" w:rsidRPr="00D0223A">
        <w:rPr>
          <w:szCs w:val="22"/>
        </w:rPr>
        <w:t>immunocompetent persons aged 70 years, and a catch-up cohort of immunocompetent persons aged 71 to 79 years</w:t>
      </w:r>
      <w:r w:rsidR="00B235D1" w:rsidRPr="00D0223A">
        <w:rPr>
          <w:szCs w:val="22"/>
        </w:rPr>
        <w:t xml:space="preserve">. </w:t>
      </w:r>
      <w:r w:rsidRPr="00D0223A">
        <w:rPr>
          <w:szCs w:val="22"/>
        </w:rPr>
        <w:t xml:space="preserve"> </w:t>
      </w:r>
    </w:p>
    <w:p w:rsidR="00C9248D" w:rsidRPr="00D0223A" w:rsidRDefault="00C9248D" w:rsidP="00C9248D">
      <w:pPr>
        <w:pStyle w:val="ListParagraph"/>
        <w:rPr>
          <w:szCs w:val="22"/>
        </w:rPr>
      </w:pPr>
    </w:p>
    <w:p w:rsidR="00C9248D" w:rsidRPr="00D0223A" w:rsidRDefault="00C9248D" w:rsidP="00C9248D">
      <w:pPr>
        <w:pStyle w:val="ListParagraph"/>
        <w:widowControl/>
        <w:numPr>
          <w:ilvl w:val="1"/>
          <w:numId w:val="1"/>
        </w:numPr>
        <w:ind w:left="709" w:hanging="709"/>
        <w:rPr>
          <w:szCs w:val="22"/>
        </w:rPr>
      </w:pPr>
      <w:r w:rsidRPr="00D0223A">
        <w:rPr>
          <w:szCs w:val="22"/>
        </w:rPr>
        <w:t xml:space="preserve">The PBAC </w:t>
      </w:r>
      <w:r w:rsidR="003F4590" w:rsidRPr="00D0223A">
        <w:rPr>
          <w:szCs w:val="22"/>
        </w:rPr>
        <w:t>was</w:t>
      </w:r>
      <w:r w:rsidRPr="00D0223A">
        <w:rPr>
          <w:szCs w:val="22"/>
        </w:rPr>
        <w:t xml:space="preserve"> satisfied that</w:t>
      </w:r>
      <w:r w:rsidR="00E619A3" w:rsidRPr="00D0223A">
        <w:rPr>
          <w:szCs w:val="22"/>
        </w:rPr>
        <w:t xml:space="preserve"> zoster virus vaccine live</w:t>
      </w:r>
      <w:r w:rsidRPr="00D0223A">
        <w:rPr>
          <w:szCs w:val="22"/>
        </w:rPr>
        <w:t xml:space="preserve"> provides, for some patients, a significant improvement in efficacy over </w:t>
      </w:r>
      <w:r w:rsidR="00E619A3" w:rsidRPr="00D0223A">
        <w:rPr>
          <w:szCs w:val="22"/>
        </w:rPr>
        <w:t>standard medical manage</w:t>
      </w:r>
      <w:r w:rsidR="001B066D" w:rsidRPr="00D0223A">
        <w:rPr>
          <w:szCs w:val="22"/>
        </w:rPr>
        <w:t>ment of patients with zoster/PHN. The PBAC noted the consumer comments on this item</w:t>
      </w:r>
      <w:r w:rsidR="00C27B62" w:rsidRPr="00D0223A">
        <w:rPr>
          <w:szCs w:val="22"/>
        </w:rPr>
        <w:t>.</w:t>
      </w:r>
    </w:p>
    <w:p w:rsidR="00C9248D" w:rsidRPr="00D0223A" w:rsidRDefault="00C9248D" w:rsidP="00C9248D">
      <w:pPr>
        <w:rPr>
          <w:szCs w:val="22"/>
        </w:rPr>
      </w:pPr>
    </w:p>
    <w:p w:rsidR="00C9248D" w:rsidRPr="00D0223A" w:rsidRDefault="00B64670" w:rsidP="00C9248D">
      <w:pPr>
        <w:pStyle w:val="ListParagraph"/>
        <w:widowControl/>
        <w:numPr>
          <w:ilvl w:val="1"/>
          <w:numId w:val="1"/>
        </w:numPr>
        <w:ind w:left="709" w:hanging="709"/>
        <w:rPr>
          <w:szCs w:val="22"/>
        </w:rPr>
      </w:pPr>
      <w:r w:rsidRPr="00D0223A">
        <w:rPr>
          <w:szCs w:val="22"/>
        </w:rPr>
        <w:t xml:space="preserve">The resubmission’s nominated comparator </w:t>
      </w:r>
      <w:r w:rsidR="003F4590" w:rsidRPr="00D0223A">
        <w:rPr>
          <w:szCs w:val="22"/>
        </w:rPr>
        <w:t>of</w:t>
      </w:r>
      <w:r w:rsidRPr="00D0223A">
        <w:rPr>
          <w:szCs w:val="22"/>
        </w:rPr>
        <w:t xml:space="preserve"> standard medical management of patients with zoster/PHN</w:t>
      </w:r>
      <w:r w:rsidR="00104B48" w:rsidRPr="00D0223A">
        <w:rPr>
          <w:szCs w:val="22"/>
        </w:rPr>
        <w:t xml:space="preserve"> was previously accepted by the PBAC. </w:t>
      </w:r>
    </w:p>
    <w:p w:rsidR="00C9248D" w:rsidRPr="00D0223A" w:rsidRDefault="00C9248D" w:rsidP="00C9248D">
      <w:pPr>
        <w:pStyle w:val="ListParagraph"/>
        <w:rPr>
          <w:szCs w:val="22"/>
        </w:rPr>
      </w:pPr>
    </w:p>
    <w:p w:rsidR="00C9248D" w:rsidRPr="00D0223A" w:rsidRDefault="0074110D" w:rsidP="00C9248D">
      <w:pPr>
        <w:pStyle w:val="ListParagraph"/>
        <w:widowControl/>
        <w:numPr>
          <w:ilvl w:val="1"/>
          <w:numId w:val="1"/>
        </w:numPr>
        <w:ind w:left="709" w:hanging="709"/>
        <w:rPr>
          <w:szCs w:val="22"/>
        </w:rPr>
      </w:pPr>
      <w:r w:rsidRPr="00D0223A">
        <w:rPr>
          <w:szCs w:val="22"/>
        </w:rPr>
        <w:t>The PBAC noted that the clinical trials presented in the resubmission remained unchanged from March 2014</w:t>
      </w:r>
      <w:r w:rsidR="00406555" w:rsidRPr="00D0223A">
        <w:rPr>
          <w:szCs w:val="22"/>
        </w:rPr>
        <w:t>, however the requested target population</w:t>
      </w:r>
      <w:r w:rsidR="00C656D9" w:rsidRPr="00D0223A">
        <w:rPr>
          <w:szCs w:val="22"/>
        </w:rPr>
        <w:t xml:space="preserve"> for vaccination</w:t>
      </w:r>
      <w:r w:rsidR="00406555" w:rsidRPr="00D0223A">
        <w:rPr>
          <w:szCs w:val="22"/>
        </w:rPr>
        <w:t xml:space="preserve"> ha</w:t>
      </w:r>
      <w:r w:rsidR="00C27B62" w:rsidRPr="00D0223A">
        <w:rPr>
          <w:szCs w:val="22"/>
        </w:rPr>
        <w:t>d</w:t>
      </w:r>
      <w:r w:rsidR="00406555" w:rsidRPr="00D0223A">
        <w:rPr>
          <w:szCs w:val="22"/>
        </w:rPr>
        <w:t xml:space="preserve"> changed</w:t>
      </w:r>
      <w:r w:rsidRPr="00D0223A">
        <w:rPr>
          <w:szCs w:val="22"/>
        </w:rPr>
        <w:t xml:space="preserve">. It was also noted that the resubmission </w:t>
      </w:r>
      <w:r w:rsidR="0041755E" w:rsidRPr="00D0223A">
        <w:t>presented the results according to 5 or 10 year age brackets wherever possible as requested by the PBAC in March 2014</w:t>
      </w:r>
      <w:r w:rsidR="00406555" w:rsidRPr="00D0223A">
        <w:rPr>
          <w:szCs w:val="22"/>
        </w:rPr>
        <w:t>.</w:t>
      </w:r>
    </w:p>
    <w:p w:rsidR="00C9248D" w:rsidRPr="00D0223A" w:rsidRDefault="00C9248D" w:rsidP="00C9248D">
      <w:pPr>
        <w:pStyle w:val="ListParagraph"/>
        <w:rPr>
          <w:szCs w:val="22"/>
        </w:rPr>
      </w:pPr>
    </w:p>
    <w:p w:rsidR="00C9248D" w:rsidRPr="00D0223A" w:rsidRDefault="00197800" w:rsidP="00C9248D">
      <w:pPr>
        <w:pStyle w:val="ListParagraph"/>
        <w:widowControl/>
        <w:numPr>
          <w:ilvl w:val="1"/>
          <w:numId w:val="1"/>
        </w:numPr>
        <w:ind w:left="709" w:hanging="709"/>
        <w:rPr>
          <w:szCs w:val="22"/>
        </w:rPr>
      </w:pPr>
      <w:r w:rsidRPr="00D0223A">
        <w:rPr>
          <w:szCs w:val="22"/>
        </w:rPr>
        <w:t xml:space="preserve">The PBAC </w:t>
      </w:r>
      <w:r w:rsidR="00C27B62" w:rsidRPr="00D0223A">
        <w:t>noted a clinical claim was not stated in the re-submission. The PBAC recalled</w:t>
      </w:r>
      <w:r w:rsidR="00C27B62" w:rsidRPr="00D0223A">
        <w:rPr>
          <w:szCs w:val="22"/>
        </w:rPr>
        <w:t xml:space="preserve"> from the March 2014</w:t>
      </w:r>
      <w:r w:rsidRPr="00D0223A">
        <w:rPr>
          <w:szCs w:val="22"/>
        </w:rPr>
        <w:t xml:space="preserve"> </w:t>
      </w:r>
      <w:r w:rsidR="00C27B62" w:rsidRPr="00D0223A">
        <w:rPr>
          <w:szCs w:val="22"/>
        </w:rPr>
        <w:t xml:space="preserve">meeting </w:t>
      </w:r>
      <w:r w:rsidRPr="00D0223A">
        <w:rPr>
          <w:szCs w:val="22"/>
        </w:rPr>
        <w:t xml:space="preserve">that </w:t>
      </w:r>
      <w:r w:rsidR="008360A7" w:rsidRPr="00D0223A">
        <w:rPr>
          <w:szCs w:val="22"/>
        </w:rPr>
        <w:t xml:space="preserve">a claim of superior comparative effectiveness of </w:t>
      </w:r>
      <w:r w:rsidRPr="00D0223A">
        <w:rPr>
          <w:szCs w:val="22"/>
        </w:rPr>
        <w:t>zoster virus vaccine</w:t>
      </w:r>
      <w:r w:rsidR="008360A7" w:rsidRPr="00D0223A">
        <w:rPr>
          <w:szCs w:val="22"/>
        </w:rPr>
        <w:t xml:space="preserve"> to placebo was reasonable, noting that </w:t>
      </w:r>
      <w:r w:rsidR="004D789E" w:rsidRPr="00D0223A">
        <w:rPr>
          <w:szCs w:val="22"/>
        </w:rPr>
        <w:t xml:space="preserve">the vaccine was not as effective in the 70-79 </w:t>
      </w:r>
      <w:r w:rsidR="00C33D24" w:rsidRPr="00D0223A">
        <w:rPr>
          <w:szCs w:val="22"/>
        </w:rPr>
        <w:t xml:space="preserve">year </w:t>
      </w:r>
      <w:r w:rsidR="004D789E" w:rsidRPr="00D0223A">
        <w:rPr>
          <w:szCs w:val="22"/>
        </w:rPr>
        <w:t>age group compared to the 60-69</w:t>
      </w:r>
      <w:r w:rsidR="00C33D24" w:rsidRPr="00D0223A">
        <w:rPr>
          <w:szCs w:val="22"/>
        </w:rPr>
        <w:t xml:space="preserve"> year</w:t>
      </w:r>
      <w:r w:rsidR="004D789E" w:rsidRPr="00D0223A">
        <w:rPr>
          <w:szCs w:val="22"/>
        </w:rPr>
        <w:t xml:space="preserve"> age group f</w:t>
      </w:r>
      <w:r w:rsidR="00C33D24" w:rsidRPr="00D0223A">
        <w:rPr>
          <w:szCs w:val="22"/>
        </w:rPr>
        <w:t>or reducing incidence of zoster.</w:t>
      </w:r>
      <w:r w:rsidR="004D789E" w:rsidRPr="00D0223A">
        <w:rPr>
          <w:szCs w:val="22"/>
        </w:rPr>
        <w:t xml:space="preserve"> </w:t>
      </w:r>
      <w:r w:rsidR="00C33D24" w:rsidRPr="00D0223A">
        <w:rPr>
          <w:szCs w:val="22"/>
        </w:rPr>
        <w:t>H</w:t>
      </w:r>
      <w:r w:rsidR="004D789E" w:rsidRPr="00D0223A">
        <w:rPr>
          <w:szCs w:val="22"/>
        </w:rPr>
        <w:t>owever</w:t>
      </w:r>
      <w:r w:rsidR="00C33D24" w:rsidRPr="00D0223A">
        <w:rPr>
          <w:szCs w:val="22"/>
        </w:rPr>
        <w:t>, the vaccine appears to be more effective in the redu</w:t>
      </w:r>
      <w:r w:rsidR="004D789E" w:rsidRPr="00D0223A">
        <w:rPr>
          <w:szCs w:val="22"/>
        </w:rPr>
        <w:t>c</w:t>
      </w:r>
      <w:r w:rsidR="00C33D24" w:rsidRPr="00D0223A">
        <w:rPr>
          <w:szCs w:val="22"/>
        </w:rPr>
        <w:t>tion of</w:t>
      </w:r>
      <w:r w:rsidR="004D789E" w:rsidRPr="00D0223A">
        <w:rPr>
          <w:szCs w:val="22"/>
        </w:rPr>
        <w:t xml:space="preserve"> PHN in the </w:t>
      </w:r>
      <w:r w:rsidR="00C33D24" w:rsidRPr="00D0223A">
        <w:rPr>
          <w:szCs w:val="22"/>
        </w:rPr>
        <w:t>70-79 year age group</w:t>
      </w:r>
      <w:r w:rsidR="004D789E" w:rsidRPr="00D0223A">
        <w:rPr>
          <w:szCs w:val="22"/>
        </w:rPr>
        <w:t>.</w:t>
      </w:r>
    </w:p>
    <w:p w:rsidR="00C9248D" w:rsidRPr="00D0223A" w:rsidRDefault="00C9248D" w:rsidP="00C9248D">
      <w:pPr>
        <w:pStyle w:val="ListParagraph"/>
        <w:rPr>
          <w:szCs w:val="22"/>
        </w:rPr>
      </w:pPr>
    </w:p>
    <w:p w:rsidR="009535E1" w:rsidRPr="00D0223A" w:rsidRDefault="00197800" w:rsidP="009535E1">
      <w:pPr>
        <w:pStyle w:val="ListParagraph"/>
        <w:widowControl/>
        <w:numPr>
          <w:ilvl w:val="1"/>
          <w:numId w:val="1"/>
        </w:numPr>
        <w:ind w:left="709" w:hanging="709"/>
        <w:rPr>
          <w:szCs w:val="22"/>
        </w:rPr>
      </w:pPr>
      <w:r w:rsidRPr="00D0223A">
        <w:rPr>
          <w:szCs w:val="22"/>
        </w:rPr>
        <w:t>As previously, the PBAC considered the rate of adverse events was reasonable in the context of vaccination, and that serious adverse events were rare.</w:t>
      </w:r>
    </w:p>
    <w:p w:rsidR="009535E1" w:rsidRPr="00D0223A" w:rsidRDefault="009535E1" w:rsidP="009535E1">
      <w:pPr>
        <w:pStyle w:val="ListParagraph"/>
        <w:rPr>
          <w:szCs w:val="22"/>
        </w:rPr>
      </w:pPr>
    </w:p>
    <w:p w:rsidR="003307F2" w:rsidRPr="003307F2" w:rsidRDefault="003307F2" w:rsidP="009535E1">
      <w:pPr>
        <w:pStyle w:val="ListParagraph"/>
        <w:widowControl/>
        <w:numPr>
          <w:ilvl w:val="1"/>
          <w:numId w:val="1"/>
        </w:numPr>
        <w:ind w:left="709" w:hanging="709"/>
        <w:rPr>
          <w:szCs w:val="22"/>
        </w:rPr>
      </w:pPr>
      <w:r>
        <w:rPr>
          <w:szCs w:val="22"/>
        </w:rPr>
        <w:t>The PBAC recalled in March 2014, that the committee considered that, although some assumptions favoured the vaccine and that certain concerns about the utilities remained from the recommendation in 2008,</w:t>
      </w:r>
      <w:r w:rsidRPr="00BE15F8">
        <w:rPr>
          <w:iCs/>
          <w:szCs w:val="22"/>
        </w:rPr>
        <w:t xml:space="preserve"> </w:t>
      </w:r>
      <w:r>
        <w:rPr>
          <w:iCs/>
          <w:szCs w:val="22"/>
        </w:rPr>
        <w:t>the variations in the structure of economic model proposed by the commentary of the re-submission, and endorsed by ESC, would be an appropriate base case to present the model inputs appropriate to the 70+ year old cohort.</w:t>
      </w:r>
    </w:p>
    <w:p w:rsidR="003307F2" w:rsidRPr="003307F2" w:rsidRDefault="003307F2" w:rsidP="003307F2">
      <w:pPr>
        <w:pStyle w:val="ListParagraph"/>
        <w:rPr>
          <w:szCs w:val="22"/>
        </w:rPr>
      </w:pPr>
    </w:p>
    <w:p w:rsidR="00F2301D" w:rsidRPr="00D0223A" w:rsidRDefault="00B74C67" w:rsidP="009535E1">
      <w:pPr>
        <w:pStyle w:val="ListParagraph"/>
        <w:widowControl/>
        <w:numPr>
          <w:ilvl w:val="1"/>
          <w:numId w:val="1"/>
        </w:numPr>
        <w:ind w:left="709" w:hanging="709"/>
        <w:rPr>
          <w:szCs w:val="22"/>
        </w:rPr>
      </w:pPr>
      <w:r w:rsidRPr="00D0223A">
        <w:rPr>
          <w:szCs w:val="22"/>
        </w:rPr>
        <w:t xml:space="preserve">The PBAC </w:t>
      </w:r>
      <w:r w:rsidR="0041584E" w:rsidRPr="00D0223A">
        <w:rPr>
          <w:szCs w:val="22"/>
        </w:rPr>
        <w:t xml:space="preserve">considered that the duration of vaccine efficacy </w:t>
      </w:r>
      <w:r w:rsidR="008B06B0" w:rsidRPr="00D0223A">
        <w:rPr>
          <w:szCs w:val="22"/>
        </w:rPr>
        <w:t xml:space="preserve">for zoster and PHN </w:t>
      </w:r>
      <w:r w:rsidR="0041584E" w:rsidRPr="00D0223A">
        <w:rPr>
          <w:szCs w:val="22"/>
        </w:rPr>
        <w:t xml:space="preserve">was still unclear and </w:t>
      </w:r>
      <w:r w:rsidRPr="00D0223A">
        <w:rPr>
          <w:szCs w:val="22"/>
        </w:rPr>
        <w:t>did not accept the</w:t>
      </w:r>
      <w:r w:rsidR="0041584E" w:rsidRPr="00D0223A">
        <w:rPr>
          <w:szCs w:val="22"/>
        </w:rPr>
        <w:t xml:space="preserve"> 13 year </w:t>
      </w:r>
      <w:r w:rsidRPr="00D0223A">
        <w:rPr>
          <w:szCs w:val="22"/>
        </w:rPr>
        <w:t xml:space="preserve">duration </w:t>
      </w:r>
      <w:r w:rsidR="00C0173F" w:rsidRPr="00D0223A">
        <w:rPr>
          <w:szCs w:val="22"/>
        </w:rPr>
        <w:t>proposed in the</w:t>
      </w:r>
      <w:r w:rsidR="0041584E" w:rsidRPr="00D0223A">
        <w:rPr>
          <w:szCs w:val="22"/>
        </w:rPr>
        <w:t xml:space="preserve"> base case of the</w:t>
      </w:r>
      <w:r w:rsidR="00C0173F" w:rsidRPr="00D0223A">
        <w:rPr>
          <w:szCs w:val="22"/>
        </w:rPr>
        <w:t xml:space="preserve"> re</w:t>
      </w:r>
      <w:r w:rsidR="003307F2">
        <w:rPr>
          <w:szCs w:val="22"/>
        </w:rPr>
        <w:t>-</w:t>
      </w:r>
      <w:r w:rsidR="00C0173F" w:rsidRPr="00D0223A">
        <w:rPr>
          <w:szCs w:val="22"/>
        </w:rPr>
        <w:t>submission</w:t>
      </w:r>
      <w:r w:rsidRPr="00D0223A">
        <w:rPr>
          <w:szCs w:val="22"/>
        </w:rPr>
        <w:t>.</w:t>
      </w:r>
      <w:r w:rsidR="0041584E" w:rsidRPr="00D0223A">
        <w:rPr>
          <w:szCs w:val="22"/>
        </w:rPr>
        <w:t xml:space="preserve"> </w:t>
      </w:r>
      <w:r w:rsidR="00042316" w:rsidRPr="00D0223A">
        <w:rPr>
          <w:szCs w:val="22"/>
        </w:rPr>
        <w:t xml:space="preserve">The PBAC </w:t>
      </w:r>
      <w:r w:rsidR="00C27B62" w:rsidRPr="00D0223A">
        <w:rPr>
          <w:szCs w:val="22"/>
        </w:rPr>
        <w:t>noted</w:t>
      </w:r>
      <w:r w:rsidR="00042316" w:rsidRPr="00D0223A">
        <w:rPr>
          <w:szCs w:val="22"/>
        </w:rPr>
        <w:t xml:space="preserve"> ATAGI advice which reiterated that it is highly likely </w:t>
      </w:r>
      <w:r w:rsidR="00042316" w:rsidRPr="00D0223A">
        <w:rPr>
          <w:szCs w:val="22"/>
        </w:rPr>
        <w:lastRenderedPageBreak/>
        <w:t>that zoster vaccine efficacy could wane at a faster rate in those vaccinated at an older age compared with a younger age</w:t>
      </w:r>
      <w:r w:rsidR="00C27B62" w:rsidRPr="00D0223A">
        <w:rPr>
          <w:szCs w:val="22"/>
        </w:rPr>
        <w:t xml:space="preserve"> and the assessment of the duration of vaccine efficacy in other jurisdictions</w:t>
      </w:r>
      <w:r w:rsidR="00042316" w:rsidRPr="00D0223A">
        <w:rPr>
          <w:szCs w:val="22"/>
        </w:rPr>
        <w:t>. In this context, the PBAC not</w:t>
      </w:r>
      <w:r w:rsidR="009535E1" w:rsidRPr="00D0223A">
        <w:rPr>
          <w:szCs w:val="22"/>
        </w:rPr>
        <w:t>ed that the ESC’s proposal of a</w:t>
      </w:r>
      <w:r w:rsidR="002D52F8" w:rsidRPr="00D0223A">
        <w:rPr>
          <w:szCs w:val="22"/>
        </w:rPr>
        <w:t xml:space="preserve"> </w:t>
      </w:r>
      <w:r w:rsidR="00042316" w:rsidRPr="00D0223A">
        <w:rPr>
          <w:szCs w:val="22"/>
        </w:rPr>
        <w:t xml:space="preserve">10 year duration is likely to be an overestimate in the </w:t>
      </w:r>
      <w:r w:rsidR="00B33F4A" w:rsidRPr="00D0223A">
        <w:rPr>
          <w:szCs w:val="22"/>
        </w:rPr>
        <w:t>resubmission’s proposed older cohort of 70 year olds</w:t>
      </w:r>
      <w:r w:rsidR="00042316" w:rsidRPr="00D0223A">
        <w:rPr>
          <w:szCs w:val="22"/>
        </w:rPr>
        <w:t>.</w:t>
      </w:r>
      <w:r w:rsidR="00936044" w:rsidRPr="00D0223A">
        <w:rPr>
          <w:szCs w:val="22"/>
        </w:rPr>
        <w:t xml:space="preserve"> The PBAC considered that a </w:t>
      </w:r>
      <w:r w:rsidR="00D0223A">
        <w:rPr>
          <w:szCs w:val="22"/>
        </w:rPr>
        <w:t xml:space="preserve">seven </w:t>
      </w:r>
      <w:r w:rsidR="00936044" w:rsidRPr="00D0223A">
        <w:rPr>
          <w:szCs w:val="22"/>
        </w:rPr>
        <w:t xml:space="preserve">year duration of vaccine efficacy </w:t>
      </w:r>
      <w:r w:rsidR="005F21F0" w:rsidRPr="00D0223A">
        <w:rPr>
          <w:szCs w:val="22"/>
        </w:rPr>
        <w:t xml:space="preserve">for both prevention of zoster and prevention of PHN </w:t>
      </w:r>
      <w:r w:rsidR="00936044" w:rsidRPr="00D0223A">
        <w:rPr>
          <w:szCs w:val="22"/>
        </w:rPr>
        <w:t>may be reasonable</w:t>
      </w:r>
      <w:r w:rsidR="005A60DD" w:rsidRPr="00D0223A">
        <w:rPr>
          <w:szCs w:val="22"/>
        </w:rPr>
        <w:t xml:space="preserve"> given the current evidence</w:t>
      </w:r>
      <w:r w:rsidR="00F2301D" w:rsidRPr="00D0223A">
        <w:rPr>
          <w:szCs w:val="22"/>
        </w:rPr>
        <w:t>, and that this should be used to inform the revised base case</w:t>
      </w:r>
      <w:r w:rsidR="00C27B62" w:rsidRPr="00D0223A">
        <w:rPr>
          <w:szCs w:val="22"/>
        </w:rPr>
        <w:t xml:space="preserve"> to establish cost-effectiveness</w:t>
      </w:r>
      <w:r w:rsidR="00F2301D" w:rsidRPr="00D0223A">
        <w:rPr>
          <w:szCs w:val="22"/>
        </w:rPr>
        <w:t xml:space="preserve">. </w:t>
      </w:r>
    </w:p>
    <w:p w:rsidR="00C9248D" w:rsidRPr="00D0223A" w:rsidRDefault="00C9248D" w:rsidP="00C9248D">
      <w:pPr>
        <w:pStyle w:val="ListParagraph"/>
        <w:rPr>
          <w:szCs w:val="22"/>
        </w:rPr>
      </w:pPr>
    </w:p>
    <w:p w:rsidR="00F2301D" w:rsidRPr="00D0223A" w:rsidRDefault="00F2301D" w:rsidP="00C9248D">
      <w:pPr>
        <w:pStyle w:val="ListParagraph"/>
        <w:widowControl/>
        <w:numPr>
          <w:ilvl w:val="1"/>
          <w:numId w:val="1"/>
        </w:numPr>
        <w:ind w:left="709" w:hanging="709"/>
        <w:rPr>
          <w:szCs w:val="22"/>
        </w:rPr>
      </w:pPr>
      <w:r w:rsidRPr="00D0223A">
        <w:t xml:space="preserve">The PBAC </w:t>
      </w:r>
      <w:r w:rsidR="00C27B62" w:rsidRPr="00D0223A">
        <w:t>recalled in consideration of the 60+ year cohort in March 2008</w:t>
      </w:r>
      <w:r w:rsidRPr="00D0223A">
        <w:t xml:space="preserve"> that the cost effectiveness of the vaccine in this context should be compared to other population preventative interventions such as lipid-lowering and anti-hypertensive drugs rather than with treatment of patients with severe symptomatic disease such as late stage cancer.  In addition, the PBAC noted that the cost effectiveness of the vaccine in this context relied on an improvement in the quality of life rather than on an extension of life.</w:t>
      </w:r>
    </w:p>
    <w:p w:rsidR="00F2301D" w:rsidRPr="00D0223A" w:rsidRDefault="00F2301D" w:rsidP="00F2301D">
      <w:pPr>
        <w:pStyle w:val="ListParagraph"/>
        <w:widowControl/>
        <w:ind w:left="709"/>
        <w:rPr>
          <w:szCs w:val="22"/>
        </w:rPr>
      </w:pPr>
    </w:p>
    <w:p w:rsidR="00C9248D" w:rsidRPr="00D0223A" w:rsidRDefault="00381122" w:rsidP="00C9248D">
      <w:pPr>
        <w:pStyle w:val="ListParagraph"/>
        <w:widowControl/>
        <w:numPr>
          <w:ilvl w:val="1"/>
          <w:numId w:val="1"/>
        </w:numPr>
        <w:ind w:left="709" w:hanging="709"/>
        <w:rPr>
          <w:szCs w:val="22"/>
        </w:rPr>
      </w:pPr>
      <w:r w:rsidRPr="00D0223A">
        <w:rPr>
          <w:szCs w:val="22"/>
        </w:rPr>
        <w:t xml:space="preserve">The PBAC considered that the financial estimates appeared reasonable, </w:t>
      </w:r>
      <w:r w:rsidR="00C27B62" w:rsidRPr="00D0223A">
        <w:rPr>
          <w:szCs w:val="22"/>
        </w:rPr>
        <w:t>but</w:t>
      </w:r>
      <w:r w:rsidR="00312ADA" w:rsidRPr="00D0223A">
        <w:rPr>
          <w:szCs w:val="22"/>
        </w:rPr>
        <w:t xml:space="preserve"> the projected cost to Government may be lower in light of the ATAGI advice that uptake of the vaccine may be lower than presented in the submission, in line with observed current vaccine uptake in adults.  </w:t>
      </w:r>
      <w:r w:rsidR="00C27B62" w:rsidRPr="00D0223A">
        <w:rPr>
          <w:szCs w:val="22"/>
        </w:rPr>
        <w:t xml:space="preserve"> </w:t>
      </w:r>
    </w:p>
    <w:p w:rsidR="00312ADA" w:rsidRPr="00D0223A" w:rsidRDefault="00312ADA" w:rsidP="00312ADA">
      <w:pPr>
        <w:pStyle w:val="PBACheading1"/>
        <w:numPr>
          <w:ilvl w:val="0"/>
          <w:numId w:val="0"/>
        </w:numPr>
      </w:pPr>
    </w:p>
    <w:p w:rsidR="00C9248D" w:rsidRPr="00D0223A" w:rsidRDefault="00312ADA" w:rsidP="00C9248D">
      <w:pPr>
        <w:pStyle w:val="ListParagraph"/>
        <w:widowControl/>
        <w:numPr>
          <w:ilvl w:val="1"/>
          <w:numId w:val="1"/>
        </w:numPr>
        <w:ind w:left="709" w:hanging="709"/>
        <w:rPr>
          <w:szCs w:val="22"/>
        </w:rPr>
      </w:pPr>
      <w:r w:rsidRPr="00D0223A">
        <w:rPr>
          <w:szCs w:val="22"/>
        </w:rPr>
        <w:t xml:space="preserve">Given the </w:t>
      </w:r>
      <w:r w:rsidR="002367AB" w:rsidRPr="00D0223A">
        <w:rPr>
          <w:szCs w:val="22"/>
        </w:rPr>
        <w:t>uncertainty</w:t>
      </w:r>
      <w:r w:rsidRPr="00D0223A">
        <w:rPr>
          <w:szCs w:val="22"/>
        </w:rPr>
        <w:t xml:space="preserve"> of the duration of the efficacy of th</w:t>
      </w:r>
      <w:r w:rsidR="00BB6674" w:rsidRPr="00D0223A">
        <w:rPr>
          <w:szCs w:val="22"/>
        </w:rPr>
        <w:t>is</w:t>
      </w:r>
      <w:r w:rsidRPr="00D0223A">
        <w:rPr>
          <w:szCs w:val="22"/>
        </w:rPr>
        <w:t xml:space="preserve"> vaccine against zoster and PHN and the proposed large financial outlay by government, the PBAC agreed with ATAGI that the </w:t>
      </w:r>
      <w:r w:rsidRPr="00D0223A">
        <w:rPr>
          <w:iCs/>
          <w:snapToGrid/>
          <w:szCs w:val="22"/>
          <w:lang w:eastAsia="en-AU"/>
        </w:rPr>
        <w:t>establishment of an adult vaccination register</w:t>
      </w:r>
      <w:r w:rsidRPr="00D0223A">
        <w:rPr>
          <w:szCs w:val="22"/>
        </w:rPr>
        <w:t xml:space="preserve"> is high priority. </w:t>
      </w:r>
      <w:r w:rsidR="00FE405A">
        <w:rPr>
          <w:noProof/>
          <w:color w:val="000000"/>
          <w:szCs w:val="22"/>
          <w:highlight w:val="black"/>
        </w:rPr>
        <w:t>''''''''' ''''''''''''''' '''''''''''''' '''''''''' '''''''''''''''''''''' ''''''' ''''''''''''''''''''' '''''''''''''''''''' ''''' ''''''''''''''''''''' ''''' '''' '''''''''''''''''' '''''''''''''''''' '''''''' '''''''''''''''' ''''''''''''''''' '''''''''' ''''''''' '''''''''' '''''''''' ''''''''''''''''''''''' '''''''''''''''''''''''''''''''' '''''''''' '''''''''''' ''''''''''''''''''''' ''''''''''''' '''''' '''''''''''''''''''' ''''' '''''''' ''''' '''' '''''''''''''''''''''''''''''''''''' ''''''''''''''''' '''' ''''''' '''''''''''''''''''''''''' ''''''''''''''''''</w:t>
      </w:r>
      <w:r w:rsidR="00D8153F" w:rsidRPr="00D0223A">
        <w:t xml:space="preserve"> </w:t>
      </w:r>
      <w:r w:rsidR="00D8153F" w:rsidRPr="00D0223A">
        <w:rPr>
          <w:szCs w:val="22"/>
        </w:rPr>
        <w:t xml:space="preserve"> </w:t>
      </w:r>
    </w:p>
    <w:p w:rsidR="00C9248D" w:rsidRDefault="00C9248D" w:rsidP="00C9248D">
      <w:pPr>
        <w:rPr>
          <w:szCs w:val="22"/>
        </w:rPr>
      </w:pPr>
    </w:p>
    <w:p w:rsidR="00FF242D" w:rsidRPr="00D0223A" w:rsidRDefault="00FF242D" w:rsidP="00C9248D">
      <w:pPr>
        <w:rPr>
          <w:szCs w:val="22"/>
        </w:rPr>
      </w:pPr>
    </w:p>
    <w:p w:rsidR="00C9248D" w:rsidRPr="00D0223A" w:rsidRDefault="00C9248D" w:rsidP="00C9248D">
      <w:pPr>
        <w:rPr>
          <w:b/>
          <w:szCs w:val="22"/>
        </w:rPr>
      </w:pPr>
      <w:r w:rsidRPr="00D0223A">
        <w:rPr>
          <w:b/>
          <w:szCs w:val="22"/>
        </w:rPr>
        <w:t>Outcome:</w:t>
      </w:r>
    </w:p>
    <w:p w:rsidR="00C9248D" w:rsidRPr="00D0223A" w:rsidRDefault="00B235D1" w:rsidP="00C9248D">
      <w:pPr>
        <w:rPr>
          <w:szCs w:val="22"/>
        </w:rPr>
      </w:pPr>
      <w:r w:rsidRPr="00D0223A">
        <w:rPr>
          <w:szCs w:val="22"/>
        </w:rPr>
        <w:t>Recommended</w:t>
      </w:r>
    </w:p>
    <w:p w:rsidR="00C9248D" w:rsidRPr="00D0223A" w:rsidRDefault="00C9248D" w:rsidP="00C9248D">
      <w:pPr>
        <w:rPr>
          <w:szCs w:val="22"/>
        </w:rPr>
      </w:pPr>
    </w:p>
    <w:p w:rsidR="005A5C23" w:rsidRPr="00D0223A" w:rsidRDefault="005A5C23" w:rsidP="00C9248D">
      <w:pPr>
        <w:rPr>
          <w:szCs w:val="22"/>
        </w:rPr>
      </w:pPr>
    </w:p>
    <w:p w:rsidR="00C9248D" w:rsidRPr="00D0223A" w:rsidRDefault="00C9248D" w:rsidP="00C9248D">
      <w:pPr>
        <w:pStyle w:val="PBACheading1"/>
        <w:rPr>
          <w:b/>
          <w:i/>
        </w:rPr>
      </w:pPr>
      <w:r w:rsidRPr="00D0223A">
        <w:rPr>
          <w:b/>
        </w:rPr>
        <w:t>Recommended listing</w:t>
      </w:r>
    </w:p>
    <w:p w:rsidR="00C9248D" w:rsidRPr="00D0223A" w:rsidRDefault="00C9248D" w:rsidP="00C9248D">
      <w:pPr>
        <w:rPr>
          <w:szCs w:val="22"/>
        </w:rPr>
      </w:pPr>
    </w:p>
    <w:p w:rsidR="00794FED" w:rsidRDefault="00880811" w:rsidP="007E3C93">
      <w:pPr>
        <w:pStyle w:val="ListParagraph"/>
        <w:widowControl/>
        <w:numPr>
          <w:ilvl w:val="1"/>
          <w:numId w:val="1"/>
        </w:numPr>
        <w:ind w:left="709" w:hanging="709"/>
        <w:rPr>
          <w:szCs w:val="22"/>
        </w:rPr>
      </w:pPr>
      <w:r w:rsidRPr="00D0223A">
        <w:rPr>
          <w:szCs w:val="22"/>
        </w:rPr>
        <w:t>List zoster virus vaccine live on the NIP for immunocompetent persons aged 70 years, and a catch-up cohort of immunocompetent persons aged 71 to 79 years.</w:t>
      </w:r>
    </w:p>
    <w:p w:rsidR="00E201DC" w:rsidRDefault="00E201DC" w:rsidP="00E201DC">
      <w:pPr>
        <w:widowControl/>
        <w:rPr>
          <w:szCs w:val="22"/>
        </w:rPr>
      </w:pPr>
    </w:p>
    <w:p w:rsidR="00B94465" w:rsidRDefault="00B94465" w:rsidP="00E201DC">
      <w:pPr>
        <w:widowControl/>
        <w:rPr>
          <w:szCs w:val="22"/>
        </w:rPr>
      </w:pPr>
    </w:p>
    <w:p w:rsidR="00E201DC" w:rsidRDefault="00E201DC" w:rsidP="00E201DC">
      <w:pPr>
        <w:pStyle w:val="ListParagraph"/>
        <w:widowControl/>
        <w:numPr>
          <w:ilvl w:val="0"/>
          <w:numId w:val="1"/>
        </w:numPr>
        <w:rPr>
          <w:b/>
        </w:rPr>
      </w:pPr>
      <w:r w:rsidRPr="00D4420F">
        <w:rPr>
          <w:b/>
        </w:rPr>
        <w:t>Context for Decision</w:t>
      </w:r>
    </w:p>
    <w:p w:rsidR="00E201DC" w:rsidRPr="00D4420F" w:rsidRDefault="00E201DC" w:rsidP="00E201DC">
      <w:pPr>
        <w:pStyle w:val="ListParagraph"/>
        <w:rPr>
          <w:b/>
        </w:rPr>
      </w:pPr>
    </w:p>
    <w:p w:rsidR="00E201DC" w:rsidRPr="00D4420F" w:rsidRDefault="00E201DC" w:rsidP="00E201DC">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201DC" w:rsidRDefault="00E201DC" w:rsidP="00E201DC"/>
    <w:p w:rsidR="00B94465" w:rsidRPr="00D4420F" w:rsidRDefault="00B94465" w:rsidP="00E201DC"/>
    <w:p w:rsidR="00E201DC" w:rsidRDefault="00E201DC" w:rsidP="00E201DC">
      <w:pPr>
        <w:pStyle w:val="ListParagraph"/>
        <w:widowControl/>
        <w:numPr>
          <w:ilvl w:val="0"/>
          <w:numId w:val="1"/>
        </w:numPr>
        <w:rPr>
          <w:b/>
        </w:rPr>
      </w:pPr>
      <w:r w:rsidRPr="00D4420F">
        <w:rPr>
          <w:b/>
        </w:rPr>
        <w:t>Sponsor’s Comment</w:t>
      </w:r>
    </w:p>
    <w:p w:rsidR="00E201DC" w:rsidRDefault="00E201DC" w:rsidP="00457BA8">
      <w:pPr>
        <w:widowControl/>
        <w:ind w:left="720"/>
        <w:rPr>
          <w:szCs w:val="22"/>
        </w:rPr>
      </w:pPr>
    </w:p>
    <w:p w:rsidR="00457BA8" w:rsidRPr="00457BA8" w:rsidRDefault="00457BA8" w:rsidP="00457BA8">
      <w:pPr>
        <w:ind w:left="720"/>
      </w:pPr>
      <w:r>
        <w:lastRenderedPageBreak/>
        <w:t>bioCSL welcomes the PBAC’s recommendation for  listing zoster virus vaccine live (ZOSTAVAX), addressing the unmet public health need</w:t>
      </w:r>
      <w:r w:rsidRPr="00457BA8">
        <w:t xml:space="preserve"> </w:t>
      </w:r>
      <w:r>
        <w:t xml:space="preserve">to prevent the  burden of zoster and post herpetic neuralgia in older Australians.  </w:t>
      </w:r>
      <w:r w:rsidRPr="002F755A">
        <w:t>We look forward to the program commencing as soon as possible.</w:t>
      </w:r>
      <w:r w:rsidRPr="00457BA8">
        <w:t xml:space="preserve">  </w:t>
      </w:r>
      <w:r>
        <w:t>However, bioCSL disagrees with the PBAC’s assumption of no vaccine efficacy after seven years, which is inconsistent with the recent publication of the LTPS study (Morrison et al. 2014)</w:t>
      </w:r>
      <w:r w:rsidRPr="00457BA8">
        <w:rPr>
          <w:vertAlign w:val="superscript"/>
        </w:rPr>
        <w:footnoteReference w:customMarkFollows="1" w:id="1"/>
        <w:t>[1]</w:t>
      </w:r>
      <w:r>
        <w:t>.</w:t>
      </w:r>
    </w:p>
    <w:p w:rsidR="00457BA8" w:rsidRPr="00E201DC" w:rsidRDefault="00457BA8" w:rsidP="00457BA8">
      <w:pPr>
        <w:widowControl/>
        <w:ind w:left="720"/>
        <w:rPr>
          <w:szCs w:val="22"/>
        </w:rPr>
      </w:pPr>
    </w:p>
    <w:sectPr w:rsidR="00457BA8" w:rsidRPr="00E201DC" w:rsidSect="00A24554">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45C90C" w15:done="0"/>
  <w15:commentEx w15:paraId="00C9A1E1" w15:done="0"/>
  <w15:commentEx w15:paraId="4E3F3AC6" w15:done="0"/>
  <w15:commentEx w15:paraId="5B928837" w15:done="0"/>
  <w15:commentEx w15:paraId="185EB4D0" w15:done="0"/>
  <w15:commentEx w15:paraId="64798F18" w15:done="0"/>
  <w15:commentEx w15:paraId="3889C734" w15:done="0"/>
  <w15:commentEx w15:paraId="72E7C8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5A" w:rsidRDefault="00FE405A" w:rsidP="00124A51">
      <w:r>
        <w:separator/>
      </w:r>
    </w:p>
    <w:p w:rsidR="00FE405A" w:rsidRDefault="00FE405A"/>
  </w:endnote>
  <w:endnote w:type="continuationSeparator" w:id="0">
    <w:p w:rsidR="00FE405A" w:rsidRDefault="00FE405A" w:rsidP="00124A51">
      <w:r>
        <w:continuationSeparator/>
      </w:r>
    </w:p>
    <w:p w:rsidR="00FE405A" w:rsidRDefault="00FE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szCs w:val="20"/>
      </w:rPr>
    </w:sdtEndPr>
    <w:sdtContent>
      <w:p w:rsidR="00A86879" w:rsidRPr="00541A0D" w:rsidRDefault="00A86879" w:rsidP="005E67D3">
        <w:pPr>
          <w:pStyle w:val="Footer"/>
          <w:ind w:left="360"/>
          <w:jc w:val="center"/>
          <w:rPr>
            <w:sz w:val="20"/>
          </w:rPr>
        </w:pPr>
      </w:p>
      <w:p w:rsidR="00A86879" w:rsidRPr="00651169" w:rsidRDefault="00A86879" w:rsidP="005E67D3">
        <w:pPr>
          <w:pStyle w:val="Footer"/>
          <w:ind w:left="360"/>
          <w:jc w:val="center"/>
          <w:rPr>
            <w:sz w:val="20"/>
            <w:szCs w:val="20"/>
          </w:rPr>
        </w:pPr>
        <w:r w:rsidRPr="00651169">
          <w:rPr>
            <w:sz w:val="20"/>
            <w:szCs w:val="20"/>
          </w:rPr>
          <w:fldChar w:fldCharType="begin"/>
        </w:r>
        <w:r w:rsidRPr="00651169">
          <w:rPr>
            <w:sz w:val="20"/>
            <w:szCs w:val="20"/>
          </w:rPr>
          <w:instrText xml:space="preserve"> PAGE   \* MERGEFORMAT </w:instrText>
        </w:r>
        <w:r w:rsidRPr="00651169">
          <w:rPr>
            <w:sz w:val="20"/>
            <w:szCs w:val="20"/>
          </w:rPr>
          <w:fldChar w:fldCharType="separate"/>
        </w:r>
        <w:r w:rsidR="001D0276">
          <w:rPr>
            <w:noProof/>
            <w:sz w:val="20"/>
            <w:szCs w:val="20"/>
          </w:rPr>
          <w:t>1</w:t>
        </w:r>
        <w:r w:rsidRPr="0065116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5A" w:rsidRDefault="00FE405A" w:rsidP="00124A51">
      <w:r>
        <w:separator/>
      </w:r>
    </w:p>
    <w:p w:rsidR="00FE405A" w:rsidRDefault="00FE405A"/>
  </w:footnote>
  <w:footnote w:type="continuationSeparator" w:id="0">
    <w:p w:rsidR="00FE405A" w:rsidRDefault="00FE405A" w:rsidP="00124A51">
      <w:r>
        <w:continuationSeparator/>
      </w:r>
    </w:p>
    <w:p w:rsidR="00FE405A" w:rsidRDefault="00FE405A"/>
  </w:footnote>
  <w:footnote w:id="1">
    <w:p w:rsidR="00A86879" w:rsidRDefault="00A86879" w:rsidP="00457BA8">
      <w:pPr>
        <w:pStyle w:val="FootnoteText"/>
      </w:pPr>
      <w:r>
        <w:rPr>
          <w:rStyle w:val="FootnoteReference"/>
        </w:rPr>
        <w:t>[1]</w:t>
      </w:r>
      <w:r>
        <w:t xml:space="preserve"> Corrected Proofs available at </w:t>
      </w:r>
    </w:p>
    <w:p w:rsidR="00A86879" w:rsidRDefault="00A86879" w:rsidP="00457BA8">
      <w:pPr>
        <w:pStyle w:val="FootnoteText"/>
        <w:rPr>
          <w:szCs w:val="20"/>
        </w:rPr>
      </w:pPr>
      <w:r>
        <w:t>http://cid.oxfordjournals.org/content/early/2014/12/18/cid.ciu918.full.pdf+html?sid=b9f62971-4908-465d-a94d-71ee764f6a29.</w:t>
      </w:r>
    </w:p>
    <w:p w:rsidR="00A86879" w:rsidRDefault="00A86879" w:rsidP="00457BA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79" w:rsidRPr="00DF217D" w:rsidRDefault="00A86879" w:rsidP="005E67D3">
    <w:pPr>
      <w:pStyle w:val="Header"/>
      <w:ind w:left="360"/>
      <w:jc w:val="center"/>
      <w:rPr>
        <w:i/>
        <w:color w:val="808080"/>
      </w:rPr>
    </w:pPr>
    <w:r>
      <w:rPr>
        <w:i/>
        <w:color w:val="808080"/>
      </w:rPr>
      <w:t>Public Summary Document</w:t>
    </w:r>
    <w:r w:rsidRPr="00DF217D">
      <w:rPr>
        <w:i/>
        <w:color w:val="808080"/>
      </w:rPr>
      <w:t xml:space="preserve"> –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A86879" w:rsidRDefault="00A86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399E"/>
    <w:multiLevelType w:val="hybridMultilevel"/>
    <w:tmpl w:val="5FE8A2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
    <w:nsid w:val="270071EC"/>
    <w:multiLevelType w:val="hybridMultilevel"/>
    <w:tmpl w:val="8040789A"/>
    <w:lvl w:ilvl="0" w:tplc="D81C4C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03D1492"/>
    <w:multiLevelType w:val="hybridMultilevel"/>
    <w:tmpl w:val="482C23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45D84581"/>
    <w:multiLevelType w:val="hybridMultilevel"/>
    <w:tmpl w:val="3E327B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FC31FA2"/>
    <w:multiLevelType w:val="hybridMultilevel"/>
    <w:tmpl w:val="06A663EA"/>
    <w:lvl w:ilvl="0" w:tplc="1F2C30AE">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E50A7A"/>
    <w:multiLevelType w:val="hybridMultilevel"/>
    <w:tmpl w:val="2F2E3E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61C460A4"/>
    <w:multiLevelType w:val="hybridMultilevel"/>
    <w:tmpl w:val="84B6A9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66080D51"/>
    <w:multiLevelType w:val="hybridMultilevel"/>
    <w:tmpl w:val="0B0AB8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6D5777BE"/>
    <w:multiLevelType w:val="hybridMultilevel"/>
    <w:tmpl w:val="1F04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585331B"/>
    <w:multiLevelType w:val="hybridMultilevel"/>
    <w:tmpl w:val="98C8E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784D033C"/>
    <w:multiLevelType w:val="multilevel"/>
    <w:tmpl w:val="2966B3D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7EB965B2"/>
    <w:multiLevelType w:val="hybridMultilevel"/>
    <w:tmpl w:val="6DC6A60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3"/>
  </w:num>
  <w:num w:numId="3">
    <w:abstractNumId w:val="12"/>
  </w:num>
  <w:num w:numId="4">
    <w:abstractNumId w:val="11"/>
  </w:num>
  <w:num w:numId="5">
    <w:abstractNumId w:val="6"/>
  </w:num>
  <w:num w:numId="6">
    <w:abstractNumId w:val="5"/>
  </w:num>
  <w:num w:numId="7">
    <w:abstractNumId w:val="0"/>
  </w:num>
  <w:num w:numId="8">
    <w:abstractNumId w:val="9"/>
  </w:num>
  <w:num w:numId="9">
    <w:abstractNumId w:val="16"/>
  </w:num>
  <w:num w:numId="10">
    <w:abstractNumId w:val="4"/>
  </w:num>
  <w:num w:numId="11">
    <w:abstractNumId w:val="8"/>
  </w:num>
  <w:num w:numId="12">
    <w:abstractNumId w:val="7"/>
  </w:num>
  <w:num w:numId="13">
    <w:abstractNumId w:val="13"/>
  </w:num>
  <w:num w:numId="14">
    <w:abstractNumId w:val="15"/>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Buttery">
    <w15:presenceInfo w15:providerId="AD" w15:userId="S-1-5-21-2256462057-1280619349-680702702-5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 Lees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vrd9zx2azfe7ex9z3vxzfvzedatp0xatas&quot;&gt;Zostavax July 2014&lt;record-ids&gt;&lt;item&gt;140&lt;/item&gt;&lt;item&gt;143&lt;/item&gt;&lt;/record-ids&gt;&lt;/item&gt;&lt;/Libraries&gt;"/>
  </w:docVars>
  <w:rsids>
    <w:rsidRoot w:val="00E65E79"/>
    <w:rsid w:val="0000016C"/>
    <w:rsid w:val="000004C4"/>
    <w:rsid w:val="00000790"/>
    <w:rsid w:val="0000110B"/>
    <w:rsid w:val="00003F88"/>
    <w:rsid w:val="00006A4B"/>
    <w:rsid w:val="00007655"/>
    <w:rsid w:val="00010B32"/>
    <w:rsid w:val="00010B4B"/>
    <w:rsid w:val="000120E5"/>
    <w:rsid w:val="00013247"/>
    <w:rsid w:val="00013F35"/>
    <w:rsid w:val="00015886"/>
    <w:rsid w:val="00015894"/>
    <w:rsid w:val="00015A9B"/>
    <w:rsid w:val="000162EF"/>
    <w:rsid w:val="0002225F"/>
    <w:rsid w:val="00023763"/>
    <w:rsid w:val="0003655F"/>
    <w:rsid w:val="00036E22"/>
    <w:rsid w:val="00040895"/>
    <w:rsid w:val="00042316"/>
    <w:rsid w:val="0004231D"/>
    <w:rsid w:val="00043AFA"/>
    <w:rsid w:val="00043C37"/>
    <w:rsid w:val="00046031"/>
    <w:rsid w:val="000468D3"/>
    <w:rsid w:val="00047FDB"/>
    <w:rsid w:val="00050C15"/>
    <w:rsid w:val="0005235C"/>
    <w:rsid w:val="000546D7"/>
    <w:rsid w:val="0006082D"/>
    <w:rsid w:val="00063225"/>
    <w:rsid w:val="00066B5E"/>
    <w:rsid w:val="000670BF"/>
    <w:rsid w:val="00071248"/>
    <w:rsid w:val="000720B9"/>
    <w:rsid w:val="000812CA"/>
    <w:rsid w:val="000837CB"/>
    <w:rsid w:val="00086787"/>
    <w:rsid w:val="00090C7E"/>
    <w:rsid w:val="00092463"/>
    <w:rsid w:val="00094795"/>
    <w:rsid w:val="00096426"/>
    <w:rsid w:val="000967CC"/>
    <w:rsid w:val="000A2502"/>
    <w:rsid w:val="000B0C5F"/>
    <w:rsid w:val="000B3906"/>
    <w:rsid w:val="000B42AC"/>
    <w:rsid w:val="000B609A"/>
    <w:rsid w:val="000B7427"/>
    <w:rsid w:val="000C6DCB"/>
    <w:rsid w:val="000C717D"/>
    <w:rsid w:val="000D1BFC"/>
    <w:rsid w:val="000F0628"/>
    <w:rsid w:val="00100F8A"/>
    <w:rsid w:val="001029F9"/>
    <w:rsid w:val="00104B48"/>
    <w:rsid w:val="00107EFA"/>
    <w:rsid w:val="0011032E"/>
    <w:rsid w:val="00110396"/>
    <w:rsid w:val="0011192F"/>
    <w:rsid w:val="00114639"/>
    <w:rsid w:val="0012129B"/>
    <w:rsid w:val="00121799"/>
    <w:rsid w:val="001222FC"/>
    <w:rsid w:val="00122EE7"/>
    <w:rsid w:val="00124A51"/>
    <w:rsid w:val="00126621"/>
    <w:rsid w:val="001301E9"/>
    <w:rsid w:val="00131024"/>
    <w:rsid w:val="00134A58"/>
    <w:rsid w:val="001366EC"/>
    <w:rsid w:val="00137645"/>
    <w:rsid w:val="0014015A"/>
    <w:rsid w:val="00140E99"/>
    <w:rsid w:val="0014285A"/>
    <w:rsid w:val="0014416C"/>
    <w:rsid w:val="00144B98"/>
    <w:rsid w:val="001456B0"/>
    <w:rsid w:val="00152F61"/>
    <w:rsid w:val="00157130"/>
    <w:rsid w:val="0015735F"/>
    <w:rsid w:val="0015757D"/>
    <w:rsid w:val="001606E8"/>
    <w:rsid w:val="00162290"/>
    <w:rsid w:val="001626E1"/>
    <w:rsid w:val="00162913"/>
    <w:rsid w:val="00163EFF"/>
    <w:rsid w:val="00164E58"/>
    <w:rsid w:val="001661FB"/>
    <w:rsid w:val="001674BB"/>
    <w:rsid w:val="0017330A"/>
    <w:rsid w:val="00173889"/>
    <w:rsid w:val="0018117D"/>
    <w:rsid w:val="0018309D"/>
    <w:rsid w:val="001842B0"/>
    <w:rsid w:val="00191DD6"/>
    <w:rsid w:val="00195222"/>
    <w:rsid w:val="00196365"/>
    <w:rsid w:val="001971A6"/>
    <w:rsid w:val="001975D8"/>
    <w:rsid w:val="00197800"/>
    <w:rsid w:val="001A66EF"/>
    <w:rsid w:val="001B066D"/>
    <w:rsid w:val="001B0F70"/>
    <w:rsid w:val="001B2D68"/>
    <w:rsid w:val="001B3443"/>
    <w:rsid w:val="001B4610"/>
    <w:rsid w:val="001B4A23"/>
    <w:rsid w:val="001B6188"/>
    <w:rsid w:val="001C1030"/>
    <w:rsid w:val="001C5358"/>
    <w:rsid w:val="001C5AE8"/>
    <w:rsid w:val="001C601E"/>
    <w:rsid w:val="001C6E66"/>
    <w:rsid w:val="001D0276"/>
    <w:rsid w:val="001D112E"/>
    <w:rsid w:val="001D5687"/>
    <w:rsid w:val="001D6506"/>
    <w:rsid w:val="001E1622"/>
    <w:rsid w:val="001E1982"/>
    <w:rsid w:val="001E238E"/>
    <w:rsid w:val="001E52EB"/>
    <w:rsid w:val="001E740C"/>
    <w:rsid w:val="001F04C9"/>
    <w:rsid w:val="001F1075"/>
    <w:rsid w:val="001F1235"/>
    <w:rsid w:val="001F1CB3"/>
    <w:rsid w:val="001F2514"/>
    <w:rsid w:val="001F4C53"/>
    <w:rsid w:val="001F7361"/>
    <w:rsid w:val="002025FE"/>
    <w:rsid w:val="00204621"/>
    <w:rsid w:val="002105C1"/>
    <w:rsid w:val="002107B0"/>
    <w:rsid w:val="00211D00"/>
    <w:rsid w:val="00211F12"/>
    <w:rsid w:val="00211FE0"/>
    <w:rsid w:val="002131F2"/>
    <w:rsid w:val="002132E6"/>
    <w:rsid w:val="00215ADB"/>
    <w:rsid w:val="002208D7"/>
    <w:rsid w:val="00222A37"/>
    <w:rsid w:val="00223B49"/>
    <w:rsid w:val="00224DD4"/>
    <w:rsid w:val="00226C3A"/>
    <w:rsid w:val="002309CC"/>
    <w:rsid w:val="002367AB"/>
    <w:rsid w:val="002418FC"/>
    <w:rsid w:val="00247191"/>
    <w:rsid w:val="0025534B"/>
    <w:rsid w:val="00255BB7"/>
    <w:rsid w:val="00256FF9"/>
    <w:rsid w:val="002570C5"/>
    <w:rsid w:val="0026132B"/>
    <w:rsid w:val="00261F91"/>
    <w:rsid w:val="00262A87"/>
    <w:rsid w:val="0026374E"/>
    <w:rsid w:val="00264B42"/>
    <w:rsid w:val="0026630A"/>
    <w:rsid w:val="00275C5A"/>
    <w:rsid w:val="002776C7"/>
    <w:rsid w:val="002834B1"/>
    <w:rsid w:val="00284965"/>
    <w:rsid w:val="00286389"/>
    <w:rsid w:val="00290AD1"/>
    <w:rsid w:val="00294219"/>
    <w:rsid w:val="00297CAA"/>
    <w:rsid w:val="002A0F69"/>
    <w:rsid w:val="002A14AB"/>
    <w:rsid w:val="002B0032"/>
    <w:rsid w:val="002B0DC0"/>
    <w:rsid w:val="002B10F5"/>
    <w:rsid w:val="002B1C1F"/>
    <w:rsid w:val="002B2505"/>
    <w:rsid w:val="002B432F"/>
    <w:rsid w:val="002B6CCE"/>
    <w:rsid w:val="002B6D3E"/>
    <w:rsid w:val="002B74D4"/>
    <w:rsid w:val="002C163F"/>
    <w:rsid w:val="002C27C1"/>
    <w:rsid w:val="002C33E7"/>
    <w:rsid w:val="002C552D"/>
    <w:rsid w:val="002C77BF"/>
    <w:rsid w:val="002D0EEE"/>
    <w:rsid w:val="002D52F8"/>
    <w:rsid w:val="002E0794"/>
    <w:rsid w:val="002E18C6"/>
    <w:rsid w:val="002E2A9B"/>
    <w:rsid w:val="002E4942"/>
    <w:rsid w:val="002E703C"/>
    <w:rsid w:val="002F5853"/>
    <w:rsid w:val="00301017"/>
    <w:rsid w:val="00301E1D"/>
    <w:rsid w:val="0030786C"/>
    <w:rsid w:val="0031031A"/>
    <w:rsid w:val="00312782"/>
    <w:rsid w:val="00312ADA"/>
    <w:rsid w:val="0031349A"/>
    <w:rsid w:val="003137BA"/>
    <w:rsid w:val="00315498"/>
    <w:rsid w:val="0031796C"/>
    <w:rsid w:val="00321D85"/>
    <w:rsid w:val="00323443"/>
    <w:rsid w:val="003247A8"/>
    <w:rsid w:val="003307F2"/>
    <w:rsid w:val="00330E42"/>
    <w:rsid w:val="003313B8"/>
    <w:rsid w:val="003366C9"/>
    <w:rsid w:val="0033726A"/>
    <w:rsid w:val="003372E8"/>
    <w:rsid w:val="00340784"/>
    <w:rsid w:val="003419CD"/>
    <w:rsid w:val="00345841"/>
    <w:rsid w:val="003506BC"/>
    <w:rsid w:val="00350AC2"/>
    <w:rsid w:val="0035620E"/>
    <w:rsid w:val="00360C5E"/>
    <w:rsid w:val="00361DBC"/>
    <w:rsid w:val="00366F14"/>
    <w:rsid w:val="00371551"/>
    <w:rsid w:val="00372314"/>
    <w:rsid w:val="00373D94"/>
    <w:rsid w:val="00374757"/>
    <w:rsid w:val="00375F0D"/>
    <w:rsid w:val="00381122"/>
    <w:rsid w:val="00383357"/>
    <w:rsid w:val="0038365C"/>
    <w:rsid w:val="003865D0"/>
    <w:rsid w:val="00390464"/>
    <w:rsid w:val="00391E95"/>
    <w:rsid w:val="00393044"/>
    <w:rsid w:val="00393F75"/>
    <w:rsid w:val="0039458D"/>
    <w:rsid w:val="003953CC"/>
    <w:rsid w:val="00395BD6"/>
    <w:rsid w:val="00396FD0"/>
    <w:rsid w:val="003A006D"/>
    <w:rsid w:val="003A1A7A"/>
    <w:rsid w:val="003A2C74"/>
    <w:rsid w:val="003A2CC9"/>
    <w:rsid w:val="003B2383"/>
    <w:rsid w:val="003C2AEE"/>
    <w:rsid w:val="003C3925"/>
    <w:rsid w:val="003C4E07"/>
    <w:rsid w:val="003D0A78"/>
    <w:rsid w:val="003D172B"/>
    <w:rsid w:val="003D1828"/>
    <w:rsid w:val="003D2422"/>
    <w:rsid w:val="003D34D8"/>
    <w:rsid w:val="003E5D45"/>
    <w:rsid w:val="003F4156"/>
    <w:rsid w:val="003F4590"/>
    <w:rsid w:val="003F6965"/>
    <w:rsid w:val="003F6B01"/>
    <w:rsid w:val="004026CF"/>
    <w:rsid w:val="00404E45"/>
    <w:rsid w:val="00406555"/>
    <w:rsid w:val="00407DA3"/>
    <w:rsid w:val="004102AF"/>
    <w:rsid w:val="00410EC7"/>
    <w:rsid w:val="00414476"/>
    <w:rsid w:val="0041584E"/>
    <w:rsid w:val="00416D3C"/>
    <w:rsid w:val="0041755E"/>
    <w:rsid w:val="00420B9F"/>
    <w:rsid w:val="00425CB2"/>
    <w:rsid w:val="00430983"/>
    <w:rsid w:val="00430B36"/>
    <w:rsid w:val="004319F8"/>
    <w:rsid w:val="00431AFD"/>
    <w:rsid w:val="004348C3"/>
    <w:rsid w:val="004375E6"/>
    <w:rsid w:val="004443A7"/>
    <w:rsid w:val="0044492A"/>
    <w:rsid w:val="0044649F"/>
    <w:rsid w:val="004464EB"/>
    <w:rsid w:val="00453D10"/>
    <w:rsid w:val="00454B56"/>
    <w:rsid w:val="00455D45"/>
    <w:rsid w:val="00457BA8"/>
    <w:rsid w:val="0046340F"/>
    <w:rsid w:val="00463917"/>
    <w:rsid w:val="00464595"/>
    <w:rsid w:val="00472359"/>
    <w:rsid w:val="0047456A"/>
    <w:rsid w:val="00480E0A"/>
    <w:rsid w:val="0048547F"/>
    <w:rsid w:val="004867E2"/>
    <w:rsid w:val="00486D2E"/>
    <w:rsid w:val="00491943"/>
    <w:rsid w:val="00491B3A"/>
    <w:rsid w:val="004929B8"/>
    <w:rsid w:val="00496A3D"/>
    <w:rsid w:val="00497F10"/>
    <w:rsid w:val="004A0DA1"/>
    <w:rsid w:val="004A15F7"/>
    <w:rsid w:val="004A1FEE"/>
    <w:rsid w:val="004A4065"/>
    <w:rsid w:val="004A43BD"/>
    <w:rsid w:val="004A4E6F"/>
    <w:rsid w:val="004A6597"/>
    <w:rsid w:val="004A7338"/>
    <w:rsid w:val="004B2F18"/>
    <w:rsid w:val="004B34E5"/>
    <w:rsid w:val="004B3DDB"/>
    <w:rsid w:val="004B4145"/>
    <w:rsid w:val="004B44FD"/>
    <w:rsid w:val="004B5CFC"/>
    <w:rsid w:val="004B63D7"/>
    <w:rsid w:val="004C482F"/>
    <w:rsid w:val="004C4AED"/>
    <w:rsid w:val="004C6EC7"/>
    <w:rsid w:val="004D0CE0"/>
    <w:rsid w:val="004D1F6A"/>
    <w:rsid w:val="004D4E15"/>
    <w:rsid w:val="004D789E"/>
    <w:rsid w:val="004E0EB8"/>
    <w:rsid w:val="004E1D54"/>
    <w:rsid w:val="004E2ADC"/>
    <w:rsid w:val="004E665D"/>
    <w:rsid w:val="004E66D5"/>
    <w:rsid w:val="004F0697"/>
    <w:rsid w:val="004F1D02"/>
    <w:rsid w:val="004F2679"/>
    <w:rsid w:val="004F709E"/>
    <w:rsid w:val="004F777D"/>
    <w:rsid w:val="0050026B"/>
    <w:rsid w:val="0050402C"/>
    <w:rsid w:val="005055A7"/>
    <w:rsid w:val="00505B6E"/>
    <w:rsid w:val="00506AE1"/>
    <w:rsid w:val="00506E16"/>
    <w:rsid w:val="005119D7"/>
    <w:rsid w:val="005152B5"/>
    <w:rsid w:val="005158BB"/>
    <w:rsid w:val="00521319"/>
    <w:rsid w:val="00521917"/>
    <w:rsid w:val="00523C28"/>
    <w:rsid w:val="005266AB"/>
    <w:rsid w:val="00532869"/>
    <w:rsid w:val="0054417E"/>
    <w:rsid w:val="00552A2A"/>
    <w:rsid w:val="0055301A"/>
    <w:rsid w:val="00555109"/>
    <w:rsid w:val="00555885"/>
    <w:rsid w:val="00556286"/>
    <w:rsid w:val="0056276A"/>
    <w:rsid w:val="0056696F"/>
    <w:rsid w:val="00567F46"/>
    <w:rsid w:val="005702A4"/>
    <w:rsid w:val="00575859"/>
    <w:rsid w:val="00576972"/>
    <w:rsid w:val="00577717"/>
    <w:rsid w:val="005801E9"/>
    <w:rsid w:val="00583699"/>
    <w:rsid w:val="005837C2"/>
    <w:rsid w:val="00590A46"/>
    <w:rsid w:val="00590E41"/>
    <w:rsid w:val="005917B8"/>
    <w:rsid w:val="00594879"/>
    <w:rsid w:val="00596A66"/>
    <w:rsid w:val="005A5C23"/>
    <w:rsid w:val="005A60DD"/>
    <w:rsid w:val="005A79A3"/>
    <w:rsid w:val="005B366E"/>
    <w:rsid w:val="005B5857"/>
    <w:rsid w:val="005C1B83"/>
    <w:rsid w:val="005C346B"/>
    <w:rsid w:val="005C6863"/>
    <w:rsid w:val="005C79A8"/>
    <w:rsid w:val="005D0B05"/>
    <w:rsid w:val="005D18AD"/>
    <w:rsid w:val="005D28B1"/>
    <w:rsid w:val="005D7E3E"/>
    <w:rsid w:val="005E1DB5"/>
    <w:rsid w:val="005E40DB"/>
    <w:rsid w:val="005E4925"/>
    <w:rsid w:val="005E5DB0"/>
    <w:rsid w:val="005E6418"/>
    <w:rsid w:val="005E67D3"/>
    <w:rsid w:val="005F21F0"/>
    <w:rsid w:val="005F2706"/>
    <w:rsid w:val="005F6A8F"/>
    <w:rsid w:val="00602D90"/>
    <w:rsid w:val="00604E77"/>
    <w:rsid w:val="00605C5C"/>
    <w:rsid w:val="00607669"/>
    <w:rsid w:val="00610F46"/>
    <w:rsid w:val="00612F97"/>
    <w:rsid w:val="006143D0"/>
    <w:rsid w:val="00616802"/>
    <w:rsid w:val="00617E12"/>
    <w:rsid w:val="00621477"/>
    <w:rsid w:val="00623785"/>
    <w:rsid w:val="00625D18"/>
    <w:rsid w:val="006312D7"/>
    <w:rsid w:val="00631D6B"/>
    <w:rsid w:val="0063479F"/>
    <w:rsid w:val="006364A1"/>
    <w:rsid w:val="00637BFD"/>
    <w:rsid w:val="0064117A"/>
    <w:rsid w:val="00642122"/>
    <w:rsid w:val="006471A9"/>
    <w:rsid w:val="006471CC"/>
    <w:rsid w:val="006506BC"/>
    <w:rsid w:val="0065079F"/>
    <w:rsid w:val="006508FF"/>
    <w:rsid w:val="00662C57"/>
    <w:rsid w:val="00666DCF"/>
    <w:rsid w:val="006676CC"/>
    <w:rsid w:val="00667B27"/>
    <w:rsid w:val="00674E42"/>
    <w:rsid w:val="0067711E"/>
    <w:rsid w:val="0067780A"/>
    <w:rsid w:val="00677DB4"/>
    <w:rsid w:val="006814BF"/>
    <w:rsid w:val="00681C5C"/>
    <w:rsid w:val="00682112"/>
    <w:rsid w:val="00682E5A"/>
    <w:rsid w:val="00694306"/>
    <w:rsid w:val="00694F44"/>
    <w:rsid w:val="0069572D"/>
    <w:rsid w:val="00695A50"/>
    <w:rsid w:val="006B09BE"/>
    <w:rsid w:val="006B2E9B"/>
    <w:rsid w:val="006B5829"/>
    <w:rsid w:val="006B5A0B"/>
    <w:rsid w:val="006C1A61"/>
    <w:rsid w:val="006C2A8E"/>
    <w:rsid w:val="006C3BFB"/>
    <w:rsid w:val="006C6AAC"/>
    <w:rsid w:val="006C6C5A"/>
    <w:rsid w:val="006D00C6"/>
    <w:rsid w:val="006D18E7"/>
    <w:rsid w:val="006D3C7D"/>
    <w:rsid w:val="006D4D5F"/>
    <w:rsid w:val="006D67AD"/>
    <w:rsid w:val="006E0D86"/>
    <w:rsid w:val="006E523B"/>
    <w:rsid w:val="006F3114"/>
    <w:rsid w:val="006F63A5"/>
    <w:rsid w:val="0070276E"/>
    <w:rsid w:val="0070677D"/>
    <w:rsid w:val="00710097"/>
    <w:rsid w:val="00711A36"/>
    <w:rsid w:val="00715CA3"/>
    <w:rsid w:val="00716C84"/>
    <w:rsid w:val="007172AD"/>
    <w:rsid w:val="00720743"/>
    <w:rsid w:val="00721303"/>
    <w:rsid w:val="007251C1"/>
    <w:rsid w:val="007265FB"/>
    <w:rsid w:val="00727431"/>
    <w:rsid w:val="00735328"/>
    <w:rsid w:val="0073685B"/>
    <w:rsid w:val="0074110D"/>
    <w:rsid w:val="007474AD"/>
    <w:rsid w:val="007511E2"/>
    <w:rsid w:val="00753741"/>
    <w:rsid w:val="00755892"/>
    <w:rsid w:val="00762809"/>
    <w:rsid w:val="00762E50"/>
    <w:rsid w:val="00763BC1"/>
    <w:rsid w:val="00773118"/>
    <w:rsid w:val="0077324B"/>
    <w:rsid w:val="00774880"/>
    <w:rsid w:val="00774EF0"/>
    <w:rsid w:val="007757E9"/>
    <w:rsid w:val="0077711F"/>
    <w:rsid w:val="00777B9E"/>
    <w:rsid w:val="00777D9F"/>
    <w:rsid w:val="007811BC"/>
    <w:rsid w:val="007815EF"/>
    <w:rsid w:val="0078613A"/>
    <w:rsid w:val="00792C43"/>
    <w:rsid w:val="0079400B"/>
    <w:rsid w:val="00794FED"/>
    <w:rsid w:val="00795B74"/>
    <w:rsid w:val="00796A0F"/>
    <w:rsid w:val="007A0E6A"/>
    <w:rsid w:val="007A15A8"/>
    <w:rsid w:val="007A1680"/>
    <w:rsid w:val="007A1AEC"/>
    <w:rsid w:val="007A30D5"/>
    <w:rsid w:val="007A6575"/>
    <w:rsid w:val="007A6925"/>
    <w:rsid w:val="007A6C13"/>
    <w:rsid w:val="007B23E9"/>
    <w:rsid w:val="007B251D"/>
    <w:rsid w:val="007B259F"/>
    <w:rsid w:val="007B56D3"/>
    <w:rsid w:val="007B5C9A"/>
    <w:rsid w:val="007B77D1"/>
    <w:rsid w:val="007C3BFB"/>
    <w:rsid w:val="007C5914"/>
    <w:rsid w:val="007D0B38"/>
    <w:rsid w:val="007D2EA4"/>
    <w:rsid w:val="007D4BAE"/>
    <w:rsid w:val="007D5E29"/>
    <w:rsid w:val="007D73ED"/>
    <w:rsid w:val="007D7F0D"/>
    <w:rsid w:val="007E1CFE"/>
    <w:rsid w:val="007E3C93"/>
    <w:rsid w:val="007E578B"/>
    <w:rsid w:val="007F0F1E"/>
    <w:rsid w:val="007F1017"/>
    <w:rsid w:val="007F4A3F"/>
    <w:rsid w:val="00804A1E"/>
    <w:rsid w:val="00805142"/>
    <w:rsid w:val="008051A1"/>
    <w:rsid w:val="00807A8B"/>
    <w:rsid w:val="00810295"/>
    <w:rsid w:val="00812149"/>
    <w:rsid w:val="00813B0C"/>
    <w:rsid w:val="008165ED"/>
    <w:rsid w:val="008166EF"/>
    <w:rsid w:val="00822182"/>
    <w:rsid w:val="00824C4E"/>
    <w:rsid w:val="008250C4"/>
    <w:rsid w:val="008264EB"/>
    <w:rsid w:val="00827292"/>
    <w:rsid w:val="0083066E"/>
    <w:rsid w:val="008320AB"/>
    <w:rsid w:val="00832C92"/>
    <w:rsid w:val="008360A7"/>
    <w:rsid w:val="00840CA2"/>
    <w:rsid w:val="0084314F"/>
    <w:rsid w:val="0084343B"/>
    <w:rsid w:val="00843EFC"/>
    <w:rsid w:val="0084590B"/>
    <w:rsid w:val="0085155B"/>
    <w:rsid w:val="00852474"/>
    <w:rsid w:val="00856E9A"/>
    <w:rsid w:val="00861D51"/>
    <w:rsid w:val="008634ED"/>
    <w:rsid w:val="0087145F"/>
    <w:rsid w:val="00871719"/>
    <w:rsid w:val="0087394D"/>
    <w:rsid w:val="00874184"/>
    <w:rsid w:val="00877D7E"/>
    <w:rsid w:val="00880811"/>
    <w:rsid w:val="00882874"/>
    <w:rsid w:val="008836F9"/>
    <w:rsid w:val="00883787"/>
    <w:rsid w:val="008902B2"/>
    <w:rsid w:val="00892A54"/>
    <w:rsid w:val="00895478"/>
    <w:rsid w:val="008963A5"/>
    <w:rsid w:val="00896A14"/>
    <w:rsid w:val="008A016A"/>
    <w:rsid w:val="008A3C3E"/>
    <w:rsid w:val="008A3C62"/>
    <w:rsid w:val="008A79DE"/>
    <w:rsid w:val="008B06B0"/>
    <w:rsid w:val="008B39B3"/>
    <w:rsid w:val="008B6312"/>
    <w:rsid w:val="008B7D7E"/>
    <w:rsid w:val="008C2D70"/>
    <w:rsid w:val="008C32E2"/>
    <w:rsid w:val="008C6C4A"/>
    <w:rsid w:val="008C78A4"/>
    <w:rsid w:val="008C7ECB"/>
    <w:rsid w:val="008E1B9E"/>
    <w:rsid w:val="008E5176"/>
    <w:rsid w:val="008F0F41"/>
    <w:rsid w:val="008F1F25"/>
    <w:rsid w:val="008F202A"/>
    <w:rsid w:val="008F315F"/>
    <w:rsid w:val="008F322A"/>
    <w:rsid w:val="008F34F1"/>
    <w:rsid w:val="008F48EB"/>
    <w:rsid w:val="008F4F0B"/>
    <w:rsid w:val="008F564E"/>
    <w:rsid w:val="00900EEC"/>
    <w:rsid w:val="00905EB2"/>
    <w:rsid w:val="009062A5"/>
    <w:rsid w:val="00907FF3"/>
    <w:rsid w:val="00911272"/>
    <w:rsid w:val="00912545"/>
    <w:rsid w:val="00912B7D"/>
    <w:rsid w:val="009141D5"/>
    <w:rsid w:val="00917E16"/>
    <w:rsid w:val="00921EEB"/>
    <w:rsid w:val="009224CA"/>
    <w:rsid w:val="00932C3E"/>
    <w:rsid w:val="00936044"/>
    <w:rsid w:val="00937B94"/>
    <w:rsid w:val="00940892"/>
    <w:rsid w:val="0094353F"/>
    <w:rsid w:val="009468D5"/>
    <w:rsid w:val="00946A87"/>
    <w:rsid w:val="00951036"/>
    <w:rsid w:val="0095306F"/>
    <w:rsid w:val="009535E1"/>
    <w:rsid w:val="009567EE"/>
    <w:rsid w:val="00960075"/>
    <w:rsid w:val="009603B7"/>
    <w:rsid w:val="009609A3"/>
    <w:rsid w:val="00961AF9"/>
    <w:rsid w:val="00962CB9"/>
    <w:rsid w:val="00964312"/>
    <w:rsid w:val="00972452"/>
    <w:rsid w:val="00973567"/>
    <w:rsid w:val="0098002F"/>
    <w:rsid w:val="009835C6"/>
    <w:rsid w:val="00983E57"/>
    <w:rsid w:val="00986C0D"/>
    <w:rsid w:val="00991192"/>
    <w:rsid w:val="00996B1A"/>
    <w:rsid w:val="009A480C"/>
    <w:rsid w:val="009A5CC6"/>
    <w:rsid w:val="009B008D"/>
    <w:rsid w:val="009B1413"/>
    <w:rsid w:val="009B3E26"/>
    <w:rsid w:val="009B4A15"/>
    <w:rsid w:val="009B578F"/>
    <w:rsid w:val="009B63EB"/>
    <w:rsid w:val="009B7188"/>
    <w:rsid w:val="009C040F"/>
    <w:rsid w:val="009D0310"/>
    <w:rsid w:val="009D3831"/>
    <w:rsid w:val="009D5B91"/>
    <w:rsid w:val="009E2193"/>
    <w:rsid w:val="009E4C07"/>
    <w:rsid w:val="009E6537"/>
    <w:rsid w:val="009F41D0"/>
    <w:rsid w:val="009F4469"/>
    <w:rsid w:val="009F5F04"/>
    <w:rsid w:val="009F78F0"/>
    <w:rsid w:val="00A02129"/>
    <w:rsid w:val="00A03D43"/>
    <w:rsid w:val="00A04380"/>
    <w:rsid w:val="00A07E8A"/>
    <w:rsid w:val="00A13948"/>
    <w:rsid w:val="00A139AA"/>
    <w:rsid w:val="00A1509C"/>
    <w:rsid w:val="00A21378"/>
    <w:rsid w:val="00A24554"/>
    <w:rsid w:val="00A25A31"/>
    <w:rsid w:val="00A27AEC"/>
    <w:rsid w:val="00A34F05"/>
    <w:rsid w:val="00A35D16"/>
    <w:rsid w:val="00A42155"/>
    <w:rsid w:val="00A43C59"/>
    <w:rsid w:val="00A50ECD"/>
    <w:rsid w:val="00A52729"/>
    <w:rsid w:val="00A53675"/>
    <w:rsid w:val="00A55B8A"/>
    <w:rsid w:val="00A55EB9"/>
    <w:rsid w:val="00A56B6A"/>
    <w:rsid w:val="00A578DC"/>
    <w:rsid w:val="00A5799A"/>
    <w:rsid w:val="00A57AB4"/>
    <w:rsid w:val="00A602DD"/>
    <w:rsid w:val="00A609CF"/>
    <w:rsid w:val="00A6725B"/>
    <w:rsid w:val="00A706DC"/>
    <w:rsid w:val="00A709EF"/>
    <w:rsid w:val="00A7282C"/>
    <w:rsid w:val="00A761D8"/>
    <w:rsid w:val="00A77CB7"/>
    <w:rsid w:val="00A77CBF"/>
    <w:rsid w:val="00A80A56"/>
    <w:rsid w:val="00A818E9"/>
    <w:rsid w:val="00A8216F"/>
    <w:rsid w:val="00A86879"/>
    <w:rsid w:val="00A86E8B"/>
    <w:rsid w:val="00A87E8B"/>
    <w:rsid w:val="00A9114A"/>
    <w:rsid w:val="00A9229C"/>
    <w:rsid w:val="00A93072"/>
    <w:rsid w:val="00A93E00"/>
    <w:rsid w:val="00AA0A07"/>
    <w:rsid w:val="00AA2A30"/>
    <w:rsid w:val="00AB042A"/>
    <w:rsid w:val="00AB0D40"/>
    <w:rsid w:val="00AB1CEE"/>
    <w:rsid w:val="00AB250F"/>
    <w:rsid w:val="00AB3430"/>
    <w:rsid w:val="00AB3EF5"/>
    <w:rsid w:val="00AB4ED4"/>
    <w:rsid w:val="00AB7429"/>
    <w:rsid w:val="00AB7CFA"/>
    <w:rsid w:val="00AC3BDE"/>
    <w:rsid w:val="00AC4A06"/>
    <w:rsid w:val="00AC56B5"/>
    <w:rsid w:val="00AC763C"/>
    <w:rsid w:val="00AC7658"/>
    <w:rsid w:val="00AC7947"/>
    <w:rsid w:val="00AD3ABE"/>
    <w:rsid w:val="00AE2D76"/>
    <w:rsid w:val="00AF2C3D"/>
    <w:rsid w:val="00AF394C"/>
    <w:rsid w:val="00AF6B07"/>
    <w:rsid w:val="00B003D0"/>
    <w:rsid w:val="00B01FF2"/>
    <w:rsid w:val="00B0364A"/>
    <w:rsid w:val="00B05FC5"/>
    <w:rsid w:val="00B117CF"/>
    <w:rsid w:val="00B16682"/>
    <w:rsid w:val="00B22E8F"/>
    <w:rsid w:val="00B235D1"/>
    <w:rsid w:val="00B238E7"/>
    <w:rsid w:val="00B313AD"/>
    <w:rsid w:val="00B31C58"/>
    <w:rsid w:val="00B33F4A"/>
    <w:rsid w:val="00B42010"/>
    <w:rsid w:val="00B42851"/>
    <w:rsid w:val="00B42C1F"/>
    <w:rsid w:val="00B43A24"/>
    <w:rsid w:val="00B4737C"/>
    <w:rsid w:val="00B54B5B"/>
    <w:rsid w:val="00B5562E"/>
    <w:rsid w:val="00B55DD4"/>
    <w:rsid w:val="00B57000"/>
    <w:rsid w:val="00B60705"/>
    <w:rsid w:val="00B608CF"/>
    <w:rsid w:val="00B60939"/>
    <w:rsid w:val="00B60AFD"/>
    <w:rsid w:val="00B62715"/>
    <w:rsid w:val="00B63923"/>
    <w:rsid w:val="00B64670"/>
    <w:rsid w:val="00B64E03"/>
    <w:rsid w:val="00B67469"/>
    <w:rsid w:val="00B67839"/>
    <w:rsid w:val="00B72171"/>
    <w:rsid w:val="00B74C67"/>
    <w:rsid w:val="00B777D4"/>
    <w:rsid w:val="00B77A3A"/>
    <w:rsid w:val="00B77D97"/>
    <w:rsid w:val="00B818A4"/>
    <w:rsid w:val="00B84250"/>
    <w:rsid w:val="00B8649C"/>
    <w:rsid w:val="00B92D0B"/>
    <w:rsid w:val="00B94465"/>
    <w:rsid w:val="00B94945"/>
    <w:rsid w:val="00BA233E"/>
    <w:rsid w:val="00BA2C48"/>
    <w:rsid w:val="00BA46AA"/>
    <w:rsid w:val="00BA6A50"/>
    <w:rsid w:val="00BB4D52"/>
    <w:rsid w:val="00BB6674"/>
    <w:rsid w:val="00BB72F6"/>
    <w:rsid w:val="00BC0DF0"/>
    <w:rsid w:val="00BC39AA"/>
    <w:rsid w:val="00BC407A"/>
    <w:rsid w:val="00BC689A"/>
    <w:rsid w:val="00BD44B7"/>
    <w:rsid w:val="00BD53E7"/>
    <w:rsid w:val="00BE07AD"/>
    <w:rsid w:val="00BE082C"/>
    <w:rsid w:val="00BE2180"/>
    <w:rsid w:val="00BE3810"/>
    <w:rsid w:val="00BE4275"/>
    <w:rsid w:val="00BE5956"/>
    <w:rsid w:val="00BF23ED"/>
    <w:rsid w:val="00BF2433"/>
    <w:rsid w:val="00BF61C9"/>
    <w:rsid w:val="00BF7473"/>
    <w:rsid w:val="00C0173F"/>
    <w:rsid w:val="00C020B9"/>
    <w:rsid w:val="00C0231F"/>
    <w:rsid w:val="00C03B4B"/>
    <w:rsid w:val="00C06626"/>
    <w:rsid w:val="00C078AD"/>
    <w:rsid w:val="00C135D7"/>
    <w:rsid w:val="00C209B1"/>
    <w:rsid w:val="00C20D1D"/>
    <w:rsid w:val="00C22D8B"/>
    <w:rsid w:val="00C23423"/>
    <w:rsid w:val="00C25418"/>
    <w:rsid w:val="00C25D9C"/>
    <w:rsid w:val="00C27B62"/>
    <w:rsid w:val="00C31649"/>
    <w:rsid w:val="00C33613"/>
    <w:rsid w:val="00C33D24"/>
    <w:rsid w:val="00C344AF"/>
    <w:rsid w:val="00C36ED8"/>
    <w:rsid w:val="00C40385"/>
    <w:rsid w:val="00C430D8"/>
    <w:rsid w:val="00C472F5"/>
    <w:rsid w:val="00C4736F"/>
    <w:rsid w:val="00C4797E"/>
    <w:rsid w:val="00C539F1"/>
    <w:rsid w:val="00C572D8"/>
    <w:rsid w:val="00C6256D"/>
    <w:rsid w:val="00C62649"/>
    <w:rsid w:val="00C6323A"/>
    <w:rsid w:val="00C65576"/>
    <w:rsid w:val="00C656D9"/>
    <w:rsid w:val="00C66165"/>
    <w:rsid w:val="00C668F8"/>
    <w:rsid w:val="00C66FCE"/>
    <w:rsid w:val="00C67612"/>
    <w:rsid w:val="00C70861"/>
    <w:rsid w:val="00C71C24"/>
    <w:rsid w:val="00C729C1"/>
    <w:rsid w:val="00C779D4"/>
    <w:rsid w:val="00C77CCC"/>
    <w:rsid w:val="00C8213F"/>
    <w:rsid w:val="00C83387"/>
    <w:rsid w:val="00C8569C"/>
    <w:rsid w:val="00C86B1F"/>
    <w:rsid w:val="00C8797A"/>
    <w:rsid w:val="00C922D0"/>
    <w:rsid w:val="00C9248D"/>
    <w:rsid w:val="00C927F6"/>
    <w:rsid w:val="00C938CF"/>
    <w:rsid w:val="00C94637"/>
    <w:rsid w:val="00CA20F9"/>
    <w:rsid w:val="00CA2C0F"/>
    <w:rsid w:val="00CA3054"/>
    <w:rsid w:val="00CA5245"/>
    <w:rsid w:val="00CA6CCC"/>
    <w:rsid w:val="00CA7B09"/>
    <w:rsid w:val="00CA7B15"/>
    <w:rsid w:val="00CB5B1A"/>
    <w:rsid w:val="00CB64EF"/>
    <w:rsid w:val="00CB6787"/>
    <w:rsid w:val="00CB6E01"/>
    <w:rsid w:val="00CB7929"/>
    <w:rsid w:val="00CB795C"/>
    <w:rsid w:val="00CC238E"/>
    <w:rsid w:val="00CC412A"/>
    <w:rsid w:val="00CC41F4"/>
    <w:rsid w:val="00CD2EBA"/>
    <w:rsid w:val="00CD6ADC"/>
    <w:rsid w:val="00CD7C63"/>
    <w:rsid w:val="00CD7F07"/>
    <w:rsid w:val="00CE077D"/>
    <w:rsid w:val="00CE1AB4"/>
    <w:rsid w:val="00CE3F5A"/>
    <w:rsid w:val="00CE6274"/>
    <w:rsid w:val="00CE763C"/>
    <w:rsid w:val="00CE7643"/>
    <w:rsid w:val="00CF456B"/>
    <w:rsid w:val="00CF5A22"/>
    <w:rsid w:val="00CF7597"/>
    <w:rsid w:val="00D0223A"/>
    <w:rsid w:val="00D0262E"/>
    <w:rsid w:val="00D040EF"/>
    <w:rsid w:val="00D04C42"/>
    <w:rsid w:val="00D06FD4"/>
    <w:rsid w:val="00D110BD"/>
    <w:rsid w:val="00D12AF5"/>
    <w:rsid w:val="00D17D6C"/>
    <w:rsid w:val="00D20358"/>
    <w:rsid w:val="00D2464F"/>
    <w:rsid w:val="00D24692"/>
    <w:rsid w:val="00D32890"/>
    <w:rsid w:val="00D32BF1"/>
    <w:rsid w:val="00D34C05"/>
    <w:rsid w:val="00D43094"/>
    <w:rsid w:val="00D454E3"/>
    <w:rsid w:val="00D50230"/>
    <w:rsid w:val="00D54BFC"/>
    <w:rsid w:val="00D557BA"/>
    <w:rsid w:val="00D5634B"/>
    <w:rsid w:val="00D6137E"/>
    <w:rsid w:val="00D620D3"/>
    <w:rsid w:val="00D664EA"/>
    <w:rsid w:val="00D708AD"/>
    <w:rsid w:val="00D71CF8"/>
    <w:rsid w:val="00D76A44"/>
    <w:rsid w:val="00D8153F"/>
    <w:rsid w:val="00D84113"/>
    <w:rsid w:val="00D87BB6"/>
    <w:rsid w:val="00D93660"/>
    <w:rsid w:val="00D93753"/>
    <w:rsid w:val="00D938EC"/>
    <w:rsid w:val="00D93AAB"/>
    <w:rsid w:val="00D9750B"/>
    <w:rsid w:val="00DA058E"/>
    <w:rsid w:val="00DA73F9"/>
    <w:rsid w:val="00DA77A5"/>
    <w:rsid w:val="00DB55AC"/>
    <w:rsid w:val="00DC173D"/>
    <w:rsid w:val="00DC4FAA"/>
    <w:rsid w:val="00DC5501"/>
    <w:rsid w:val="00DC6F91"/>
    <w:rsid w:val="00DC769F"/>
    <w:rsid w:val="00DD0965"/>
    <w:rsid w:val="00DD2072"/>
    <w:rsid w:val="00DD3154"/>
    <w:rsid w:val="00DD3D33"/>
    <w:rsid w:val="00DD3F28"/>
    <w:rsid w:val="00DD4537"/>
    <w:rsid w:val="00DD4E15"/>
    <w:rsid w:val="00DE44E1"/>
    <w:rsid w:val="00DE4FCB"/>
    <w:rsid w:val="00DF2CC9"/>
    <w:rsid w:val="00E02DCE"/>
    <w:rsid w:val="00E03A1C"/>
    <w:rsid w:val="00E04BB5"/>
    <w:rsid w:val="00E05409"/>
    <w:rsid w:val="00E10149"/>
    <w:rsid w:val="00E11165"/>
    <w:rsid w:val="00E15F4C"/>
    <w:rsid w:val="00E16372"/>
    <w:rsid w:val="00E165AB"/>
    <w:rsid w:val="00E172B0"/>
    <w:rsid w:val="00E201DC"/>
    <w:rsid w:val="00E20ED6"/>
    <w:rsid w:val="00E21358"/>
    <w:rsid w:val="00E21C80"/>
    <w:rsid w:val="00E2249B"/>
    <w:rsid w:val="00E240AA"/>
    <w:rsid w:val="00E26455"/>
    <w:rsid w:val="00E2771E"/>
    <w:rsid w:val="00E27D17"/>
    <w:rsid w:val="00E32753"/>
    <w:rsid w:val="00E335B8"/>
    <w:rsid w:val="00E33DF6"/>
    <w:rsid w:val="00E35EB9"/>
    <w:rsid w:val="00E37569"/>
    <w:rsid w:val="00E40D1E"/>
    <w:rsid w:val="00E41E30"/>
    <w:rsid w:val="00E43E88"/>
    <w:rsid w:val="00E469F4"/>
    <w:rsid w:val="00E47B2C"/>
    <w:rsid w:val="00E546C3"/>
    <w:rsid w:val="00E547EC"/>
    <w:rsid w:val="00E551C7"/>
    <w:rsid w:val="00E55424"/>
    <w:rsid w:val="00E5615D"/>
    <w:rsid w:val="00E619A3"/>
    <w:rsid w:val="00E63F1A"/>
    <w:rsid w:val="00E64E9A"/>
    <w:rsid w:val="00E65E79"/>
    <w:rsid w:val="00E66BD7"/>
    <w:rsid w:val="00E67416"/>
    <w:rsid w:val="00E702DF"/>
    <w:rsid w:val="00E7036F"/>
    <w:rsid w:val="00E718B6"/>
    <w:rsid w:val="00E73581"/>
    <w:rsid w:val="00E746B2"/>
    <w:rsid w:val="00E76F40"/>
    <w:rsid w:val="00E82256"/>
    <w:rsid w:val="00E83774"/>
    <w:rsid w:val="00E83BDF"/>
    <w:rsid w:val="00E83FB6"/>
    <w:rsid w:val="00E86619"/>
    <w:rsid w:val="00E9132F"/>
    <w:rsid w:val="00E925BE"/>
    <w:rsid w:val="00E932A5"/>
    <w:rsid w:val="00E95681"/>
    <w:rsid w:val="00E971B2"/>
    <w:rsid w:val="00EA05C4"/>
    <w:rsid w:val="00EA3864"/>
    <w:rsid w:val="00EA4F63"/>
    <w:rsid w:val="00EB2AFD"/>
    <w:rsid w:val="00EC00C9"/>
    <w:rsid w:val="00EC1DE9"/>
    <w:rsid w:val="00EC3938"/>
    <w:rsid w:val="00EC67B1"/>
    <w:rsid w:val="00ED392C"/>
    <w:rsid w:val="00EE07D3"/>
    <w:rsid w:val="00EE3F23"/>
    <w:rsid w:val="00EE5737"/>
    <w:rsid w:val="00EF00D0"/>
    <w:rsid w:val="00EF2256"/>
    <w:rsid w:val="00EF340A"/>
    <w:rsid w:val="00EF4C0C"/>
    <w:rsid w:val="00F058C9"/>
    <w:rsid w:val="00F067A2"/>
    <w:rsid w:val="00F2301D"/>
    <w:rsid w:val="00F24837"/>
    <w:rsid w:val="00F25457"/>
    <w:rsid w:val="00F2575F"/>
    <w:rsid w:val="00F26E11"/>
    <w:rsid w:val="00F30403"/>
    <w:rsid w:val="00F31958"/>
    <w:rsid w:val="00F338FF"/>
    <w:rsid w:val="00F33DE9"/>
    <w:rsid w:val="00F3555D"/>
    <w:rsid w:val="00F3619A"/>
    <w:rsid w:val="00F4218A"/>
    <w:rsid w:val="00F42310"/>
    <w:rsid w:val="00F42C00"/>
    <w:rsid w:val="00F44244"/>
    <w:rsid w:val="00F44666"/>
    <w:rsid w:val="00F46CB6"/>
    <w:rsid w:val="00F47632"/>
    <w:rsid w:val="00F47BF8"/>
    <w:rsid w:val="00F50DC2"/>
    <w:rsid w:val="00F50EE8"/>
    <w:rsid w:val="00F51452"/>
    <w:rsid w:val="00F51C1F"/>
    <w:rsid w:val="00F54301"/>
    <w:rsid w:val="00F54906"/>
    <w:rsid w:val="00F55E73"/>
    <w:rsid w:val="00F62B1D"/>
    <w:rsid w:val="00F72F2E"/>
    <w:rsid w:val="00F749FB"/>
    <w:rsid w:val="00F80E5D"/>
    <w:rsid w:val="00F823EC"/>
    <w:rsid w:val="00F851CE"/>
    <w:rsid w:val="00F85C7B"/>
    <w:rsid w:val="00F86823"/>
    <w:rsid w:val="00F950E6"/>
    <w:rsid w:val="00F962E0"/>
    <w:rsid w:val="00F97A78"/>
    <w:rsid w:val="00FA6363"/>
    <w:rsid w:val="00FA643D"/>
    <w:rsid w:val="00FA6A2C"/>
    <w:rsid w:val="00FA7339"/>
    <w:rsid w:val="00FA7D78"/>
    <w:rsid w:val="00FB2FCB"/>
    <w:rsid w:val="00FB53AF"/>
    <w:rsid w:val="00FB6400"/>
    <w:rsid w:val="00FC0603"/>
    <w:rsid w:val="00FC1074"/>
    <w:rsid w:val="00FC1884"/>
    <w:rsid w:val="00FC6FCA"/>
    <w:rsid w:val="00FD1479"/>
    <w:rsid w:val="00FD2100"/>
    <w:rsid w:val="00FD3ECE"/>
    <w:rsid w:val="00FD446D"/>
    <w:rsid w:val="00FD7998"/>
    <w:rsid w:val="00FE3197"/>
    <w:rsid w:val="00FE3747"/>
    <w:rsid w:val="00FE3752"/>
    <w:rsid w:val="00FE405A"/>
    <w:rsid w:val="00FE5BD5"/>
    <w:rsid w:val="00FE70B2"/>
    <w:rsid w:val="00FF242D"/>
    <w:rsid w:val="00FF2C55"/>
    <w:rsid w:val="00FF3DCF"/>
    <w:rsid w:val="00FF5AA3"/>
    <w:rsid w:val="00FF74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1"/>
      </w:numPr>
    </w:pPr>
    <w:rPr>
      <w:rFonts w:ascii="Arial" w:hAnsi="Arial" w:cs="Arial"/>
      <w:snapToGrid w:val="0"/>
      <w:sz w:val="22"/>
      <w:szCs w:val="22"/>
      <w:lang w:eastAsia="en-US"/>
    </w:rPr>
  </w:style>
  <w:style w:type="paragraph" w:customStyle="1" w:styleId="Tablename0">
    <w:name w:val="Table name"/>
    <w:basedOn w:val="Normal"/>
    <w:link w:val="TablenameChar"/>
    <w:qFormat/>
    <w:rsid w:val="00810295"/>
    <w:rPr>
      <w:rFonts w:cs="Times New Roman"/>
      <w:b/>
      <w:sz w:val="20"/>
      <w:lang w:val="x-none"/>
    </w:rPr>
  </w:style>
  <w:style w:type="character" w:customStyle="1" w:styleId="TablenameChar">
    <w:name w:val="Table name Char"/>
    <w:link w:val="Tablename0"/>
    <w:rsid w:val="00810295"/>
    <w:rPr>
      <w:rFonts w:ascii="Arial" w:hAnsi="Arial"/>
      <w:b/>
      <w:snapToGrid w:val="0"/>
      <w:lang w:val="x-none" w:eastAsia="en-US"/>
    </w:rPr>
  </w:style>
  <w:style w:type="paragraph" w:customStyle="1" w:styleId="tabletext1">
    <w:name w:val="table text"/>
    <w:basedOn w:val="Normal"/>
    <w:qFormat/>
    <w:rsid w:val="00810295"/>
    <w:pPr>
      <w:contextualSpacing/>
    </w:pPr>
    <w:rPr>
      <w:rFonts w:ascii="Arial Narrow" w:hAnsi="Arial Narrow"/>
      <w:snapToGrid/>
      <w:color w:val="000000"/>
      <w:sz w:val="20"/>
      <w:lang w:eastAsia="en-AU"/>
    </w:rPr>
  </w:style>
  <w:style w:type="paragraph" w:customStyle="1" w:styleId="TableFootnoteindent">
    <w:name w:val="Table Footnote indent"/>
    <w:basedOn w:val="Normal"/>
    <w:next w:val="Normal"/>
    <w:link w:val="TableFootnoteindentChar"/>
    <w:qFormat/>
    <w:rsid w:val="00810295"/>
    <w:pPr>
      <w:widowControl/>
      <w:tabs>
        <w:tab w:val="left" w:pos="284"/>
      </w:tabs>
      <w:ind w:left="284" w:hanging="284"/>
      <w:jc w:val="left"/>
    </w:pPr>
    <w:rPr>
      <w:rFonts w:ascii="Arial Narrow" w:hAnsi="Arial Narrow" w:cs="Times New Roman"/>
      <w:snapToGrid/>
      <w:sz w:val="20"/>
      <w:szCs w:val="22"/>
    </w:rPr>
  </w:style>
  <w:style w:type="character" w:customStyle="1" w:styleId="TableFootnoteindentChar">
    <w:name w:val="Table Footnote indent Char"/>
    <w:basedOn w:val="DefaultParagraphFont"/>
    <w:link w:val="TableFootnoteindent"/>
    <w:rsid w:val="00810295"/>
    <w:rPr>
      <w:rFonts w:ascii="Arial Narrow" w:hAnsi="Arial Narrow"/>
      <w:szCs w:val="22"/>
      <w:lang w:eastAsia="en-US"/>
    </w:rPr>
  </w:style>
  <w:style w:type="paragraph" w:customStyle="1" w:styleId="CaptionTable">
    <w:name w:val="Caption Table"/>
    <w:basedOn w:val="Normal"/>
    <w:next w:val="Normal"/>
    <w:link w:val="CaptionTableChar"/>
    <w:autoRedefine/>
    <w:rsid w:val="00390464"/>
    <w:pPr>
      <w:keepNext/>
      <w:widowControl/>
      <w:spacing w:after="60"/>
      <w:ind w:left="1418" w:hanging="1418"/>
      <w:jc w:val="left"/>
    </w:pPr>
    <w:rPr>
      <w:rFonts w:ascii="Calibri" w:hAnsi="Calibri"/>
      <w:b/>
      <w:snapToGrid/>
      <w:szCs w:val="22"/>
    </w:rPr>
  </w:style>
  <w:style w:type="paragraph" w:customStyle="1" w:styleId="TableTextleftalign">
    <w:name w:val="Table Text left align"/>
    <w:basedOn w:val="Normal"/>
    <w:link w:val="TableTextleftalignChar"/>
    <w:autoRedefine/>
    <w:qFormat/>
    <w:rsid w:val="00A55EB9"/>
    <w:pPr>
      <w:widowControl/>
      <w:tabs>
        <w:tab w:val="left" w:pos="318"/>
      </w:tabs>
      <w:jc w:val="left"/>
    </w:pPr>
    <w:rPr>
      <w:rFonts w:ascii="Calibri" w:hAnsi="Calibri" w:cs="Times New Roman"/>
      <w:snapToGrid/>
      <w:sz w:val="18"/>
    </w:rPr>
  </w:style>
  <w:style w:type="paragraph" w:customStyle="1" w:styleId="TableTextcentred">
    <w:name w:val="Table Text centred"/>
    <w:basedOn w:val="Normal"/>
    <w:link w:val="TableTextcentredChar"/>
    <w:autoRedefine/>
    <w:qFormat/>
    <w:rsid w:val="00666DCF"/>
    <w:pPr>
      <w:widowControl/>
      <w:jc w:val="center"/>
    </w:pPr>
    <w:rPr>
      <w:rFonts w:ascii="Calibri" w:hAnsi="Calibri" w:cs="Times New Roman"/>
      <w:snapToGrid/>
      <w:sz w:val="18"/>
    </w:rPr>
  </w:style>
  <w:style w:type="character" w:customStyle="1" w:styleId="TableTextcentredChar">
    <w:name w:val="Table Text centred Char"/>
    <w:basedOn w:val="DefaultParagraphFont"/>
    <w:link w:val="TableTextcentred"/>
    <w:rsid w:val="00666DCF"/>
    <w:rPr>
      <w:rFonts w:ascii="Calibri" w:hAnsi="Calibri"/>
      <w:sz w:val="18"/>
      <w:lang w:eastAsia="en-US"/>
    </w:rPr>
  </w:style>
  <w:style w:type="character" w:customStyle="1" w:styleId="CaptionTableChar">
    <w:name w:val="Caption Table Char"/>
    <w:basedOn w:val="DefaultParagraphFont"/>
    <w:link w:val="CaptionTable"/>
    <w:rsid w:val="00390464"/>
    <w:rPr>
      <w:rFonts w:ascii="Calibri" w:hAnsi="Calibri" w:cs="Arial"/>
      <w:b/>
      <w:sz w:val="22"/>
      <w:szCs w:val="22"/>
      <w:lang w:eastAsia="en-US"/>
    </w:rPr>
  </w:style>
  <w:style w:type="character" w:customStyle="1" w:styleId="TableTextleftalignChar">
    <w:name w:val="Table Text left align Char"/>
    <w:basedOn w:val="DefaultParagraphFont"/>
    <w:link w:val="TableTextleftalign"/>
    <w:rsid w:val="00A55EB9"/>
    <w:rPr>
      <w:rFonts w:ascii="Calibri" w:hAnsi="Calibri"/>
      <w:sz w:val="18"/>
      <w:lang w:eastAsia="en-US"/>
    </w:rPr>
  </w:style>
  <w:style w:type="paragraph" w:customStyle="1" w:styleId="TableTitlecentred">
    <w:name w:val="Table Title centred"/>
    <w:basedOn w:val="Normal"/>
    <w:autoRedefine/>
    <w:rsid w:val="00A55EB9"/>
    <w:pPr>
      <w:widowControl/>
      <w:ind w:right="-34"/>
      <w:jc w:val="left"/>
    </w:pPr>
    <w:rPr>
      <w:rFonts w:ascii="Calibri" w:hAnsi="Calibri" w:cs="Times New Roman"/>
      <w:b/>
      <w:snapToGrid/>
      <w:sz w:val="18"/>
    </w:rPr>
  </w:style>
  <w:style w:type="paragraph" w:customStyle="1" w:styleId="NumberedTextAlpha">
    <w:name w:val="Numbered Text Alpha"/>
    <w:basedOn w:val="Normal"/>
    <w:qFormat/>
    <w:rsid w:val="00937B94"/>
    <w:rPr>
      <w:rFonts w:cs="Times New Roman"/>
      <w:b/>
      <w:sz w:val="20"/>
    </w:rPr>
  </w:style>
  <w:style w:type="paragraph" w:customStyle="1" w:styleId="Bullet">
    <w:name w:val="Bullet"/>
    <w:basedOn w:val="ListParagraph"/>
    <w:link w:val="BulletChar"/>
    <w:qFormat/>
    <w:rsid w:val="00937B94"/>
    <w:pPr>
      <w:widowControl/>
      <w:numPr>
        <w:numId w:val="5"/>
      </w:numPr>
      <w:ind w:left="357" w:hanging="357"/>
    </w:pPr>
    <w:rPr>
      <w:rFonts w:cstheme="minorBidi"/>
      <w:snapToGrid/>
      <w:szCs w:val="22"/>
      <w:lang w:val="en-US"/>
    </w:rPr>
  </w:style>
  <w:style w:type="character" w:customStyle="1" w:styleId="BulletChar">
    <w:name w:val="Bullet Char"/>
    <w:basedOn w:val="DefaultParagraphFont"/>
    <w:link w:val="Bullet"/>
    <w:rsid w:val="00937B94"/>
    <w:rPr>
      <w:rFonts w:ascii="Arial" w:hAnsi="Arial" w:cstheme="minorBidi"/>
      <w:sz w:val="22"/>
      <w:szCs w:val="22"/>
      <w:lang w:val="en-US" w:eastAsia="en-US"/>
    </w:rPr>
  </w:style>
  <w:style w:type="paragraph" w:customStyle="1" w:styleId="TableSource">
    <w:name w:val="Table Source"/>
    <w:basedOn w:val="Normal"/>
    <w:next w:val="Normal"/>
    <w:link w:val="TableSourceChar"/>
    <w:qFormat/>
    <w:rsid w:val="009B4A15"/>
    <w:pPr>
      <w:widowControl/>
      <w:tabs>
        <w:tab w:val="left" w:pos="709"/>
      </w:tabs>
      <w:ind w:left="709" w:hanging="709"/>
      <w:jc w:val="left"/>
    </w:pPr>
    <w:rPr>
      <w:rFonts w:ascii="Calibri" w:hAnsi="Calibri" w:cs="Times New Roman"/>
      <w:i/>
      <w:iCs/>
      <w:snapToGrid/>
      <w:sz w:val="18"/>
      <w:szCs w:val="22"/>
    </w:rPr>
  </w:style>
  <w:style w:type="character" w:customStyle="1" w:styleId="TableSourceChar">
    <w:name w:val="Table Source Char"/>
    <w:basedOn w:val="DefaultParagraphFont"/>
    <w:link w:val="TableSource"/>
    <w:rsid w:val="009B4A15"/>
    <w:rPr>
      <w:rFonts w:ascii="Calibri" w:hAnsi="Calibri"/>
      <w:i/>
      <w:iCs/>
      <w:sz w:val="18"/>
      <w:szCs w:val="22"/>
      <w:lang w:eastAsia="en-US"/>
    </w:rPr>
  </w:style>
  <w:style w:type="paragraph" w:customStyle="1" w:styleId="TableFootnotetext">
    <w:name w:val="Table Footnote text"/>
    <w:basedOn w:val="TableFootnoteindent"/>
    <w:autoRedefine/>
    <w:qFormat/>
    <w:rsid w:val="001C5358"/>
    <w:pPr>
      <w:keepNext/>
      <w:tabs>
        <w:tab w:val="clear" w:pos="284"/>
      </w:tabs>
      <w:ind w:left="0" w:firstLine="720"/>
    </w:pPr>
    <w:rPr>
      <w:rFonts w:ascii="Calibri" w:hAnsi="Calibri"/>
      <w:sz w:val="16"/>
      <w:szCs w:val="20"/>
    </w:rPr>
  </w:style>
  <w:style w:type="paragraph" w:customStyle="1" w:styleId="CaptionFigure">
    <w:name w:val="Caption Figure"/>
    <w:basedOn w:val="Normal"/>
    <w:next w:val="Normal"/>
    <w:autoRedefine/>
    <w:rsid w:val="0084343B"/>
    <w:pPr>
      <w:keepNext/>
      <w:widowControl/>
      <w:spacing w:after="60"/>
      <w:ind w:left="1418" w:hanging="1418"/>
      <w:jc w:val="left"/>
    </w:pPr>
    <w:rPr>
      <w:rFonts w:ascii="Calibri" w:hAnsi="Calibri" w:cs="Times New Roman"/>
      <w:b/>
      <w:bCs/>
      <w:snapToGrid/>
      <w:sz w:val="20"/>
      <w:szCs w:val="22"/>
    </w:rPr>
  </w:style>
  <w:style w:type="paragraph" w:styleId="FootnoteText">
    <w:name w:val="footnote text"/>
    <w:basedOn w:val="Normal"/>
    <w:link w:val="FootnoteTextChar"/>
    <w:semiHidden/>
    <w:unhideWhenUsed/>
    <w:rsid w:val="005E6418"/>
    <w:rPr>
      <w:sz w:val="20"/>
    </w:rPr>
  </w:style>
  <w:style w:type="character" w:customStyle="1" w:styleId="FootnoteTextChar">
    <w:name w:val="Footnote Text Char"/>
    <w:basedOn w:val="DefaultParagraphFont"/>
    <w:link w:val="FootnoteText"/>
    <w:semiHidden/>
    <w:rsid w:val="005E6418"/>
    <w:rPr>
      <w:rFonts w:ascii="Arial" w:hAnsi="Arial" w:cs="Arial"/>
      <w:snapToGrid w:val="0"/>
      <w:lang w:eastAsia="en-US"/>
    </w:rPr>
  </w:style>
  <w:style w:type="character" w:styleId="FootnoteReference">
    <w:name w:val="footnote reference"/>
    <w:basedOn w:val="DefaultParagraphFont"/>
    <w:semiHidden/>
    <w:unhideWhenUsed/>
    <w:rsid w:val="005E6418"/>
    <w:rPr>
      <w:vertAlign w:val="superscript"/>
    </w:rPr>
  </w:style>
  <w:style w:type="paragraph" w:styleId="DocumentMap">
    <w:name w:val="Document Map"/>
    <w:basedOn w:val="Normal"/>
    <w:link w:val="DocumentMapChar"/>
    <w:semiHidden/>
    <w:unhideWhenUsed/>
    <w:rsid w:val="006E523B"/>
    <w:rPr>
      <w:rFonts w:ascii="Lucida Grande" w:hAnsi="Lucida Grande" w:cs="Lucida Grande"/>
      <w:sz w:val="24"/>
    </w:rPr>
  </w:style>
  <w:style w:type="character" w:customStyle="1" w:styleId="DocumentMapChar">
    <w:name w:val="Document Map Char"/>
    <w:basedOn w:val="DefaultParagraphFont"/>
    <w:link w:val="DocumentMap"/>
    <w:semiHidden/>
    <w:rsid w:val="006E523B"/>
    <w:rPr>
      <w:rFonts w:ascii="Lucida Grande" w:hAnsi="Lucida Grande" w:cs="Lucida Grande"/>
      <w:snapToGrid w:val="0"/>
      <w:sz w:val="24"/>
      <w:szCs w:val="24"/>
      <w:lang w:eastAsia="en-US"/>
    </w:rPr>
  </w:style>
  <w:style w:type="character" w:customStyle="1" w:styleId="st">
    <w:name w:val="st"/>
    <w:rsid w:val="008E5176"/>
  </w:style>
  <w:style w:type="character" w:customStyle="1" w:styleId="st1">
    <w:name w:val="st1"/>
    <w:basedOn w:val="DefaultParagraphFont"/>
    <w:rsid w:val="00932C3E"/>
  </w:style>
  <w:style w:type="character" w:customStyle="1" w:styleId="ListParagraphChar">
    <w:name w:val="List Paragraph Char"/>
    <w:basedOn w:val="DefaultParagraphFont"/>
    <w:link w:val="ListParagraph"/>
    <w:uiPriority w:val="72"/>
    <w:rsid w:val="00E201DC"/>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1"/>
      </w:numPr>
    </w:pPr>
    <w:rPr>
      <w:rFonts w:ascii="Arial" w:hAnsi="Arial" w:cs="Arial"/>
      <w:snapToGrid w:val="0"/>
      <w:sz w:val="22"/>
      <w:szCs w:val="22"/>
      <w:lang w:eastAsia="en-US"/>
    </w:rPr>
  </w:style>
  <w:style w:type="paragraph" w:customStyle="1" w:styleId="Tablename0">
    <w:name w:val="Table name"/>
    <w:basedOn w:val="Normal"/>
    <w:link w:val="TablenameChar"/>
    <w:qFormat/>
    <w:rsid w:val="00810295"/>
    <w:rPr>
      <w:rFonts w:cs="Times New Roman"/>
      <w:b/>
      <w:sz w:val="20"/>
      <w:lang w:val="x-none"/>
    </w:rPr>
  </w:style>
  <w:style w:type="character" w:customStyle="1" w:styleId="TablenameChar">
    <w:name w:val="Table name Char"/>
    <w:link w:val="Tablename0"/>
    <w:rsid w:val="00810295"/>
    <w:rPr>
      <w:rFonts w:ascii="Arial" w:hAnsi="Arial"/>
      <w:b/>
      <w:snapToGrid w:val="0"/>
      <w:lang w:val="x-none" w:eastAsia="en-US"/>
    </w:rPr>
  </w:style>
  <w:style w:type="paragraph" w:customStyle="1" w:styleId="tabletext1">
    <w:name w:val="table text"/>
    <w:basedOn w:val="Normal"/>
    <w:qFormat/>
    <w:rsid w:val="00810295"/>
    <w:pPr>
      <w:contextualSpacing/>
    </w:pPr>
    <w:rPr>
      <w:rFonts w:ascii="Arial Narrow" w:hAnsi="Arial Narrow"/>
      <w:snapToGrid/>
      <w:color w:val="000000"/>
      <w:sz w:val="20"/>
      <w:lang w:eastAsia="en-AU"/>
    </w:rPr>
  </w:style>
  <w:style w:type="paragraph" w:customStyle="1" w:styleId="TableFootnoteindent">
    <w:name w:val="Table Footnote indent"/>
    <w:basedOn w:val="Normal"/>
    <w:next w:val="Normal"/>
    <w:link w:val="TableFootnoteindentChar"/>
    <w:qFormat/>
    <w:rsid w:val="00810295"/>
    <w:pPr>
      <w:widowControl/>
      <w:tabs>
        <w:tab w:val="left" w:pos="284"/>
      </w:tabs>
      <w:ind w:left="284" w:hanging="284"/>
      <w:jc w:val="left"/>
    </w:pPr>
    <w:rPr>
      <w:rFonts w:ascii="Arial Narrow" w:hAnsi="Arial Narrow" w:cs="Times New Roman"/>
      <w:snapToGrid/>
      <w:sz w:val="20"/>
      <w:szCs w:val="22"/>
    </w:rPr>
  </w:style>
  <w:style w:type="character" w:customStyle="1" w:styleId="TableFootnoteindentChar">
    <w:name w:val="Table Footnote indent Char"/>
    <w:basedOn w:val="DefaultParagraphFont"/>
    <w:link w:val="TableFootnoteindent"/>
    <w:rsid w:val="00810295"/>
    <w:rPr>
      <w:rFonts w:ascii="Arial Narrow" w:hAnsi="Arial Narrow"/>
      <w:szCs w:val="22"/>
      <w:lang w:eastAsia="en-US"/>
    </w:rPr>
  </w:style>
  <w:style w:type="paragraph" w:customStyle="1" w:styleId="CaptionTable">
    <w:name w:val="Caption Table"/>
    <w:basedOn w:val="Normal"/>
    <w:next w:val="Normal"/>
    <w:link w:val="CaptionTableChar"/>
    <w:autoRedefine/>
    <w:rsid w:val="00390464"/>
    <w:pPr>
      <w:keepNext/>
      <w:widowControl/>
      <w:spacing w:after="60"/>
      <w:ind w:left="1418" w:hanging="1418"/>
      <w:jc w:val="left"/>
    </w:pPr>
    <w:rPr>
      <w:rFonts w:ascii="Calibri" w:hAnsi="Calibri"/>
      <w:b/>
      <w:snapToGrid/>
      <w:szCs w:val="22"/>
    </w:rPr>
  </w:style>
  <w:style w:type="paragraph" w:customStyle="1" w:styleId="TableTextleftalign">
    <w:name w:val="Table Text left align"/>
    <w:basedOn w:val="Normal"/>
    <w:link w:val="TableTextleftalignChar"/>
    <w:autoRedefine/>
    <w:qFormat/>
    <w:rsid w:val="00A55EB9"/>
    <w:pPr>
      <w:widowControl/>
      <w:tabs>
        <w:tab w:val="left" w:pos="318"/>
      </w:tabs>
      <w:jc w:val="left"/>
    </w:pPr>
    <w:rPr>
      <w:rFonts w:ascii="Calibri" w:hAnsi="Calibri" w:cs="Times New Roman"/>
      <w:snapToGrid/>
      <w:sz w:val="18"/>
    </w:rPr>
  </w:style>
  <w:style w:type="paragraph" w:customStyle="1" w:styleId="TableTextcentred">
    <w:name w:val="Table Text centred"/>
    <w:basedOn w:val="Normal"/>
    <w:link w:val="TableTextcentredChar"/>
    <w:autoRedefine/>
    <w:qFormat/>
    <w:rsid w:val="00666DCF"/>
    <w:pPr>
      <w:widowControl/>
      <w:jc w:val="center"/>
    </w:pPr>
    <w:rPr>
      <w:rFonts w:ascii="Calibri" w:hAnsi="Calibri" w:cs="Times New Roman"/>
      <w:snapToGrid/>
      <w:sz w:val="18"/>
    </w:rPr>
  </w:style>
  <w:style w:type="character" w:customStyle="1" w:styleId="TableTextcentredChar">
    <w:name w:val="Table Text centred Char"/>
    <w:basedOn w:val="DefaultParagraphFont"/>
    <w:link w:val="TableTextcentred"/>
    <w:rsid w:val="00666DCF"/>
    <w:rPr>
      <w:rFonts w:ascii="Calibri" w:hAnsi="Calibri"/>
      <w:sz w:val="18"/>
      <w:lang w:eastAsia="en-US"/>
    </w:rPr>
  </w:style>
  <w:style w:type="character" w:customStyle="1" w:styleId="CaptionTableChar">
    <w:name w:val="Caption Table Char"/>
    <w:basedOn w:val="DefaultParagraphFont"/>
    <w:link w:val="CaptionTable"/>
    <w:rsid w:val="00390464"/>
    <w:rPr>
      <w:rFonts w:ascii="Calibri" w:hAnsi="Calibri" w:cs="Arial"/>
      <w:b/>
      <w:sz w:val="22"/>
      <w:szCs w:val="22"/>
      <w:lang w:eastAsia="en-US"/>
    </w:rPr>
  </w:style>
  <w:style w:type="character" w:customStyle="1" w:styleId="TableTextleftalignChar">
    <w:name w:val="Table Text left align Char"/>
    <w:basedOn w:val="DefaultParagraphFont"/>
    <w:link w:val="TableTextleftalign"/>
    <w:rsid w:val="00A55EB9"/>
    <w:rPr>
      <w:rFonts w:ascii="Calibri" w:hAnsi="Calibri"/>
      <w:sz w:val="18"/>
      <w:lang w:eastAsia="en-US"/>
    </w:rPr>
  </w:style>
  <w:style w:type="paragraph" w:customStyle="1" w:styleId="TableTitlecentred">
    <w:name w:val="Table Title centred"/>
    <w:basedOn w:val="Normal"/>
    <w:autoRedefine/>
    <w:rsid w:val="00A55EB9"/>
    <w:pPr>
      <w:widowControl/>
      <w:ind w:right="-34"/>
      <w:jc w:val="left"/>
    </w:pPr>
    <w:rPr>
      <w:rFonts w:ascii="Calibri" w:hAnsi="Calibri" w:cs="Times New Roman"/>
      <w:b/>
      <w:snapToGrid/>
      <w:sz w:val="18"/>
    </w:rPr>
  </w:style>
  <w:style w:type="paragraph" w:customStyle="1" w:styleId="NumberedTextAlpha">
    <w:name w:val="Numbered Text Alpha"/>
    <w:basedOn w:val="Normal"/>
    <w:qFormat/>
    <w:rsid w:val="00937B94"/>
    <w:rPr>
      <w:rFonts w:cs="Times New Roman"/>
      <w:b/>
      <w:sz w:val="20"/>
    </w:rPr>
  </w:style>
  <w:style w:type="paragraph" w:customStyle="1" w:styleId="Bullet">
    <w:name w:val="Bullet"/>
    <w:basedOn w:val="ListParagraph"/>
    <w:link w:val="BulletChar"/>
    <w:qFormat/>
    <w:rsid w:val="00937B94"/>
    <w:pPr>
      <w:widowControl/>
      <w:numPr>
        <w:numId w:val="5"/>
      </w:numPr>
      <w:ind w:left="357" w:hanging="357"/>
    </w:pPr>
    <w:rPr>
      <w:rFonts w:cstheme="minorBidi"/>
      <w:snapToGrid/>
      <w:szCs w:val="22"/>
      <w:lang w:val="en-US"/>
    </w:rPr>
  </w:style>
  <w:style w:type="character" w:customStyle="1" w:styleId="BulletChar">
    <w:name w:val="Bullet Char"/>
    <w:basedOn w:val="DefaultParagraphFont"/>
    <w:link w:val="Bullet"/>
    <w:rsid w:val="00937B94"/>
    <w:rPr>
      <w:rFonts w:ascii="Arial" w:hAnsi="Arial" w:cstheme="minorBidi"/>
      <w:sz w:val="22"/>
      <w:szCs w:val="22"/>
      <w:lang w:val="en-US" w:eastAsia="en-US"/>
    </w:rPr>
  </w:style>
  <w:style w:type="paragraph" w:customStyle="1" w:styleId="TableSource">
    <w:name w:val="Table Source"/>
    <w:basedOn w:val="Normal"/>
    <w:next w:val="Normal"/>
    <w:link w:val="TableSourceChar"/>
    <w:qFormat/>
    <w:rsid w:val="009B4A15"/>
    <w:pPr>
      <w:widowControl/>
      <w:tabs>
        <w:tab w:val="left" w:pos="709"/>
      </w:tabs>
      <w:ind w:left="709" w:hanging="709"/>
      <w:jc w:val="left"/>
    </w:pPr>
    <w:rPr>
      <w:rFonts w:ascii="Calibri" w:hAnsi="Calibri" w:cs="Times New Roman"/>
      <w:i/>
      <w:iCs/>
      <w:snapToGrid/>
      <w:sz w:val="18"/>
      <w:szCs w:val="22"/>
    </w:rPr>
  </w:style>
  <w:style w:type="character" w:customStyle="1" w:styleId="TableSourceChar">
    <w:name w:val="Table Source Char"/>
    <w:basedOn w:val="DefaultParagraphFont"/>
    <w:link w:val="TableSource"/>
    <w:rsid w:val="009B4A15"/>
    <w:rPr>
      <w:rFonts w:ascii="Calibri" w:hAnsi="Calibri"/>
      <w:i/>
      <w:iCs/>
      <w:sz w:val="18"/>
      <w:szCs w:val="22"/>
      <w:lang w:eastAsia="en-US"/>
    </w:rPr>
  </w:style>
  <w:style w:type="paragraph" w:customStyle="1" w:styleId="TableFootnotetext">
    <w:name w:val="Table Footnote text"/>
    <w:basedOn w:val="TableFootnoteindent"/>
    <w:autoRedefine/>
    <w:qFormat/>
    <w:rsid w:val="001C5358"/>
    <w:pPr>
      <w:keepNext/>
      <w:tabs>
        <w:tab w:val="clear" w:pos="284"/>
      </w:tabs>
      <w:ind w:left="0" w:firstLine="720"/>
    </w:pPr>
    <w:rPr>
      <w:rFonts w:ascii="Calibri" w:hAnsi="Calibri"/>
      <w:sz w:val="16"/>
      <w:szCs w:val="20"/>
    </w:rPr>
  </w:style>
  <w:style w:type="paragraph" w:customStyle="1" w:styleId="CaptionFigure">
    <w:name w:val="Caption Figure"/>
    <w:basedOn w:val="Normal"/>
    <w:next w:val="Normal"/>
    <w:autoRedefine/>
    <w:rsid w:val="0084343B"/>
    <w:pPr>
      <w:keepNext/>
      <w:widowControl/>
      <w:spacing w:after="60"/>
      <w:ind w:left="1418" w:hanging="1418"/>
      <w:jc w:val="left"/>
    </w:pPr>
    <w:rPr>
      <w:rFonts w:ascii="Calibri" w:hAnsi="Calibri" w:cs="Times New Roman"/>
      <w:b/>
      <w:bCs/>
      <w:snapToGrid/>
      <w:sz w:val="20"/>
      <w:szCs w:val="22"/>
    </w:rPr>
  </w:style>
  <w:style w:type="paragraph" w:styleId="FootnoteText">
    <w:name w:val="footnote text"/>
    <w:basedOn w:val="Normal"/>
    <w:link w:val="FootnoteTextChar"/>
    <w:semiHidden/>
    <w:unhideWhenUsed/>
    <w:rsid w:val="005E6418"/>
    <w:rPr>
      <w:sz w:val="20"/>
    </w:rPr>
  </w:style>
  <w:style w:type="character" w:customStyle="1" w:styleId="FootnoteTextChar">
    <w:name w:val="Footnote Text Char"/>
    <w:basedOn w:val="DefaultParagraphFont"/>
    <w:link w:val="FootnoteText"/>
    <w:semiHidden/>
    <w:rsid w:val="005E6418"/>
    <w:rPr>
      <w:rFonts w:ascii="Arial" w:hAnsi="Arial" w:cs="Arial"/>
      <w:snapToGrid w:val="0"/>
      <w:lang w:eastAsia="en-US"/>
    </w:rPr>
  </w:style>
  <w:style w:type="character" w:styleId="FootnoteReference">
    <w:name w:val="footnote reference"/>
    <w:basedOn w:val="DefaultParagraphFont"/>
    <w:semiHidden/>
    <w:unhideWhenUsed/>
    <w:rsid w:val="005E6418"/>
    <w:rPr>
      <w:vertAlign w:val="superscript"/>
    </w:rPr>
  </w:style>
  <w:style w:type="paragraph" w:styleId="DocumentMap">
    <w:name w:val="Document Map"/>
    <w:basedOn w:val="Normal"/>
    <w:link w:val="DocumentMapChar"/>
    <w:semiHidden/>
    <w:unhideWhenUsed/>
    <w:rsid w:val="006E523B"/>
    <w:rPr>
      <w:rFonts w:ascii="Lucida Grande" w:hAnsi="Lucida Grande" w:cs="Lucida Grande"/>
      <w:sz w:val="24"/>
    </w:rPr>
  </w:style>
  <w:style w:type="character" w:customStyle="1" w:styleId="DocumentMapChar">
    <w:name w:val="Document Map Char"/>
    <w:basedOn w:val="DefaultParagraphFont"/>
    <w:link w:val="DocumentMap"/>
    <w:semiHidden/>
    <w:rsid w:val="006E523B"/>
    <w:rPr>
      <w:rFonts w:ascii="Lucida Grande" w:hAnsi="Lucida Grande" w:cs="Lucida Grande"/>
      <w:snapToGrid w:val="0"/>
      <w:sz w:val="24"/>
      <w:szCs w:val="24"/>
      <w:lang w:eastAsia="en-US"/>
    </w:rPr>
  </w:style>
  <w:style w:type="character" w:customStyle="1" w:styleId="st">
    <w:name w:val="st"/>
    <w:rsid w:val="008E5176"/>
  </w:style>
  <w:style w:type="character" w:customStyle="1" w:styleId="st1">
    <w:name w:val="st1"/>
    <w:basedOn w:val="DefaultParagraphFont"/>
    <w:rsid w:val="00932C3E"/>
  </w:style>
  <w:style w:type="character" w:customStyle="1" w:styleId="ListParagraphChar">
    <w:name w:val="List Paragraph Char"/>
    <w:basedOn w:val="DefaultParagraphFont"/>
    <w:link w:val="ListParagraph"/>
    <w:uiPriority w:val="72"/>
    <w:rsid w:val="00E201DC"/>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755">
      <w:bodyDiv w:val="1"/>
      <w:marLeft w:val="0"/>
      <w:marRight w:val="0"/>
      <w:marTop w:val="0"/>
      <w:marBottom w:val="0"/>
      <w:divBdr>
        <w:top w:val="none" w:sz="0" w:space="0" w:color="auto"/>
        <w:left w:val="none" w:sz="0" w:space="0" w:color="auto"/>
        <w:bottom w:val="none" w:sz="0" w:space="0" w:color="auto"/>
        <w:right w:val="none" w:sz="0" w:space="0" w:color="auto"/>
      </w:divBdr>
      <w:divsChild>
        <w:div w:id="1650207924">
          <w:marLeft w:val="547"/>
          <w:marRight w:val="0"/>
          <w:marTop w:val="115"/>
          <w:marBottom w:val="0"/>
          <w:divBdr>
            <w:top w:val="none" w:sz="0" w:space="0" w:color="auto"/>
            <w:left w:val="none" w:sz="0" w:space="0" w:color="auto"/>
            <w:bottom w:val="none" w:sz="0" w:space="0" w:color="auto"/>
            <w:right w:val="none" w:sz="0" w:space="0" w:color="auto"/>
          </w:divBdr>
        </w:div>
      </w:divsChild>
    </w:div>
    <w:div w:id="284045368">
      <w:bodyDiv w:val="1"/>
      <w:marLeft w:val="0"/>
      <w:marRight w:val="0"/>
      <w:marTop w:val="0"/>
      <w:marBottom w:val="0"/>
      <w:divBdr>
        <w:top w:val="none" w:sz="0" w:space="0" w:color="auto"/>
        <w:left w:val="none" w:sz="0" w:space="0" w:color="auto"/>
        <w:bottom w:val="none" w:sz="0" w:space="0" w:color="auto"/>
        <w:right w:val="none" w:sz="0" w:space="0" w:color="auto"/>
      </w:divBdr>
    </w:div>
    <w:div w:id="420294122">
      <w:bodyDiv w:val="1"/>
      <w:marLeft w:val="0"/>
      <w:marRight w:val="0"/>
      <w:marTop w:val="0"/>
      <w:marBottom w:val="0"/>
      <w:divBdr>
        <w:top w:val="none" w:sz="0" w:space="0" w:color="auto"/>
        <w:left w:val="none" w:sz="0" w:space="0" w:color="auto"/>
        <w:bottom w:val="none" w:sz="0" w:space="0" w:color="auto"/>
        <w:right w:val="none" w:sz="0" w:space="0" w:color="auto"/>
      </w:divBdr>
    </w:div>
    <w:div w:id="563220783">
      <w:bodyDiv w:val="1"/>
      <w:marLeft w:val="0"/>
      <w:marRight w:val="0"/>
      <w:marTop w:val="0"/>
      <w:marBottom w:val="0"/>
      <w:divBdr>
        <w:top w:val="none" w:sz="0" w:space="0" w:color="auto"/>
        <w:left w:val="none" w:sz="0" w:space="0" w:color="auto"/>
        <w:bottom w:val="none" w:sz="0" w:space="0" w:color="auto"/>
        <w:right w:val="none" w:sz="0" w:space="0" w:color="auto"/>
      </w:divBdr>
    </w:div>
    <w:div w:id="683096341">
      <w:bodyDiv w:val="1"/>
      <w:marLeft w:val="0"/>
      <w:marRight w:val="0"/>
      <w:marTop w:val="0"/>
      <w:marBottom w:val="0"/>
      <w:divBdr>
        <w:top w:val="none" w:sz="0" w:space="0" w:color="auto"/>
        <w:left w:val="none" w:sz="0" w:space="0" w:color="auto"/>
        <w:bottom w:val="none" w:sz="0" w:space="0" w:color="auto"/>
        <w:right w:val="none" w:sz="0" w:space="0" w:color="auto"/>
      </w:divBdr>
    </w:div>
    <w:div w:id="1112744714">
      <w:bodyDiv w:val="1"/>
      <w:marLeft w:val="0"/>
      <w:marRight w:val="0"/>
      <w:marTop w:val="0"/>
      <w:marBottom w:val="0"/>
      <w:divBdr>
        <w:top w:val="none" w:sz="0" w:space="0" w:color="auto"/>
        <w:left w:val="none" w:sz="0" w:space="0" w:color="auto"/>
        <w:bottom w:val="none" w:sz="0" w:space="0" w:color="auto"/>
        <w:right w:val="none" w:sz="0" w:space="0" w:color="auto"/>
      </w:divBdr>
    </w:div>
    <w:div w:id="1320698315">
      <w:bodyDiv w:val="1"/>
      <w:marLeft w:val="0"/>
      <w:marRight w:val="0"/>
      <w:marTop w:val="0"/>
      <w:marBottom w:val="0"/>
      <w:divBdr>
        <w:top w:val="none" w:sz="0" w:space="0" w:color="auto"/>
        <w:left w:val="none" w:sz="0" w:space="0" w:color="auto"/>
        <w:bottom w:val="none" w:sz="0" w:space="0" w:color="auto"/>
        <w:right w:val="none" w:sz="0" w:space="0" w:color="auto"/>
      </w:divBdr>
    </w:div>
    <w:div w:id="1333995027">
      <w:bodyDiv w:val="1"/>
      <w:marLeft w:val="0"/>
      <w:marRight w:val="0"/>
      <w:marTop w:val="0"/>
      <w:marBottom w:val="0"/>
      <w:divBdr>
        <w:top w:val="none" w:sz="0" w:space="0" w:color="auto"/>
        <w:left w:val="none" w:sz="0" w:space="0" w:color="auto"/>
        <w:bottom w:val="none" w:sz="0" w:space="0" w:color="auto"/>
        <w:right w:val="none" w:sz="0" w:space="0" w:color="auto"/>
      </w:divBdr>
    </w:div>
    <w:div w:id="1400522297">
      <w:bodyDiv w:val="1"/>
      <w:marLeft w:val="0"/>
      <w:marRight w:val="0"/>
      <w:marTop w:val="0"/>
      <w:marBottom w:val="0"/>
      <w:divBdr>
        <w:top w:val="none" w:sz="0" w:space="0" w:color="auto"/>
        <w:left w:val="none" w:sz="0" w:space="0" w:color="auto"/>
        <w:bottom w:val="none" w:sz="0" w:space="0" w:color="auto"/>
        <w:right w:val="none" w:sz="0" w:space="0" w:color="auto"/>
      </w:divBdr>
    </w:div>
    <w:div w:id="1667897868">
      <w:bodyDiv w:val="1"/>
      <w:marLeft w:val="0"/>
      <w:marRight w:val="0"/>
      <w:marTop w:val="0"/>
      <w:marBottom w:val="0"/>
      <w:divBdr>
        <w:top w:val="none" w:sz="0" w:space="0" w:color="auto"/>
        <w:left w:val="none" w:sz="0" w:space="0" w:color="auto"/>
        <w:bottom w:val="none" w:sz="0" w:space="0" w:color="auto"/>
        <w:right w:val="none" w:sz="0" w:space="0" w:color="auto"/>
      </w:divBdr>
      <w:divsChild>
        <w:div w:id="67389514">
          <w:marLeft w:val="547"/>
          <w:marRight w:val="0"/>
          <w:marTop w:val="134"/>
          <w:marBottom w:val="0"/>
          <w:divBdr>
            <w:top w:val="none" w:sz="0" w:space="0" w:color="auto"/>
            <w:left w:val="none" w:sz="0" w:space="0" w:color="auto"/>
            <w:bottom w:val="none" w:sz="0" w:space="0" w:color="auto"/>
            <w:right w:val="none" w:sz="0" w:space="0" w:color="auto"/>
          </w:divBdr>
        </w:div>
      </w:divsChild>
    </w:div>
    <w:div w:id="1853105732">
      <w:bodyDiv w:val="1"/>
      <w:marLeft w:val="0"/>
      <w:marRight w:val="0"/>
      <w:marTop w:val="0"/>
      <w:marBottom w:val="0"/>
      <w:divBdr>
        <w:top w:val="none" w:sz="0" w:space="0" w:color="auto"/>
        <w:left w:val="none" w:sz="0" w:space="0" w:color="auto"/>
        <w:bottom w:val="none" w:sz="0" w:space="0" w:color="auto"/>
        <w:right w:val="none" w:sz="0" w:space="0" w:color="auto"/>
      </w:divBdr>
    </w:div>
    <w:div w:id="1950968322">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1123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098FA-99E6-4694-9D87-60312EAF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7666</Words>
  <Characters>45960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2015-02-23T23:30:00Z</dcterms:created>
  <dcterms:modified xsi:type="dcterms:W3CDTF">2015-03-03T03:03:00Z</dcterms:modified>
</cp:coreProperties>
</file>