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78" w:rsidRPr="00553F78" w:rsidRDefault="00AB2BD5" w:rsidP="00553F78">
      <w:pPr>
        <w:pStyle w:val="Title"/>
      </w:pPr>
      <w:r w:rsidRPr="00553F78">
        <w:t>6.08</w:t>
      </w:r>
      <w:r w:rsidR="007C0F57" w:rsidRPr="00553F78">
        <w:tab/>
      </w:r>
      <w:r w:rsidRPr="00553F78">
        <w:t>AFLIBERCEPT</w:t>
      </w:r>
    </w:p>
    <w:p w:rsidR="00553F78" w:rsidRDefault="0004240E" w:rsidP="00553F78">
      <w:pPr>
        <w:ind w:left="720"/>
        <w:rPr>
          <w:rFonts w:ascii="Arial" w:hAnsi="Arial" w:cs="Arial"/>
          <w:b/>
          <w:color w:val="000000"/>
          <w:sz w:val="28"/>
          <w:szCs w:val="28"/>
        </w:rPr>
      </w:pPr>
      <w:r w:rsidRPr="004E4CEB">
        <w:rPr>
          <w:rFonts w:ascii="Arial" w:hAnsi="Arial" w:cs="Arial"/>
          <w:b/>
          <w:sz w:val="28"/>
          <w:szCs w:val="28"/>
        </w:rPr>
        <w:t xml:space="preserve"> </w:t>
      </w:r>
      <w:r w:rsidR="004E4CEB" w:rsidRPr="004E4CEB">
        <w:rPr>
          <w:rFonts w:ascii="Arial" w:hAnsi="Arial" w:cs="Arial"/>
          <w:b/>
          <w:color w:val="000000"/>
          <w:sz w:val="28"/>
          <w:szCs w:val="28"/>
        </w:rPr>
        <w:t>4 mg/0.1 mL injection, 1 x 0.1 mL vial, 4 mg/0.1 mL</w:t>
      </w:r>
      <w:r w:rsidR="00553F78">
        <w:rPr>
          <w:rFonts w:ascii="Arial" w:hAnsi="Arial" w:cs="Arial"/>
          <w:b/>
          <w:color w:val="000000"/>
          <w:sz w:val="28"/>
          <w:szCs w:val="28"/>
        </w:rPr>
        <w:t xml:space="preserve"> injection, 1 x 0.09 mL syringe;</w:t>
      </w:r>
    </w:p>
    <w:p w:rsidR="00CE10C4" w:rsidRPr="004E4CEB" w:rsidRDefault="004E4CEB" w:rsidP="00553F78">
      <w:pPr>
        <w:ind w:left="720"/>
        <w:rPr>
          <w:rFonts w:ascii="Arial" w:hAnsi="Arial" w:cs="Arial"/>
          <w:b/>
          <w:color w:val="000000"/>
          <w:sz w:val="28"/>
          <w:szCs w:val="28"/>
        </w:rPr>
      </w:pPr>
      <w:r w:rsidRPr="004E4CEB">
        <w:rPr>
          <w:rFonts w:ascii="Arial" w:hAnsi="Arial" w:cs="Arial"/>
          <w:b/>
          <w:color w:val="000000"/>
          <w:sz w:val="28"/>
          <w:szCs w:val="28"/>
        </w:rPr>
        <w:t xml:space="preserve"> </w:t>
      </w:r>
      <w:proofErr w:type="spellStart"/>
      <w:r w:rsidRPr="004E4CEB">
        <w:rPr>
          <w:rFonts w:ascii="Arial" w:hAnsi="Arial" w:cs="Arial"/>
          <w:b/>
          <w:color w:val="000000"/>
          <w:sz w:val="28"/>
          <w:szCs w:val="28"/>
        </w:rPr>
        <w:t>Eylea</w:t>
      </w:r>
      <w:proofErr w:type="spellEnd"/>
      <w:r w:rsidRPr="004E4CEB">
        <w:rPr>
          <w:rFonts w:ascii="Arial" w:hAnsi="Arial" w:cs="Arial"/>
          <w:b/>
          <w:color w:val="000000"/>
          <w:sz w:val="28"/>
          <w:szCs w:val="28"/>
          <w:vertAlign w:val="superscript"/>
        </w:rPr>
        <w:t>®</w:t>
      </w:r>
      <w:r w:rsidR="00553F78">
        <w:rPr>
          <w:rFonts w:ascii="Arial" w:hAnsi="Arial" w:cs="Arial"/>
          <w:b/>
          <w:color w:val="000000"/>
          <w:sz w:val="28"/>
          <w:szCs w:val="28"/>
          <w:vertAlign w:val="superscript"/>
        </w:rPr>
        <w:t>;</w:t>
      </w:r>
      <w:r w:rsidRPr="004E4CEB">
        <w:rPr>
          <w:rFonts w:ascii="Arial" w:hAnsi="Arial" w:cs="Arial"/>
          <w:b/>
          <w:color w:val="000000"/>
          <w:sz w:val="28"/>
          <w:szCs w:val="28"/>
        </w:rPr>
        <w:t xml:space="preserve"> Bayer Australia Ltd</w:t>
      </w:r>
    </w:p>
    <w:p w:rsidR="004E4CEB" w:rsidRDefault="004E4CEB" w:rsidP="004E4CEB">
      <w:pPr>
        <w:ind w:left="720" w:hanging="720"/>
        <w:rPr>
          <w:rFonts w:ascii="Arial" w:hAnsi="Arial"/>
          <w:b/>
          <w:sz w:val="28"/>
          <w:szCs w:val="28"/>
        </w:rPr>
      </w:pPr>
    </w:p>
    <w:p w:rsidR="00D530F1" w:rsidRPr="004E4CEB" w:rsidRDefault="00D530F1" w:rsidP="004E4CEB">
      <w:pPr>
        <w:ind w:left="720" w:hanging="720"/>
        <w:rPr>
          <w:rFonts w:ascii="Arial" w:hAnsi="Arial"/>
          <w:b/>
          <w:sz w:val="28"/>
          <w:szCs w:val="28"/>
        </w:rPr>
      </w:pPr>
    </w:p>
    <w:p w:rsidR="00CE10C4" w:rsidRPr="00882085" w:rsidRDefault="00CE10C4" w:rsidP="00553F78">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EF44A0" w:rsidRPr="004E4CEB" w:rsidRDefault="00EF44A0" w:rsidP="00752F93">
      <w:pPr>
        <w:pStyle w:val="ListParagraph"/>
        <w:numPr>
          <w:ilvl w:val="1"/>
          <w:numId w:val="25"/>
        </w:numPr>
        <w:jc w:val="both"/>
        <w:rPr>
          <w:rFonts w:ascii="Arial" w:hAnsi="Arial"/>
          <w:b/>
          <w:sz w:val="22"/>
          <w:szCs w:val="22"/>
        </w:rPr>
      </w:pPr>
      <w:r w:rsidRPr="004E4CEB">
        <w:rPr>
          <w:rFonts w:ascii="Arial" w:hAnsi="Arial"/>
          <w:sz w:val="22"/>
          <w:szCs w:val="22"/>
        </w:rPr>
        <w:t xml:space="preserve">The minor submission </w:t>
      </w:r>
      <w:r w:rsidR="00141E31">
        <w:rPr>
          <w:rFonts w:ascii="Arial" w:hAnsi="Arial"/>
          <w:sz w:val="22"/>
          <w:szCs w:val="22"/>
        </w:rPr>
        <w:t xml:space="preserve">requested PBAC advise the Minister that </w:t>
      </w:r>
      <w:r w:rsidR="004E4CEB" w:rsidRPr="004E4CEB">
        <w:rPr>
          <w:rFonts w:ascii="Arial" w:hAnsi="Arial"/>
          <w:sz w:val="22"/>
          <w:szCs w:val="22"/>
        </w:rPr>
        <w:t xml:space="preserve">aflibercept pre-filled syringe and vial presentations be ‘a’ flagged for the treatment of </w:t>
      </w:r>
      <w:r w:rsidR="004E4CEB">
        <w:rPr>
          <w:rFonts w:ascii="Arial" w:hAnsi="Arial"/>
          <w:sz w:val="22"/>
          <w:szCs w:val="22"/>
        </w:rPr>
        <w:t xml:space="preserve">wet age-related macular degeneration (AMD), central retinal vein occlusion (CRVO), and diabetic macular oedema (DME). </w:t>
      </w:r>
    </w:p>
    <w:p w:rsidR="004E4CEB" w:rsidRDefault="004E4CEB" w:rsidP="00BD268F">
      <w:pPr>
        <w:jc w:val="both"/>
        <w:rPr>
          <w:rFonts w:ascii="Arial" w:hAnsi="Arial"/>
          <w:b/>
          <w:sz w:val="22"/>
          <w:szCs w:val="22"/>
        </w:rPr>
      </w:pPr>
    </w:p>
    <w:p w:rsidR="00F555A5" w:rsidRPr="00BD268F" w:rsidRDefault="00F555A5" w:rsidP="00BD268F">
      <w:pPr>
        <w:jc w:val="both"/>
        <w:rPr>
          <w:rFonts w:ascii="Arial" w:hAnsi="Arial"/>
          <w:b/>
          <w:sz w:val="22"/>
          <w:szCs w:val="22"/>
        </w:rPr>
      </w:pPr>
    </w:p>
    <w:p w:rsidR="00614159" w:rsidRPr="00553F78" w:rsidRDefault="006A12A5" w:rsidP="00553F78">
      <w:pPr>
        <w:pStyle w:val="PBACHeading1"/>
      </w:pPr>
      <w:r w:rsidRPr="00553F78">
        <w:t>Requested listing</w:t>
      </w:r>
    </w:p>
    <w:p w:rsidR="006A12A5" w:rsidRPr="00882085" w:rsidRDefault="006A12A5" w:rsidP="00882085">
      <w:pPr>
        <w:jc w:val="both"/>
        <w:rPr>
          <w:rFonts w:ascii="Arial" w:hAnsi="Arial"/>
          <w:b/>
          <w:sz w:val="22"/>
          <w:szCs w:val="22"/>
        </w:rPr>
      </w:pPr>
    </w:p>
    <w:p w:rsidR="00BB7EC3" w:rsidRPr="004E4CEB" w:rsidRDefault="00EF44A0" w:rsidP="004E4CEB">
      <w:pPr>
        <w:pStyle w:val="ListParagraph"/>
        <w:numPr>
          <w:ilvl w:val="1"/>
          <w:numId w:val="25"/>
        </w:numPr>
        <w:jc w:val="both"/>
        <w:rPr>
          <w:rFonts w:ascii="Arial" w:hAnsi="Arial"/>
          <w:b/>
          <w:sz w:val="22"/>
          <w:szCs w:val="22"/>
        </w:rPr>
      </w:pPr>
      <w:r>
        <w:rPr>
          <w:rFonts w:ascii="Arial" w:hAnsi="Arial"/>
          <w:sz w:val="22"/>
          <w:szCs w:val="22"/>
        </w:rPr>
        <w:t xml:space="preserve">The submission </w:t>
      </w:r>
      <w:r w:rsidR="004E4CEB" w:rsidRPr="00215761">
        <w:rPr>
          <w:rFonts w:ascii="Arial" w:hAnsi="Arial"/>
          <w:sz w:val="22"/>
          <w:szCs w:val="22"/>
        </w:rPr>
        <w:t>propose</w:t>
      </w:r>
      <w:r w:rsidR="00141E31" w:rsidRPr="00215761">
        <w:rPr>
          <w:rFonts w:ascii="Arial" w:hAnsi="Arial"/>
          <w:sz w:val="22"/>
          <w:szCs w:val="22"/>
        </w:rPr>
        <w:t>d</w:t>
      </w:r>
      <w:r w:rsidR="004E4CEB" w:rsidRPr="00215761">
        <w:rPr>
          <w:rFonts w:ascii="Arial" w:hAnsi="Arial"/>
          <w:sz w:val="22"/>
          <w:szCs w:val="22"/>
        </w:rPr>
        <w:t xml:space="preserve"> to </w:t>
      </w:r>
      <w:r w:rsidR="00592FFF" w:rsidRPr="00215761">
        <w:rPr>
          <w:rFonts w:ascii="Arial" w:hAnsi="Arial"/>
          <w:sz w:val="22"/>
          <w:szCs w:val="22"/>
        </w:rPr>
        <w:t xml:space="preserve">maintain </w:t>
      </w:r>
      <w:r w:rsidR="004E4CEB" w:rsidRPr="00215761">
        <w:rPr>
          <w:rFonts w:ascii="Arial" w:hAnsi="Arial"/>
          <w:sz w:val="22"/>
          <w:szCs w:val="22"/>
        </w:rPr>
        <w:t>the current existing</w:t>
      </w:r>
      <w:r w:rsidR="004E4CEB">
        <w:rPr>
          <w:rFonts w:ascii="Arial" w:hAnsi="Arial"/>
          <w:sz w:val="22"/>
          <w:szCs w:val="22"/>
        </w:rPr>
        <w:t xml:space="preserve"> </w:t>
      </w:r>
      <w:r w:rsidR="00B22E11">
        <w:rPr>
          <w:rFonts w:ascii="Arial" w:hAnsi="Arial"/>
          <w:sz w:val="22"/>
          <w:szCs w:val="22"/>
        </w:rPr>
        <w:t>General Schedule</w:t>
      </w:r>
      <w:r w:rsidR="004E4CEB">
        <w:rPr>
          <w:rFonts w:ascii="Arial" w:hAnsi="Arial"/>
          <w:sz w:val="22"/>
          <w:szCs w:val="22"/>
        </w:rPr>
        <w:t xml:space="preserve"> listing of aflibercept injection for the vial and</w:t>
      </w:r>
      <w:r w:rsidR="00592FFF">
        <w:rPr>
          <w:rFonts w:ascii="Arial" w:hAnsi="Arial"/>
          <w:sz w:val="22"/>
          <w:szCs w:val="22"/>
        </w:rPr>
        <w:t>, when listed, the</w:t>
      </w:r>
      <w:r w:rsidR="004E4CEB">
        <w:rPr>
          <w:rFonts w:ascii="Arial" w:hAnsi="Arial"/>
          <w:sz w:val="22"/>
          <w:szCs w:val="22"/>
        </w:rPr>
        <w:t xml:space="preserve"> pre-filled syringe presentations with an added ‘a’ flag between the two formulations to enable pharmacists to substitute presentations without reference to the prescriber. </w:t>
      </w:r>
    </w:p>
    <w:p w:rsidR="00FD3869" w:rsidRDefault="00FD3869" w:rsidP="00141E31">
      <w:pPr>
        <w:jc w:val="both"/>
        <w:rPr>
          <w:rFonts w:ascii="Arial" w:hAnsi="Arial"/>
          <w:sz w:val="22"/>
          <w:szCs w:val="22"/>
        </w:rPr>
      </w:pPr>
    </w:p>
    <w:p w:rsidR="00141E31" w:rsidRPr="00141E31" w:rsidRDefault="00141E31" w:rsidP="00141E31">
      <w:pPr>
        <w:jc w:val="both"/>
        <w:rPr>
          <w:rFonts w:ascii="Arial" w:hAnsi="Arial"/>
          <w:b/>
          <w:sz w:val="22"/>
          <w:szCs w:val="22"/>
        </w:rPr>
      </w:pPr>
    </w:p>
    <w:p w:rsidR="00CE10C4" w:rsidRPr="00690539" w:rsidRDefault="00CE10C4" w:rsidP="00553F78">
      <w:pPr>
        <w:pStyle w:val="PBACHeading1"/>
      </w:pPr>
      <w:r w:rsidRPr="00882085">
        <w:t>Background</w:t>
      </w:r>
    </w:p>
    <w:p w:rsidR="00690539" w:rsidRPr="0067759B" w:rsidRDefault="00690539" w:rsidP="00690539">
      <w:pPr>
        <w:pStyle w:val="ListParagraph"/>
        <w:jc w:val="both"/>
        <w:rPr>
          <w:rFonts w:ascii="Arial" w:hAnsi="Arial"/>
          <w:sz w:val="22"/>
          <w:szCs w:val="22"/>
        </w:rPr>
      </w:pPr>
    </w:p>
    <w:p w:rsidR="00690539" w:rsidRDefault="00690539" w:rsidP="00690539">
      <w:pPr>
        <w:pStyle w:val="ListParagraph"/>
        <w:numPr>
          <w:ilvl w:val="1"/>
          <w:numId w:val="25"/>
        </w:numPr>
        <w:jc w:val="both"/>
        <w:rPr>
          <w:rFonts w:ascii="Arial" w:hAnsi="Arial"/>
          <w:sz w:val="22"/>
          <w:szCs w:val="22"/>
        </w:rPr>
      </w:pPr>
      <w:r>
        <w:rPr>
          <w:rFonts w:ascii="Arial" w:hAnsi="Arial"/>
          <w:sz w:val="22"/>
          <w:szCs w:val="22"/>
        </w:rPr>
        <w:t>At the March 2012 meeting, the PBAC recommended listing aflibercept vial</w:t>
      </w:r>
      <w:r w:rsidR="00CC3F18">
        <w:rPr>
          <w:rFonts w:ascii="Arial" w:hAnsi="Arial"/>
          <w:sz w:val="22"/>
          <w:szCs w:val="22"/>
        </w:rPr>
        <w:t xml:space="preserve"> and pre-filled syringe</w:t>
      </w:r>
      <w:r>
        <w:rPr>
          <w:rFonts w:ascii="Arial" w:hAnsi="Arial"/>
          <w:sz w:val="22"/>
          <w:szCs w:val="22"/>
        </w:rPr>
        <w:t xml:space="preserve"> on the PBS as an Authority </w:t>
      </w:r>
      <w:proofErr w:type="gramStart"/>
      <w:r>
        <w:rPr>
          <w:rFonts w:ascii="Arial" w:hAnsi="Arial"/>
          <w:sz w:val="22"/>
          <w:szCs w:val="22"/>
        </w:rPr>
        <w:t>Required</w:t>
      </w:r>
      <w:proofErr w:type="gramEnd"/>
      <w:r>
        <w:rPr>
          <w:rFonts w:ascii="Arial" w:hAnsi="Arial"/>
          <w:sz w:val="22"/>
          <w:szCs w:val="22"/>
        </w:rPr>
        <w:t xml:space="preserve"> benefit for treatment of </w:t>
      </w:r>
      <w:proofErr w:type="spellStart"/>
      <w:r>
        <w:rPr>
          <w:rFonts w:ascii="Arial" w:hAnsi="Arial"/>
          <w:sz w:val="22"/>
          <w:szCs w:val="22"/>
        </w:rPr>
        <w:t>subfoveal</w:t>
      </w:r>
      <w:proofErr w:type="spellEnd"/>
      <w:r>
        <w:rPr>
          <w:rFonts w:ascii="Arial" w:hAnsi="Arial"/>
          <w:sz w:val="22"/>
          <w:szCs w:val="22"/>
        </w:rPr>
        <w:t xml:space="preserve"> choroidal neovascularisation (CN</w:t>
      </w:r>
      <w:bookmarkStart w:id="0" w:name="_GoBack"/>
      <w:bookmarkEnd w:id="0"/>
      <w:r>
        <w:rPr>
          <w:rFonts w:ascii="Arial" w:hAnsi="Arial"/>
          <w:sz w:val="22"/>
          <w:szCs w:val="22"/>
        </w:rPr>
        <w:t xml:space="preserve">V) due to age related macular degeneration (AMD). </w:t>
      </w:r>
      <w:r w:rsidR="002A027F">
        <w:rPr>
          <w:rFonts w:ascii="Arial" w:hAnsi="Arial"/>
          <w:sz w:val="22"/>
          <w:szCs w:val="22"/>
        </w:rPr>
        <w:t xml:space="preserve">At the time of listing, </w:t>
      </w:r>
      <w:r w:rsidR="00DB520A">
        <w:rPr>
          <w:rFonts w:ascii="Arial" w:hAnsi="Arial"/>
          <w:noProof/>
          <w:color w:val="000000"/>
          <w:sz w:val="22"/>
          <w:szCs w:val="22"/>
          <w:highlight w:val="black"/>
        </w:rPr>
        <w:t>''''''' '''''''''''''''''' ''''''''' '''''''''''''''' ''''' '''''''''''''''''''''' '''''''''''''' '''' ''''''''' '''''''''''''''''' ''''''''''''''''''' ''''''''' ''''''''''''''''''''</w:t>
      </w:r>
      <w:r w:rsidR="002A027F">
        <w:rPr>
          <w:rFonts w:ascii="Arial" w:hAnsi="Arial"/>
          <w:sz w:val="22"/>
          <w:szCs w:val="22"/>
        </w:rPr>
        <w:t xml:space="preserve"> only the vial was listed. </w:t>
      </w:r>
    </w:p>
    <w:p w:rsidR="0067759B" w:rsidRDefault="0067759B" w:rsidP="0067759B">
      <w:pPr>
        <w:ind w:firstLine="720"/>
        <w:jc w:val="both"/>
        <w:rPr>
          <w:rFonts w:ascii="Arial" w:hAnsi="Arial"/>
          <w:sz w:val="22"/>
          <w:szCs w:val="22"/>
        </w:rPr>
      </w:pPr>
    </w:p>
    <w:p w:rsidR="0067759B" w:rsidRPr="0067759B" w:rsidRDefault="0067759B" w:rsidP="00690539">
      <w:pPr>
        <w:pStyle w:val="ListParagraph"/>
        <w:numPr>
          <w:ilvl w:val="1"/>
          <w:numId w:val="25"/>
        </w:numPr>
        <w:jc w:val="both"/>
        <w:rPr>
          <w:rFonts w:ascii="Arial" w:hAnsi="Arial"/>
          <w:sz w:val="22"/>
          <w:szCs w:val="22"/>
        </w:rPr>
      </w:pPr>
      <w:r>
        <w:rPr>
          <w:rFonts w:ascii="Arial" w:hAnsi="Arial"/>
          <w:sz w:val="22"/>
          <w:szCs w:val="22"/>
        </w:rPr>
        <w:t>At the November 2014 PBAC meeting, aflibercept</w:t>
      </w:r>
      <w:r w:rsidR="00690539">
        <w:rPr>
          <w:rFonts w:ascii="Arial" w:hAnsi="Arial"/>
          <w:sz w:val="22"/>
          <w:szCs w:val="22"/>
        </w:rPr>
        <w:t xml:space="preserve"> vial and pre-filled syringe were</w:t>
      </w:r>
      <w:r>
        <w:rPr>
          <w:rFonts w:ascii="Arial" w:hAnsi="Arial"/>
          <w:sz w:val="22"/>
          <w:szCs w:val="22"/>
        </w:rPr>
        <w:t xml:space="preserve"> recommended under Section 85 to extend the listin</w:t>
      </w:r>
      <w:r w:rsidR="00813E4C">
        <w:rPr>
          <w:rFonts w:ascii="Arial" w:hAnsi="Arial"/>
          <w:sz w:val="22"/>
          <w:szCs w:val="22"/>
        </w:rPr>
        <w:t xml:space="preserve">g to include patients with DME and CRVO. </w:t>
      </w:r>
      <w:r>
        <w:rPr>
          <w:rFonts w:ascii="Arial" w:hAnsi="Arial"/>
          <w:sz w:val="22"/>
          <w:szCs w:val="22"/>
        </w:rPr>
        <w:t>The PBAC considered that authority applications through the PBS and Specialised Drugs Branch of the Department of Human Services would be appropriate for aflibercept, similar to administrative arrangements for rani</w:t>
      </w:r>
      <w:r w:rsidR="00813E4C">
        <w:rPr>
          <w:rFonts w:ascii="Arial" w:hAnsi="Arial"/>
          <w:sz w:val="22"/>
          <w:szCs w:val="22"/>
        </w:rPr>
        <w:t xml:space="preserve">bizumab and aflibercept in AMD. </w:t>
      </w:r>
    </w:p>
    <w:p w:rsidR="00BB7EC3" w:rsidRDefault="00BB7EC3" w:rsidP="00882085">
      <w:pPr>
        <w:jc w:val="both"/>
        <w:rPr>
          <w:rFonts w:ascii="Arial" w:hAnsi="Arial"/>
          <w:b/>
          <w:sz w:val="22"/>
          <w:szCs w:val="22"/>
        </w:rPr>
      </w:pPr>
    </w:p>
    <w:p w:rsidR="00CE10C4" w:rsidRPr="00882085" w:rsidRDefault="00FD3869" w:rsidP="00553F78">
      <w:pPr>
        <w:pStyle w:val="PBACHeading1"/>
      </w:pPr>
      <w:r>
        <w:t>Current situation</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6A12A5" w:rsidRDefault="00927301" w:rsidP="00826F6D">
      <w:pPr>
        <w:pStyle w:val="ListParagraph"/>
        <w:numPr>
          <w:ilvl w:val="1"/>
          <w:numId w:val="25"/>
        </w:numPr>
        <w:jc w:val="both"/>
        <w:rPr>
          <w:rFonts w:ascii="Arial" w:hAnsi="Arial"/>
          <w:sz w:val="22"/>
          <w:szCs w:val="22"/>
          <w:u w:val="single"/>
        </w:rPr>
      </w:pPr>
      <w:r w:rsidRPr="00927301">
        <w:rPr>
          <w:rFonts w:ascii="Arial" w:hAnsi="Arial"/>
          <w:sz w:val="22"/>
          <w:szCs w:val="22"/>
          <w:u w:val="single"/>
        </w:rPr>
        <w:t>Vial</w:t>
      </w:r>
    </w:p>
    <w:p w:rsidR="00C35996" w:rsidRDefault="00F132E0" w:rsidP="00F132E0">
      <w:pPr>
        <w:ind w:left="720"/>
        <w:jc w:val="both"/>
        <w:rPr>
          <w:rFonts w:ascii="Arial" w:hAnsi="Arial" w:cs="Arial"/>
          <w:sz w:val="22"/>
          <w:szCs w:val="22"/>
        </w:rPr>
      </w:pPr>
      <w:r>
        <w:rPr>
          <w:rFonts w:ascii="Arial" w:hAnsi="Arial"/>
          <w:sz w:val="22"/>
          <w:szCs w:val="22"/>
        </w:rPr>
        <w:t>Aflibercept vial contains 100</w:t>
      </w:r>
      <w:r>
        <w:rPr>
          <w:rFonts w:ascii="Arial" w:hAnsi="Arial" w:cs="Arial"/>
          <w:sz w:val="22"/>
          <w:szCs w:val="22"/>
        </w:rPr>
        <w:t>µ</w:t>
      </w:r>
      <w:r>
        <w:rPr>
          <w:rFonts w:ascii="Arial" w:hAnsi="Arial"/>
          <w:sz w:val="22"/>
          <w:szCs w:val="22"/>
        </w:rPr>
        <w:t>L of extractable volume to ensure a single 50</w:t>
      </w:r>
      <w:r>
        <w:rPr>
          <w:rFonts w:ascii="Arial" w:hAnsi="Arial" w:cs="Arial"/>
          <w:sz w:val="22"/>
          <w:szCs w:val="22"/>
        </w:rPr>
        <w:t xml:space="preserve">µL injectable dose containing 2mg of aflibercept is delivered. </w:t>
      </w:r>
    </w:p>
    <w:p w:rsidR="00F132E0" w:rsidRPr="00927301" w:rsidRDefault="00F132E0" w:rsidP="00F132E0">
      <w:pPr>
        <w:ind w:left="720"/>
        <w:jc w:val="both"/>
        <w:rPr>
          <w:rFonts w:ascii="Arial" w:hAnsi="Arial"/>
          <w:sz w:val="22"/>
          <w:szCs w:val="22"/>
        </w:rPr>
      </w:pPr>
    </w:p>
    <w:p w:rsidR="006A12A5" w:rsidRDefault="00927301" w:rsidP="00882085">
      <w:pPr>
        <w:pStyle w:val="ListParagraph"/>
        <w:numPr>
          <w:ilvl w:val="1"/>
          <w:numId w:val="25"/>
        </w:numPr>
        <w:jc w:val="both"/>
        <w:rPr>
          <w:rFonts w:ascii="Arial" w:hAnsi="Arial"/>
          <w:sz w:val="22"/>
          <w:szCs w:val="22"/>
          <w:u w:val="single"/>
        </w:rPr>
      </w:pPr>
      <w:r w:rsidRPr="00927301">
        <w:rPr>
          <w:rFonts w:ascii="Arial" w:hAnsi="Arial"/>
          <w:sz w:val="22"/>
          <w:szCs w:val="22"/>
          <w:u w:val="single"/>
        </w:rPr>
        <w:t>Pre-filled syringe (PFS)</w:t>
      </w:r>
    </w:p>
    <w:p w:rsidR="00927301" w:rsidRDefault="00F132E0" w:rsidP="00927301">
      <w:pPr>
        <w:pStyle w:val="ListParagraph"/>
        <w:rPr>
          <w:rFonts w:ascii="Arial" w:hAnsi="Arial" w:cs="Arial"/>
          <w:sz w:val="22"/>
          <w:szCs w:val="22"/>
        </w:rPr>
      </w:pPr>
      <w:r>
        <w:rPr>
          <w:rFonts w:ascii="Arial" w:hAnsi="Arial"/>
          <w:sz w:val="22"/>
          <w:szCs w:val="22"/>
        </w:rPr>
        <w:t xml:space="preserve">Aflibercept PFS is supplied in a glass 1mL syringe. The target fill volume for each </w:t>
      </w:r>
      <w:proofErr w:type="gramStart"/>
      <w:r>
        <w:rPr>
          <w:rFonts w:ascii="Arial" w:hAnsi="Arial"/>
          <w:sz w:val="22"/>
          <w:szCs w:val="22"/>
        </w:rPr>
        <w:t>syringe</w:t>
      </w:r>
      <w:proofErr w:type="gramEnd"/>
      <w:r>
        <w:rPr>
          <w:rFonts w:ascii="Arial" w:hAnsi="Arial"/>
          <w:sz w:val="22"/>
          <w:szCs w:val="22"/>
        </w:rPr>
        <w:t xml:space="preserve"> is 90</w:t>
      </w:r>
      <w:r w:rsidR="002D672C">
        <w:rPr>
          <w:rFonts w:ascii="Arial" w:hAnsi="Arial" w:cs="Arial"/>
          <w:sz w:val="22"/>
          <w:szCs w:val="22"/>
        </w:rPr>
        <w:t>µ</w:t>
      </w:r>
      <w:r>
        <w:rPr>
          <w:rFonts w:ascii="Arial" w:hAnsi="Arial"/>
          <w:sz w:val="22"/>
          <w:szCs w:val="22"/>
        </w:rPr>
        <w:t>L of extractable volume. The PFS can deliver a single 50</w:t>
      </w:r>
      <w:r>
        <w:rPr>
          <w:rFonts w:ascii="Arial" w:hAnsi="Arial" w:cs="Arial"/>
          <w:sz w:val="22"/>
          <w:szCs w:val="22"/>
        </w:rPr>
        <w:t xml:space="preserve">µL injectable dose containing 2mg of aflibercept. </w:t>
      </w:r>
    </w:p>
    <w:p w:rsidR="00F132E0" w:rsidRPr="00F132E0" w:rsidRDefault="00F132E0" w:rsidP="00927301">
      <w:pPr>
        <w:pStyle w:val="ListParagraph"/>
        <w:rPr>
          <w:rFonts w:ascii="Arial" w:hAnsi="Arial"/>
          <w:sz w:val="22"/>
          <w:szCs w:val="22"/>
        </w:rPr>
      </w:pPr>
    </w:p>
    <w:p w:rsidR="00F132E0" w:rsidRPr="00F132E0" w:rsidRDefault="00F132E0" w:rsidP="00882085">
      <w:pPr>
        <w:pStyle w:val="ListParagraph"/>
        <w:numPr>
          <w:ilvl w:val="1"/>
          <w:numId w:val="25"/>
        </w:numPr>
        <w:jc w:val="both"/>
        <w:rPr>
          <w:rFonts w:ascii="Arial" w:hAnsi="Arial"/>
          <w:sz w:val="22"/>
          <w:szCs w:val="22"/>
        </w:rPr>
      </w:pPr>
      <w:r>
        <w:rPr>
          <w:rFonts w:ascii="Arial" w:hAnsi="Arial"/>
          <w:sz w:val="22"/>
          <w:szCs w:val="22"/>
        </w:rPr>
        <w:t>While the extractable volume for the vial differs slightly for the PFS, both the vial and PFS provides a usable amount to deliver a single dose of 50</w:t>
      </w:r>
      <w:r>
        <w:rPr>
          <w:rFonts w:ascii="Arial" w:hAnsi="Arial" w:cs="Arial"/>
          <w:sz w:val="22"/>
          <w:szCs w:val="22"/>
        </w:rPr>
        <w:t xml:space="preserve">µL. It must only be administered by an ophthalmologist experienced in administering intravitreal injections. </w:t>
      </w:r>
    </w:p>
    <w:p w:rsidR="00F132E0" w:rsidRDefault="00F132E0" w:rsidP="00F132E0">
      <w:pPr>
        <w:pStyle w:val="ListParagraph"/>
        <w:jc w:val="both"/>
        <w:rPr>
          <w:rFonts w:ascii="Arial" w:hAnsi="Arial"/>
          <w:sz w:val="22"/>
          <w:szCs w:val="22"/>
        </w:rPr>
      </w:pPr>
    </w:p>
    <w:p w:rsidR="00927301" w:rsidRDefault="002A027F" w:rsidP="00882085">
      <w:pPr>
        <w:pStyle w:val="ListParagraph"/>
        <w:numPr>
          <w:ilvl w:val="1"/>
          <w:numId w:val="25"/>
        </w:numPr>
        <w:jc w:val="both"/>
        <w:rPr>
          <w:rFonts w:ascii="Arial" w:hAnsi="Arial"/>
          <w:sz w:val="22"/>
          <w:szCs w:val="22"/>
        </w:rPr>
      </w:pPr>
      <w:r>
        <w:rPr>
          <w:rFonts w:ascii="Arial" w:hAnsi="Arial"/>
          <w:sz w:val="22"/>
          <w:szCs w:val="22"/>
        </w:rPr>
        <w:lastRenderedPageBreak/>
        <w:t>The Sponsor propose</w:t>
      </w:r>
      <w:r w:rsidR="00D169BD">
        <w:rPr>
          <w:rFonts w:ascii="Arial" w:hAnsi="Arial"/>
          <w:sz w:val="22"/>
          <w:szCs w:val="22"/>
        </w:rPr>
        <w:t>d</w:t>
      </w:r>
      <w:r>
        <w:rPr>
          <w:rFonts w:ascii="Arial" w:hAnsi="Arial"/>
          <w:sz w:val="22"/>
          <w:szCs w:val="22"/>
        </w:rPr>
        <w:t xml:space="preserve"> that ‘a’ flagging of the two presentations will provide greater flexibility in supply of aflibercept upon launching of the pre-filled syringe in order to ensure continuity</w:t>
      </w:r>
      <w:r w:rsidR="00712576">
        <w:rPr>
          <w:rFonts w:ascii="Arial" w:hAnsi="Arial"/>
          <w:sz w:val="22"/>
          <w:szCs w:val="22"/>
        </w:rPr>
        <w:t xml:space="preserve"> of treatment in the event that demand for either vial or pre-filled syringe exceeds the forecast volume. </w:t>
      </w:r>
    </w:p>
    <w:p w:rsidR="00C04C52" w:rsidRPr="00C04C52" w:rsidRDefault="00C04C52" w:rsidP="00C04C52">
      <w:pPr>
        <w:pStyle w:val="ListParagraph"/>
        <w:rPr>
          <w:rFonts w:ascii="Arial" w:hAnsi="Arial"/>
          <w:sz w:val="22"/>
          <w:szCs w:val="22"/>
        </w:rPr>
      </w:pPr>
    </w:p>
    <w:p w:rsidR="00C04C52" w:rsidRDefault="00C04C52" w:rsidP="00882085">
      <w:pPr>
        <w:pStyle w:val="ListParagraph"/>
        <w:numPr>
          <w:ilvl w:val="1"/>
          <w:numId w:val="25"/>
        </w:numPr>
        <w:jc w:val="both"/>
        <w:rPr>
          <w:rFonts w:ascii="Arial" w:hAnsi="Arial"/>
          <w:sz w:val="22"/>
          <w:szCs w:val="22"/>
        </w:rPr>
      </w:pPr>
      <w:r>
        <w:rPr>
          <w:rFonts w:ascii="Arial" w:hAnsi="Arial"/>
          <w:sz w:val="22"/>
          <w:szCs w:val="22"/>
        </w:rPr>
        <w:t xml:space="preserve">The Sponsor requested that the same Special Pricing Arrangements apply for both forms of aflibercept. </w:t>
      </w:r>
    </w:p>
    <w:p w:rsidR="00F132E0" w:rsidRPr="00F132E0" w:rsidRDefault="00F132E0" w:rsidP="00F132E0">
      <w:pPr>
        <w:pStyle w:val="ListParagraph"/>
        <w:rPr>
          <w:rFonts w:ascii="Arial" w:hAnsi="Arial"/>
          <w:sz w:val="22"/>
          <w:szCs w:val="22"/>
        </w:rPr>
      </w:pPr>
    </w:p>
    <w:p w:rsidR="00F132E0" w:rsidRPr="00927301" w:rsidRDefault="00F132E0" w:rsidP="00882085">
      <w:pPr>
        <w:pStyle w:val="ListParagraph"/>
        <w:numPr>
          <w:ilvl w:val="1"/>
          <w:numId w:val="25"/>
        </w:numPr>
        <w:jc w:val="both"/>
        <w:rPr>
          <w:rFonts w:ascii="Arial" w:hAnsi="Arial"/>
          <w:sz w:val="22"/>
          <w:szCs w:val="22"/>
        </w:rPr>
      </w:pPr>
      <w:r>
        <w:rPr>
          <w:rFonts w:ascii="Arial" w:hAnsi="Arial"/>
          <w:sz w:val="22"/>
          <w:szCs w:val="22"/>
        </w:rPr>
        <w:t xml:space="preserve">Consistent with existing practices, the prescriber can choose to mark the prescription with “Substitution not permitted” if they have a strict preference for either the vial or pre-filled syringe. </w:t>
      </w:r>
    </w:p>
    <w:p w:rsidR="00BB7EC3" w:rsidRDefault="00BB7EC3" w:rsidP="00882085">
      <w:pPr>
        <w:pStyle w:val="Header"/>
        <w:tabs>
          <w:tab w:val="clear" w:pos="4153"/>
          <w:tab w:val="clear" w:pos="8306"/>
        </w:tabs>
        <w:jc w:val="both"/>
        <w:rPr>
          <w:rFonts w:ascii="Arial" w:hAnsi="Arial"/>
          <w:sz w:val="22"/>
          <w:szCs w:val="22"/>
        </w:rPr>
      </w:pPr>
    </w:p>
    <w:p w:rsidR="008A1956" w:rsidRPr="00882085" w:rsidRDefault="008A1956" w:rsidP="00882085">
      <w:pPr>
        <w:pStyle w:val="Header"/>
        <w:tabs>
          <w:tab w:val="clear" w:pos="4153"/>
          <w:tab w:val="clear" w:pos="8306"/>
        </w:tabs>
        <w:jc w:val="both"/>
        <w:rPr>
          <w:rFonts w:ascii="Arial" w:hAnsi="Arial"/>
          <w:sz w:val="22"/>
          <w:szCs w:val="22"/>
        </w:rPr>
      </w:pPr>
    </w:p>
    <w:p w:rsidR="005A3173" w:rsidRDefault="00FD3869" w:rsidP="00553F78">
      <w:pPr>
        <w:pStyle w:val="PBACHeading1"/>
      </w:pPr>
      <w:r>
        <w:t>Consideration of evidence</w:t>
      </w:r>
    </w:p>
    <w:p w:rsidR="008A6D44" w:rsidRPr="00882085" w:rsidRDefault="008A6D44" w:rsidP="008A6D44">
      <w:pPr>
        <w:pStyle w:val="Header"/>
        <w:tabs>
          <w:tab w:val="clear" w:pos="4153"/>
          <w:tab w:val="clear" w:pos="8306"/>
        </w:tabs>
        <w:ind w:left="720"/>
        <w:jc w:val="both"/>
        <w:rPr>
          <w:rFonts w:ascii="Arial" w:hAnsi="Arial"/>
          <w:b/>
          <w:sz w:val="22"/>
          <w:szCs w:val="22"/>
        </w:rPr>
      </w:pPr>
    </w:p>
    <w:p w:rsidR="00312D99" w:rsidRDefault="008A6D44" w:rsidP="00553F78">
      <w:pPr>
        <w:pStyle w:val="Heading2"/>
      </w:pPr>
      <w:r w:rsidRPr="00C535CB">
        <w:t>Sponsor hearing</w:t>
      </w:r>
    </w:p>
    <w:p w:rsidR="00312D99" w:rsidRPr="00C535CB" w:rsidRDefault="00312D99" w:rsidP="008A6D44">
      <w:pPr>
        <w:rPr>
          <w:rFonts w:ascii="Arial" w:hAnsi="Arial" w:cs="Arial"/>
          <w:b/>
          <w:i/>
          <w:sz w:val="22"/>
          <w:szCs w:val="22"/>
        </w:rPr>
      </w:pPr>
    </w:p>
    <w:p w:rsidR="008A6D44" w:rsidRPr="00141E31" w:rsidRDefault="008A6D44" w:rsidP="00141E31">
      <w:pPr>
        <w:pStyle w:val="ListParagraph"/>
        <w:numPr>
          <w:ilvl w:val="1"/>
          <w:numId w:val="25"/>
        </w:numPr>
        <w:jc w:val="both"/>
        <w:rPr>
          <w:rFonts w:ascii="Arial" w:hAnsi="Arial" w:cs="Arial"/>
          <w:sz w:val="22"/>
          <w:szCs w:val="22"/>
        </w:rPr>
      </w:pPr>
      <w:r w:rsidRPr="00141E31">
        <w:rPr>
          <w:rFonts w:ascii="Arial" w:hAnsi="Arial" w:cs="Arial"/>
          <w:sz w:val="22"/>
          <w:szCs w:val="22"/>
        </w:rPr>
        <w:t>There was no hearing for this item.</w:t>
      </w:r>
    </w:p>
    <w:p w:rsidR="008A6D44" w:rsidRPr="00C535CB" w:rsidRDefault="008A6D44" w:rsidP="008A6D44">
      <w:pPr>
        <w:pStyle w:val="ListParagraph"/>
        <w:ind w:left="709"/>
        <w:rPr>
          <w:rFonts w:ascii="Arial" w:hAnsi="Arial" w:cs="Arial"/>
          <w:sz w:val="22"/>
          <w:szCs w:val="22"/>
        </w:rPr>
      </w:pPr>
    </w:p>
    <w:p w:rsidR="008A6D44" w:rsidRPr="00553F78" w:rsidRDefault="008A6D44" w:rsidP="00553F78">
      <w:pPr>
        <w:pStyle w:val="Heading2"/>
      </w:pPr>
      <w:r w:rsidRPr="00553F78">
        <w:t>Consumer comments</w:t>
      </w:r>
    </w:p>
    <w:p w:rsidR="008A6D44" w:rsidRPr="00C535CB" w:rsidRDefault="008A6D44" w:rsidP="008A6D44">
      <w:pPr>
        <w:pStyle w:val="ListParagraph"/>
        <w:ind w:left="709"/>
        <w:rPr>
          <w:rFonts w:ascii="Arial" w:hAnsi="Arial" w:cs="Arial"/>
          <w:sz w:val="22"/>
          <w:szCs w:val="22"/>
        </w:rPr>
      </w:pPr>
    </w:p>
    <w:p w:rsidR="008A6D44" w:rsidRPr="00C535CB" w:rsidRDefault="008A6D44" w:rsidP="008A6D44">
      <w:pPr>
        <w:pStyle w:val="ListParagraph"/>
        <w:numPr>
          <w:ilvl w:val="1"/>
          <w:numId w:val="25"/>
        </w:numPr>
        <w:jc w:val="both"/>
        <w:rPr>
          <w:rFonts w:ascii="Arial" w:hAnsi="Arial" w:cs="Arial"/>
          <w:sz w:val="22"/>
          <w:szCs w:val="22"/>
        </w:rPr>
      </w:pPr>
      <w:r w:rsidRPr="00C535CB">
        <w:rPr>
          <w:rFonts w:ascii="Arial" w:hAnsi="Arial" w:cs="Arial"/>
          <w:sz w:val="22"/>
          <w:szCs w:val="22"/>
        </w:rPr>
        <w:t>The PBAC noted that no consumer comments were received for this item.</w:t>
      </w:r>
    </w:p>
    <w:p w:rsidR="008A6D44" w:rsidRDefault="008A6D44" w:rsidP="008A6D44">
      <w:pPr>
        <w:rPr>
          <w:b/>
          <w:szCs w:val="22"/>
        </w:rPr>
      </w:pPr>
    </w:p>
    <w:p w:rsidR="008A6D44" w:rsidRPr="008A6D44" w:rsidRDefault="008A6D44" w:rsidP="00553F78">
      <w:pPr>
        <w:pStyle w:val="Heading2"/>
      </w:pPr>
      <w:r w:rsidRPr="008A6D44">
        <w:t>Clinical trial</w:t>
      </w:r>
      <w:r>
        <w:t>s</w:t>
      </w:r>
      <w:r w:rsidRPr="008A6D44">
        <w:t xml:space="preserve"> </w:t>
      </w:r>
    </w:p>
    <w:p w:rsidR="008A6D44" w:rsidRPr="008A6D44" w:rsidRDefault="008A6D44" w:rsidP="00882085">
      <w:pPr>
        <w:pStyle w:val="Header"/>
        <w:tabs>
          <w:tab w:val="clear" w:pos="4153"/>
          <w:tab w:val="clear" w:pos="8306"/>
        </w:tabs>
        <w:jc w:val="both"/>
        <w:rPr>
          <w:rFonts w:ascii="Arial" w:hAnsi="Arial"/>
          <w:b/>
          <w:i/>
          <w:sz w:val="22"/>
          <w:szCs w:val="22"/>
        </w:rPr>
      </w:pPr>
    </w:p>
    <w:p w:rsidR="0076420C" w:rsidRDefault="0076420C" w:rsidP="00FD3869">
      <w:pPr>
        <w:pStyle w:val="ListParagraph"/>
        <w:numPr>
          <w:ilvl w:val="1"/>
          <w:numId w:val="25"/>
        </w:numPr>
        <w:jc w:val="both"/>
        <w:rPr>
          <w:rFonts w:ascii="Arial" w:hAnsi="Arial"/>
          <w:sz w:val="22"/>
          <w:szCs w:val="22"/>
        </w:rPr>
      </w:pPr>
      <w:r>
        <w:rPr>
          <w:rFonts w:ascii="Arial" w:hAnsi="Arial"/>
          <w:sz w:val="22"/>
          <w:szCs w:val="22"/>
        </w:rPr>
        <w:t xml:space="preserve">As a minor submission, no </w:t>
      </w:r>
      <w:r w:rsidR="00714163">
        <w:rPr>
          <w:rFonts w:ascii="Arial" w:hAnsi="Arial"/>
          <w:sz w:val="22"/>
          <w:szCs w:val="22"/>
        </w:rPr>
        <w:t>new</w:t>
      </w:r>
      <w:r>
        <w:rPr>
          <w:rFonts w:ascii="Arial" w:hAnsi="Arial"/>
          <w:sz w:val="22"/>
          <w:szCs w:val="22"/>
        </w:rPr>
        <w:t xml:space="preserve"> clinical </w:t>
      </w:r>
      <w:r w:rsidR="00FD3869">
        <w:rPr>
          <w:rFonts w:ascii="Arial" w:hAnsi="Arial"/>
          <w:sz w:val="22"/>
          <w:szCs w:val="22"/>
        </w:rPr>
        <w:t xml:space="preserve">evidence </w:t>
      </w:r>
      <w:r w:rsidR="00D169BD">
        <w:rPr>
          <w:rFonts w:ascii="Arial" w:hAnsi="Arial"/>
          <w:sz w:val="22"/>
          <w:szCs w:val="22"/>
        </w:rPr>
        <w:t xml:space="preserve">was </w:t>
      </w:r>
      <w:r>
        <w:rPr>
          <w:rFonts w:ascii="Arial" w:hAnsi="Arial"/>
          <w:sz w:val="22"/>
          <w:szCs w:val="22"/>
        </w:rPr>
        <w:t>presented</w:t>
      </w:r>
      <w:r w:rsidR="00714163">
        <w:rPr>
          <w:rFonts w:ascii="Arial" w:hAnsi="Arial"/>
          <w:sz w:val="22"/>
          <w:szCs w:val="22"/>
        </w:rPr>
        <w:t>.</w:t>
      </w:r>
    </w:p>
    <w:p w:rsidR="0076420C" w:rsidRDefault="0076420C" w:rsidP="00553F78">
      <w:pPr>
        <w:pStyle w:val="Heading2"/>
      </w:pPr>
    </w:p>
    <w:p w:rsidR="00141E31" w:rsidRPr="00141E31" w:rsidRDefault="00141E31" w:rsidP="00553F78">
      <w:pPr>
        <w:pStyle w:val="Heading2"/>
      </w:pPr>
      <w:r w:rsidRPr="00141E31">
        <w:t>Estimated PBS usage &amp; financial implications</w:t>
      </w:r>
    </w:p>
    <w:p w:rsidR="005A3173" w:rsidRPr="00882085" w:rsidRDefault="005A3173" w:rsidP="0062748A">
      <w:pPr>
        <w:keepNext/>
        <w:ind w:left="720" w:hanging="720"/>
        <w:jc w:val="both"/>
        <w:rPr>
          <w:rFonts w:ascii="Arial" w:hAnsi="Arial"/>
          <w:sz w:val="22"/>
          <w:szCs w:val="22"/>
        </w:rPr>
      </w:pPr>
    </w:p>
    <w:p w:rsidR="00714163" w:rsidRDefault="00714163" w:rsidP="00FD3869">
      <w:pPr>
        <w:pStyle w:val="ListParagraph"/>
        <w:numPr>
          <w:ilvl w:val="1"/>
          <w:numId w:val="25"/>
        </w:numPr>
        <w:jc w:val="both"/>
        <w:rPr>
          <w:rFonts w:ascii="Arial" w:hAnsi="Arial"/>
          <w:sz w:val="22"/>
          <w:szCs w:val="22"/>
        </w:rPr>
      </w:pPr>
      <w:r w:rsidRPr="00714163">
        <w:rPr>
          <w:rFonts w:ascii="Arial" w:hAnsi="Arial"/>
          <w:sz w:val="22"/>
          <w:szCs w:val="22"/>
        </w:rPr>
        <w:t>The minor submission estimated no incremental cost to the PBS or the government if an ‘a’ flag was to be applied. The submission indicated there was no change in price.</w:t>
      </w:r>
    </w:p>
    <w:p w:rsidR="00250ACA" w:rsidRDefault="00250ACA" w:rsidP="00250ACA">
      <w:pPr>
        <w:pStyle w:val="ListParagraph"/>
        <w:jc w:val="both"/>
        <w:rPr>
          <w:rFonts w:ascii="Arial" w:hAnsi="Arial"/>
          <w:sz w:val="22"/>
          <w:szCs w:val="22"/>
        </w:rPr>
      </w:pPr>
    </w:p>
    <w:p w:rsidR="00BB7EC3" w:rsidRPr="00D970ED" w:rsidRDefault="00250ACA" w:rsidP="002E0875">
      <w:pPr>
        <w:pStyle w:val="ListParagraph"/>
        <w:numPr>
          <w:ilvl w:val="1"/>
          <w:numId w:val="25"/>
        </w:numPr>
        <w:jc w:val="both"/>
        <w:rPr>
          <w:rFonts w:ascii="Arial" w:hAnsi="Arial"/>
          <w:sz w:val="22"/>
          <w:szCs w:val="22"/>
        </w:rPr>
      </w:pPr>
      <w:r w:rsidRPr="00D970ED">
        <w:rPr>
          <w:rFonts w:ascii="Arial" w:hAnsi="Arial"/>
          <w:sz w:val="22"/>
          <w:szCs w:val="22"/>
        </w:rPr>
        <w:t xml:space="preserve">The minor submission stated that the pre-filled syringe should not be treated as a generic competitor of the vial and therefore a price reduction cannot be applied in this case. </w:t>
      </w:r>
      <w:r w:rsidR="00121661" w:rsidRPr="00D970ED">
        <w:rPr>
          <w:rFonts w:ascii="Arial" w:hAnsi="Arial"/>
          <w:sz w:val="22"/>
          <w:szCs w:val="22"/>
        </w:rPr>
        <w:t xml:space="preserve">The </w:t>
      </w:r>
      <w:r w:rsidR="00D970ED" w:rsidRPr="00D970ED">
        <w:rPr>
          <w:rFonts w:ascii="Arial" w:hAnsi="Arial"/>
          <w:sz w:val="22"/>
          <w:szCs w:val="22"/>
        </w:rPr>
        <w:t xml:space="preserve">PBAC noted that the </w:t>
      </w:r>
      <w:r w:rsidR="00121661" w:rsidRPr="00D970ED">
        <w:rPr>
          <w:rFonts w:ascii="Arial" w:hAnsi="Arial"/>
          <w:sz w:val="22"/>
          <w:szCs w:val="22"/>
        </w:rPr>
        <w:t xml:space="preserve">applicability of a statutory price reduction under </w:t>
      </w:r>
      <w:r w:rsidR="00312D99" w:rsidRPr="00D970ED">
        <w:rPr>
          <w:rFonts w:ascii="Arial" w:hAnsi="Arial"/>
          <w:sz w:val="22"/>
          <w:szCs w:val="22"/>
        </w:rPr>
        <w:t>S</w:t>
      </w:r>
      <w:r w:rsidR="00121661" w:rsidRPr="00D970ED">
        <w:rPr>
          <w:rFonts w:ascii="Arial" w:hAnsi="Arial"/>
          <w:sz w:val="22"/>
          <w:szCs w:val="22"/>
        </w:rPr>
        <w:t xml:space="preserve">ection 99 ACB of the National Health Act is a matter </w:t>
      </w:r>
      <w:r w:rsidR="00BD5E32">
        <w:rPr>
          <w:rFonts w:ascii="Arial" w:hAnsi="Arial"/>
          <w:sz w:val="22"/>
          <w:szCs w:val="22"/>
        </w:rPr>
        <w:t>for the Minister and Department</w:t>
      </w:r>
      <w:r w:rsidR="002E0875">
        <w:rPr>
          <w:rFonts w:ascii="Arial" w:hAnsi="Arial"/>
          <w:sz w:val="22"/>
          <w:szCs w:val="22"/>
        </w:rPr>
        <w:t>.</w:t>
      </w:r>
    </w:p>
    <w:p w:rsidR="00BD2D35" w:rsidRDefault="00BD2D35" w:rsidP="00C00DA7">
      <w:pPr>
        <w:jc w:val="both"/>
        <w:rPr>
          <w:rFonts w:ascii="Arial" w:hAnsi="Arial"/>
          <w:sz w:val="22"/>
          <w:szCs w:val="22"/>
        </w:rPr>
      </w:pPr>
    </w:p>
    <w:p w:rsidR="00D530F1" w:rsidRPr="00C00DA7" w:rsidRDefault="00D530F1" w:rsidP="00C00DA7">
      <w:pPr>
        <w:jc w:val="both"/>
        <w:rPr>
          <w:rFonts w:ascii="Arial" w:hAnsi="Arial"/>
          <w:sz w:val="22"/>
          <w:szCs w:val="22"/>
        </w:rPr>
      </w:pPr>
    </w:p>
    <w:p w:rsidR="008A6D44" w:rsidRPr="00C535CB" w:rsidRDefault="008A6D44" w:rsidP="00553F78">
      <w:pPr>
        <w:pStyle w:val="PBACHeading1"/>
      </w:pPr>
      <w:r w:rsidRPr="00C535CB">
        <w:t xml:space="preserve">PBAC Outcome </w:t>
      </w:r>
    </w:p>
    <w:p w:rsidR="008A6D44" w:rsidRPr="00C535CB" w:rsidRDefault="008A6D44" w:rsidP="008A6D44">
      <w:pPr>
        <w:rPr>
          <w:rFonts w:ascii="Arial" w:hAnsi="Arial" w:cs="Arial"/>
          <w:b/>
          <w:sz w:val="22"/>
          <w:szCs w:val="22"/>
        </w:rPr>
      </w:pPr>
    </w:p>
    <w:p w:rsidR="0031598A" w:rsidRPr="0031598A" w:rsidRDefault="008A6D44" w:rsidP="0031598A">
      <w:pPr>
        <w:pStyle w:val="ListParagraph"/>
        <w:numPr>
          <w:ilvl w:val="1"/>
          <w:numId w:val="25"/>
        </w:numPr>
        <w:rPr>
          <w:rFonts w:ascii="Arial" w:hAnsi="Arial" w:cs="Arial"/>
          <w:sz w:val="22"/>
          <w:szCs w:val="22"/>
        </w:rPr>
      </w:pPr>
      <w:r w:rsidRPr="0031598A">
        <w:rPr>
          <w:rFonts w:ascii="Arial" w:hAnsi="Arial" w:cs="Arial"/>
          <w:sz w:val="22"/>
          <w:szCs w:val="22"/>
        </w:rPr>
        <w:t>The PBAC</w:t>
      </w:r>
      <w:r w:rsidR="00312D99" w:rsidRPr="0031598A">
        <w:rPr>
          <w:rFonts w:ascii="Arial" w:hAnsi="Arial" w:cs="Arial"/>
          <w:sz w:val="22"/>
          <w:szCs w:val="22"/>
        </w:rPr>
        <w:t xml:space="preserve"> </w:t>
      </w:r>
      <w:r w:rsidR="00141E31" w:rsidRPr="0031598A">
        <w:rPr>
          <w:rFonts w:ascii="Arial" w:hAnsi="Arial" w:cs="Arial"/>
          <w:sz w:val="22"/>
          <w:szCs w:val="22"/>
        </w:rPr>
        <w:t>advised</w:t>
      </w:r>
      <w:r w:rsidR="00312D99" w:rsidRPr="0031598A">
        <w:rPr>
          <w:rFonts w:ascii="Arial" w:hAnsi="Arial" w:cs="Arial"/>
          <w:sz w:val="22"/>
          <w:szCs w:val="22"/>
        </w:rPr>
        <w:t xml:space="preserve"> the Minister that aflibercept vial </w:t>
      </w:r>
      <w:r w:rsidR="0031598A" w:rsidRPr="0031598A">
        <w:rPr>
          <w:rFonts w:ascii="Arial" w:hAnsi="Arial" w:cs="Arial"/>
          <w:sz w:val="22"/>
          <w:szCs w:val="22"/>
        </w:rPr>
        <w:t>could be considered equivalent for the purposes of substitution at the point of dispensing</w:t>
      </w:r>
      <w:r w:rsidR="0031598A" w:rsidRPr="0031598A" w:rsidDel="0031598A">
        <w:rPr>
          <w:rFonts w:ascii="Arial" w:hAnsi="Arial" w:cs="Arial"/>
          <w:sz w:val="22"/>
          <w:szCs w:val="22"/>
        </w:rPr>
        <w:t xml:space="preserve"> </w:t>
      </w:r>
      <w:r w:rsidR="00312D99" w:rsidRPr="0031598A">
        <w:rPr>
          <w:rFonts w:ascii="Arial" w:hAnsi="Arial" w:cs="Arial"/>
          <w:sz w:val="22"/>
          <w:szCs w:val="22"/>
        </w:rPr>
        <w:t xml:space="preserve">(‘a’ flagged in the schedule) with aflibercept pre-filled syringe at the commencement of listing of the pre-filled syringe for all recommended indications. </w:t>
      </w:r>
      <w:r w:rsidR="00312D99" w:rsidRPr="0031598A">
        <w:rPr>
          <w:rFonts w:ascii="Arial" w:hAnsi="Arial" w:cs="Arial"/>
          <w:i/>
          <w:sz w:val="22"/>
          <w:szCs w:val="22"/>
        </w:rPr>
        <w:t xml:space="preserve"> </w:t>
      </w:r>
      <w:r w:rsidRPr="0031598A">
        <w:rPr>
          <w:rFonts w:ascii="Arial" w:hAnsi="Arial" w:cs="Arial"/>
          <w:sz w:val="22"/>
          <w:szCs w:val="22"/>
        </w:rPr>
        <w:t xml:space="preserve"> </w:t>
      </w:r>
      <w:r w:rsidR="0031598A" w:rsidRPr="0031598A">
        <w:rPr>
          <w:rFonts w:ascii="Arial" w:hAnsi="Arial" w:cs="Arial"/>
          <w:sz w:val="22"/>
          <w:szCs w:val="22"/>
        </w:rPr>
        <w:t xml:space="preserve">The PBAC </w:t>
      </w:r>
      <w:r w:rsidR="009870D7">
        <w:rPr>
          <w:rFonts w:ascii="Arial" w:hAnsi="Arial" w:cs="Arial"/>
          <w:sz w:val="22"/>
          <w:szCs w:val="22"/>
        </w:rPr>
        <w:t>noted that</w:t>
      </w:r>
      <w:r w:rsidR="0031598A" w:rsidRPr="0031598A">
        <w:rPr>
          <w:rFonts w:ascii="Arial" w:hAnsi="Arial" w:cs="Arial"/>
          <w:sz w:val="22"/>
          <w:szCs w:val="22"/>
        </w:rPr>
        <w:t xml:space="preserve"> a smaller amount of drug is presented in </w:t>
      </w:r>
      <w:r w:rsidR="009870D7">
        <w:rPr>
          <w:rFonts w:ascii="Arial" w:hAnsi="Arial" w:cs="Arial"/>
          <w:sz w:val="22"/>
          <w:szCs w:val="22"/>
        </w:rPr>
        <w:t>a</w:t>
      </w:r>
      <w:r w:rsidR="0031598A" w:rsidRPr="0031598A">
        <w:rPr>
          <w:rFonts w:ascii="Arial" w:hAnsi="Arial" w:cs="Arial"/>
          <w:sz w:val="22"/>
          <w:szCs w:val="22"/>
        </w:rPr>
        <w:t xml:space="preserve"> pre-filled syringe compared to a vial.  </w:t>
      </w:r>
    </w:p>
    <w:p w:rsidR="008A6D44" w:rsidRPr="00C535CB" w:rsidRDefault="008A6D44" w:rsidP="002E0875">
      <w:pPr>
        <w:pStyle w:val="ListParagraph"/>
        <w:jc w:val="both"/>
        <w:rPr>
          <w:rFonts w:ascii="Arial" w:hAnsi="Arial" w:cs="Arial"/>
          <w:sz w:val="22"/>
          <w:szCs w:val="22"/>
        </w:rPr>
      </w:pPr>
    </w:p>
    <w:p w:rsidR="008A6D44" w:rsidRPr="00C535CB" w:rsidRDefault="008A6D44" w:rsidP="008A6D44">
      <w:pPr>
        <w:rPr>
          <w:rFonts w:ascii="Arial" w:hAnsi="Arial" w:cs="Arial"/>
          <w:sz w:val="22"/>
          <w:szCs w:val="22"/>
        </w:rPr>
      </w:pPr>
    </w:p>
    <w:p w:rsidR="008A6D44" w:rsidRPr="00C535CB" w:rsidRDefault="008A6D44" w:rsidP="008A6D44">
      <w:pPr>
        <w:rPr>
          <w:rFonts w:ascii="Arial" w:hAnsi="Arial" w:cs="Arial"/>
          <w:b/>
          <w:sz w:val="22"/>
          <w:szCs w:val="22"/>
        </w:rPr>
      </w:pPr>
      <w:r w:rsidRPr="00C535CB">
        <w:rPr>
          <w:rFonts w:ascii="Arial" w:hAnsi="Arial" w:cs="Arial"/>
          <w:b/>
          <w:sz w:val="22"/>
          <w:szCs w:val="22"/>
        </w:rPr>
        <w:t>Outcome:</w:t>
      </w:r>
    </w:p>
    <w:p w:rsidR="008A6D44" w:rsidRDefault="008A6D44" w:rsidP="008A6D44">
      <w:pPr>
        <w:rPr>
          <w:rFonts w:ascii="Arial" w:hAnsi="Arial" w:cs="Arial"/>
          <w:sz w:val="22"/>
          <w:szCs w:val="22"/>
        </w:rPr>
      </w:pPr>
      <w:r w:rsidRPr="00C535CB">
        <w:rPr>
          <w:rFonts w:ascii="Arial" w:hAnsi="Arial" w:cs="Arial"/>
          <w:sz w:val="22"/>
          <w:szCs w:val="22"/>
        </w:rPr>
        <w:t xml:space="preserve">Recommended </w:t>
      </w:r>
    </w:p>
    <w:p w:rsidR="008A6D44" w:rsidRPr="00C535CB" w:rsidRDefault="008A6D44" w:rsidP="008A6D44">
      <w:pPr>
        <w:rPr>
          <w:rFonts w:ascii="Arial" w:hAnsi="Arial" w:cs="Arial"/>
          <w:sz w:val="22"/>
          <w:szCs w:val="22"/>
        </w:rPr>
      </w:pPr>
    </w:p>
    <w:p w:rsidR="008A6D44" w:rsidRPr="00C535CB" w:rsidRDefault="008A6D44" w:rsidP="00553F78">
      <w:pPr>
        <w:pStyle w:val="PBACHeading1"/>
        <w:rPr>
          <w:i/>
        </w:rPr>
      </w:pPr>
      <w:r w:rsidRPr="00C535CB">
        <w:t>Recommended listing</w:t>
      </w:r>
    </w:p>
    <w:p w:rsidR="008A6D44" w:rsidRPr="00C535CB" w:rsidRDefault="008A6D44" w:rsidP="008A6D44">
      <w:pPr>
        <w:rPr>
          <w:rFonts w:ascii="Arial" w:hAnsi="Arial" w:cs="Arial"/>
          <w:sz w:val="22"/>
          <w:szCs w:val="22"/>
        </w:rPr>
      </w:pPr>
    </w:p>
    <w:p w:rsidR="00141E31" w:rsidRPr="00141E31" w:rsidRDefault="00141E31" w:rsidP="00141E31">
      <w:pPr>
        <w:pStyle w:val="ListParagraph"/>
        <w:numPr>
          <w:ilvl w:val="1"/>
          <w:numId w:val="25"/>
        </w:numPr>
        <w:jc w:val="both"/>
        <w:rPr>
          <w:rFonts w:ascii="Arial" w:hAnsi="Arial" w:cs="Arial"/>
          <w:sz w:val="22"/>
        </w:rPr>
      </w:pPr>
      <w:r w:rsidRPr="00141E31">
        <w:rPr>
          <w:rFonts w:ascii="Arial" w:hAnsi="Arial" w:cs="Arial"/>
          <w:sz w:val="22"/>
        </w:rPr>
        <w:t>Amend listing as follows:</w:t>
      </w:r>
    </w:p>
    <w:p w:rsidR="008A6D44" w:rsidRDefault="008A6D44" w:rsidP="00141E31">
      <w:pPr>
        <w:jc w:val="both"/>
        <w:rPr>
          <w:rFonts w:ascii="Arial" w:hAnsi="Arial" w:cs="Arial"/>
          <w:sz w:val="22"/>
          <w:szCs w:val="22"/>
        </w:rPr>
      </w:pPr>
    </w:p>
    <w:p w:rsidR="00141E31" w:rsidRDefault="00141E31" w:rsidP="00C05ABD">
      <w:pPr>
        <w:ind w:left="720"/>
        <w:jc w:val="both"/>
        <w:rPr>
          <w:rFonts w:ascii="Arial" w:hAnsi="Arial" w:cs="Arial"/>
          <w:sz w:val="22"/>
          <w:szCs w:val="22"/>
        </w:rPr>
      </w:pPr>
      <w:r>
        <w:rPr>
          <w:rFonts w:ascii="Arial" w:hAnsi="Arial" w:cs="Arial"/>
          <w:sz w:val="22"/>
          <w:szCs w:val="22"/>
        </w:rPr>
        <w:t xml:space="preserve">Add NOTE to PBS Item </w:t>
      </w:r>
      <w:r w:rsidR="00C05ABD">
        <w:rPr>
          <w:rFonts w:ascii="Arial" w:hAnsi="Arial" w:cs="Arial"/>
          <w:sz w:val="22"/>
          <w:szCs w:val="22"/>
        </w:rPr>
        <w:t>2168D and to PBS restrictions for macular oedema secondary to central retinal vein occlusion</w:t>
      </w:r>
      <w:r w:rsidR="00CF3424">
        <w:rPr>
          <w:rFonts w:ascii="Arial" w:hAnsi="Arial" w:cs="Arial"/>
          <w:sz w:val="22"/>
          <w:szCs w:val="22"/>
        </w:rPr>
        <w:t xml:space="preserve"> (CRVO)</w:t>
      </w:r>
      <w:r w:rsidR="00C05ABD">
        <w:rPr>
          <w:rFonts w:ascii="Arial" w:hAnsi="Arial" w:cs="Arial"/>
          <w:sz w:val="22"/>
          <w:szCs w:val="22"/>
        </w:rPr>
        <w:t xml:space="preserve"> and diabetic macular oedema</w:t>
      </w:r>
      <w:r w:rsidR="00CF3424">
        <w:rPr>
          <w:rFonts w:ascii="Arial" w:hAnsi="Arial" w:cs="Arial"/>
          <w:sz w:val="22"/>
          <w:szCs w:val="22"/>
        </w:rPr>
        <w:t xml:space="preserve"> (DME)</w:t>
      </w:r>
      <w:r w:rsidR="00C05ABD">
        <w:rPr>
          <w:rFonts w:ascii="Arial" w:hAnsi="Arial" w:cs="Arial"/>
          <w:sz w:val="22"/>
          <w:szCs w:val="22"/>
        </w:rPr>
        <w:t xml:space="preserve"> recommended by the PBAC in November 2014 PBAC meeting </w:t>
      </w:r>
      <w:r>
        <w:rPr>
          <w:rFonts w:ascii="Arial" w:hAnsi="Arial" w:cs="Arial"/>
          <w:sz w:val="22"/>
          <w:szCs w:val="22"/>
        </w:rPr>
        <w:t>as follows:</w:t>
      </w:r>
    </w:p>
    <w:p w:rsidR="00141E31" w:rsidRDefault="00141E31" w:rsidP="00141E31">
      <w:pPr>
        <w:jc w:val="both"/>
        <w:rPr>
          <w:rFonts w:ascii="Arial" w:hAnsi="Arial" w:cs="Arial"/>
          <w:sz w:val="22"/>
          <w:szCs w:val="22"/>
        </w:rPr>
      </w:pPr>
    </w:p>
    <w:p w:rsidR="00141E31" w:rsidRPr="00F862B8" w:rsidRDefault="00141E31" w:rsidP="00141E31">
      <w:pPr>
        <w:widowControl w:val="0"/>
        <w:ind w:firstLine="720"/>
        <w:jc w:val="both"/>
        <w:rPr>
          <w:rFonts w:ascii="Arial" w:hAnsi="Arial" w:cs="Arial"/>
          <w:bCs/>
          <w:snapToGrid w:val="0"/>
          <w:sz w:val="22"/>
          <w:szCs w:val="22"/>
          <w:u w:val="single"/>
        </w:rPr>
      </w:pPr>
      <w:r w:rsidRPr="00F862B8">
        <w:rPr>
          <w:rFonts w:ascii="Arial" w:hAnsi="Arial" w:cs="Arial"/>
          <w:bCs/>
          <w:snapToGrid w:val="0"/>
          <w:sz w:val="22"/>
          <w:szCs w:val="22"/>
          <w:u w:val="single"/>
        </w:rPr>
        <w:t>Note</w:t>
      </w:r>
    </w:p>
    <w:p w:rsidR="00141E31" w:rsidRDefault="00141E31" w:rsidP="00141E31">
      <w:pPr>
        <w:widowControl w:val="0"/>
        <w:ind w:left="720"/>
        <w:jc w:val="both"/>
        <w:rPr>
          <w:rFonts w:ascii="Arial" w:hAnsi="Arial" w:cs="Arial"/>
          <w:bCs/>
          <w:snapToGrid w:val="0"/>
          <w:sz w:val="22"/>
          <w:szCs w:val="22"/>
        </w:rPr>
      </w:pPr>
      <w:r w:rsidRPr="00F862B8">
        <w:rPr>
          <w:rFonts w:ascii="Arial" w:hAnsi="Arial" w:cs="Arial"/>
          <w:bCs/>
          <w:snapToGrid w:val="0"/>
          <w:sz w:val="22"/>
          <w:szCs w:val="22"/>
        </w:rPr>
        <w:t xml:space="preserve">Pharmaceutical benefits that have the form </w:t>
      </w:r>
      <w:r>
        <w:rPr>
          <w:rFonts w:ascii="Arial" w:hAnsi="Arial" w:cs="Arial"/>
          <w:bCs/>
          <w:snapToGrid w:val="0"/>
          <w:sz w:val="22"/>
          <w:szCs w:val="22"/>
        </w:rPr>
        <w:t xml:space="preserve">aflibercept </w:t>
      </w:r>
      <w:r w:rsidR="004B5A64">
        <w:rPr>
          <w:rFonts w:ascii="Arial" w:hAnsi="Arial" w:cs="Arial"/>
          <w:bCs/>
          <w:snapToGrid w:val="0"/>
          <w:sz w:val="22"/>
          <w:szCs w:val="22"/>
        </w:rPr>
        <w:t xml:space="preserve">0.1mL </w:t>
      </w:r>
      <w:r>
        <w:rPr>
          <w:rFonts w:ascii="Arial" w:hAnsi="Arial" w:cs="Arial"/>
          <w:bCs/>
          <w:snapToGrid w:val="0"/>
          <w:sz w:val="22"/>
          <w:szCs w:val="22"/>
        </w:rPr>
        <w:t xml:space="preserve">injection vial </w:t>
      </w:r>
      <w:r w:rsidRPr="00F862B8">
        <w:rPr>
          <w:rFonts w:ascii="Arial" w:hAnsi="Arial" w:cs="Arial"/>
          <w:bCs/>
          <w:snapToGrid w:val="0"/>
          <w:sz w:val="22"/>
          <w:szCs w:val="22"/>
        </w:rPr>
        <w:t xml:space="preserve">and pharmaceutical benefits that have the form </w:t>
      </w:r>
      <w:r>
        <w:rPr>
          <w:rFonts w:ascii="Arial" w:hAnsi="Arial" w:cs="Arial"/>
          <w:bCs/>
          <w:snapToGrid w:val="0"/>
          <w:sz w:val="22"/>
          <w:szCs w:val="22"/>
        </w:rPr>
        <w:t xml:space="preserve">aflibercept </w:t>
      </w:r>
      <w:r w:rsidR="004B5A64">
        <w:rPr>
          <w:rFonts w:ascii="Arial" w:hAnsi="Arial" w:cs="Arial"/>
          <w:bCs/>
          <w:snapToGrid w:val="0"/>
          <w:sz w:val="22"/>
          <w:szCs w:val="22"/>
        </w:rPr>
        <w:t xml:space="preserve">0.09mL </w:t>
      </w:r>
      <w:r>
        <w:rPr>
          <w:rFonts w:ascii="Arial" w:hAnsi="Arial" w:cs="Arial"/>
          <w:bCs/>
          <w:snapToGrid w:val="0"/>
          <w:sz w:val="22"/>
          <w:szCs w:val="22"/>
        </w:rPr>
        <w:t>injection</w:t>
      </w:r>
      <w:r w:rsidRPr="00F862B8">
        <w:rPr>
          <w:rFonts w:ascii="Arial" w:hAnsi="Arial" w:cs="Arial"/>
          <w:bCs/>
          <w:snapToGrid w:val="0"/>
          <w:sz w:val="22"/>
          <w:szCs w:val="22"/>
        </w:rPr>
        <w:t xml:space="preserve"> syringe are equivalent for the purposes of substitution.</w:t>
      </w:r>
    </w:p>
    <w:p w:rsidR="008A6D44" w:rsidRPr="00C535CB" w:rsidRDefault="008A6D44" w:rsidP="008A6D44">
      <w:pPr>
        <w:rPr>
          <w:rFonts w:ascii="Arial" w:hAnsi="Arial" w:cs="Arial"/>
          <w:sz w:val="22"/>
          <w:szCs w:val="22"/>
        </w:rPr>
      </w:pPr>
    </w:p>
    <w:p w:rsidR="00D4207D" w:rsidRPr="00D4207D" w:rsidRDefault="00D4207D" w:rsidP="00553F78">
      <w:pPr>
        <w:pStyle w:val="PBACHeading1"/>
      </w:pPr>
      <w:r w:rsidRPr="00D4207D">
        <w:t>Context for Decision</w:t>
      </w:r>
    </w:p>
    <w:p w:rsidR="00D4207D" w:rsidRPr="00D4420F" w:rsidRDefault="00D4207D" w:rsidP="00D4207D">
      <w:pPr>
        <w:pStyle w:val="ListParagraph"/>
        <w:rPr>
          <w:b/>
        </w:rPr>
      </w:pPr>
    </w:p>
    <w:p w:rsidR="00D4207D" w:rsidRPr="00D4207D" w:rsidRDefault="00D4207D" w:rsidP="00D4207D">
      <w:pPr>
        <w:ind w:left="720"/>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4207D" w:rsidRPr="00D4420F" w:rsidRDefault="00D4207D" w:rsidP="00D4207D"/>
    <w:p w:rsidR="00E367F5" w:rsidRDefault="00D4207D" w:rsidP="00553F78">
      <w:pPr>
        <w:pStyle w:val="PBACHeading1"/>
      </w:pPr>
      <w:r w:rsidRPr="00D4207D">
        <w:t>Sponsor’s Comment</w:t>
      </w:r>
    </w:p>
    <w:p w:rsidR="00E367F5" w:rsidRDefault="00E367F5" w:rsidP="00553F78">
      <w:pPr>
        <w:pStyle w:val="PBACHeading1"/>
        <w:numPr>
          <w:ilvl w:val="0"/>
          <w:numId w:val="0"/>
        </w:numPr>
        <w:ind w:left="720"/>
      </w:pPr>
    </w:p>
    <w:p w:rsidR="00E367F5" w:rsidRPr="00553F78" w:rsidRDefault="00E367F5" w:rsidP="00553F78">
      <w:pPr>
        <w:pStyle w:val="PBACHeading1"/>
        <w:numPr>
          <w:ilvl w:val="0"/>
          <w:numId w:val="0"/>
        </w:numPr>
        <w:ind w:left="720"/>
        <w:rPr>
          <w:b w:val="0"/>
        </w:rPr>
      </w:pPr>
      <w:r w:rsidRPr="00553F78">
        <w:rPr>
          <w:b w:val="0"/>
        </w:rPr>
        <w:t xml:space="preserve">The Sponsor had no comment. </w:t>
      </w:r>
    </w:p>
    <w:sectPr w:rsidR="00E367F5" w:rsidRPr="00553F78"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0A" w:rsidRDefault="00DB520A">
      <w:r>
        <w:separator/>
      </w:r>
    </w:p>
  </w:endnote>
  <w:endnote w:type="continuationSeparator" w:id="0">
    <w:p w:rsidR="00DB520A" w:rsidRDefault="00DB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B2BD5" w:rsidTr="005A3173">
      <w:trPr>
        <w:trHeight w:val="151"/>
      </w:trPr>
      <w:tc>
        <w:tcPr>
          <w:tcW w:w="2250" w:type="pct"/>
          <w:tcBorders>
            <w:top w:val="nil"/>
            <w:left w:val="nil"/>
            <w:bottom w:val="single" w:sz="4" w:space="0" w:color="4F81BD"/>
            <w:right w:val="nil"/>
          </w:tcBorders>
        </w:tcPr>
        <w:p w:rsidR="00AB2BD5" w:rsidRPr="005A3173" w:rsidRDefault="00AB2B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B2BD5" w:rsidRPr="005A3173" w:rsidRDefault="00AB2B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B2BD5" w:rsidRPr="005A3173" w:rsidRDefault="00AB2BD5" w:rsidP="005A3173">
          <w:pPr>
            <w:pStyle w:val="Header"/>
            <w:spacing w:line="276" w:lineRule="auto"/>
            <w:rPr>
              <w:rFonts w:ascii="Calibri" w:eastAsia="MS Gothic" w:hAnsi="Calibri"/>
              <w:b/>
              <w:bCs/>
              <w:color w:val="4F81BD"/>
            </w:rPr>
          </w:pPr>
        </w:p>
      </w:tc>
    </w:tr>
    <w:tr w:rsidR="00AB2BD5" w:rsidTr="005A3173">
      <w:trPr>
        <w:trHeight w:val="150"/>
      </w:trPr>
      <w:tc>
        <w:tcPr>
          <w:tcW w:w="2250" w:type="pct"/>
          <w:tcBorders>
            <w:top w:val="single" w:sz="4" w:space="0" w:color="4F81BD"/>
            <w:left w:val="nil"/>
            <w:bottom w:val="nil"/>
            <w:right w:val="nil"/>
          </w:tcBorders>
        </w:tcPr>
        <w:p w:rsidR="00AB2BD5" w:rsidRPr="005A3173" w:rsidRDefault="00AB2BD5" w:rsidP="005A3173">
          <w:pPr>
            <w:pStyle w:val="Header"/>
            <w:spacing w:line="276" w:lineRule="auto"/>
            <w:rPr>
              <w:rFonts w:ascii="Calibri" w:eastAsia="MS Gothic" w:hAnsi="Calibri"/>
              <w:b/>
              <w:bCs/>
              <w:color w:val="4F81BD"/>
            </w:rPr>
          </w:pPr>
        </w:p>
      </w:tc>
      <w:tc>
        <w:tcPr>
          <w:tcW w:w="0" w:type="auto"/>
          <w:vMerge/>
          <w:vAlign w:val="center"/>
          <w:hideMark/>
        </w:tcPr>
        <w:p w:rsidR="00AB2BD5" w:rsidRPr="005A3173" w:rsidRDefault="00AB2B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AB2BD5" w:rsidRPr="005A3173" w:rsidRDefault="00AB2BD5" w:rsidP="005A3173">
          <w:pPr>
            <w:pStyle w:val="Header"/>
            <w:spacing w:line="276" w:lineRule="auto"/>
            <w:rPr>
              <w:rFonts w:ascii="Calibri" w:eastAsia="MS Gothic" w:hAnsi="Calibri"/>
              <w:b/>
              <w:bCs/>
              <w:color w:val="4F81BD"/>
            </w:rPr>
          </w:pPr>
        </w:p>
      </w:tc>
    </w:tr>
  </w:tbl>
  <w:p w:rsidR="00AB2BD5" w:rsidRDefault="00EB1A47" w:rsidP="00653D69">
    <w:pPr>
      <w:pStyle w:val="Footer"/>
      <w:framePr w:wrap="around" w:vAnchor="text" w:hAnchor="margin" w:xAlign="center" w:y="1"/>
      <w:rPr>
        <w:rStyle w:val="PageNumber"/>
      </w:rPr>
    </w:pPr>
    <w:r>
      <w:rPr>
        <w:rStyle w:val="PageNumber"/>
      </w:rPr>
      <w:fldChar w:fldCharType="begin"/>
    </w:r>
    <w:r w:rsidR="00AB2BD5">
      <w:rPr>
        <w:rStyle w:val="PageNumber"/>
      </w:rPr>
      <w:instrText xml:space="preserve">PAGE  </w:instrText>
    </w:r>
    <w:r>
      <w:rPr>
        <w:rStyle w:val="PageNumber"/>
      </w:rPr>
      <w:fldChar w:fldCharType="separate"/>
    </w:r>
    <w:r w:rsidR="00441407">
      <w:rPr>
        <w:rStyle w:val="PageNumber"/>
        <w:noProof/>
      </w:rPr>
      <w:t>2</w:t>
    </w:r>
    <w:r>
      <w:rPr>
        <w:rStyle w:val="PageNumber"/>
      </w:rPr>
      <w:fldChar w:fldCharType="end"/>
    </w:r>
  </w:p>
  <w:p w:rsidR="00AB2BD5" w:rsidRDefault="00AB2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D5" w:rsidRDefault="00AB2BD5" w:rsidP="00EF44A0">
    <w:pPr>
      <w:pStyle w:val="Footer"/>
      <w:jc w:val="center"/>
      <w:rPr>
        <w:rFonts w:ascii="Arial" w:hAnsi="Arial" w:cs="Arial"/>
        <w:b/>
        <w:sz w:val="20"/>
        <w:szCs w:val="20"/>
      </w:rPr>
    </w:pPr>
  </w:p>
  <w:p w:rsidR="00AB2BD5" w:rsidRPr="008A6D44" w:rsidRDefault="00215761">
    <w:pPr>
      <w:pStyle w:val="Footer"/>
      <w:jc w:val="center"/>
      <w:rPr>
        <w:rFonts w:ascii="Arial" w:hAnsi="Arial" w:cs="Arial"/>
        <w:sz w:val="22"/>
      </w:rPr>
    </w:pPr>
    <w:sdt>
      <w:sdtPr>
        <w:id w:val="646254239"/>
        <w:docPartObj>
          <w:docPartGallery w:val="Page Numbers (Bottom of Page)"/>
          <w:docPartUnique/>
        </w:docPartObj>
      </w:sdtPr>
      <w:sdtEndPr>
        <w:rPr>
          <w:rFonts w:ascii="Arial" w:hAnsi="Arial" w:cs="Arial"/>
          <w:noProof/>
          <w:sz w:val="22"/>
        </w:rPr>
      </w:sdtEndPr>
      <w:sdtContent>
        <w:r w:rsidR="00EB1A47" w:rsidRPr="008A6D44">
          <w:rPr>
            <w:rFonts w:ascii="Arial" w:hAnsi="Arial" w:cs="Arial"/>
            <w:sz w:val="22"/>
          </w:rPr>
          <w:fldChar w:fldCharType="begin"/>
        </w:r>
        <w:r w:rsidR="00AB2BD5" w:rsidRPr="008A6D44">
          <w:rPr>
            <w:rFonts w:ascii="Arial" w:hAnsi="Arial" w:cs="Arial"/>
            <w:sz w:val="22"/>
          </w:rPr>
          <w:instrText xml:space="preserve"> PAGE   \* MERGEFORMAT </w:instrText>
        </w:r>
        <w:r w:rsidR="00EB1A47" w:rsidRPr="008A6D44">
          <w:rPr>
            <w:rFonts w:ascii="Arial" w:hAnsi="Arial" w:cs="Arial"/>
            <w:sz w:val="22"/>
          </w:rPr>
          <w:fldChar w:fldCharType="separate"/>
        </w:r>
        <w:r>
          <w:rPr>
            <w:rFonts w:ascii="Arial" w:hAnsi="Arial" w:cs="Arial"/>
            <w:noProof/>
            <w:sz w:val="22"/>
          </w:rPr>
          <w:t>3</w:t>
        </w:r>
        <w:r w:rsidR="00EB1A47" w:rsidRPr="008A6D44">
          <w:rPr>
            <w:rFonts w:ascii="Arial" w:hAnsi="Arial" w:cs="Arial"/>
            <w:noProof/>
            <w:sz w:val="22"/>
          </w:rPr>
          <w:fldChar w:fldCharType="end"/>
        </w:r>
      </w:sdtContent>
    </w:sdt>
  </w:p>
  <w:p w:rsidR="00AB2BD5" w:rsidRPr="008F1434" w:rsidRDefault="00AB2BD5"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B2BD5" w:rsidTr="005A3173">
      <w:trPr>
        <w:trHeight w:val="151"/>
      </w:trPr>
      <w:tc>
        <w:tcPr>
          <w:tcW w:w="2250" w:type="pct"/>
          <w:tcBorders>
            <w:top w:val="nil"/>
            <w:left w:val="nil"/>
            <w:bottom w:val="single" w:sz="4" w:space="0" w:color="4F81BD"/>
            <w:right w:val="nil"/>
          </w:tcBorders>
        </w:tcPr>
        <w:p w:rsidR="00AB2BD5" w:rsidRPr="005A3173" w:rsidRDefault="00AB2B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B2BD5" w:rsidRPr="005A3173" w:rsidRDefault="00AB2B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B2BD5" w:rsidRPr="005A3173" w:rsidRDefault="00AB2BD5" w:rsidP="005A3173">
          <w:pPr>
            <w:pStyle w:val="Header"/>
            <w:spacing w:line="276" w:lineRule="auto"/>
            <w:rPr>
              <w:rFonts w:ascii="Calibri" w:eastAsia="MS Gothic" w:hAnsi="Calibri"/>
              <w:b/>
              <w:bCs/>
              <w:color w:val="4F81BD"/>
            </w:rPr>
          </w:pPr>
        </w:p>
      </w:tc>
    </w:tr>
    <w:tr w:rsidR="00AB2BD5" w:rsidTr="005A3173">
      <w:trPr>
        <w:trHeight w:val="150"/>
      </w:trPr>
      <w:tc>
        <w:tcPr>
          <w:tcW w:w="2250" w:type="pct"/>
          <w:tcBorders>
            <w:top w:val="single" w:sz="4" w:space="0" w:color="4F81BD"/>
            <w:left w:val="nil"/>
            <w:bottom w:val="nil"/>
            <w:right w:val="nil"/>
          </w:tcBorders>
        </w:tcPr>
        <w:p w:rsidR="00AB2BD5" w:rsidRPr="005A3173" w:rsidRDefault="00AB2BD5" w:rsidP="005A3173">
          <w:pPr>
            <w:pStyle w:val="Header"/>
            <w:spacing w:line="276" w:lineRule="auto"/>
            <w:rPr>
              <w:rFonts w:ascii="Calibri" w:eastAsia="MS Gothic" w:hAnsi="Calibri"/>
              <w:b/>
              <w:bCs/>
              <w:color w:val="4F81BD"/>
            </w:rPr>
          </w:pPr>
        </w:p>
      </w:tc>
      <w:tc>
        <w:tcPr>
          <w:tcW w:w="0" w:type="auto"/>
          <w:vMerge/>
          <w:vAlign w:val="center"/>
          <w:hideMark/>
        </w:tcPr>
        <w:p w:rsidR="00AB2BD5" w:rsidRPr="005A3173" w:rsidRDefault="00AB2B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AB2BD5" w:rsidRPr="005A3173" w:rsidRDefault="00AB2BD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B2BD5" w:rsidTr="005A3173">
      <w:trPr>
        <w:trHeight w:val="151"/>
      </w:trPr>
      <w:tc>
        <w:tcPr>
          <w:tcW w:w="2250" w:type="pct"/>
          <w:tcBorders>
            <w:top w:val="nil"/>
            <w:left w:val="nil"/>
            <w:bottom w:val="single" w:sz="4" w:space="0" w:color="4F81BD"/>
            <w:right w:val="nil"/>
          </w:tcBorders>
        </w:tcPr>
        <w:p w:rsidR="00AB2BD5" w:rsidRPr="005A3173" w:rsidRDefault="00AB2B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B2BD5" w:rsidRPr="005A3173" w:rsidRDefault="00AB2B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B2BD5" w:rsidRPr="005A3173" w:rsidRDefault="00AB2BD5" w:rsidP="005A3173">
          <w:pPr>
            <w:pStyle w:val="Header"/>
            <w:spacing w:line="276" w:lineRule="auto"/>
            <w:rPr>
              <w:rFonts w:ascii="Calibri" w:eastAsia="MS Gothic" w:hAnsi="Calibri"/>
              <w:b/>
              <w:bCs/>
              <w:color w:val="4F81BD"/>
            </w:rPr>
          </w:pPr>
        </w:p>
      </w:tc>
    </w:tr>
    <w:tr w:rsidR="00AB2BD5" w:rsidTr="005A3173">
      <w:trPr>
        <w:trHeight w:val="150"/>
      </w:trPr>
      <w:tc>
        <w:tcPr>
          <w:tcW w:w="2250" w:type="pct"/>
          <w:tcBorders>
            <w:top w:val="single" w:sz="4" w:space="0" w:color="4F81BD"/>
            <w:left w:val="nil"/>
            <w:bottom w:val="nil"/>
            <w:right w:val="nil"/>
          </w:tcBorders>
        </w:tcPr>
        <w:p w:rsidR="00AB2BD5" w:rsidRPr="005A3173" w:rsidRDefault="00AB2BD5" w:rsidP="005A3173">
          <w:pPr>
            <w:pStyle w:val="Header"/>
            <w:spacing w:line="276" w:lineRule="auto"/>
            <w:rPr>
              <w:rFonts w:ascii="Calibri" w:eastAsia="MS Gothic" w:hAnsi="Calibri"/>
              <w:b/>
              <w:bCs/>
              <w:color w:val="4F81BD"/>
            </w:rPr>
          </w:pPr>
        </w:p>
      </w:tc>
      <w:tc>
        <w:tcPr>
          <w:tcW w:w="0" w:type="auto"/>
          <w:vMerge/>
          <w:vAlign w:val="center"/>
          <w:hideMark/>
        </w:tcPr>
        <w:p w:rsidR="00AB2BD5" w:rsidRPr="005A3173" w:rsidRDefault="00AB2B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AB2BD5" w:rsidRPr="005A3173" w:rsidRDefault="00AB2BD5" w:rsidP="005A3173">
          <w:pPr>
            <w:pStyle w:val="Header"/>
            <w:spacing w:line="276" w:lineRule="auto"/>
            <w:rPr>
              <w:rFonts w:ascii="Calibri" w:eastAsia="MS Gothic" w:hAnsi="Calibri"/>
              <w:b/>
              <w:bCs/>
              <w:color w:val="4F81BD"/>
            </w:rPr>
          </w:pPr>
        </w:p>
      </w:tc>
    </w:tr>
  </w:tbl>
  <w:p w:rsidR="00AB2BD5" w:rsidRPr="007C0F57" w:rsidRDefault="00AB2BD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EB1A47">
      <w:rPr>
        <w:rStyle w:val="PageNumber"/>
      </w:rPr>
      <w:fldChar w:fldCharType="begin"/>
    </w:r>
    <w:r>
      <w:rPr>
        <w:rStyle w:val="PageNumber"/>
      </w:rPr>
      <w:instrText xml:space="preserve"> PAGE </w:instrText>
    </w:r>
    <w:r w:rsidR="00EB1A47">
      <w:rPr>
        <w:rStyle w:val="PageNumber"/>
      </w:rPr>
      <w:fldChar w:fldCharType="separate"/>
    </w:r>
    <w:r w:rsidR="00441407">
      <w:rPr>
        <w:rStyle w:val="PageNumber"/>
        <w:noProof/>
      </w:rPr>
      <w:t>2</w:t>
    </w:r>
    <w:r w:rsidR="00EB1A47">
      <w:rPr>
        <w:rStyle w:val="PageNumber"/>
      </w:rPr>
      <w:fldChar w:fldCharType="end"/>
    </w:r>
    <w:r w:rsidRPr="007C0F57">
      <w:rPr>
        <w:b/>
        <w:i/>
        <w:sz w:val="20"/>
        <w:szCs w:val="20"/>
      </w:rPr>
      <w:t>BAC Meeting</w:t>
    </w:r>
  </w:p>
  <w:p w:rsidR="00AB2BD5" w:rsidRPr="007C0F57" w:rsidRDefault="00AB2BD5"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0A" w:rsidRDefault="00DB520A">
      <w:r>
        <w:separator/>
      </w:r>
    </w:p>
  </w:footnote>
  <w:footnote w:type="continuationSeparator" w:id="0">
    <w:p w:rsidR="00DB520A" w:rsidRDefault="00DB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B2BD5" w:rsidRPr="008E0D90" w:rsidTr="00A06225">
      <w:trPr>
        <w:trHeight w:val="151"/>
      </w:trPr>
      <w:tc>
        <w:tcPr>
          <w:tcW w:w="2389" w:type="pct"/>
          <w:tcBorders>
            <w:top w:val="nil"/>
            <w:left w:val="nil"/>
            <w:bottom w:val="single" w:sz="4" w:space="0" w:color="4F81BD"/>
            <w:right w:val="nil"/>
          </w:tcBorders>
        </w:tcPr>
        <w:p w:rsidR="00AB2BD5" w:rsidRPr="00A06225" w:rsidRDefault="00AB2BD5">
          <w:pPr>
            <w:pStyle w:val="Header"/>
            <w:spacing w:line="276" w:lineRule="auto"/>
            <w:rPr>
              <w:rFonts w:ascii="Cambria" w:eastAsia="MS Gothic" w:hAnsi="Cambria"/>
              <w:b/>
              <w:bCs/>
              <w:color w:val="4F81BD"/>
            </w:rPr>
          </w:pPr>
        </w:p>
      </w:tc>
      <w:tc>
        <w:tcPr>
          <w:tcW w:w="333" w:type="pct"/>
          <w:vMerge w:val="restart"/>
          <w:noWrap/>
          <w:vAlign w:val="center"/>
          <w:hideMark/>
        </w:tcPr>
        <w:p w:rsidR="00AB2BD5" w:rsidRPr="00A06225" w:rsidRDefault="00AB2BD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B2BD5" w:rsidRPr="00A06225" w:rsidRDefault="00AB2BD5">
          <w:pPr>
            <w:pStyle w:val="Header"/>
            <w:spacing w:line="276" w:lineRule="auto"/>
            <w:rPr>
              <w:rFonts w:ascii="Cambria" w:eastAsia="MS Gothic" w:hAnsi="Cambria"/>
              <w:b/>
              <w:bCs/>
              <w:color w:val="4F81BD"/>
            </w:rPr>
          </w:pPr>
        </w:p>
      </w:tc>
    </w:tr>
    <w:tr w:rsidR="00AB2BD5" w:rsidRPr="008E0D90" w:rsidTr="00A06225">
      <w:trPr>
        <w:trHeight w:val="150"/>
      </w:trPr>
      <w:tc>
        <w:tcPr>
          <w:tcW w:w="2389" w:type="pct"/>
          <w:tcBorders>
            <w:top w:val="single" w:sz="4" w:space="0" w:color="4F81BD"/>
            <w:left w:val="nil"/>
            <w:bottom w:val="nil"/>
            <w:right w:val="nil"/>
          </w:tcBorders>
        </w:tcPr>
        <w:p w:rsidR="00AB2BD5" w:rsidRPr="00A06225" w:rsidRDefault="00AB2BD5">
          <w:pPr>
            <w:pStyle w:val="Header"/>
            <w:spacing w:line="276" w:lineRule="auto"/>
            <w:rPr>
              <w:rFonts w:ascii="Cambria" w:eastAsia="MS Gothic" w:hAnsi="Cambria"/>
              <w:b/>
              <w:bCs/>
              <w:color w:val="4F81BD"/>
            </w:rPr>
          </w:pPr>
        </w:p>
      </w:tc>
      <w:tc>
        <w:tcPr>
          <w:tcW w:w="0" w:type="auto"/>
          <w:vMerge/>
          <w:vAlign w:val="center"/>
          <w:hideMark/>
        </w:tcPr>
        <w:p w:rsidR="00AB2BD5" w:rsidRPr="00A06225" w:rsidRDefault="00AB2BD5">
          <w:pPr>
            <w:rPr>
              <w:rFonts w:ascii="Cambria" w:hAnsi="Cambria"/>
              <w:color w:val="4F81BD"/>
              <w:sz w:val="22"/>
              <w:szCs w:val="22"/>
            </w:rPr>
          </w:pPr>
        </w:p>
      </w:tc>
      <w:tc>
        <w:tcPr>
          <w:tcW w:w="2278" w:type="pct"/>
          <w:tcBorders>
            <w:top w:val="single" w:sz="4" w:space="0" w:color="4F81BD"/>
            <w:left w:val="nil"/>
            <w:bottom w:val="nil"/>
            <w:right w:val="nil"/>
          </w:tcBorders>
        </w:tcPr>
        <w:p w:rsidR="00AB2BD5" w:rsidRPr="00A06225" w:rsidRDefault="00AB2BD5">
          <w:pPr>
            <w:pStyle w:val="Header"/>
            <w:spacing w:line="276" w:lineRule="auto"/>
            <w:rPr>
              <w:rFonts w:ascii="Cambria" w:eastAsia="MS Gothic" w:hAnsi="Cambria"/>
              <w:b/>
              <w:bCs/>
              <w:color w:val="4F81BD"/>
            </w:rPr>
          </w:pPr>
        </w:p>
      </w:tc>
    </w:tr>
  </w:tbl>
  <w:p w:rsidR="00AB2BD5" w:rsidRDefault="00AB2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44" w:rsidRPr="008A6D44" w:rsidRDefault="005C4BA7" w:rsidP="008A6D44">
    <w:pPr>
      <w:pStyle w:val="Header"/>
      <w:jc w:val="center"/>
      <w:rPr>
        <w:rFonts w:ascii="Arial" w:hAnsi="Arial" w:cs="Arial"/>
        <w:i/>
        <w:color w:val="808080"/>
        <w:sz w:val="22"/>
      </w:rPr>
    </w:pPr>
    <w:r>
      <w:rPr>
        <w:rFonts w:ascii="Arial" w:hAnsi="Arial" w:cs="Arial"/>
        <w:i/>
        <w:color w:val="808080"/>
        <w:sz w:val="22"/>
      </w:rPr>
      <w:t>Public Summary Document</w:t>
    </w:r>
    <w:r w:rsidR="008A6D44" w:rsidRPr="008A6D44">
      <w:rPr>
        <w:rFonts w:ascii="Arial" w:hAnsi="Arial" w:cs="Arial"/>
        <w:i/>
        <w:color w:val="808080"/>
        <w:sz w:val="22"/>
      </w:rPr>
      <w:t xml:space="preserve"> – March 2015 PBAC Meeting</w:t>
    </w:r>
  </w:p>
  <w:p w:rsidR="00AB2BD5" w:rsidRPr="008A6D44" w:rsidRDefault="00AB2BD5" w:rsidP="008A6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1">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nsid w:val="784D033C"/>
    <w:multiLevelType w:val="multilevel"/>
    <w:tmpl w:val="2DBE3F9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2"/>
  </w:num>
  <w:num w:numId="3">
    <w:abstractNumId w:val="19"/>
  </w:num>
  <w:num w:numId="4">
    <w:abstractNumId w:val="0"/>
  </w:num>
  <w:num w:numId="5">
    <w:abstractNumId w:val="5"/>
  </w:num>
  <w:num w:numId="6">
    <w:abstractNumId w:val="18"/>
  </w:num>
  <w:num w:numId="7">
    <w:abstractNumId w:val="15"/>
  </w:num>
  <w:num w:numId="8">
    <w:abstractNumId w:val="4"/>
  </w:num>
  <w:num w:numId="9">
    <w:abstractNumId w:val="7"/>
  </w:num>
  <w:num w:numId="10">
    <w:abstractNumId w:val="30"/>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26"/>
  </w:num>
  <w:num w:numId="16">
    <w:abstractNumId w:val="22"/>
  </w:num>
  <w:num w:numId="17">
    <w:abstractNumId w:val="35"/>
  </w:num>
  <w:num w:numId="18">
    <w:abstractNumId w:val="12"/>
  </w:num>
  <w:num w:numId="19">
    <w:abstractNumId w:val="17"/>
  </w:num>
  <w:num w:numId="20">
    <w:abstractNumId w:val="3"/>
  </w:num>
  <w:num w:numId="21">
    <w:abstractNumId w:val="29"/>
  </w:num>
  <w:num w:numId="22">
    <w:abstractNumId w:val="31"/>
  </w:num>
  <w:num w:numId="23">
    <w:abstractNumId w:val="37"/>
  </w:num>
  <w:num w:numId="24">
    <w:abstractNumId w:val="14"/>
  </w:num>
  <w:num w:numId="25">
    <w:abstractNumId w:val="36"/>
  </w:num>
  <w:num w:numId="26">
    <w:abstractNumId w:val="27"/>
  </w:num>
  <w:num w:numId="27">
    <w:abstractNumId w:val="11"/>
  </w:num>
  <w:num w:numId="28">
    <w:abstractNumId w:val="6"/>
  </w:num>
  <w:num w:numId="29">
    <w:abstractNumId w:val="24"/>
  </w:num>
  <w:num w:numId="30">
    <w:abstractNumId w:val="2"/>
  </w:num>
  <w:num w:numId="31">
    <w:abstractNumId w:val="25"/>
  </w:num>
  <w:num w:numId="32">
    <w:abstractNumId w:val="34"/>
  </w:num>
  <w:num w:numId="33">
    <w:abstractNumId w:val="23"/>
  </w:num>
  <w:num w:numId="34">
    <w:abstractNumId w:val="38"/>
  </w:num>
  <w:num w:numId="35">
    <w:abstractNumId w:val="10"/>
  </w:num>
  <w:num w:numId="36">
    <w:abstractNumId w:val="21"/>
  </w:num>
  <w:num w:numId="37">
    <w:abstractNumId w:val="28"/>
  </w:num>
  <w:num w:numId="38">
    <w:abstractNumId w:val="8"/>
  </w:num>
  <w:num w:numId="39">
    <w:abstractNumId w:val="16"/>
  </w:num>
  <w:num w:numId="40">
    <w:abstractNumId w:val="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969AD"/>
    <w:rsid w:val="000B558D"/>
    <w:rsid w:val="000C6996"/>
    <w:rsid w:val="000D23BA"/>
    <w:rsid w:val="000E681E"/>
    <w:rsid w:val="000F4E6A"/>
    <w:rsid w:val="001107BF"/>
    <w:rsid w:val="00121661"/>
    <w:rsid w:val="0012417C"/>
    <w:rsid w:val="00141E31"/>
    <w:rsid w:val="00142395"/>
    <w:rsid w:val="00142714"/>
    <w:rsid w:val="001452ED"/>
    <w:rsid w:val="001830CE"/>
    <w:rsid w:val="00196307"/>
    <w:rsid w:val="001B017F"/>
    <w:rsid w:val="001B5129"/>
    <w:rsid w:val="001C1195"/>
    <w:rsid w:val="00213CFB"/>
    <w:rsid w:val="00215761"/>
    <w:rsid w:val="00250ACA"/>
    <w:rsid w:val="0025153A"/>
    <w:rsid w:val="002668FA"/>
    <w:rsid w:val="00271BA1"/>
    <w:rsid w:val="00277505"/>
    <w:rsid w:val="0029458F"/>
    <w:rsid w:val="002A027F"/>
    <w:rsid w:val="002A104C"/>
    <w:rsid w:val="002A4960"/>
    <w:rsid w:val="002B1AE6"/>
    <w:rsid w:val="002B30F8"/>
    <w:rsid w:val="002C212F"/>
    <w:rsid w:val="002D672C"/>
    <w:rsid w:val="002E0875"/>
    <w:rsid w:val="002E72CA"/>
    <w:rsid w:val="00312D99"/>
    <w:rsid w:val="0031598A"/>
    <w:rsid w:val="00326E79"/>
    <w:rsid w:val="00332BCE"/>
    <w:rsid w:val="003367EF"/>
    <w:rsid w:val="00341AE4"/>
    <w:rsid w:val="0034534D"/>
    <w:rsid w:val="003A037C"/>
    <w:rsid w:val="003A5B4A"/>
    <w:rsid w:val="003B23C5"/>
    <w:rsid w:val="003B2A75"/>
    <w:rsid w:val="003D4AC4"/>
    <w:rsid w:val="003D63B7"/>
    <w:rsid w:val="003E468B"/>
    <w:rsid w:val="003F5C8C"/>
    <w:rsid w:val="00441407"/>
    <w:rsid w:val="004465BD"/>
    <w:rsid w:val="0044707D"/>
    <w:rsid w:val="00466ADA"/>
    <w:rsid w:val="00476245"/>
    <w:rsid w:val="00485940"/>
    <w:rsid w:val="004A5A85"/>
    <w:rsid w:val="004B5640"/>
    <w:rsid w:val="004B5A64"/>
    <w:rsid w:val="004C1BD7"/>
    <w:rsid w:val="004C203E"/>
    <w:rsid w:val="004C691D"/>
    <w:rsid w:val="004D196F"/>
    <w:rsid w:val="004E4CEB"/>
    <w:rsid w:val="004E692D"/>
    <w:rsid w:val="00501554"/>
    <w:rsid w:val="00507D3B"/>
    <w:rsid w:val="00514CD7"/>
    <w:rsid w:val="00532C74"/>
    <w:rsid w:val="00534E2E"/>
    <w:rsid w:val="00544552"/>
    <w:rsid w:val="00553F78"/>
    <w:rsid w:val="00581932"/>
    <w:rsid w:val="00586E2C"/>
    <w:rsid w:val="00592FFF"/>
    <w:rsid w:val="005963BB"/>
    <w:rsid w:val="005A3173"/>
    <w:rsid w:val="005A3223"/>
    <w:rsid w:val="005A3DA3"/>
    <w:rsid w:val="005A52C4"/>
    <w:rsid w:val="005B06A6"/>
    <w:rsid w:val="005C4BA7"/>
    <w:rsid w:val="005D03AB"/>
    <w:rsid w:val="005D5017"/>
    <w:rsid w:val="005F44F9"/>
    <w:rsid w:val="00601A91"/>
    <w:rsid w:val="00602BA3"/>
    <w:rsid w:val="00614159"/>
    <w:rsid w:val="00617C00"/>
    <w:rsid w:val="006263BF"/>
    <w:rsid w:val="0062748A"/>
    <w:rsid w:val="00630A2C"/>
    <w:rsid w:val="0063690C"/>
    <w:rsid w:val="00651169"/>
    <w:rsid w:val="00653D69"/>
    <w:rsid w:val="00670A76"/>
    <w:rsid w:val="006711AA"/>
    <w:rsid w:val="00675622"/>
    <w:rsid w:val="0067759B"/>
    <w:rsid w:val="00690539"/>
    <w:rsid w:val="006906DB"/>
    <w:rsid w:val="006A12A5"/>
    <w:rsid w:val="006A232B"/>
    <w:rsid w:val="006B0D94"/>
    <w:rsid w:val="006B2451"/>
    <w:rsid w:val="006B485D"/>
    <w:rsid w:val="006C708E"/>
    <w:rsid w:val="006D6EC7"/>
    <w:rsid w:val="006F5125"/>
    <w:rsid w:val="00712576"/>
    <w:rsid w:val="00714163"/>
    <w:rsid w:val="007174BB"/>
    <w:rsid w:val="0076420C"/>
    <w:rsid w:val="00766308"/>
    <w:rsid w:val="007753C2"/>
    <w:rsid w:val="007838B8"/>
    <w:rsid w:val="007C0F57"/>
    <w:rsid w:val="007C40B6"/>
    <w:rsid w:val="007C729F"/>
    <w:rsid w:val="007D612D"/>
    <w:rsid w:val="007E1D28"/>
    <w:rsid w:val="007F2641"/>
    <w:rsid w:val="007F7C36"/>
    <w:rsid w:val="00806796"/>
    <w:rsid w:val="00813E4C"/>
    <w:rsid w:val="00825455"/>
    <w:rsid w:val="00826F6D"/>
    <w:rsid w:val="008442AE"/>
    <w:rsid w:val="00856DDD"/>
    <w:rsid w:val="00863E68"/>
    <w:rsid w:val="00882085"/>
    <w:rsid w:val="00883188"/>
    <w:rsid w:val="00897D58"/>
    <w:rsid w:val="008A0D1F"/>
    <w:rsid w:val="008A1956"/>
    <w:rsid w:val="008A4937"/>
    <w:rsid w:val="008A6D44"/>
    <w:rsid w:val="008D3C82"/>
    <w:rsid w:val="008D447E"/>
    <w:rsid w:val="008D7A41"/>
    <w:rsid w:val="008E3680"/>
    <w:rsid w:val="008E5870"/>
    <w:rsid w:val="008F1434"/>
    <w:rsid w:val="008F7355"/>
    <w:rsid w:val="009067B7"/>
    <w:rsid w:val="0091462E"/>
    <w:rsid w:val="00927301"/>
    <w:rsid w:val="00930937"/>
    <w:rsid w:val="0093368C"/>
    <w:rsid w:val="00933E6C"/>
    <w:rsid w:val="00942160"/>
    <w:rsid w:val="009602C5"/>
    <w:rsid w:val="00960D3E"/>
    <w:rsid w:val="00961F25"/>
    <w:rsid w:val="009679BD"/>
    <w:rsid w:val="00974C21"/>
    <w:rsid w:val="009870D7"/>
    <w:rsid w:val="009B0F67"/>
    <w:rsid w:val="009C703C"/>
    <w:rsid w:val="009D3CAA"/>
    <w:rsid w:val="009F4E46"/>
    <w:rsid w:val="009F5B65"/>
    <w:rsid w:val="009F5F2E"/>
    <w:rsid w:val="00A06225"/>
    <w:rsid w:val="00A37C8D"/>
    <w:rsid w:val="00A41406"/>
    <w:rsid w:val="00A42341"/>
    <w:rsid w:val="00A5273B"/>
    <w:rsid w:val="00A53A9D"/>
    <w:rsid w:val="00A62C1A"/>
    <w:rsid w:val="00A6426D"/>
    <w:rsid w:val="00A70622"/>
    <w:rsid w:val="00A70977"/>
    <w:rsid w:val="00A8390C"/>
    <w:rsid w:val="00AA4D1C"/>
    <w:rsid w:val="00AB196B"/>
    <w:rsid w:val="00AB2BD5"/>
    <w:rsid w:val="00AC5206"/>
    <w:rsid w:val="00AE11A5"/>
    <w:rsid w:val="00AF68CC"/>
    <w:rsid w:val="00AF7C33"/>
    <w:rsid w:val="00B205AA"/>
    <w:rsid w:val="00B22E11"/>
    <w:rsid w:val="00B22E84"/>
    <w:rsid w:val="00B25F75"/>
    <w:rsid w:val="00B43E90"/>
    <w:rsid w:val="00B555FB"/>
    <w:rsid w:val="00B56118"/>
    <w:rsid w:val="00B6773F"/>
    <w:rsid w:val="00B67884"/>
    <w:rsid w:val="00B801BA"/>
    <w:rsid w:val="00B826A9"/>
    <w:rsid w:val="00BA090A"/>
    <w:rsid w:val="00BB041B"/>
    <w:rsid w:val="00BB5577"/>
    <w:rsid w:val="00BB69F5"/>
    <w:rsid w:val="00BB7EC3"/>
    <w:rsid w:val="00BC4B9A"/>
    <w:rsid w:val="00BD04C2"/>
    <w:rsid w:val="00BD268F"/>
    <w:rsid w:val="00BD2D35"/>
    <w:rsid w:val="00BD5E32"/>
    <w:rsid w:val="00BD784C"/>
    <w:rsid w:val="00BD7912"/>
    <w:rsid w:val="00BF4CB6"/>
    <w:rsid w:val="00C00DA7"/>
    <w:rsid w:val="00C04C52"/>
    <w:rsid w:val="00C05ABD"/>
    <w:rsid w:val="00C12768"/>
    <w:rsid w:val="00C17132"/>
    <w:rsid w:val="00C35996"/>
    <w:rsid w:val="00C5342C"/>
    <w:rsid w:val="00C6256A"/>
    <w:rsid w:val="00C8179B"/>
    <w:rsid w:val="00C91449"/>
    <w:rsid w:val="00C92D10"/>
    <w:rsid w:val="00CC1936"/>
    <w:rsid w:val="00CC3F18"/>
    <w:rsid w:val="00CC77D9"/>
    <w:rsid w:val="00CD4A5D"/>
    <w:rsid w:val="00CE10C4"/>
    <w:rsid w:val="00CE27B5"/>
    <w:rsid w:val="00CF3424"/>
    <w:rsid w:val="00D0321E"/>
    <w:rsid w:val="00D1455A"/>
    <w:rsid w:val="00D169BD"/>
    <w:rsid w:val="00D3280C"/>
    <w:rsid w:val="00D3406A"/>
    <w:rsid w:val="00D4207D"/>
    <w:rsid w:val="00D469B2"/>
    <w:rsid w:val="00D5115E"/>
    <w:rsid w:val="00D530F1"/>
    <w:rsid w:val="00D56077"/>
    <w:rsid w:val="00D741EB"/>
    <w:rsid w:val="00D91271"/>
    <w:rsid w:val="00D970ED"/>
    <w:rsid w:val="00DA2CB5"/>
    <w:rsid w:val="00DA4BAC"/>
    <w:rsid w:val="00DB520A"/>
    <w:rsid w:val="00DD172C"/>
    <w:rsid w:val="00DE6D27"/>
    <w:rsid w:val="00DF217D"/>
    <w:rsid w:val="00DF26A7"/>
    <w:rsid w:val="00E164B3"/>
    <w:rsid w:val="00E16910"/>
    <w:rsid w:val="00E367F5"/>
    <w:rsid w:val="00E50E33"/>
    <w:rsid w:val="00E65E54"/>
    <w:rsid w:val="00E80155"/>
    <w:rsid w:val="00E848C0"/>
    <w:rsid w:val="00E91B96"/>
    <w:rsid w:val="00E941A1"/>
    <w:rsid w:val="00E95CE3"/>
    <w:rsid w:val="00EA2825"/>
    <w:rsid w:val="00EB1A47"/>
    <w:rsid w:val="00EB5088"/>
    <w:rsid w:val="00EB609C"/>
    <w:rsid w:val="00ED1644"/>
    <w:rsid w:val="00EE19D3"/>
    <w:rsid w:val="00EF44A0"/>
    <w:rsid w:val="00F050BD"/>
    <w:rsid w:val="00F05657"/>
    <w:rsid w:val="00F132E0"/>
    <w:rsid w:val="00F25578"/>
    <w:rsid w:val="00F258E5"/>
    <w:rsid w:val="00F300BC"/>
    <w:rsid w:val="00F3334E"/>
    <w:rsid w:val="00F50EC4"/>
    <w:rsid w:val="00F555A5"/>
    <w:rsid w:val="00F57A6D"/>
    <w:rsid w:val="00F638CC"/>
    <w:rsid w:val="00F646BF"/>
    <w:rsid w:val="00F7688D"/>
    <w:rsid w:val="00F8247A"/>
    <w:rsid w:val="00F85FBC"/>
    <w:rsid w:val="00F9629A"/>
    <w:rsid w:val="00FA5883"/>
    <w:rsid w:val="00FA6055"/>
    <w:rsid w:val="00FB322F"/>
    <w:rsid w:val="00FB442F"/>
    <w:rsid w:val="00FC1929"/>
    <w:rsid w:val="00FC5B46"/>
    <w:rsid w:val="00FD3869"/>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553F78"/>
    <w:pPr>
      <w:outlineLvl w:val="1"/>
    </w:pPr>
    <w:rPr>
      <w:rFonts w:ascii="Arial" w:hAnsi="Arial" w:cs="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99"/>
    <w:rsid w:val="008A6D44"/>
    <w:rPr>
      <w:sz w:val="24"/>
      <w:szCs w:val="24"/>
    </w:rPr>
  </w:style>
  <w:style w:type="paragraph" w:customStyle="1" w:styleId="PBACHeading1">
    <w:name w:val="PBAC Heading 1"/>
    <w:basedOn w:val="ListParagraph"/>
    <w:qFormat/>
    <w:rsid w:val="00553F78"/>
    <w:pPr>
      <w:numPr>
        <w:numId w:val="25"/>
      </w:numPr>
      <w:jc w:val="both"/>
    </w:pPr>
    <w:rPr>
      <w:rFonts w:ascii="Arial" w:hAnsi="Arial"/>
      <w:b/>
      <w:sz w:val="22"/>
      <w:szCs w:val="22"/>
    </w:rPr>
  </w:style>
  <w:style w:type="paragraph" w:styleId="Revision">
    <w:name w:val="Revision"/>
    <w:hidden/>
    <w:uiPriority w:val="71"/>
    <w:rsid w:val="00141E31"/>
    <w:rPr>
      <w:sz w:val="24"/>
      <w:szCs w:val="24"/>
    </w:rPr>
  </w:style>
  <w:style w:type="character" w:styleId="Hyperlink">
    <w:name w:val="Hyperlink"/>
    <w:basedOn w:val="DefaultParagraphFont"/>
    <w:uiPriority w:val="99"/>
    <w:unhideWhenUsed/>
    <w:rsid w:val="00141E31"/>
    <w:rPr>
      <w:color w:val="0000FF"/>
      <w:u w:val="single"/>
    </w:rPr>
  </w:style>
  <w:style w:type="paragraph" w:styleId="Title">
    <w:name w:val="Title"/>
    <w:basedOn w:val="Normal"/>
    <w:next w:val="Normal"/>
    <w:link w:val="TitleChar"/>
    <w:qFormat/>
    <w:rsid w:val="00553F78"/>
    <w:pPr>
      <w:ind w:left="720" w:hanging="720"/>
    </w:pPr>
    <w:rPr>
      <w:rFonts w:ascii="Arial" w:hAnsi="Arial" w:cs="Arial"/>
      <w:b/>
      <w:sz w:val="28"/>
      <w:szCs w:val="28"/>
    </w:rPr>
  </w:style>
  <w:style w:type="character" w:customStyle="1" w:styleId="TitleChar">
    <w:name w:val="Title Char"/>
    <w:basedOn w:val="DefaultParagraphFont"/>
    <w:link w:val="Title"/>
    <w:rsid w:val="00553F78"/>
    <w:rPr>
      <w:rFonts w:ascii="Arial"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553F78"/>
    <w:pPr>
      <w:outlineLvl w:val="1"/>
    </w:pPr>
    <w:rPr>
      <w:rFonts w:ascii="Arial" w:hAnsi="Arial" w:cs="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99"/>
    <w:rsid w:val="008A6D44"/>
    <w:rPr>
      <w:sz w:val="24"/>
      <w:szCs w:val="24"/>
    </w:rPr>
  </w:style>
  <w:style w:type="paragraph" w:customStyle="1" w:styleId="PBACHeading1">
    <w:name w:val="PBAC Heading 1"/>
    <w:basedOn w:val="ListParagraph"/>
    <w:qFormat/>
    <w:rsid w:val="00553F78"/>
    <w:pPr>
      <w:numPr>
        <w:numId w:val="25"/>
      </w:numPr>
      <w:jc w:val="both"/>
    </w:pPr>
    <w:rPr>
      <w:rFonts w:ascii="Arial" w:hAnsi="Arial"/>
      <w:b/>
      <w:sz w:val="22"/>
      <w:szCs w:val="22"/>
    </w:rPr>
  </w:style>
  <w:style w:type="paragraph" w:styleId="Revision">
    <w:name w:val="Revision"/>
    <w:hidden/>
    <w:uiPriority w:val="71"/>
    <w:rsid w:val="00141E31"/>
    <w:rPr>
      <w:sz w:val="24"/>
      <w:szCs w:val="24"/>
    </w:rPr>
  </w:style>
  <w:style w:type="character" w:styleId="Hyperlink">
    <w:name w:val="Hyperlink"/>
    <w:basedOn w:val="DefaultParagraphFont"/>
    <w:uiPriority w:val="99"/>
    <w:unhideWhenUsed/>
    <w:rsid w:val="00141E31"/>
    <w:rPr>
      <w:color w:val="0000FF"/>
      <w:u w:val="single"/>
    </w:rPr>
  </w:style>
  <w:style w:type="paragraph" w:styleId="Title">
    <w:name w:val="Title"/>
    <w:basedOn w:val="Normal"/>
    <w:next w:val="Normal"/>
    <w:link w:val="TitleChar"/>
    <w:qFormat/>
    <w:rsid w:val="00553F78"/>
    <w:pPr>
      <w:ind w:left="720" w:hanging="720"/>
    </w:pPr>
    <w:rPr>
      <w:rFonts w:ascii="Arial" w:hAnsi="Arial" w:cs="Arial"/>
      <w:b/>
      <w:sz w:val="28"/>
      <w:szCs w:val="28"/>
    </w:rPr>
  </w:style>
  <w:style w:type="character" w:customStyle="1" w:styleId="TitleChar">
    <w:name w:val="Title Char"/>
    <w:basedOn w:val="DefaultParagraphFont"/>
    <w:link w:val="Title"/>
    <w:rsid w:val="00553F78"/>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3D39-8923-4F27-AF90-2CF6F242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6.08 aflibercept</vt:lpstr>
    </vt:vector>
  </TitlesOfParts>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 aflibercept</dc:title>
  <dc:creator/>
  <cp:lastModifiedBy/>
  <cp:revision>1</cp:revision>
  <dcterms:created xsi:type="dcterms:W3CDTF">2015-06-29T02:32:00Z</dcterms:created>
  <dcterms:modified xsi:type="dcterms:W3CDTF">2015-06-29T05:09:00Z</dcterms:modified>
</cp:coreProperties>
</file>