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917" w:rsidRDefault="005D7F23" w:rsidP="00530DA2">
      <w:pPr>
        <w:pStyle w:val="Title"/>
      </w:pPr>
      <w:bookmarkStart w:id="0" w:name="_GoBack"/>
      <w:bookmarkEnd w:id="0"/>
      <w:r w:rsidRPr="00530DA2">
        <w:t>5.28</w:t>
      </w:r>
      <w:r w:rsidR="007C0F57" w:rsidRPr="00530DA2">
        <w:tab/>
      </w:r>
      <w:r w:rsidRPr="00530DA2">
        <w:t>BUPRENORPHINE</w:t>
      </w:r>
      <w:r w:rsidR="00CC5A27" w:rsidRPr="00530DA2">
        <w:t xml:space="preserve"> </w:t>
      </w:r>
    </w:p>
    <w:p w:rsidR="005F6917" w:rsidRDefault="00FA7AEE" w:rsidP="005F6917">
      <w:pPr>
        <w:pStyle w:val="Title"/>
        <w:ind w:firstLine="0"/>
      </w:pPr>
      <w:r w:rsidRPr="00530DA2">
        <w:t>15 microgram/hour patch</w:t>
      </w:r>
      <w:r w:rsidR="0004240E" w:rsidRPr="00530DA2">
        <w:t xml:space="preserve">, </w:t>
      </w:r>
      <w:r w:rsidR="00C877C0" w:rsidRPr="00530DA2">
        <w:t xml:space="preserve">25 </w:t>
      </w:r>
      <w:r w:rsidR="006940F4" w:rsidRPr="00530DA2">
        <w:t>microgram</w:t>
      </w:r>
      <w:r w:rsidR="00C877C0" w:rsidRPr="00530DA2">
        <w:t xml:space="preserve">/hour patch, 30 </w:t>
      </w:r>
      <w:r w:rsidR="006940F4" w:rsidRPr="00530DA2">
        <w:t>microgram</w:t>
      </w:r>
      <w:r w:rsidR="00C877C0" w:rsidRPr="00530DA2">
        <w:t xml:space="preserve">/hour patch, 40 </w:t>
      </w:r>
      <w:r w:rsidR="006940F4" w:rsidRPr="00530DA2">
        <w:t>microgram</w:t>
      </w:r>
      <w:r w:rsidR="005F6917">
        <w:t>/hour patch;</w:t>
      </w:r>
    </w:p>
    <w:p w:rsidR="00FA7AEE" w:rsidRPr="00530DA2" w:rsidRDefault="005F6917" w:rsidP="005F6917">
      <w:pPr>
        <w:pStyle w:val="Title"/>
        <w:ind w:firstLine="0"/>
      </w:pPr>
      <w:r>
        <w:t>Norspan®;</w:t>
      </w:r>
      <w:r w:rsidR="00C877C0" w:rsidRPr="00530DA2">
        <w:t xml:space="preserve"> Mundipharma Pty Ltd</w:t>
      </w:r>
      <w:r>
        <w:t>.</w:t>
      </w:r>
    </w:p>
    <w:p w:rsidR="00CE10C4" w:rsidRDefault="00CE10C4" w:rsidP="00A5273B">
      <w:pPr>
        <w:rPr>
          <w:rFonts w:ascii="Arial" w:hAnsi="Arial"/>
          <w:b/>
        </w:rPr>
      </w:pPr>
    </w:p>
    <w:p w:rsidR="00CE10C4" w:rsidRPr="005F6917" w:rsidRDefault="00CE10C4" w:rsidP="005F6917">
      <w:pPr>
        <w:pStyle w:val="PBACheading1"/>
      </w:pPr>
      <w:r w:rsidRPr="005F6917">
        <w:t xml:space="preserve">Purpose of </w:t>
      </w:r>
      <w:r w:rsidR="0004240E" w:rsidRPr="005F6917">
        <w:t>Application</w:t>
      </w:r>
    </w:p>
    <w:p w:rsidR="006A12A5" w:rsidRPr="00882085" w:rsidRDefault="006A12A5" w:rsidP="00882085">
      <w:pPr>
        <w:jc w:val="both"/>
        <w:rPr>
          <w:rFonts w:ascii="Arial" w:hAnsi="Arial"/>
          <w:sz w:val="22"/>
          <w:szCs w:val="22"/>
        </w:rPr>
      </w:pPr>
    </w:p>
    <w:p w:rsidR="00F9629A" w:rsidRPr="00F9629A" w:rsidRDefault="00EF44A0" w:rsidP="008065E0">
      <w:pPr>
        <w:pStyle w:val="ListParagraph"/>
        <w:numPr>
          <w:ilvl w:val="1"/>
          <w:numId w:val="25"/>
        </w:numPr>
        <w:jc w:val="both"/>
        <w:rPr>
          <w:rFonts w:ascii="Arial" w:hAnsi="Arial"/>
          <w:sz w:val="22"/>
          <w:szCs w:val="22"/>
        </w:rPr>
      </w:pPr>
      <w:r>
        <w:rPr>
          <w:rFonts w:ascii="Arial" w:hAnsi="Arial"/>
          <w:sz w:val="22"/>
          <w:szCs w:val="22"/>
        </w:rPr>
        <w:t xml:space="preserve">The minor submission </w:t>
      </w:r>
      <w:r w:rsidR="00C764EF">
        <w:rPr>
          <w:rFonts w:ascii="Arial" w:hAnsi="Arial"/>
          <w:sz w:val="22"/>
          <w:szCs w:val="22"/>
        </w:rPr>
        <w:t>sought</w:t>
      </w:r>
      <w:r w:rsidR="008065E0">
        <w:rPr>
          <w:rFonts w:ascii="Arial" w:hAnsi="Arial"/>
          <w:sz w:val="22"/>
          <w:szCs w:val="22"/>
        </w:rPr>
        <w:t xml:space="preserve"> to list</w:t>
      </w:r>
      <w:r w:rsidR="005D7F23">
        <w:rPr>
          <w:rFonts w:ascii="Arial" w:hAnsi="Arial"/>
          <w:sz w:val="22"/>
          <w:szCs w:val="22"/>
        </w:rPr>
        <w:t xml:space="preserve"> four additional strength</w:t>
      </w:r>
      <w:r w:rsidR="00DA0BE1">
        <w:rPr>
          <w:rFonts w:ascii="Arial" w:hAnsi="Arial"/>
          <w:sz w:val="22"/>
          <w:szCs w:val="22"/>
        </w:rPr>
        <w:t>s</w:t>
      </w:r>
      <w:r w:rsidR="008065E0">
        <w:rPr>
          <w:rFonts w:ascii="Arial" w:hAnsi="Arial"/>
          <w:sz w:val="22"/>
          <w:szCs w:val="22"/>
        </w:rPr>
        <w:t xml:space="preserve"> of buprenorphine</w:t>
      </w:r>
      <w:r w:rsidR="00C764EF">
        <w:rPr>
          <w:rFonts w:ascii="Arial" w:hAnsi="Arial"/>
          <w:sz w:val="22"/>
          <w:szCs w:val="22"/>
        </w:rPr>
        <w:t>. The submission claimed</w:t>
      </w:r>
      <w:r w:rsidR="00DA0BE1">
        <w:rPr>
          <w:rFonts w:ascii="Arial" w:hAnsi="Arial"/>
          <w:sz w:val="22"/>
          <w:szCs w:val="22"/>
        </w:rPr>
        <w:t xml:space="preserve"> that this would</w:t>
      </w:r>
      <w:r w:rsidR="00D94668">
        <w:rPr>
          <w:rFonts w:ascii="Arial" w:hAnsi="Arial"/>
          <w:sz w:val="22"/>
          <w:szCs w:val="22"/>
        </w:rPr>
        <w:t xml:space="preserve"> </w:t>
      </w:r>
      <w:r w:rsidR="008065E0">
        <w:rPr>
          <w:rFonts w:ascii="Arial" w:hAnsi="Arial"/>
          <w:sz w:val="22"/>
          <w:szCs w:val="22"/>
        </w:rPr>
        <w:t>enable effective chronic pain control for patients at more appropriate dosing levels by providing more single patch dosing intervals</w:t>
      </w:r>
      <w:r w:rsidR="004C0C3F">
        <w:rPr>
          <w:rFonts w:ascii="Arial" w:hAnsi="Arial"/>
          <w:sz w:val="22"/>
          <w:szCs w:val="22"/>
        </w:rPr>
        <w:t>.</w:t>
      </w:r>
      <w:r w:rsidR="008065E0" w:rsidRPr="00F9629A">
        <w:rPr>
          <w:rFonts w:ascii="Arial" w:hAnsi="Arial"/>
          <w:sz w:val="22"/>
          <w:szCs w:val="22"/>
        </w:rPr>
        <w:t xml:space="preserve"> </w:t>
      </w:r>
    </w:p>
    <w:p w:rsidR="00EF44A0" w:rsidRPr="00EF44A0" w:rsidRDefault="00EF44A0" w:rsidP="00EF44A0">
      <w:pPr>
        <w:pStyle w:val="ListParagraph"/>
        <w:jc w:val="both"/>
        <w:rPr>
          <w:rFonts w:ascii="Arial" w:hAnsi="Arial"/>
          <w:b/>
          <w:sz w:val="22"/>
          <w:szCs w:val="22"/>
        </w:rPr>
      </w:pPr>
    </w:p>
    <w:p w:rsidR="00614159" w:rsidRPr="005F6917" w:rsidRDefault="006A12A5" w:rsidP="005F6917">
      <w:pPr>
        <w:pStyle w:val="PBACheading1"/>
      </w:pPr>
      <w:r w:rsidRPr="005F6917">
        <w:t>Requested listing</w:t>
      </w:r>
    </w:p>
    <w:p w:rsidR="006A12A5" w:rsidRPr="00882085" w:rsidRDefault="006A12A5" w:rsidP="00882085">
      <w:pPr>
        <w:jc w:val="both"/>
        <w:rPr>
          <w:rFonts w:ascii="Arial" w:hAnsi="Arial"/>
          <w:b/>
          <w:sz w:val="22"/>
          <w:szCs w:val="22"/>
        </w:rPr>
      </w:pPr>
    </w:p>
    <w:p w:rsidR="004B5BBF" w:rsidRDefault="008065E0" w:rsidP="004B5BBF">
      <w:pPr>
        <w:pStyle w:val="ListParagraph"/>
        <w:numPr>
          <w:ilvl w:val="1"/>
          <w:numId w:val="25"/>
        </w:numPr>
        <w:jc w:val="both"/>
        <w:rPr>
          <w:rFonts w:ascii="Arial" w:hAnsi="Arial"/>
          <w:sz w:val="22"/>
          <w:szCs w:val="22"/>
        </w:rPr>
      </w:pPr>
      <w:r>
        <w:rPr>
          <w:rFonts w:ascii="Arial" w:hAnsi="Arial"/>
          <w:sz w:val="22"/>
          <w:szCs w:val="22"/>
        </w:rPr>
        <w:t xml:space="preserve">The submission requested listing the additional </w:t>
      </w:r>
      <w:r w:rsidR="00C764EF">
        <w:rPr>
          <w:rFonts w:ascii="Arial" w:hAnsi="Arial"/>
          <w:sz w:val="22"/>
          <w:szCs w:val="22"/>
        </w:rPr>
        <w:t xml:space="preserve">patch </w:t>
      </w:r>
      <w:r>
        <w:rPr>
          <w:rFonts w:ascii="Arial" w:hAnsi="Arial"/>
          <w:sz w:val="22"/>
          <w:szCs w:val="22"/>
        </w:rPr>
        <w:t xml:space="preserve">strengths of buprenorphine with the same </w:t>
      </w:r>
      <w:r w:rsidR="004B5BBF">
        <w:rPr>
          <w:rFonts w:ascii="Arial" w:hAnsi="Arial"/>
          <w:sz w:val="22"/>
          <w:szCs w:val="22"/>
        </w:rPr>
        <w:t>General Schedule li</w:t>
      </w:r>
      <w:r w:rsidR="00C764EF">
        <w:rPr>
          <w:rFonts w:ascii="Arial" w:hAnsi="Arial"/>
          <w:sz w:val="22"/>
          <w:szCs w:val="22"/>
        </w:rPr>
        <w:t xml:space="preserve">sting as the existing patch strengths: 5 </w:t>
      </w:r>
      <w:r w:rsidR="006940F4">
        <w:rPr>
          <w:rFonts w:ascii="Arial" w:hAnsi="Arial"/>
          <w:sz w:val="22"/>
          <w:szCs w:val="22"/>
        </w:rPr>
        <w:t>microgram</w:t>
      </w:r>
      <w:r w:rsidR="00C764EF">
        <w:rPr>
          <w:rFonts w:ascii="Arial" w:hAnsi="Arial"/>
          <w:sz w:val="22"/>
          <w:szCs w:val="22"/>
        </w:rPr>
        <w:t xml:space="preserve">/hour, 10 </w:t>
      </w:r>
      <w:r w:rsidR="006940F4">
        <w:rPr>
          <w:rFonts w:ascii="Arial" w:hAnsi="Arial"/>
          <w:sz w:val="22"/>
          <w:szCs w:val="22"/>
        </w:rPr>
        <w:t>microgram</w:t>
      </w:r>
      <w:r w:rsidR="00C764EF">
        <w:rPr>
          <w:rFonts w:ascii="Arial" w:hAnsi="Arial"/>
          <w:sz w:val="22"/>
          <w:szCs w:val="22"/>
        </w:rPr>
        <w:t xml:space="preserve">/hour and 20 </w:t>
      </w:r>
      <w:r w:rsidR="006940F4">
        <w:rPr>
          <w:rFonts w:ascii="Arial" w:hAnsi="Arial"/>
          <w:sz w:val="22"/>
          <w:szCs w:val="22"/>
        </w:rPr>
        <w:t>microgram</w:t>
      </w:r>
      <w:r w:rsidR="00C764EF">
        <w:rPr>
          <w:rFonts w:ascii="Arial" w:hAnsi="Arial"/>
          <w:sz w:val="22"/>
          <w:szCs w:val="22"/>
        </w:rPr>
        <w:t xml:space="preserve">/hour.  </w:t>
      </w:r>
    </w:p>
    <w:p w:rsidR="004B5BBF" w:rsidRDefault="004B5BBF" w:rsidP="004B5BBF">
      <w:pPr>
        <w:pStyle w:val="ListParagraph"/>
        <w:jc w:val="both"/>
        <w:rPr>
          <w:rFonts w:ascii="Arial" w:hAnsi="Arial"/>
          <w:sz w:val="22"/>
          <w:szCs w:val="22"/>
        </w:rPr>
      </w:pPr>
      <w:r>
        <w:rPr>
          <w:rFonts w:ascii="Arial" w:hAnsi="Arial"/>
          <w:sz w:val="22"/>
          <w:szCs w:val="22"/>
        </w:rPr>
        <w:t xml:space="preserve"> </w:t>
      </w:r>
    </w:p>
    <w:p w:rsidR="004B5BBF" w:rsidRPr="004B5BBF" w:rsidRDefault="004B5BBF" w:rsidP="004B5BBF">
      <w:pPr>
        <w:pStyle w:val="ListParagraph"/>
        <w:numPr>
          <w:ilvl w:val="1"/>
          <w:numId w:val="25"/>
        </w:numPr>
        <w:jc w:val="both"/>
        <w:rPr>
          <w:rFonts w:ascii="Arial" w:hAnsi="Arial"/>
          <w:sz w:val="22"/>
          <w:szCs w:val="22"/>
        </w:rPr>
      </w:pPr>
      <w:r>
        <w:rPr>
          <w:rFonts w:ascii="Arial" w:hAnsi="Arial"/>
          <w:sz w:val="22"/>
          <w:szCs w:val="22"/>
        </w:rPr>
        <w:t xml:space="preserve">The current listing </w:t>
      </w:r>
      <w:r w:rsidR="004C0C3F">
        <w:rPr>
          <w:rFonts w:ascii="Arial" w:hAnsi="Arial"/>
          <w:sz w:val="22"/>
          <w:szCs w:val="22"/>
        </w:rPr>
        <w:t xml:space="preserve">does not comply with electronic media requirements </w:t>
      </w:r>
      <w:r>
        <w:rPr>
          <w:rFonts w:ascii="Arial" w:hAnsi="Arial"/>
          <w:sz w:val="22"/>
          <w:szCs w:val="22"/>
        </w:rPr>
        <w:t xml:space="preserve">and has been remodelled by the Secretariat. </w:t>
      </w:r>
    </w:p>
    <w:p w:rsidR="004B5BBF" w:rsidRPr="004B5BBF" w:rsidRDefault="004B5BBF" w:rsidP="004B5BBF">
      <w:pPr>
        <w:pStyle w:val="ListParagraph"/>
        <w:jc w:val="both"/>
        <w:rPr>
          <w:rFonts w:ascii="Arial" w:hAnsi="Arial"/>
          <w:sz w:val="22"/>
          <w:szCs w:val="22"/>
        </w:rPr>
      </w:pPr>
    </w:p>
    <w:p w:rsidR="00826F6D" w:rsidRDefault="00826F6D" w:rsidP="00826F6D">
      <w:pPr>
        <w:pStyle w:val="ListParagraph"/>
        <w:jc w:val="both"/>
        <w:rPr>
          <w:rFonts w:ascii="Arial" w:hAnsi="Arial"/>
          <w:b/>
          <w:color w:val="FF00FF"/>
          <w:sz w:val="22"/>
          <w:szCs w:val="22"/>
        </w:rPr>
      </w:pPr>
    </w:p>
    <w:tbl>
      <w:tblPr>
        <w:tblW w:w="9214" w:type="dxa"/>
        <w:tblInd w:w="108" w:type="dxa"/>
        <w:tblLayout w:type="fixed"/>
        <w:tblLook w:val="0000" w:firstRow="0" w:lastRow="0" w:firstColumn="0" w:lastColumn="0" w:noHBand="0" w:noVBand="0"/>
      </w:tblPr>
      <w:tblGrid>
        <w:gridCol w:w="1843"/>
        <w:gridCol w:w="1418"/>
        <w:gridCol w:w="567"/>
        <w:gridCol w:w="850"/>
        <w:gridCol w:w="1701"/>
        <w:gridCol w:w="1559"/>
        <w:gridCol w:w="1276"/>
      </w:tblGrid>
      <w:tr w:rsidR="00826F6D" w:rsidRPr="00260CE3" w:rsidTr="005D7F23">
        <w:trPr>
          <w:cantSplit/>
          <w:trHeight w:val="471"/>
        </w:trPr>
        <w:tc>
          <w:tcPr>
            <w:tcW w:w="3261" w:type="dxa"/>
            <w:gridSpan w:val="2"/>
            <w:tcBorders>
              <w:bottom w:val="single" w:sz="4" w:space="0" w:color="auto"/>
            </w:tcBorders>
          </w:tcPr>
          <w:p w:rsidR="00826F6D" w:rsidRPr="00CC5A27" w:rsidRDefault="00826F6D" w:rsidP="005D7F23">
            <w:pPr>
              <w:keepNext/>
              <w:ind w:left="-108"/>
              <w:jc w:val="both"/>
              <w:rPr>
                <w:rFonts w:ascii="Arial Narrow" w:hAnsi="Arial Narrow" w:cs="Arial"/>
                <w:sz w:val="20"/>
                <w:szCs w:val="20"/>
              </w:rPr>
            </w:pPr>
            <w:r w:rsidRPr="00CC5A27">
              <w:rPr>
                <w:rFonts w:ascii="Arial Narrow" w:hAnsi="Arial Narrow" w:cs="Arial"/>
                <w:sz w:val="20"/>
                <w:szCs w:val="20"/>
              </w:rPr>
              <w:t>Name, Restriction,</w:t>
            </w:r>
          </w:p>
          <w:p w:rsidR="00826F6D" w:rsidRPr="00CC5A27" w:rsidRDefault="00826F6D" w:rsidP="005D7F23">
            <w:pPr>
              <w:keepNext/>
              <w:ind w:left="-108"/>
              <w:jc w:val="both"/>
              <w:rPr>
                <w:rFonts w:ascii="Arial Narrow" w:hAnsi="Arial Narrow" w:cs="Arial"/>
                <w:sz w:val="20"/>
                <w:szCs w:val="20"/>
              </w:rPr>
            </w:pPr>
            <w:r w:rsidRPr="00CC5A27">
              <w:rPr>
                <w:rFonts w:ascii="Arial Narrow" w:hAnsi="Arial Narrow" w:cs="Arial"/>
                <w:sz w:val="20"/>
                <w:szCs w:val="20"/>
              </w:rPr>
              <w:t>Manner of administration and form</w:t>
            </w:r>
          </w:p>
        </w:tc>
        <w:tc>
          <w:tcPr>
            <w:tcW w:w="567" w:type="dxa"/>
            <w:tcBorders>
              <w:bottom w:val="single" w:sz="4" w:space="0" w:color="auto"/>
            </w:tcBorders>
          </w:tcPr>
          <w:p w:rsidR="00826F6D" w:rsidRPr="00CC5A27" w:rsidRDefault="00826F6D" w:rsidP="005D7F23">
            <w:pPr>
              <w:keepNext/>
              <w:ind w:left="-108"/>
              <w:jc w:val="both"/>
              <w:rPr>
                <w:rFonts w:ascii="Arial Narrow" w:hAnsi="Arial Narrow" w:cs="Arial"/>
                <w:sz w:val="20"/>
                <w:szCs w:val="20"/>
              </w:rPr>
            </w:pPr>
            <w:r w:rsidRPr="00CC5A27">
              <w:rPr>
                <w:rFonts w:ascii="Arial Narrow" w:hAnsi="Arial Narrow" w:cs="Arial"/>
                <w:sz w:val="20"/>
                <w:szCs w:val="20"/>
              </w:rPr>
              <w:t>Max.</w:t>
            </w:r>
          </w:p>
          <w:p w:rsidR="00826F6D" w:rsidRPr="00CC5A27" w:rsidRDefault="00826F6D" w:rsidP="005D7F23">
            <w:pPr>
              <w:keepNext/>
              <w:ind w:left="-108"/>
              <w:jc w:val="both"/>
              <w:rPr>
                <w:rFonts w:ascii="Arial Narrow" w:hAnsi="Arial Narrow" w:cs="Arial"/>
                <w:sz w:val="20"/>
                <w:szCs w:val="20"/>
              </w:rPr>
            </w:pPr>
            <w:r w:rsidRPr="00CC5A27">
              <w:rPr>
                <w:rFonts w:ascii="Arial Narrow" w:hAnsi="Arial Narrow" w:cs="Arial"/>
                <w:sz w:val="20"/>
                <w:szCs w:val="20"/>
              </w:rPr>
              <w:t>Qty</w:t>
            </w:r>
          </w:p>
        </w:tc>
        <w:tc>
          <w:tcPr>
            <w:tcW w:w="850" w:type="dxa"/>
            <w:tcBorders>
              <w:bottom w:val="single" w:sz="4" w:space="0" w:color="auto"/>
            </w:tcBorders>
          </w:tcPr>
          <w:p w:rsidR="00826F6D" w:rsidRPr="00CC5A27" w:rsidRDefault="00826F6D" w:rsidP="005D7F23">
            <w:pPr>
              <w:keepNext/>
              <w:ind w:left="-108"/>
              <w:jc w:val="both"/>
              <w:rPr>
                <w:rFonts w:ascii="Arial Narrow" w:hAnsi="Arial Narrow" w:cs="Arial"/>
                <w:sz w:val="20"/>
                <w:szCs w:val="20"/>
              </w:rPr>
            </w:pPr>
            <w:r w:rsidRPr="00CC5A27">
              <w:rPr>
                <w:rFonts w:ascii="Arial Narrow" w:hAnsi="Arial Narrow" w:cs="Arial"/>
                <w:sz w:val="20"/>
                <w:szCs w:val="20"/>
              </w:rPr>
              <w:t>№.of</w:t>
            </w:r>
          </w:p>
          <w:p w:rsidR="00826F6D" w:rsidRPr="00CC5A27" w:rsidRDefault="00826F6D" w:rsidP="005D7F23">
            <w:pPr>
              <w:keepNext/>
              <w:ind w:left="-108"/>
              <w:jc w:val="both"/>
              <w:rPr>
                <w:rFonts w:ascii="Arial Narrow" w:hAnsi="Arial Narrow" w:cs="Arial"/>
                <w:sz w:val="20"/>
                <w:szCs w:val="20"/>
              </w:rPr>
            </w:pPr>
            <w:r w:rsidRPr="00CC5A27">
              <w:rPr>
                <w:rFonts w:ascii="Arial Narrow" w:hAnsi="Arial Narrow" w:cs="Arial"/>
                <w:sz w:val="20"/>
                <w:szCs w:val="20"/>
              </w:rPr>
              <w:t>Rpts</w:t>
            </w:r>
          </w:p>
        </w:tc>
        <w:tc>
          <w:tcPr>
            <w:tcW w:w="1701" w:type="dxa"/>
            <w:tcBorders>
              <w:bottom w:val="single" w:sz="4" w:space="0" w:color="auto"/>
            </w:tcBorders>
          </w:tcPr>
          <w:p w:rsidR="00826F6D" w:rsidRPr="00CC5A27" w:rsidRDefault="00826F6D" w:rsidP="005D7F23">
            <w:pPr>
              <w:keepNext/>
              <w:ind w:left="-108"/>
              <w:jc w:val="both"/>
              <w:rPr>
                <w:rFonts w:ascii="Arial Narrow" w:hAnsi="Arial Narrow" w:cs="Arial"/>
                <w:sz w:val="20"/>
                <w:szCs w:val="20"/>
              </w:rPr>
            </w:pPr>
            <w:r w:rsidRPr="00CC5A27">
              <w:rPr>
                <w:rFonts w:ascii="Arial Narrow" w:hAnsi="Arial Narrow" w:cs="Arial"/>
                <w:sz w:val="20"/>
                <w:szCs w:val="20"/>
              </w:rPr>
              <w:t>Dispensed Price for Max. Qty</w:t>
            </w:r>
          </w:p>
        </w:tc>
        <w:tc>
          <w:tcPr>
            <w:tcW w:w="2835" w:type="dxa"/>
            <w:gridSpan w:val="2"/>
            <w:tcBorders>
              <w:bottom w:val="single" w:sz="4" w:space="0" w:color="auto"/>
            </w:tcBorders>
          </w:tcPr>
          <w:p w:rsidR="00826F6D" w:rsidRPr="00CC5A27" w:rsidRDefault="00826F6D" w:rsidP="005D7F23">
            <w:pPr>
              <w:keepNext/>
              <w:jc w:val="both"/>
              <w:rPr>
                <w:rFonts w:ascii="Arial Narrow" w:hAnsi="Arial Narrow" w:cs="Arial"/>
                <w:sz w:val="20"/>
                <w:szCs w:val="20"/>
                <w:lang w:val="fr-FR"/>
              </w:rPr>
            </w:pPr>
            <w:r w:rsidRPr="00CC5A27">
              <w:rPr>
                <w:rFonts w:ascii="Arial Narrow" w:hAnsi="Arial Narrow" w:cs="Arial"/>
                <w:sz w:val="20"/>
                <w:szCs w:val="20"/>
              </w:rPr>
              <w:t>Proprietary Name and Manufacturer</w:t>
            </w:r>
          </w:p>
        </w:tc>
      </w:tr>
      <w:tr w:rsidR="00826F6D" w:rsidRPr="00260CE3" w:rsidTr="00223C8A">
        <w:trPr>
          <w:cantSplit/>
          <w:trHeight w:val="866"/>
        </w:trPr>
        <w:tc>
          <w:tcPr>
            <w:tcW w:w="3261" w:type="dxa"/>
            <w:gridSpan w:val="2"/>
          </w:tcPr>
          <w:p w:rsidR="00826F6D" w:rsidRPr="00CC5A27" w:rsidRDefault="005D7F23" w:rsidP="005D7F23">
            <w:pPr>
              <w:keepNext/>
              <w:ind w:left="-108"/>
              <w:jc w:val="both"/>
              <w:rPr>
                <w:rFonts w:ascii="Arial Narrow" w:hAnsi="Arial Narrow" w:cs="Arial"/>
                <w:sz w:val="20"/>
                <w:szCs w:val="20"/>
              </w:rPr>
            </w:pPr>
            <w:r w:rsidRPr="00CC5A27">
              <w:rPr>
                <w:rFonts w:ascii="Arial Narrow" w:hAnsi="Arial Narrow" w:cs="Arial"/>
                <w:smallCaps/>
                <w:sz w:val="20"/>
                <w:szCs w:val="20"/>
              </w:rPr>
              <w:t>BUPRENORPHINE</w:t>
            </w:r>
          </w:p>
          <w:p w:rsidR="00826F6D"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 xml:space="preserve">15 </w:t>
            </w:r>
            <w:r w:rsidR="006940F4">
              <w:rPr>
                <w:rFonts w:ascii="Arial Narrow" w:hAnsi="Arial Narrow" w:cs="Arial"/>
                <w:sz w:val="20"/>
                <w:szCs w:val="20"/>
              </w:rPr>
              <w:t>microgram</w:t>
            </w:r>
            <w:r w:rsidRPr="00CC5A27">
              <w:rPr>
                <w:rFonts w:ascii="Arial Narrow" w:hAnsi="Arial Narrow" w:cs="Arial"/>
                <w:sz w:val="20"/>
                <w:szCs w:val="20"/>
              </w:rPr>
              <w:t>/hour patch, 2</w:t>
            </w:r>
          </w:p>
          <w:p w:rsidR="00CC5A27"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 xml:space="preserve">25 </w:t>
            </w:r>
            <w:r w:rsidR="006940F4">
              <w:rPr>
                <w:rFonts w:ascii="Arial Narrow" w:hAnsi="Arial Narrow" w:cs="Arial"/>
                <w:sz w:val="20"/>
                <w:szCs w:val="20"/>
              </w:rPr>
              <w:t>microgram</w:t>
            </w:r>
            <w:r w:rsidRPr="00CC5A27">
              <w:rPr>
                <w:rFonts w:ascii="Arial Narrow" w:hAnsi="Arial Narrow" w:cs="Arial"/>
                <w:sz w:val="20"/>
                <w:szCs w:val="20"/>
              </w:rPr>
              <w:t>/hour patch, 2</w:t>
            </w:r>
          </w:p>
          <w:p w:rsidR="00CC5A27"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 xml:space="preserve">30 </w:t>
            </w:r>
            <w:r w:rsidR="006940F4">
              <w:rPr>
                <w:rFonts w:ascii="Arial Narrow" w:hAnsi="Arial Narrow" w:cs="Arial"/>
                <w:sz w:val="20"/>
                <w:szCs w:val="20"/>
              </w:rPr>
              <w:t>microgram</w:t>
            </w:r>
            <w:r w:rsidRPr="00CC5A27">
              <w:rPr>
                <w:rFonts w:ascii="Arial Narrow" w:hAnsi="Arial Narrow" w:cs="Arial"/>
                <w:sz w:val="20"/>
                <w:szCs w:val="20"/>
              </w:rPr>
              <w:t>/hour patch, 2</w:t>
            </w:r>
          </w:p>
          <w:p w:rsidR="00CC5A27"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 xml:space="preserve">40 </w:t>
            </w:r>
            <w:r w:rsidR="006940F4">
              <w:rPr>
                <w:rFonts w:ascii="Arial Narrow" w:hAnsi="Arial Narrow" w:cs="Arial"/>
                <w:sz w:val="20"/>
                <w:szCs w:val="20"/>
              </w:rPr>
              <w:t>microgram</w:t>
            </w:r>
            <w:r w:rsidRPr="00CC5A27">
              <w:rPr>
                <w:rFonts w:ascii="Arial Narrow" w:hAnsi="Arial Narrow" w:cs="Arial"/>
                <w:sz w:val="20"/>
                <w:szCs w:val="20"/>
              </w:rPr>
              <w:t>/hour patch, 2</w:t>
            </w:r>
          </w:p>
        </w:tc>
        <w:tc>
          <w:tcPr>
            <w:tcW w:w="567" w:type="dxa"/>
          </w:tcPr>
          <w:p w:rsidR="00826F6D" w:rsidRPr="00CC5A27" w:rsidRDefault="00826F6D" w:rsidP="005D7F23">
            <w:pPr>
              <w:keepNext/>
              <w:ind w:left="-108"/>
              <w:jc w:val="both"/>
              <w:rPr>
                <w:rFonts w:ascii="Arial Narrow" w:hAnsi="Arial Narrow" w:cs="Arial"/>
                <w:sz w:val="20"/>
                <w:szCs w:val="20"/>
              </w:rPr>
            </w:pPr>
          </w:p>
          <w:p w:rsidR="00826F6D"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1</w:t>
            </w:r>
          </w:p>
          <w:p w:rsidR="00CC5A27"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1</w:t>
            </w:r>
          </w:p>
          <w:p w:rsidR="00CC5A27"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1</w:t>
            </w:r>
          </w:p>
          <w:p w:rsidR="00CC5A27"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1</w:t>
            </w:r>
          </w:p>
        </w:tc>
        <w:tc>
          <w:tcPr>
            <w:tcW w:w="850" w:type="dxa"/>
          </w:tcPr>
          <w:p w:rsidR="00826F6D" w:rsidRPr="00CC5A27" w:rsidRDefault="00826F6D" w:rsidP="005D7F23">
            <w:pPr>
              <w:keepNext/>
              <w:ind w:left="-108"/>
              <w:jc w:val="both"/>
              <w:rPr>
                <w:rFonts w:ascii="Arial Narrow" w:hAnsi="Arial Narrow" w:cs="Arial"/>
                <w:sz w:val="20"/>
                <w:szCs w:val="20"/>
              </w:rPr>
            </w:pPr>
          </w:p>
          <w:p w:rsidR="00826F6D"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0</w:t>
            </w:r>
          </w:p>
          <w:p w:rsidR="00CC5A27"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0</w:t>
            </w:r>
          </w:p>
          <w:p w:rsidR="00CC5A27"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0</w:t>
            </w:r>
          </w:p>
          <w:p w:rsidR="00CC5A27"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0</w:t>
            </w:r>
          </w:p>
        </w:tc>
        <w:tc>
          <w:tcPr>
            <w:tcW w:w="1701" w:type="dxa"/>
          </w:tcPr>
          <w:p w:rsidR="00826F6D" w:rsidRPr="00CC5A27" w:rsidRDefault="00826F6D" w:rsidP="005D7F23">
            <w:pPr>
              <w:keepNext/>
              <w:ind w:left="-108"/>
              <w:jc w:val="both"/>
              <w:rPr>
                <w:rFonts w:ascii="Arial Narrow" w:hAnsi="Arial Narrow" w:cs="Arial"/>
                <w:sz w:val="20"/>
                <w:szCs w:val="20"/>
              </w:rPr>
            </w:pPr>
          </w:p>
          <w:p w:rsidR="00826F6D" w:rsidRPr="00263604" w:rsidRDefault="00826F6D" w:rsidP="00CC5A27">
            <w:pPr>
              <w:keepNext/>
              <w:ind w:left="-108"/>
              <w:jc w:val="both"/>
              <w:rPr>
                <w:rFonts w:ascii="Arial Narrow" w:hAnsi="Arial Narrow" w:cs="Arial"/>
                <w:sz w:val="20"/>
                <w:szCs w:val="20"/>
              </w:rPr>
            </w:pPr>
            <w:r w:rsidRPr="00263604">
              <w:rPr>
                <w:rFonts w:ascii="Arial Narrow" w:hAnsi="Arial Narrow" w:cs="Arial"/>
                <w:sz w:val="20"/>
                <w:szCs w:val="20"/>
              </w:rPr>
              <w:t>$</w:t>
            </w:r>
            <w:r w:rsidR="00C84DAD">
              <w:rPr>
                <w:rFonts w:ascii="Arial Narrow" w:hAnsi="Arial Narrow" w:cs="Arial"/>
                <w:noProof/>
                <w:color w:val="000000"/>
                <w:sz w:val="20"/>
                <w:szCs w:val="20"/>
                <w:highlight w:val="black"/>
              </w:rPr>
              <w:t>'''''''''''''''</w:t>
            </w:r>
          </w:p>
          <w:p w:rsidR="00CC5A27" w:rsidRPr="00263604" w:rsidRDefault="00CC5A27" w:rsidP="00CC5A27">
            <w:pPr>
              <w:keepNext/>
              <w:ind w:left="-108"/>
              <w:jc w:val="both"/>
              <w:rPr>
                <w:rFonts w:ascii="Arial Narrow" w:hAnsi="Arial Narrow" w:cs="Arial"/>
                <w:sz w:val="20"/>
                <w:szCs w:val="20"/>
              </w:rPr>
            </w:pPr>
            <w:r w:rsidRPr="00263604">
              <w:rPr>
                <w:rFonts w:ascii="Arial Narrow" w:hAnsi="Arial Narrow" w:cs="Arial"/>
                <w:sz w:val="20"/>
                <w:szCs w:val="20"/>
              </w:rPr>
              <w:t>$</w:t>
            </w:r>
            <w:r w:rsidR="00C84DAD">
              <w:rPr>
                <w:rFonts w:ascii="Arial Narrow" w:hAnsi="Arial Narrow" w:cs="Arial"/>
                <w:noProof/>
                <w:color w:val="000000"/>
                <w:sz w:val="20"/>
                <w:szCs w:val="20"/>
                <w:highlight w:val="black"/>
              </w:rPr>
              <w:t>''''''''''''''</w:t>
            </w:r>
          </w:p>
          <w:p w:rsidR="00CC5A27" w:rsidRPr="00263604" w:rsidRDefault="00CC5A27" w:rsidP="00CC5A27">
            <w:pPr>
              <w:keepNext/>
              <w:ind w:left="-108"/>
              <w:jc w:val="both"/>
              <w:rPr>
                <w:rFonts w:ascii="Arial Narrow" w:hAnsi="Arial Narrow" w:cs="Arial"/>
                <w:sz w:val="20"/>
                <w:szCs w:val="20"/>
              </w:rPr>
            </w:pPr>
            <w:r w:rsidRPr="00263604">
              <w:rPr>
                <w:rFonts w:ascii="Arial Narrow" w:hAnsi="Arial Narrow" w:cs="Arial"/>
                <w:sz w:val="20"/>
                <w:szCs w:val="20"/>
              </w:rPr>
              <w:t>$</w:t>
            </w:r>
            <w:r w:rsidR="00C84DAD">
              <w:rPr>
                <w:rFonts w:ascii="Arial Narrow" w:hAnsi="Arial Narrow" w:cs="Arial"/>
                <w:noProof/>
                <w:color w:val="000000"/>
                <w:sz w:val="20"/>
                <w:szCs w:val="20"/>
                <w:highlight w:val="black"/>
              </w:rPr>
              <w:t>'''''''''''''</w:t>
            </w:r>
          </w:p>
          <w:p w:rsidR="00CC5A27" w:rsidRPr="00CC5A27" w:rsidRDefault="00CC5A27" w:rsidP="00CC5A27">
            <w:pPr>
              <w:keepNext/>
              <w:ind w:left="-108"/>
              <w:jc w:val="both"/>
              <w:rPr>
                <w:rFonts w:ascii="Arial Narrow" w:hAnsi="Arial Narrow" w:cs="Arial"/>
                <w:sz w:val="20"/>
                <w:szCs w:val="20"/>
              </w:rPr>
            </w:pPr>
            <w:r w:rsidRPr="00263604">
              <w:rPr>
                <w:rFonts w:ascii="Arial Narrow" w:hAnsi="Arial Narrow" w:cs="Arial"/>
                <w:sz w:val="20"/>
                <w:szCs w:val="20"/>
              </w:rPr>
              <w:t>$</w:t>
            </w:r>
            <w:r w:rsidR="00C84DAD">
              <w:rPr>
                <w:rFonts w:ascii="Arial Narrow" w:hAnsi="Arial Narrow" w:cs="Arial"/>
                <w:noProof/>
                <w:color w:val="000000"/>
                <w:sz w:val="20"/>
                <w:szCs w:val="20"/>
                <w:highlight w:val="black"/>
              </w:rPr>
              <w:t>''''''''''''''</w:t>
            </w:r>
          </w:p>
        </w:tc>
        <w:tc>
          <w:tcPr>
            <w:tcW w:w="1559" w:type="dxa"/>
          </w:tcPr>
          <w:p w:rsidR="00826F6D" w:rsidRDefault="00CC5A27" w:rsidP="005D7F23">
            <w:pPr>
              <w:keepNext/>
              <w:jc w:val="both"/>
              <w:rPr>
                <w:rFonts w:ascii="Arial Narrow" w:hAnsi="Arial Narrow" w:cs="Arial"/>
                <w:sz w:val="20"/>
                <w:szCs w:val="20"/>
              </w:rPr>
            </w:pPr>
            <w:r w:rsidRPr="00CC5A27">
              <w:rPr>
                <w:rFonts w:ascii="Arial Narrow" w:hAnsi="Arial Narrow" w:cs="Arial"/>
                <w:sz w:val="20"/>
                <w:szCs w:val="20"/>
              </w:rPr>
              <w:t>Norspan®</w:t>
            </w:r>
          </w:p>
          <w:p w:rsidR="00D701F9" w:rsidRPr="00CC5A27" w:rsidRDefault="00D701F9" w:rsidP="005D7F23">
            <w:pPr>
              <w:keepNext/>
              <w:jc w:val="both"/>
              <w:rPr>
                <w:rFonts w:ascii="Arial Narrow" w:hAnsi="Arial Narrow" w:cs="Arial"/>
                <w:sz w:val="20"/>
                <w:szCs w:val="20"/>
              </w:rPr>
            </w:pPr>
          </w:p>
        </w:tc>
        <w:tc>
          <w:tcPr>
            <w:tcW w:w="1276" w:type="dxa"/>
          </w:tcPr>
          <w:p w:rsidR="00826F6D" w:rsidRPr="00CC5A27" w:rsidRDefault="00CC5A27" w:rsidP="005D7F23">
            <w:pPr>
              <w:keepNext/>
              <w:jc w:val="both"/>
              <w:rPr>
                <w:rFonts w:ascii="Arial Narrow" w:hAnsi="Arial Narrow" w:cs="Arial"/>
                <w:sz w:val="20"/>
                <w:szCs w:val="20"/>
              </w:rPr>
            </w:pPr>
            <w:r w:rsidRPr="00CC5A27">
              <w:rPr>
                <w:rFonts w:ascii="Arial Narrow" w:hAnsi="Arial Narrow" w:cs="Arial"/>
                <w:sz w:val="20"/>
                <w:szCs w:val="20"/>
              </w:rPr>
              <w:t>Mundipharma Pty Ltd</w:t>
            </w:r>
          </w:p>
        </w:tc>
      </w:tr>
      <w:tr w:rsidR="00826F6D" w:rsidRPr="00260CE3" w:rsidTr="005D7F23">
        <w:trPr>
          <w:cantSplit/>
          <w:trHeight w:val="360"/>
        </w:trPr>
        <w:tc>
          <w:tcPr>
            <w:tcW w:w="9214" w:type="dxa"/>
            <w:gridSpan w:val="7"/>
            <w:tcBorders>
              <w:bottom w:val="single" w:sz="4" w:space="0" w:color="auto"/>
            </w:tcBorders>
          </w:tcPr>
          <w:p w:rsidR="00826F6D" w:rsidRPr="00260CE3" w:rsidRDefault="00826F6D" w:rsidP="005D7F23">
            <w:pPr>
              <w:jc w:val="both"/>
              <w:rPr>
                <w:rFonts w:ascii="Arial Narrow" w:hAnsi="Arial Narrow" w:cs="Arial"/>
                <w:sz w:val="20"/>
                <w:szCs w:val="20"/>
              </w:rPr>
            </w:pPr>
          </w:p>
        </w:tc>
      </w:tr>
      <w:tr w:rsidR="00826F6D" w:rsidRPr="00260CE3"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0CE3" w:rsidRDefault="00CC5A27" w:rsidP="005D7F23">
            <w:pPr>
              <w:jc w:val="both"/>
              <w:rPr>
                <w:rFonts w:ascii="Arial Narrow" w:hAnsi="Arial Narrow" w:cs="Arial"/>
                <w:b/>
                <w:sz w:val="20"/>
                <w:szCs w:val="20"/>
              </w:rPr>
            </w:pPr>
            <w:r>
              <w:rPr>
                <w:rFonts w:ascii="Arial Narrow" w:hAnsi="Arial Narrow" w:cs="Arial"/>
                <w:b/>
                <w:sz w:val="20"/>
                <w:szCs w:val="20"/>
              </w:rPr>
              <w:t>C</w:t>
            </w:r>
            <w:r w:rsidR="00826F6D" w:rsidRPr="00260CE3">
              <w:rPr>
                <w:rFonts w:ascii="Arial Narrow" w:hAnsi="Arial Narrow" w:cs="Arial"/>
                <w:b/>
                <w:sz w:val="20"/>
                <w:szCs w:val="20"/>
              </w:rPr>
              <w:t xml:space="preserve">ategory / </w:t>
            </w:r>
          </w:p>
          <w:p w:rsidR="00826F6D" w:rsidRPr="00260CE3" w:rsidRDefault="00826F6D" w:rsidP="005D7F23">
            <w:pPr>
              <w:jc w:val="both"/>
              <w:rPr>
                <w:rFonts w:ascii="Arial Narrow" w:hAnsi="Arial Narrow" w:cs="Arial"/>
                <w:b/>
                <w:sz w:val="20"/>
                <w:szCs w:val="20"/>
              </w:rPr>
            </w:pPr>
            <w:r w:rsidRPr="00260CE3">
              <w:rPr>
                <w:rFonts w:ascii="Arial Narrow" w:hAnsi="Arial Narrow" w:cs="Arial"/>
                <w:b/>
                <w:sz w:val="20"/>
                <w:szCs w:val="20"/>
              </w:rPr>
              <w:t>Program</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5D7F23">
            <w:pPr>
              <w:rPr>
                <w:rFonts w:ascii="Arial Narrow" w:hAnsi="Arial Narrow" w:cs="Arial"/>
                <w:sz w:val="20"/>
                <w:szCs w:val="20"/>
              </w:rPr>
            </w:pPr>
            <w:r w:rsidRPr="00260CE3">
              <w:rPr>
                <w:rFonts w:ascii="Arial Narrow" w:hAnsi="Arial Narrow" w:cs="Arial"/>
                <w:sz w:val="20"/>
                <w:szCs w:val="20"/>
              </w:rPr>
              <w:t>GENERAL – General Schedule (Code GE)</w:t>
            </w:r>
          </w:p>
        </w:tc>
      </w:tr>
      <w:tr w:rsidR="00826F6D" w:rsidRPr="00260CE3"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0CE3" w:rsidRDefault="00826F6D" w:rsidP="005D7F23">
            <w:pPr>
              <w:jc w:val="both"/>
              <w:rPr>
                <w:rFonts w:ascii="Arial Narrow" w:hAnsi="Arial Narrow" w:cs="Arial"/>
                <w:b/>
                <w:sz w:val="20"/>
                <w:szCs w:val="20"/>
              </w:rPr>
            </w:pPr>
            <w:r w:rsidRPr="00260CE3">
              <w:rPr>
                <w:rFonts w:ascii="Arial Narrow" w:hAnsi="Arial Narrow" w:cs="Arial"/>
                <w:b/>
                <w:sz w:val="20"/>
                <w:szCs w:val="20"/>
              </w:rPr>
              <w:t>Prescriber type:</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5D7F23">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C84DAD">
              <w:rPr>
                <w:rFonts w:ascii="Arial Narrow" w:hAnsi="Arial Narrow" w:cs="Arial"/>
                <w:sz w:val="20"/>
                <w:szCs w:val="20"/>
              </w:rPr>
            </w:r>
            <w:r w:rsidR="00C84DA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4B5BBF">
              <w:rPr>
                <w:rFonts w:ascii="Arial Narrow" w:hAnsi="Arial Narrow" w:cs="Arial"/>
                <w:sz w:val="20"/>
                <w:szCs w:val="20"/>
              </w:rPr>
              <w:fldChar w:fldCharType="begin">
                <w:ffData>
                  <w:name w:val=""/>
                  <w:enabled/>
                  <w:calcOnExit w:val="0"/>
                  <w:checkBox>
                    <w:sizeAuto/>
                    <w:default w:val="1"/>
                  </w:checkBox>
                </w:ffData>
              </w:fldChar>
            </w:r>
            <w:r w:rsidR="004B5BBF">
              <w:rPr>
                <w:rFonts w:ascii="Arial Narrow" w:hAnsi="Arial Narrow" w:cs="Arial"/>
                <w:sz w:val="20"/>
                <w:szCs w:val="20"/>
              </w:rPr>
              <w:instrText xml:space="preserve"> FORMCHECKBOX </w:instrText>
            </w:r>
            <w:r w:rsidR="00C84DAD">
              <w:rPr>
                <w:rFonts w:ascii="Arial Narrow" w:hAnsi="Arial Narrow" w:cs="Arial"/>
                <w:sz w:val="20"/>
                <w:szCs w:val="20"/>
              </w:rPr>
            </w:r>
            <w:r w:rsidR="00C84DAD">
              <w:rPr>
                <w:rFonts w:ascii="Arial Narrow" w:hAnsi="Arial Narrow" w:cs="Arial"/>
                <w:sz w:val="20"/>
                <w:szCs w:val="20"/>
              </w:rPr>
              <w:fldChar w:fldCharType="separate"/>
            </w:r>
            <w:r w:rsidR="004B5BBF">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4B5BBF">
              <w:rPr>
                <w:rFonts w:ascii="Arial Narrow" w:hAnsi="Arial Narrow" w:cs="Arial"/>
                <w:sz w:val="20"/>
                <w:szCs w:val="20"/>
              </w:rPr>
              <w:fldChar w:fldCharType="begin">
                <w:ffData>
                  <w:name w:val="Check3"/>
                  <w:enabled/>
                  <w:calcOnExit w:val="0"/>
                  <w:checkBox>
                    <w:sizeAuto/>
                    <w:default w:val="1"/>
                  </w:checkBox>
                </w:ffData>
              </w:fldChar>
            </w:r>
            <w:bookmarkStart w:id="1" w:name="Check3"/>
            <w:r w:rsidR="004B5BBF">
              <w:rPr>
                <w:rFonts w:ascii="Arial Narrow" w:hAnsi="Arial Narrow" w:cs="Arial"/>
                <w:sz w:val="20"/>
                <w:szCs w:val="20"/>
              </w:rPr>
              <w:instrText xml:space="preserve"> FORMCHECKBOX </w:instrText>
            </w:r>
            <w:r w:rsidR="00C84DAD">
              <w:rPr>
                <w:rFonts w:ascii="Arial Narrow" w:hAnsi="Arial Narrow" w:cs="Arial"/>
                <w:sz w:val="20"/>
                <w:szCs w:val="20"/>
              </w:rPr>
            </w:r>
            <w:r w:rsidR="00C84DAD">
              <w:rPr>
                <w:rFonts w:ascii="Arial Narrow" w:hAnsi="Arial Narrow" w:cs="Arial"/>
                <w:sz w:val="20"/>
                <w:szCs w:val="20"/>
              </w:rPr>
              <w:fldChar w:fldCharType="separate"/>
            </w:r>
            <w:r w:rsidR="004B5BBF">
              <w:rPr>
                <w:rFonts w:ascii="Arial Narrow" w:hAnsi="Arial Narrow" w:cs="Arial"/>
                <w:sz w:val="20"/>
                <w:szCs w:val="20"/>
              </w:rPr>
              <w:fldChar w:fldCharType="end"/>
            </w:r>
            <w:bookmarkEnd w:id="1"/>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C84DAD">
              <w:rPr>
                <w:rFonts w:ascii="Arial Narrow" w:hAnsi="Arial Narrow" w:cs="Arial"/>
                <w:sz w:val="20"/>
                <w:szCs w:val="20"/>
              </w:rPr>
            </w:r>
            <w:r w:rsidR="00C84DA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5D7F23">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C84DAD">
              <w:rPr>
                <w:rFonts w:ascii="Arial Narrow" w:hAnsi="Arial Narrow" w:cs="Arial"/>
                <w:sz w:val="20"/>
                <w:szCs w:val="20"/>
              </w:rPr>
            </w:r>
            <w:r w:rsidR="00C84DA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0CE3" w:rsidRDefault="00826F6D" w:rsidP="005D7F23">
            <w:pPr>
              <w:jc w:val="both"/>
              <w:rPr>
                <w:rFonts w:ascii="Arial Narrow" w:hAnsi="Arial Narrow" w:cs="Arial"/>
                <w:b/>
                <w:sz w:val="20"/>
                <w:szCs w:val="20"/>
              </w:rPr>
            </w:pPr>
            <w:r w:rsidRPr="00260CE3">
              <w:rPr>
                <w:rFonts w:ascii="Arial Narrow" w:hAnsi="Arial Narrow" w:cs="Arial"/>
                <w:b/>
                <w:sz w:val="20"/>
                <w:szCs w:val="20"/>
              </w:rPr>
              <w:t>Condition:</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0CE3" w:rsidRDefault="004B5BBF" w:rsidP="005D7F23">
            <w:pPr>
              <w:rPr>
                <w:rFonts w:ascii="Arial Narrow" w:hAnsi="Arial Narrow" w:cs="Arial"/>
                <w:sz w:val="20"/>
                <w:szCs w:val="20"/>
              </w:rPr>
            </w:pPr>
            <w:r>
              <w:rPr>
                <w:rFonts w:ascii="Arial Narrow" w:hAnsi="Arial Narrow" w:cs="Arial"/>
                <w:sz w:val="20"/>
                <w:szCs w:val="20"/>
              </w:rPr>
              <w:t>Chronic severe disabling pain</w:t>
            </w:r>
          </w:p>
        </w:tc>
      </w:tr>
      <w:tr w:rsidR="00826F6D" w:rsidRPr="00260CE3"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0CE3" w:rsidRDefault="00826F6D" w:rsidP="005D7F23">
            <w:pPr>
              <w:jc w:val="both"/>
              <w:rPr>
                <w:rFonts w:ascii="Arial Narrow" w:hAnsi="Arial Narrow" w:cs="Arial"/>
                <w:b/>
                <w:sz w:val="20"/>
                <w:szCs w:val="20"/>
              </w:rPr>
            </w:pPr>
            <w:r w:rsidRPr="00260CE3">
              <w:rPr>
                <w:rFonts w:ascii="Arial Narrow" w:hAnsi="Arial Narrow" w:cs="Arial"/>
                <w:b/>
                <w:sz w:val="20"/>
                <w:szCs w:val="20"/>
              </w:rPr>
              <w:t>PBS Indication:</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0CE3" w:rsidRDefault="004B5BBF" w:rsidP="005D7F23">
            <w:pPr>
              <w:rPr>
                <w:rFonts w:ascii="Arial Narrow" w:hAnsi="Arial Narrow" w:cs="Arial"/>
                <w:sz w:val="20"/>
                <w:szCs w:val="20"/>
              </w:rPr>
            </w:pPr>
            <w:r>
              <w:rPr>
                <w:rFonts w:ascii="Arial Narrow" w:hAnsi="Arial Narrow" w:cs="Arial"/>
                <w:sz w:val="20"/>
                <w:szCs w:val="20"/>
              </w:rPr>
              <w:t>Chronic severe disabling pain</w:t>
            </w:r>
          </w:p>
        </w:tc>
      </w:tr>
      <w:tr w:rsidR="00826F6D" w:rsidRPr="00260CE3"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0CE3" w:rsidRDefault="00826F6D" w:rsidP="005D7F23">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5D7F23">
            <w:pPr>
              <w:rPr>
                <w:rFonts w:ascii="Arial Narrow" w:hAnsi="Arial Narrow" w:cs="Arial"/>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826F6D" w:rsidRPr="00106BCF" w:rsidRDefault="004B5BBF" w:rsidP="005D7F23">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2" w:name="Check1"/>
            <w:r>
              <w:rPr>
                <w:rFonts w:ascii="Arial Narrow" w:hAnsi="Arial Narrow" w:cs="Arial"/>
                <w:sz w:val="20"/>
                <w:szCs w:val="20"/>
              </w:rPr>
              <w:instrText xml:space="preserve"> FORMCHECKBOX </w:instrText>
            </w:r>
            <w:r w:rsidR="00C84DAD">
              <w:rPr>
                <w:rFonts w:ascii="Arial Narrow" w:hAnsi="Arial Narrow" w:cs="Arial"/>
                <w:sz w:val="20"/>
                <w:szCs w:val="20"/>
              </w:rPr>
            </w:r>
            <w:r w:rsidR="00C84DAD">
              <w:rPr>
                <w:rFonts w:ascii="Arial Narrow" w:hAnsi="Arial Narrow" w:cs="Arial"/>
                <w:sz w:val="20"/>
                <w:szCs w:val="20"/>
              </w:rPr>
              <w:fldChar w:fldCharType="separate"/>
            </w:r>
            <w:r>
              <w:rPr>
                <w:rFonts w:ascii="Arial Narrow" w:hAnsi="Arial Narrow" w:cs="Arial"/>
                <w:sz w:val="20"/>
                <w:szCs w:val="20"/>
              </w:rPr>
              <w:fldChar w:fldCharType="end"/>
            </w:r>
            <w:bookmarkEnd w:id="2"/>
            <w:r w:rsidR="00826F6D" w:rsidRPr="00106BCF">
              <w:rPr>
                <w:rFonts w:ascii="Arial Narrow" w:hAnsi="Arial Narrow" w:cs="Arial"/>
                <w:sz w:val="20"/>
                <w:szCs w:val="20"/>
              </w:rPr>
              <w:t>Restricted benefit</w:t>
            </w:r>
          </w:p>
          <w:p w:rsidR="00826F6D" w:rsidRPr="00106BCF" w:rsidRDefault="00826F6D" w:rsidP="005D7F23">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84DAD">
              <w:rPr>
                <w:rFonts w:ascii="Arial Narrow" w:hAnsi="Arial Narrow" w:cs="Arial"/>
                <w:sz w:val="20"/>
                <w:szCs w:val="20"/>
              </w:rPr>
            </w:r>
            <w:r w:rsidR="00C84DA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Pr="00106BCF" w:rsidRDefault="00826F6D" w:rsidP="005D7F23">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C84DAD">
              <w:rPr>
                <w:rFonts w:ascii="Arial Narrow" w:hAnsi="Arial Narrow" w:cs="Arial"/>
                <w:sz w:val="20"/>
                <w:szCs w:val="20"/>
              </w:rPr>
            </w:r>
            <w:r w:rsidR="00C84DA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5D7F23">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84DAD">
              <w:rPr>
                <w:rFonts w:ascii="Arial Narrow" w:hAnsi="Arial Narrow" w:cs="Arial"/>
                <w:sz w:val="20"/>
                <w:szCs w:val="20"/>
              </w:rPr>
            </w:r>
            <w:r w:rsidR="00C84DA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5D7F23">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84DAD">
              <w:rPr>
                <w:rFonts w:ascii="Arial Narrow" w:hAnsi="Arial Narrow" w:cs="Arial"/>
                <w:sz w:val="20"/>
                <w:szCs w:val="20"/>
              </w:rPr>
            </w:r>
            <w:r w:rsidR="00C84DA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826F6D" w:rsidP="005D7F23">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84DAD">
              <w:rPr>
                <w:rFonts w:ascii="Arial Narrow" w:hAnsi="Arial Narrow" w:cs="Arial"/>
                <w:sz w:val="20"/>
                <w:szCs w:val="20"/>
              </w:rPr>
            </w:r>
            <w:r w:rsidR="00C84DA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826F6D" w:rsidRPr="00260CE3"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6847F9" w:rsidRDefault="00826F6D" w:rsidP="006847F9">
            <w:pPr>
              <w:jc w:val="both"/>
              <w:rPr>
                <w:rFonts w:ascii="Arial Narrow" w:hAnsi="Arial Narrow" w:cs="Arial"/>
                <w:b/>
                <w:sz w:val="20"/>
                <w:szCs w:val="20"/>
              </w:rPr>
            </w:pPr>
            <w:r w:rsidRPr="00260CE3">
              <w:rPr>
                <w:rFonts w:ascii="Arial Narrow" w:hAnsi="Arial Narrow" w:cs="Arial"/>
                <w:b/>
                <w:sz w:val="20"/>
                <w:szCs w:val="20"/>
              </w:rPr>
              <w:t>Clinical criteria:</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0CE3" w:rsidRDefault="006847F9" w:rsidP="006847F9">
            <w:pPr>
              <w:rPr>
                <w:rFonts w:ascii="Arial Narrow" w:hAnsi="Arial Narrow" w:cs="Arial"/>
                <w:sz w:val="20"/>
                <w:szCs w:val="20"/>
              </w:rPr>
            </w:pPr>
            <w:r w:rsidRPr="006847F9">
              <w:rPr>
                <w:rFonts w:ascii="Arial Narrow" w:hAnsi="Arial Narrow" w:cs="Arial"/>
                <w:sz w:val="20"/>
                <w:szCs w:val="20"/>
              </w:rPr>
              <w:t>The condition must be unresponsive to non-narcotic analgesics.</w:t>
            </w:r>
          </w:p>
        </w:tc>
      </w:tr>
      <w:tr w:rsidR="00826F6D" w:rsidRPr="00260CE3"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0CE3" w:rsidRDefault="00826F6D" w:rsidP="005D7F23">
            <w:pPr>
              <w:jc w:val="both"/>
              <w:rPr>
                <w:rFonts w:ascii="Arial Narrow" w:hAnsi="Arial Narrow" w:cs="Arial"/>
                <w:b/>
                <w:sz w:val="20"/>
                <w:szCs w:val="20"/>
              </w:rPr>
            </w:pPr>
            <w:r w:rsidRPr="00260CE3">
              <w:rPr>
                <w:rFonts w:ascii="Arial Narrow" w:hAnsi="Arial Narrow" w:cs="Arial"/>
                <w:b/>
                <w:sz w:val="20"/>
                <w:szCs w:val="20"/>
              </w:rPr>
              <w:lastRenderedPageBreak/>
              <w:t>Administrative Advice</w:t>
            </w:r>
          </w:p>
          <w:p w:rsidR="00826F6D" w:rsidRPr="00260CE3" w:rsidRDefault="00826F6D" w:rsidP="005D7F23">
            <w:pPr>
              <w:jc w:val="both"/>
              <w:rPr>
                <w:rFonts w:ascii="Arial Narrow" w:hAnsi="Arial Narrow" w:cs="Arial"/>
                <w:i/>
                <w:sz w:val="20"/>
                <w:szCs w:val="20"/>
              </w:rPr>
            </w:pPr>
          </w:p>
          <w:p w:rsidR="00826F6D" w:rsidRPr="00260CE3" w:rsidRDefault="00826F6D" w:rsidP="005D7F23">
            <w:pPr>
              <w:jc w:val="both"/>
              <w:rPr>
                <w:rFonts w:ascii="Arial Narrow" w:hAnsi="Arial Narrow" w:cs="Arial"/>
                <w:i/>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6847F9" w:rsidRPr="006847F9" w:rsidRDefault="006847F9" w:rsidP="006847F9">
            <w:pPr>
              <w:rPr>
                <w:rFonts w:ascii="Arial Narrow" w:hAnsi="Arial Narrow" w:cs="Arial"/>
                <w:sz w:val="20"/>
                <w:szCs w:val="20"/>
              </w:rPr>
            </w:pPr>
            <w:r w:rsidRPr="006847F9">
              <w:rPr>
                <w:rFonts w:ascii="Arial Narrow" w:hAnsi="Arial Narrow" w:cs="Arial"/>
                <w:sz w:val="20"/>
                <w:szCs w:val="20"/>
              </w:rPr>
              <w:t>Authorities for increased maximum quantities and/or repeats will be granted only for:</w:t>
            </w:r>
          </w:p>
          <w:p w:rsidR="006847F9" w:rsidRPr="006847F9" w:rsidRDefault="006847F9" w:rsidP="006847F9">
            <w:pPr>
              <w:rPr>
                <w:rFonts w:ascii="Arial Narrow" w:hAnsi="Arial Narrow" w:cs="Arial"/>
                <w:sz w:val="20"/>
                <w:szCs w:val="20"/>
              </w:rPr>
            </w:pPr>
          </w:p>
          <w:p w:rsidR="006847F9" w:rsidRPr="006847F9" w:rsidRDefault="006847F9" w:rsidP="006847F9">
            <w:pPr>
              <w:rPr>
                <w:rFonts w:ascii="Arial Narrow" w:hAnsi="Arial Narrow" w:cs="Arial"/>
                <w:sz w:val="20"/>
                <w:szCs w:val="20"/>
              </w:rPr>
            </w:pPr>
            <w:r w:rsidRPr="006847F9">
              <w:rPr>
                <w:rFonts w:ascii="Arial Narrow" w:hAnsi="Arial Narrow" w:cs="Arial"/>
                <w:sz w:val="20"/>
                <w:szCs w:val="20"/>
              </w:rPr>
              <w:t>(i) chronic severe disabling pain associated with proven malignant neoplasia; or</w:t>
            </w:r>
          </w:p>
          <w:p w:rsidR="006847F9" w:rsidRPr="006847F9" w:rsidRDefault="006847F9" w:rsidP="006847F9">
            <w:pPr>
              <w:rPr>
                <w:rFonts w:ascii="Arial Narrow" w:hAnsi="Arial Narrow" w:cs="Arial"/>
                <w:sz w:val="20"/>
                <w:szCs w:val="20"/>
              </w:rPr>
            </w:pPr>
          </w:p>
          <w:p w:rsidR="006847F9" w:rsidRPr="006847F9" w:rsidRDefault="006847F9" w:rsidP="006847F9">
            <w:pPr>
              <w:rPr>
                <w:rFonts w:ascii="Arial Narrow" w:hAnsi="Arial Narrow" w:cs="Arial"/>
                <w:sz w:val="20"/>
                <w:szCs w:val="20"/>
              </w:rPr>
            </w:pPr>
            <w:r w:rsidRPr="006847F9">
              <w:rPr>
                <w:rFonts w:ascii="Arial Narrow" w:hAnsi="Arial Narrow" w:cs="Arial"/>
                <w:sz w:val="20"/>
                <w:szCs w:val="20"/>
              </w:rPr>
              <w:t>(ii) chronic severe disabling pain not responding to non-narcotic analgesics where the total duration of narcotic analgesic treatment is less than 12 months; or</w:t>
            </w:r>
          </w:p>
          <w:p w:rsidR="006847F9" w:rsidRPr="006847F9" w:rsidRDefault="006847F9" w:rsidP="006847F9">
            <w:pPr>
              <w:rPr>
                <w:rFonts w:ascii="Arial Narrow" w:hAnsi="Arial Narrow" w:cs="Arial"/>
                <w:sz w:val="20"/>
                <w:szCs w:val="20"/>
              </w:rPr>
            </w:pPr>
          </w:p>
          <w:p w:rsidR="006847F9" w:rsidRPr="006847F9" w:rsidRDefault="006847F9" w:rsidP="006847F9">
            <w:pPr>
              <w:rPr>
                <w:rFonts w:ascii="Arial Narrow" w:hAnsi="Arial Narrow" w:cs="Arial"/>
                <w:sz w:val="20"/>
                <w:szCs w:val="20"/>
              </w:rPr>
            </w:pPr>
            <w:r w:rsidRPr="006847F9">
              <w:rPr>
                <w:rFonts w:ascii="Arial Narrow" w:hAnsi="Arial Narrow" w:cs="Arial"/>
                <w:sz w:val="20"/>
                <w:szCs w:val="20"/>
              </w:rPr>
              <w:t xml:space="preserve">(iii) first application for treatment beyond 12 months of chronic severe disabling pain not responding to non-narcotic analgesics where the patient's pain management has been reviewed through consultation by the patient with another medical practitioner, and the clinical need for continuing narcotic analgesic treatment has been confirmed. The date of the consultation must be no more than 3 months prior to the application for a PBS authority. The full name of the medical practitioner consulted and the date of consultation are to be provided at the time of application; or </w:t>
            </w:r>
          </w:p>
          <w:p w:rsidR="006847F9" w:rsidRPr="006847F9" w:rsidRDefault="006847F9" w:rsidP="006847F9">
            <w:pPr>
              <w:rPr>
                <w:rFonts w:ascii="Arial Narrow" w:hAnsi="Arial Narrow" w:cs="Arial"/>
                <w:sz w:val="20"/>
                <w:szCs w:val="20"/>
              </w:rPr>
            </w:pPr>
          </w:p>
          <w:p w:rsidR="00826F6D" w:rsidRDefault="006847F9" w:rsidP="006847F9">
            <w:pPr>
              <w:rPr>
                <w:rFonts w:ascii="Arial Narrow" w:hAnsi="Arial Narrow" w:cs="Arial"/>
                <w:sz w:val="20"/>
                <w:szCs w:val="20"/>
              </w:rPr>
            </w:pPr>
            <w:r w:rsidRPr="006847F9">
              <w:rPr>
                <w:rFonts w:ascii="Arial Narrow" w:hAnsi="Arial Narrow" w:cs="Arial"/>
                <w:sz w:val="20"/>
                <w:szCs w:val="20"/>
              </w:rPr>
              <w:t>(iv) subsequent application for treatment of chronic severe disabling pain not responding to non-narcotic analgesics where a PBS authority prescription for treatment beyond 12 months has previously been issued for this patient.</w:t>
            </w:r>
          </w:p>
          <w:p w:rsidR="006847F9" w:rsidRDefault="006847F9" w:rsidP="006847F9">
            <w:pPr>
              <w:rPr>
                <w:rFonts w:ascii="Arial Narrow" w:hAnsi="Arial Narrow" w:cs="Arial"/>
                <w:sz w:val="20"/>
                <w:szCs w:val="20"/>
              </w:rPr>
            </w:pPr>
          </w:p>
          <w:p w:rsidR="006847F9" w:rsidRPr="0022214F" w:rsidRDefault="006847F9" w:rsidP="006847F9">
            <w:pPr>
              <w:rPr>
                <w:rFonts w:ascii="Arial Narrow" w:hAnsi="Arial Narrow"/>
                <w:sz w:val="20"/>
                <w:u w:val="single"/>
              </w:rPr>
            </w:pPr>
            <w:r w:rsidRPr="0022214F">
              <w:rPr>
                <w:rFonts w:ascii="Arial Narrow" w:hAnsi="Arial Narrow"/>
                <w:sz w:val="20"/>
                <w:u w:val="single"/>
              </w:rPr>
              <w:t>Note</w:t>
            </w:r>
          </w:p>
          <w:p w:rsidR="006847F9" w:rsidRPr="0022214F" w:rsidRDefault="006847F9" w:rsidP="006847F9">
            <w:pPr>
              <w:rPr>
                <w:rFonts w:ascii="Arial Narrow" w:hAnsi="Arial Narrow"/>
                <w:sz w:val="20"/>
              </w:rPr>
            </w:pPr>
            <w:r w:rsidRPr="0022214F">
              <w:rPr>
                <w:rFonts w:ascii="Arial Narrow" w:hAnsi="Arial Narrow"/>
                <w:sz w:val="20"/>
              </w:rPr>
              <w:t xml:space="preserve">Shared care model: </w:t>
            </w:r>
          </w:p>
          <w:p w:rsidR="006847F9" w:rsidRPr="00260CE3" w:rsidRDefault="006847F9" w:rsidP="006847F9">
            <w:pPr>
              <w:rPr>
                <w:rFonts w:ascii="Arial Narrow" w:hAnsi="Arial Narrow" w:cs="Arial"/>
                <w:sz w:val="20"/>
                <w:szCs w:val="20"/>
              </w:rPr>
            </w:pPr>
            <w:r w:rsidRPr="00734FE8">
              <w:rPr>
                <w:rFonts w:ascii="Arial Narrow" w:hAnsi="Arial Narrow"/>
                <w:sz w:val="20"/>
              </w:rPr>
              <w:t>For prescribing by nurse practitioners where care of a patient is shared between a nurse practitioner and medical practitioner in a formalised arrangement with an agreed management plan. Further information can be found in the Explanator</w:t>
            </w:r>
            <w:r>
              <w:rPr>
                <w:rFonts w:ascii="Arial Narrow" w:hAnsi="Arial Narrow"/>
                <w:sz w:val="20"/>
              </w:rPr>
              <w:t>y Notes for Nurse Practitioners</w:t>
            </w:r>
            <w:r w:rsidRPr="0022214F">
              <w:rPr>
                <w:rFonts w:ascii="Arial Narrow" w:hAnsi="Arial Narrow"/>
                <w:sz w:val="20"/>
              </w:rPr>
              <w:t>.</w:t>
            </w:r>
          </w:p>
        </w:tc>
      </w:tr>
      <w:tr w:rsidR="00826F6D" w:rsidRPr="00260CE3"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3809D5" w:rsidRDefault="00826F6D" w:rsidP="003809D5">
            <w:pPr>
              <w:jc w:val="both"/>
              <w:rPr>
                <w:rFonts w:ascii="Arial Narrow" w:hAnsi="Arial Narrow" w:cs="Arial"/>
                <w:b/>
                <w:sz w:val="20"/>
                <w:szCs w:val="20"/>
              </w:rPr>
            </w:pPr>
            <w:r w:rsidRPr="00260CE3">
              <w:rPr>
                <w:rFonts w:ascii="Arial Narrow" w:hAnsi="Arial Narrow" w:cs="Arial"/>
                <w:b/>
                <w:sz w:val="20"/>
                <w:szCs w:val="20"/>
              </w:rPr>
              <w:t>Cautions</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0CE3" w:rsidRDefault="006847F9" w:rsidP="005D7F23">
            <w:pPr>
              <w:rPr>
                <w:rFonts w:ascii="Arial Narrow" w:hAnsi="Arial Narrow" w:cs="Arial"/>
                <w:sz w:val="20"/>
                <w:szCs w:val="20"/>
              </w:rPr>
            </w:pPr>
            <w:r>
              <w:rPr>
                <w:rFonts w:ascii="Arial Narrow" w:hAnsi="Arial Narrow" w:cs="Arial"/>
                <w:sz w:val="20"/>
                <w:szCs w:val="20"/>
              </w:rPr>
              <w:t xml:space="preserve">The risk of drug dependence is high. </w:t>
            </w:r>
          </w:p>
        </w:tc>
      </w:tr>
    </w:tbl>
    <w:p w:rsidR="00BB7EC3" w:rsidRDefault="00BB7EC3" w:rsidP="00882085">
      <w:pPr>
        <w:jc w:val="both"/>
        <w:rPr>
          <w:rFonts w:ascii="Arial" w:hAnsi="Arial"/>
          <w:b/>
          <w:sz w:val="22"/>
          <w:szCs w:val="22"/>
        </w:rPr>
      </w:pPr>
    </w:p>
    <w:p w:rsidR="00507AF4" w:rsidRDefault="006803D4" w:rsidP="00507AF4">
      <w:pPr>
        <w:pStyle w:val="ListParagraph"/>
        <w:numPr>
          <w:ilvl w:val="1"/>
          <w:numId w:val="25"/>
        </w:numPr>
        <w:rPr>
          <w:rFonts w:ascii="Arial" w:hAnsi="Arial"/>
          <w:i/>
          <w:sz w:val="22"/>
          <w:szCs w:val="22"/>
        </w:rPr>
      </w:pPr>
      <w:r>
        <w:rPr>
          <w:rFonts w:ascii="Arial" w:hAnsi="Arial"/>
          <w:sz w:val="22"/>
          <w:szCs w:val="22"/>
        </w:rPr>
        <w:t>Expert c</w:t>
      </w:r>
      <w:r w:rsidR="00507AF4" w:rsidRPr="00890315">
        <w:rPr>
          <w:rFonts w:ascii="Arial" w:hAnsi="Arial"/>
          <w:sz w:val="22"/>
          <w:szCs w:val="22"/>
        </w:rPr>
        <w:t xml:space="preserve">linicians have advised that </w:t>
      </w:r>
      <w:r w:rsidR="00507AF4">
        <w:rPr>
          <w:rFonts w:ascii="Arial" w:hAnsi="Arial"/>
          <w:sz w:val="22"/>
          <w:szCs w:val="22"/>
        </w:rPr>
        <w:t>“</w:t>
      </w:r>
      <w:r w:rsidR="00507AF4" w:rsidRPr="00890315">
        <w:rPr>
          <w:rFonts w:ascii="Arial" w:hAnsi="Arial"/>
          <w:sz w:val="22"/>
          <w:szCs w:val="22"/>
        </w:rPr>
        <w:t>narcotic</w:t>
      </w:r>
      <w:r w:rsidR="00507AF4">
        <w:rPr>
          <w:rFonts w:ascii="Arial" w:hAnsi="Arial"/>
          <w:sz w:val="22"/>
          <w:szCs w:val="22"/>
        </w:rPr>
        <w:t>”</w:t>
      </w:r>
      <w:r w:rsidR="00507AF4" w:rsidRPr="00890315">
        <w:rPr>
          <w:rFonts w:ascii="Arial" w:hAnsi="Arial"/>
          <w:sz w:val="22"/>
          <w:szCs w:val="22"/>
        </w:rPr>
        <w:t xml:space="preserve"> is an outdated term that has been replaced with </w:t>
      </w:r>
      <w:r w:rsidR="00507AF4">
        <w:rPr>
          <w:rFonts w:ascii="Arial" w:hAnsi="Arial"/>
          <w:sz w:val="22"/>
          <w:szCs w:val="22"/>
        </w:rPr>
        <w:t>“</w:t>
      </w:r>
      <w:r w:rsidR="00507AF4" w:rsidRPr="00890315">
        <w:rPr>
          <w:rFonts w:ascii="Arial" w:hAnsi="Arial"/>
          <w:sz w:val="22"/>
          <w:szCs w:val="22"/>
        </w:rPr>
        <w:t>opioid</w:t>
      </w:r>
      <w:r w:rsidR="00507AF4">
        <w:rPr>
          <w:rFonts w:ascii="Arial" w:hAnsi="Arial"/>
          <w:sz w:val="22"/>
          <w:szCs w:val="22"/>
        </w:rPr>
        <w:t>” in clinical practice</w:t>
      </w:r>
      <w:r w:rsidR="00507AF4" w:rsidRPr="00890315">
        <w:rPr>
          <w:rFonts w:ascii="Arial" w:hAnsi="Arial"/>
          <w:sz w:val="22"/>
          <w:szCs w:val="22"/>
        </w:rPr>
        <w:t xml:space="preserve">. </w:t>
      </w:r>
    </w:p>
    <w:p w:rsidR="00507AF4" w:rsidRPr="00882085" w:rsidRDefault="00507AF4" w:rsidP="00882085">
      <w:pPr>
        <w:jc w:val="both"/>
        <w:rPr>
          <w:rFonts w:ascii="Arial" w:hAnsi="Arial"/>
          <w:b/>
          <w:sz w:val="22"/>
          <w:szCs w:val="22"/>
        </w:rPr>
      </w:pPr>
    </w:p>
    <w:p w:rsidR="00CE10C4" w:rsidRPr="00882085" w:rsidRDefault="00CE10C4" w:rsidP="005F6917">
      <w:pPr>
        <w:pStyle w:val="PBACheading1"/>
      </w:pPr>
      <w:r w:rsidRPr="00882085">
        <w:t>Background</w:t>
      </w:r>
    </w:p>
    <w:p w:rsidR="006A12A5" w:rsidRPr="00882085" w:rsidRDefault="006A12A5" w:rsidP="00882085">
      <w:pPr>
        <w:jc w:val="both"/>
        <w:rPr>
          <w:rFonts w:ascii="Arial" w:hAnsi="Arial"/>
          <w:sz w:val="22"/>
          <w:szCs w:val="22"/>
        </w:rPr>
      </w:pPr>
    </w:p>
    <w:p w:rsidR="002B1AE6" w:rsidRPr="00476245" w:rsidRDefault="00087749" w:rsidP="00882085">
      <w:pPr>
        <w:pStyle w:val="ListParagraph"/>
        <w:numPr>
          <w:ilvl w:val="1"/>
          <w:numId w:val="25"/>
        </w:numPr>
        <w:jc w:val="both"/>
        <w:rPr>
          <w:rFonts w:ascii="Arial" w:hAnsi="Arial"/>
          <w:i/>
          <w:sz w:val="22"/>
          <w:szCs w:val="22"/>
        </w:rPr>
      </w:pPr>
      <w:r>
        <w:rPr>
          <w:rFonts w:ascii="Arial" w:hAnsi="Arial"/>
          <w:sz w:val="22"/>
          <w:szCs w:val="22"/>
        </w:rPr>
        <w:t>The currently</w:t>
      </w:r>
      <w:r w:rsidR="00E07C6E">
        <w:rPr>
          <w:rFonts w:ascii="Arial" w:hAnsi="Arial"/>
          <w:sz w:val="22"/>
          <w:szCs w:val="22"/>
        </w:rPr>
        <w:t>-</w:t>
      </w:r>
      <w:r>
        <w:rPr>
          <w:rFonts w:ascii="Arial" w:hAnsi="Arial"/>
          <w:sz w:val="22"/>
          <w:szCs w:val="22"/>
        </w:rPr>
        <w:t>listed b</w:t>
      </w:r>
      <w:r w:rsidR="000B6AE7">
        <w:rPr>
          <w:rFonts w:ascii="Arial" w:hAnsi="Arial"/>
          <w:sz w:val="22"/>
          <w:szCs w:val="22"/>
        </w:rPr>
        <w:t xml:space="preserve">uprenorphine </w:t>
      </w:r>
      <w:r>
        <w:rPr>
          <w:rFonts w:ascii="Arial" w:hAnsi="Arial"/>
          <w:sz w:val="22"/>
          <w:szCs w:val="22"/>
        </w:rPr>
        <w:t>transdermal patch strengths</w:t>
      </w:r>
      <w:r w:rsidR="000B6AE7">
        <w:rPr>
          <w:rFonts w:ascii="Arial" w:hAnsi="Arial"/>
          <w:sz w:val="22"/>
          <w:szCs w:val="22"/>
        </w:rPr>
        <w:t xml:space="preserve"> were</w:t>
      </w:r>
      <w:r w:rsidR="00D5173B">
        <w:rPr>
          <w:rFonts w:ascii="Arial" w:hAnsi="Arial"/>
          <w:sz w:val="22"/>
          <w:szCs w:val="22"/>
        </w:rPr>
        <w:t xml:space="preserve"> TGA approved</w:t>
      </w:r>
      <w:r w:rsidR="00476245">
        <w:rPr>
          <w:rFonts w:ascii="Arial" w:hAnsi="Arial"/>
          <w:sz w:val="22"/>
          <w:szCs w:val="22"/>
        </w:rPr>
        <w:t xml:space="preserve"> </w:t>
      </w:r>
      <w:r w:rsidR="00D5173B">
        <w:rPr>
          <w:rFonts w:ascii="Arial" w:hAnsi="Arial"/>
          <w:sz w:val="22"/>
          <w:szCs w:val="22"/>
        </w:rPr>
        <w:t xml:space="preserve">in April 2004 </w:t>
      </w:r>
      <w:r w:rsidR="00476245">
        <w:rPr>
          <w:rFonts w:ascii="Arial" w:hAnsi="Arial"/>
          <w:sz w:val="22"/>
          <w:szCs w:val="22"/>
        </w:rPr>
        <w:t>for</w:t>
      </w:r>
      <w:r w:rsidR="000B6AE7">
        <w:rPr>
          <w:rFonts w:ascii="Arial" w:hAnsi="Arial"/>
          <w:sz w:val="22"/>
          <w:szCs w:val="22"/>
        </w:rPr>
        <w:t xml:space="preserve"> </w:t>
      </w:r>
      <w:r w:rsidR="000B12D7">
        <w:rPr>
          <w:rFonts w:ascii="Arial" w:hAnsi="Arial"/>
          <w:sz w:val="22"/>
          <w:szCs w:val="22"/>
        </w:rPr>
        <w:t>the management of moderate to severe pain. The</w:t>
      </w:r>
      <w:r w:rsidR="002B1AE6" w:rsidRPr="00476245">
        <w:rPr>
          <w:rFonts w:ascii="Arial" w:hAnsi="Arial"/>
          <w:sz w:val="22"/>
          <w:szCs w:val="22"/>
        </w:rPr>
        <w:t xml:space="preserve"> </w:t>
      </w:r>
      <w:r w:rsidR="00666613">
        <w:rPr>
          <w:rFonts w:ascii="Arial" w:hAnsi="Arial"/>
          <w:sz w:val="22"/>
          <w:szCs w:val="22"/>
        </w:rPr>
        <w:t>requested strength</w:t>
      </w:r>
      <w:r>
        <w:rPr>
          <w:rFonts w:ascii="Arial" w:hAnsi="Arial"/>
          <w:sz w:val="22"/>
          <w:szCs w:val="22"/>
        </w:rPr>
        <w:t>s</w:t>
      </w:r>
      <w:r w:rsidR="000B12D7">
        <w:rPr>
          <w:rFonts w:ascii="Arial" w:hAnsi="Arial"/>
          <w:sz w:val="22"/>
          <w:szCs w:val="22"/>
        </w:rPr>
        <w:t xml:space="preserve"> were registered in November 2014. </w:t>
      </w:r>
    </w:p>
    <w:p w:rsidR="006B0D94" w:rsidRPr="00882085" w:rsidRDefault="006B0D94" w:rsidP="00882085">
      <w:pPr>
        <w:pStyle w:val="ListParagraph"/>
        <w:jc w:val="both"/>
        <w:rPr>
          <w:rFonts w:ascii="Arial" w:hAnsi="Arial"/>
          <w:sz w:val="22"/>
          <w:szCs w:val="22"/>
        </w:rPr>
      </w:pPr>
    </w:p>
    <w:p w:rsidR="00BB7EC3" w:rsidRDefault="00087749" w:rsidP="00882085">
      <w:pPr>
        <w:pStyle w:val="ListParagraph"/>
        <w:numPr>
          <w:ilvl w:val="1"/>
          <w:numId w:val="25"/>
        </w:numPr>
        <w:jc w:val="both"/>
        <w:rPr>
          <w:rFonts w:ascii="Arial" w:hAnsi="Arial"/>
          <w:sz w:val="22"/>
          <w:szCs w:val="22"/>
        </w:rPr>
      </w:pPr>
      <w:r>
        <w:rPr>
          <w:rFonts w:ascii="Arial" w:hAnsi="Arial"/>
          <w:sz w:val="22"/>
          <w:szCs w:val="22"/>
        </w:rPr>
        <w:t>The currently</w:t>
      </w:r>
      <w:r w:rsidR="00E07C6E">
        <w:rPr>
          <w:rFonts w:ascii="Arial" w:hAnsi="Arial"/>
          <w:sz w:val="22"/>
          <w:szCs w:val="22"/>
        </w:rPr>
        <w:t>-</w:t>
      </w:r>
      <w:r>
        <w:rPr>
          <w:rFonts w:ascii="Arial" w:hAnsi="Arial"/>
          <w:sz w:val="22"/>
          <w:szCs w:val="22"/>
        </w:rPr>
        <w:t>listed buprenorphine transdermal patch</w:t>
      </w:r>
      <w:r w:rsidR="00666613">
        <w:rPr>
          <w:rFonts w:ascii="Arial" w:hAnsi="Arial"/>
          <w:sz w:val="22"/>
          <w:szCs w:val="22"/>
        </w:rPr>
        <w:t xml:space="preserve"> strengths</w:t>
      </w:r>
      <w:r>
        <w:rPr>
          <w:rFonts w:ascii="Arial" w:hAnsi="Arial"/>
          <w:sz w:val="22"/>
          <w:szCs w:val="22"/>
        </w:rPr>
        <w:t xml:space="preserve"> </w:t>
      </w:r>
      <w:r w:rsidR="00E16C36">
        <w:rPr>
          <w:rFonts w:ascii="Arial" w:hAnsi="Arial"/>
          <w:sz w:val="22"/>
          <w:szCs w:val="22"/>
        </w:rPr>
        <w:t xml:space="preserve">were recommended for PBS listing at the July 2005 PBAC meeting for the treatment of </w:t>
      </w:r>
      <w:r w:rsidR="00E16C36" w:rsidRPr="00E16C36">
        <w:rPr>
          <w:rFonts w:ascii="Arial" w:hAnsi="Arial"/>
          <w:sz w:val="22"/>
          <w:szCs w:val="22"/>
        </w:rPr>
        <w:t>chronic severe disabling pain</w:t>
      </w:r>
      <w:r w:rsidR="00E16C36">
        <w:rPr>
          <w:rFonts w:ascii="Arial" w:hAnsi="Arial"/>
          <w:sz w:val="22"/>
          <w:szCs w:val="22"/>
        </w:rPr>
        <w:t xml:space="preserve">. The </w:t>
      </w:r>
      <w:r>
        <w:rPr>
          <w:rFonts w:ascii="Arial" w:hAnsi="Arial"/>
          <w:sz w:val="22"/>
          <w:szCs w:val="22"/>
        </w:rPr>
        <w:t>requested</w:t>
      </w:r>
      <w:r w:rsidR="00E16C36">
        <w:rPr>
          <w:rFonts w:ascii="Arial" w:hAnsi="Arial"/>
          <w:sz w:val="22"/>
          <w:szCs w:val="22"/>
        </w:rPr>
        <w:t xml:space="preserve"> strengths have not previously been considered by the PBAC. </w:t>
      </w:r>
    </w:p>
    <w:p w:rsidR="00223C8A" w:rsidRPr="00223C8A" w:rsidRDefault="00223C8A" w:rsidP="00223C8A">
      <w:pPr>
        <w:pStyle w:val="ListParagraph"/>
        <w:rPr>
          <w:rFonts w:ascii="Arial" w:hAnsi="Arial"/>
          <w:sz w:val="22"/>
          <w:szCs w:val="22"/>
        </w:rPr>
      </w:pPr>
    </w:p>
    <w:p w:rsidR="00223C8A" w:rsidRDefault="00223C8A" w:rsidP="00882085">
      <w:pPr>
        <w:pStyle w:val="ListParagraph"/>
        <w:numPr>
          <w:ilvl w:val="1"/>
          <w:numId w:val="25"/>
        </w:numPr>
        <w:jc w:val="both"/>
        <w:rPr>
          <w:rFonts w:ascii="Arial" w:hAnsi="Arial"/>
          <w:sz w:val="22"/>
          <w:szCs w:val="22"/>
        </w:rPr>
      </w:pPr>
      <w:r w:rsidRPr="003330BB">
        <w:rPr>
          <w:rFonts w:ascii="Arial" w:hAnsi="Arial" w:cs="Arial"/>
          <w:sz w:val="22"/>
          <w:szCs w:val="22"/>
        </w:rPr>
        <w:t>In November 2014 the PBAC noted that use of opioids, particularly oxycodone and paracetamol + codeine, is drastically increasing. The PBAC advised the Minister that a systematic approach should be undertaken to review and target the use of these opioids to promote the Quality Use of Medicines.</w:t>
      </w:r>
    </w:p>
    <w:p w:rsidR="000D4A3C" w:rsidRPr="000D4A3C" w:rsidRDefault="000D4A3C" w:rsidP="000D4A3C">
      <w:pPr>
        <w:pStyle w:val="ListParagraph"/>
        <w:rPr>
          <w:rFonts w:ascii="Arial" w:hAnsi="Arial"/>
          <w:sz w:val="22"/>
          <w:szCs w:val="22"/>
        </w:rPr>
      </w:pPr>
    </w:p>
    <w:p w:rsidR="00925B30" w:rsidRPr="0062669C" w:rsidRDefault="003F6E70" w:rsidP="00882085">
      <w:pPr>
        <w:pStyle w:val="ListParagraph"/>
        <w:numPr>
          <w:ilvl w:val="1"/>
          <w:numId w:val="25"/>
        </w:numPr>
        <w:jc w:val="both"/>
        <w:rPr>
          <w:rFonts w:ascii="Arial" w:hAnsi="Arial"/>
          <w:sz w:val="22"/>
          <w:szCs w:val="22"/>
        </w:rPr>
      </w:pPr>
      <w:r>
        <w:rPr>
          <w:rFonts w:ascii="Arial" w:hAnsi="Arial"/>
          <w:sz w:val="22"/>
          <w:szCs w:val="22"/>
        </w:rPr>
        <w:t xml:space="preserve">In October 2014 the Drug Utilisation Sub-Committee (DUSC) </w:t>
      </w:r>
      <w:r w:rsidR="00D86AEC">
        <w:rPr>
          <w:rFonts w:ascii="Arial" w:hAnsi="Arial"/>
          <w:sz w:val="22"/>
          <w:szCs w:val="22"/>
        </w:rPr>
        <w:t xml:space="preserve">considered </w:t>
      </w:r>
      <w:r>
        <w:rPr>
          <w:rFonts w:ascii="Arial" w:hAnsi="Arial"/>
          <w:sz w:val="22"/>
          <w:szCs w:val="22"/>
        </w:rPr>
        <w:t xml:space="preserve">a report on the utilisation of PBS-listed opioid analgesics from October 2009 to March 2014. This report included an analysis on the utilisation of buprenorphine by strength and by </w:t>
      </w:r>
      <w:r w:rsidR="00D86AEC">
        <w:rPr>
          <w:rFonts w:ascii="Arial" w:hAnsi="Arial"/>
          <w:sz w:val="22"/>
          <w:szCs w:val="22"/>
        </w:rPr>
        <w:t>age</w:t>
      </w:r>
      <w:r>
        <w:rPr>
          <w:rFonts w:ascii="Arial" w:hAnsi="Arial"/>
          <w:sz w:val="22"/>
          <w:szCs w:val="22"/>
        </w:rPr>
        <w:t>. The report found that the utilisation of buprenorphine pa</w:t>
      </w:r>
      <w:r w:rsidR="003A2EAB">
        <w:rPr>
          <w:rFonts w:ascii="Arial" w:hAnsi="Arial"/>
          <w:sz w:val="22"/>
          <w:szCs w:val="22"/>
        </w:rPr>
        <w:t xml:space="preserve">tches has increased since 2009, </w:t>
      </w:r>
      <w:r>
        <w:rPr>
          <w:rFonts w:ascii="Arial" w:hAnsi="Arial"/>
          <w:sz w:val="22"/>
          <w:szCs w:val="22"/>
        </w:rPr>
        <w:t xml:space="preserve">that the 5 </w:t>
      </w:r>
      <w:r w:rsidR="006940F4">
        <w:rPr>
          <w:rFonts w:ascii="Arial" w:hAnsi="Arial" w:cs="Arial"/>
          <w:sz w:val="22"/>
          <w:szCs w:val="22"/>
        </w:rPr>
        <w:t>microgram</w:t>
      </w:r>
      <w:r w:rsidR="00335BC2" w:rsidRPr="00335BC2">
        <w:rPr>
          <w:rFonts w:ascii="Arial" w:hAnsi="Arial" w:cs="Arial"/>
          <w:sz w:val="22"/>
          <w:szCs w:val="22"/>
        </w:rPr>
        <w:t>/hour</w:t>
      </w:r>
      <w:r w:rsidR="00335BC2">
        <w:rPr>
          <w:rFonts w:ascii="Arial" w:hAnsi="Arial" w:cs="Arial"/>
          <w:i/>
          <w:sz w:val="22"/>
          <w:szCs w:val="22"/>
        </w:rPr>
        <w:t xml:space="preserve"> </w:t>
      </w:r>
      <w:r>
        <w:rPr>
          <w:rFonts w:ascii="Arial" w:hAnsi="Arial"/>
          <w:sz w:val="22"/>
          <w:szCs w:val="22"/>
        </w:rPr>
        <w:t xml:space="preserve">and 10 </w:t>
      </w:r>
      <w:r w:rsidR="006940F4">
        <w:rPr>
          <w:rFonts w:ascii="Arial" w:hAnsi="Arial" w:cs="Arial"/>
          <w:sz w:val="22"/>
          <w:szCs w:val="22"/>
        </w:rPr>
        <w:t>microgram</w:t>
      </w:r>
      <w:r w:rsidR="00335BC2" w:rsidRPr="00335BC2">
        <w:rPr>
          <w:rFonts w:ascii="Arial" w:hAnsi="Arial" w:cs="Arial"/>
          <w:sz w:val="22"/>
          <w:szCs w:val="22"/>
        </w:rPr>
        <w:t>/hour</w:t>
      </w:r>
      <w:r w:rsidR="00335BC2">
        <w:rPr>
          <w:rFonts w:ascii="Arial" w:hAnsi="Arial" w:cs="Arial"/>
          <w:i/>
          <w:sz w:val="22"/>
          <w:szCs w:val="22"/>
        </w:rPr>
        <w:t xml:space="preserve"> </w:t>
      </w:r>
      <w:r>
        <w:rPr>
          <w:rFonts w:ascii="Arial" w:hAnsi="Arial" w:cs="Arial"/>
          <w:sz w:val="22"/>
          <w:szCs w:val="22"/>
        </w:rPr>
        <w:t xml:space="preserve">patches were the most frequently supplied strengths </w:t>
      </w:r>
      <w:r w:rsidR="00002CAC">
        <w:rPr>
          <w:rFonts w:ascii="Arial" w:hAnsi="Arial" w:cs="Arial"/>
          <w:sz w:val="22"/>
          <w:szCs w:val="22"/>
        </w:rPr>
        <w:t>(while use of</w:t>
      </w:r>
      <w:r w:rsidR="00C361F9">
        <w:rPr>
          <w:rFonts w:ascii="Arial" w:hAnsi="Arial" w:cs="Arial"/>
          <w:sz w:val="22"/>
          <w:szCs w:val="22"/>
        </w:rPr>
        <w:t xml:space="preserve"> the 20</w:t>
      </w:r>
      <w:r w:rsidR="00002CAC" w:rsidRPr="00002CAC">
        <w:rPr>
          <w:rFonts w:ascii="Arial" w:hAnsi="Arial" w:cs="Arial"/>
          <w:sz w:val="22"/>
          <w:szCs w:val="22"/>
        </w:rPr>
        <w:t xml:space="preserve"> </w:t>
      </w:r>
      <w:r w:rsidR="006940F4">
        <w:rPr>
          <w:rFonts w:ascii="Arial" w:hAnsi="Arial" w:cs="Arial"/>
          <w:sz w:val="22"/>
          <w:szCs w:val="22"/>
        </w:rPr>
        <w:t>microgram</w:t>
      </w:r>
      <w:r w:rsidR="00335BC2" w:rsidRPr="00335BC2">
        <w:rPr>
          <w:rFonts w:ascii="Arial" w:hAnsi="Arial" w:cs="Arial"/>
          <w:sz w:val="22"/>
          <w:szCs w:val="22"/>
        </w:rPr>
        <w:t>/hour</w:t>
      </w:r>
      <w:r w:rsidR="00335BC2">
        <w:rPr>
          <w:rFonts w:ascii="Arial" w:hAnsi="Arial" w:cs="Arial"/>
          <w:i/>
          <w:sz w:val="22"/>
          <w:szCs w:val="22"/>
        </w:rPr>
        <w:t xml:space="preserve"> </w:t>
      </w:r>
      <w:r w:rsidR="00002CAC">
        <w:rPr>
          <w:rFonts w:ascii="Arial" w:hAnsi="Arial"/>
          <w:sz w:val="22"/>
          <w:szCs w:val="22"/>
        </w:rPr>
        <w:t xml:space="preserve">was still </w:t>
      </w:r>
      <w:r w:rsidR="00D86AEC">
        <w:rPr>
          <w:rFonts w:ascii="Arial" w:hAnsi="Arial"/>
          <w:sz w:val="22"/>
          <w:szCs w:val="22"/>
        </w:rPr>
        <w:t>highly utilised</w:t>
      </w:r>
      <w:r w:rsidR="00002CAC">
        <w:rPr>
          <w:rFonts w:ascii="Arial" w:hAnsi="Arial"/>
          <w:sz w:val="22"/>
          <w:szCs w:val="22"/>
        </w:rPr>
        <w:t>)</w:t>
      </w:r>
      <w:r w:rsidR="00666613">
        <w:rPr>
          <w:rFonts w:ascii="Arial" w:hAnsi="Arial"/>
          <w:sz w:val="22"/>
          <w:szCs w:val="22"/>
        </w:rPr>
        <w:t>,</w:t>
      </w:r>
      <w:r w:rsidR="00002CAC">
        <w:rPr>
          <w:rFonts w:ascii="Arial" w:hAnsi="Arial"/>
          <w:sz w:val="22"/>
          <w:szCs w:val="22"/>
        </w:rPr>
        <w:t xml:space="preserve"> </w:t>
      </w:r>
      <w:r>
        <w:rPr>
          <w:rFonts w:ascii="Arial" w:hAnsi="Arial" w:cs="Arial"/>
          <w:sz w:val="22"/>
          <w:szCs w:val="22"/>
        </w:rPr>
        <w:t xml:space="preserve">and that utilisation was </w:t>
      </w:r>
      <w:r w:rsidR="00D86AEC">
        <w:rPr>
          <w:rFonts w:ascii="Arial" w:hAnsi="Arial" w:cs="Arial"/>
          <w:sz w:val="22"/>
          <w:szCs w:val="22"/>
        </w:rPr>
        <w:t xml:space="preserve">substantially </w:t>
      </w:r>
      <w:r>
        <w:rPr>
          <w:rFonts w:ascii="Arial" w:hAnsi="Arial" w:cs="Arial"/>
          <w:sz w:val="22"/>
          <w:szCs w:val="22"/>
        </w:rPr>
        <w:t>higher in patients aged 70 and older</w:t>
      </w:r>
      <w:r w:rsidR="00D86AEC">
        <w:rPr>
          <w:rFonts w:ascii="Arial" w:hAnsi="Arial" w:cs="Arial"/>
          <w:sz w:val="22"/>
          <w:szCs w:val="22"/>
        </w:rPr>
        <w:t xml:space="preserve"> compared with younger age groups</w:t>
      </w:r>
      <w:r>
        <w:rPr>
          <w:rFonts w:ascii="Arial" w:hAnsi="Arial" w:cs="Arial"/>
          <w:sz w:val="22"/>
          <w:szCs w:val="22"/>
        </w:rPr>
        <w:t>.</w:t>
      </w:r>
      <w:r w:rsidR="00002CAC">
        <w:rPr>
          <w:rFonts w:ascii="Arial" w:hAnsi="Arial" w:cs="Arial"/>
          <w:sz w:val="22"/>
          <w:szCs w:val="22"/>
        </w:rPr>
        <w:t xml:space="preserve"> The review also noted that </w:t>
      </w:r>
      <w:r w:rsidR="00847C23">
        <w:rPr>
          <w:rFonts w:ascii="Arial" w:hAnsi="Arial" w:cs="Arial"/>
          <w:sz w:val="22"/>
          <w:szCs w:val="22"/>
        </w:rPr>
        <w:t>Authority approvals for</w:t>
      </w:r>
      <w:r w:rsidR="00D86AEC">
        <w:rPr>
          <w:rFonts w:ascii="Arial" w:hAnsi="Arial" w:cs="Arial"/>
          <w:sz w:val="22"/>
          <w:szCs w:val="22"/>
        </w:rPr>
        <w:t xml:space="preserve"> increased quantities or repeats of</w:t>
      </w:r>
      <w:r w:rsidR="00847C23">
        <w:rPr>
          <w:rFonts w:ascii="Arial" w:hAnsi="Arial" w:cs="Arial"/>
          <w:sz w:val="22"/>
          <w:szCs w:val="22"/>
        </w:rPr>
        <w:t xml:space="preserve"> buprenorphine</w:t>
      </w:r>
      <w:r w:rsidR="0053692E">
        <w:rPr>
          <w:rFonts w:ascii="Arial" w:hAnsi="Arial" w:cs="Arial"/>
          <w:sz w:val="22"/>
          <w:szCs w:val="22"/>
        </w:rPr>
        <w:t xml:space="preserve"> accounted for 11.65% of</w:t>
      </w:r>
      <w:r w:rsidR="0053692E" w:rsidRPr="0053692E">
        <w:rPr>
          <w:rFonts w:ascii="Arial" w:hAnsi="Arial" w:cs="Arial"/>
          <w:sz w:val="22"/>
          <w:szCs w:val="22"/>
        </w:rPr>
        <w:t xml:space="preserve"> </w:t>
      </w:r>
      <w:r w:rsidR="00D86AEC">
        <w:rPr>
          <w:rFonts w:ascii="Arial" w:hAnsi="Arial" w:cs="Arial"/>
          <w:sz w:val="22"/>
          <w:szCs w:val="22"/>
        </w:rPr>
        <w:t xml:space="preserve">authorities for </w:t>
      </w:r>
      <w:r w:rsidR="0053692E" w:rsidRPr="0053692E">
        <w:rPr>
          <w:rFonts w:ascii="Arial" w:hAnsi="Arial" w:cs="Arial"/>
          <w:sz w:val="22"/>
          <w:szCs w:val="22"/>
        </w:rPr>
        <w:t>increased quantities or repeats for all PBS medicines</w:t>
      </w:r>
      <w:r w:rsidR="00847C23">
        <w:rPr>
          <w:rFonts w:ascii="Arial" w:hAnsi="Arial" w:cs="Arial"/>
          <w:sz w:val="22"/>
          <w:szCs w:val="22"/>
        </w:rPr>
        <w:t>.</w:t>
      </w:r>
      <w:r>
        <w:rPr>
          <w:rFonts w:ascii="Arial" w:hAnsi="Arial" w:cs="Arial"/>
          <w:sz w:val="22"/>
          <w:szCs w:val="22"/>
        </w:rPr>
        <w:t xml:space="preserve"> </w:t>
      </w:r>
    </w:p>
    <w:p w:rsidR="0062669C" w:rsidRPr="0062669C" w:rsidRDefault="0062669C" w:rsidP="0062669C">
      <w:pPr>
        <w:pStyle w:val="ListParagraph"/>
        <w:rPr>
          <w:rFonts w:ascii="Arial" w:hAnsi="Arial"/>
          <w:sz w:val="22"/>
          <w:szCs w:val="22"/>
        </w:rPr>
      </w:pPr>
    </w:p>
    <w:p w:rsidR="002255D9" w:rsidRPr="009208F4" w:rsidRDefault="00BC4202" w:rsidP="00882085">
      <w:pPr>
        <w:pStyle w:val="ListParagraph"/>
        <w:numPr>
          <w:ilvl w:val="1"/>
          <w:numId w:val="25"/>
        </w:numPr>
        <w:jc w:val="both"/>
        <w:rPr>
          <w:rFonts w:ascii="Arial" w:hAnsi="Arial"/>
          <w:sz w:val="22"/>
          <w:szCs w:val="22"/>
        </w:rPr>
      </w:pPr>
      <w:r>
        <w:rPr>
          <w:rFonts w:ascii="Arial" w:hAnsi="Arial" w:cs="Arial"/>
          <w:sz w:val="22"/>
          <w:szCs w:val="22"/>
        </w:rPr>
        <w:lastRenderedPageBreak/>
        <w:t xml:space="preserve">The PBAC </w:t>
      </w:r>
      <w:r w:rsidR="0062669C" w:rsidRPr="00A3568D">
        <w:rPr>
          <w:rFonts w:ascii="Arial" w:hAnsi="Arial" w:cs="Arial"/>
          <w:sz w:val="22"/>
          <w:szCs w:val="22"/>
        </w:rPr>
        <w:t xml:space="preserve">previously considered the issues </w:t>
      </w:r>
      <w:r w:rsidR="00E07C6E">
        <w:rPr>
          <w:rFonts w:ascii="Arial" w:hAnsi="Arial" w:cs="Arial"/>
          <w:sz w:val="22"/>
          <w:szCs w:val="22"/>
        </w:rPr>
        <w:t>relating to</w:t>
      </w:r>
      <w:r w:rsidR="0062669C" w:rsidRPr="00A3568D">
        <w:rPr>
          <w:rFonts w:ascii="Arial" w:hAnsi="Arial" w:cs="Arial"/>
          <w:sz w:val="22"/>
          <w:szCs w:val="22"/>
        </w:rPr>
        <w:t xml:space="preserve"> opioid subsidy at v</w:t>
      </w:r>
      <w:r w:rsidR="0062669C">
        <w:rPr>
          <w:rFonts w:ascii="Arial" w:hAnsi="Arial" w:cs="Arial"/>
          <w:sz w:val="22"/>
          <w:szCs w:val="22"/>
        </w:rPr>
        <w:t xml:space="preserve">arious times, including at a stakeholder meeting in 2011 and at the August </w:t>
      </w:r>
      <w:r w:rsidR="00E07C6E">
        <w:rPr>
          <w:rFonts w:ascii="Arial" w:hAnsi="Arial" w:cs="Arial"/>
          <w:sz w:val="22"/>
          <w:szCs w:val="22"/>
        </w:rPr>
        <w:t>S</w:t>
      </w:r>
      <w:r w:rsidR="0062669C">
        <w:rPr>
          <w:rFonts w:ascii="Arial" w:hAnsi="Arial" w:cs="Arial"/>
          <w:sz w:val="22"/>
          <w:szCs w:val="22"/>
        </w:rPr>
        <w:t>pecial PBAC meeting in 2012</w:t>
      </w:r>
      <w:r w:rsidR="0062669C" w:rsidRPr="00F63943">
        <w:rPr>
          <w:rFonts w:ascii="Arial" w:hAnsi="Arial" w:cs="Arial"/>
          <w:i/>
          <w:sz w:val="22"/>
          <w:szCs w:val="22"/>
        </w:rPr>
        <w:t xml:space="preserve">.  </w:t>
      </w:r>
    </w:p>
    <w:p w:rsidR="002255D9" w:rsidRPr="00882085" w:rsidRDefault="002255D9" w:rsidP="00882085">
      <w:pPr>
        <w:jc w:val="both"/>
        <w:rPr>
          <w:rFonts w:ascii="Arial" w:hAnsi="Arial"/>
          <w:b/>
          <w:sz w:val="22"/>
          <w:szCs w:val="22"/>
        </w:rPr>
      </w:pPr>
    </w:p>
    <w:p w:rsidR="00CE10C4" w:rsidRPr="00F851C6" w:rsidRDefault="00993A68" w:rsidP="005F6917">
      <w:pPr>
        <w:pStyle w:val="PBACheading1"/>
      </w:pPr>
      <w:r w:rsidRPr="00F851C6">
        <w:t>C</w:t>
      </w:r>
      <w:r w:rsidR="00CE10C4" w:rsidRPr="00F851C6">
        <w:t>linical place for the proposed ther</w:t>
      </w:r>
      <w:r w:rsidR="006A12A5" w:rsidRPr="00F851C6">
        <w:t>apy</w:t>
      </w:r>
    </w:p>
    <w:p w:rsidR="00CE10C4" w:rsidRPr="00882085" w:rsidRDefault="008E3680" w:rsidP="00882085">
      <w:pPr>
        <w:jc w:val="both"/>
        <w:rPr>
          <w:rFonts w:ascii="Arial" w:hAnsi="Arial"/>
          <w:sz w:val="22"/>
          <w:szCs w:val="22"/>
        </w:rPr>
      </w:pPr>
      <w:r w:rsidRPr="00882085">
        <w:rPr>
          <w:rFonts w:ascii="Arial" w:hAnsi="Arial"/>
          <w:sz w:val="22"/>
          <w:szCs w:val="22"/>
        </w:rPr>
        <w:t xml:space="preserve"> </w:t>
      </w:r>
    </w:p>
    <w:p w:rsidR="003E4EBA" w:rsidRPr="00413C68" w:rsidRDefault="00666613" w:rsidP="00413C68">
      <w:pPr>
        <w:pStyle w:val="ListParagraph"/>
        <w:numPr>
          <w:ilvl w:val="1"/>
          <w:numId w:val="25"/>
        </w:numPr>
        <w:jc w:val="both"/>
        <w:rPr>
          <w:rFonts w:ascii="Arial" w:hAnsi="Arial"/>
          <w:sz w:val="22"/>
          <w:szCs w:val="22"/>
        </w:rPr>
      </w:pPr>
      <w:r>
        <w:rPr>
          <w:rFonts w:ascii="Arial" w:hAnsi="Arial"/>
          <w:sz w:val="22"/>
          <w:szCs w:val="22"/>
        </w:rPr>
        <w:t>The submission stated</w:t>
      </w:r>
      <w:r w:rsidR="000B12D7">
        <w:rPr>
          <w:rFonts w:ascii="Arial" w:hAnsi="Arial"/>
          <w:sz w:val="22"/>
          <w:szCs w:val="22"/>
        </w:rPr>
        <w:t xml:space="preserve"> that the introduction of four additional strengths</w:t>
      </w:r>
      <w:r w:rsidR="00DA0BE1">
        <w:rPr>
          <w:rFonts w:ascii="Arial" w:hAnsi="Arial"/>
          <w:sz w:val="22"/>
          <w:szCs w:val="22"/>
        </w:rPr>
        <w:t xml:space="preserve"> wa</w:t>
      </w:r>
      <w:r w:rsidR="003A3FB0">
        <w:rPr>
          <w:rFonts w:ascii="Arial" w:hAnsi="Arial"/>
          <w:sz w:val="22"/>
          <w:szCs w:val="22"/>
        </w:rPr>
        <w:t>s to allow for improved individual dose titration of buprenorphine</w:t>
      </w:r>
      <w:r w:rsidR="0046138A">
        <w:rPr>
          <w:rFonts w:ascii="Arial" w:hAnsi="Arial"/>
          <w:sz w:val="22"/>
          <w:szCs w:val="22"/>
        </w:rPr>
        <w:t>,</w:t>
      </w:r>
      <w:r w:rsidR="00DA0BE1">
        <w:rPr>
          <w:rFonts w:ascii="Arial" w:hAnsi="Arial"/>
          <w:sz w:val="22"/>
          <w:szCs w:val="22"/>
        </w:rPr>
        <w:t xml:space="preserve"> which would</w:t>
      </w:r>
      <w:r w:rsidR="003A3FB0">
        <w:rPr>
          <w:rFonts w:ascii="Arial" w:hAnsi="Arial"/>
          <w:sz w:val="22"/>
          <w:szCs w:val="22"/>
        </w:rPr>
        <w:t xml:space="preserve"> avoid unnecessary side effects whilst allowing patients to obtain maximum analgesic benefits.</w:t>
      </w:r>
      <w:r w:rsidR="00CB69BA">
        <w:rPr>
          <w:rFonts w:ascii="Arial" w:hAnsi="Arial"/>
          <w:sz w:val="22"/>
          <w:szCs w:val="22"/>
        </w:rPr>
        <w:t xml:space="preserve"> </w:t>
      </w:r>
    </w:p>
    <w:p w:rsidR="003A2EAB" w:rsidRPr="003A2EAB" w:rsidRDefault="003A2EAB" w:rsidP="003A2EAB">
      <w:pPr>
        <w:pStyle w:val="ListParagraph"/>
        <w:rPr>
          <w:rFonts w:ascii="Arial" w:hAnsi="Arial"/>
          <w:sz w:val="22"/>
          <w:szCs w:val="22"/>
        </w:rPr>
      </w:pPr>
    </w:p>
    <w:p w:rsidR="003A2EAB" w:rsidRPr="003E4EBA" w:rsidRDefault="00666613" w:rsidP="003E4EBA">
      <w:pPr>
        <w:pStyle w:val="ListParagraph"/>
        <w:numPr>
          <w:ilvl w:val="1"/>
          <w:numId w:val="25"/>
        </w:numPr>
        <w:jc w:val="both"/>
        <w:rPr>
          <w:rFonts w:ascii="Arial" w:hAnsi="Arial"/>
          <w:sz w:val="22"/>
          <w:szCs w:val="22"/>
        </w:rPr>
      </w:pPr>
      <w:r>
        <w:rPr>
          <w:rFonts w:ascii="Arial" w:hAnsi="Arial"/>
          <w:sz w:val="22"/>
          <w:szCs w:val="22"/>
        </w:rPr>
        <w:t>The submission also contended</w:t>
      </w:r>
      <w:r w:rsidR="00413C68">
        <w:rPr>
          <w:rFonts w:ascii="Arial" w:hAnsi="Arial"/>
          <w:sz w:val="22"/>
          <w:szCs w:val="22"/>
        </w:rPr>
        <w:t xml:space="preserve"> that </w:t>
      </w:r>
      <w:r>
        <w:rPr>
          <w:rFonts w:ascii="Arial" w:hAnsi="Arial"/>
          <w:sz w:val="22"/>
          <w:szCs w:val="22"/>
        </w:rPr>
        <w:t>the introduction of higher strengths</w:t>
      </w:r>
      <w:r w:rsidR="00DA0BE1">
        <w:rPr>
          <w:rFonts w:ascii="Arial" w:hAnsi="Arial"/>
          <w:sz w:val="22"/>
          <w:szCs w:val="22"/>
        </w:rPr>
        <w:t xml:space="preserve"> would</w:t>
      </w:r>
      <w:r w:rsidR="00413C68">
        <w:rPr>
          <w:rFonts w:ascii="Arial" w:hAnsi="Arial"/>
          <w:sz w:val="22"/>
          <w:szCs w:val="22"/>
        </w:rPr>
        <w:t xml:space="preserve"> enable patients requiring higher strengths for their pain management to ac</w:t>
      </w:r>
      <w:r w:rsidR="00D94668">
        <w:rPr>
          <w:rFonts w:ascii="Arial" w:hAnsi="Arial"/>
          <w:sz w:val="22"/>
          <w:szCs w:val="22"/>
        </w:rPr>
        <w:t xml:space="preserve">cess this more appropriately. </w:t>
      </w:r>
      <w:r w:rsidR="00335BC2">
        <w:rPr>
          <w:rFonts w:ascii="Arial" w:hAnsi="Arial"/>
          <w:sz w:val="22"/>
          <w:szCs w:val="22"/>
        </w:rPr>
        <w:t>The submission appeared</w:t>
      </w:r>
      <w:r w:rsidR="00C764EF">
        <w:rPr>
          <w:rFonts w:ascii="Arial" w:hAnsi="Arial"/>
          <w:sz w:val="22"/>
          <w:szCs w:val="22"/>
        </w:rPr>
        <w:t xml:space="preserve"> to have u</w:t>
      </w:r>
      <w:r w:rsidR="00D94668">
        <w:rPr>
          <w:rFonts w:ascii="Arial" w:hAnsi="Arial"/>
          <w:sz w:val="22"/>
          <w:szCs w:val="22"/>
        </w:rPr>
        <w:t>s</w:t>
      </w:r>
      <w:r w:rsidR="00C764EF">
        <w:rPr>
          <w:rFonts w:ascii="Arial" w:hAnsi="Arial"/>
          <w:sz w:val="22"/>
          <w:szCs w:val="22"/>
        </w:rPr>
        <w:t>ed</w:t>
      </w:r>
      <w:r w:rsidR="00D94668">
        <w:rPr>
          <w:rFonts w:ascii="Arial" w:hAnsi="Arial"/>
          <w:sz w:val="22"/>
          <w:szCs w:val="22"/>
        </w:rPr>
        <w:t xml:space="preserve"> figures from the DUSC report</w:t>
      </w:r>
      <w:r w:rsidR="00C764EF">
        <w:rPr>
          <w:rFonts w:ascii="Arial" w:hAnsi="Arial"/>
          <w:sz w:val="22"/>
          <w:szCs w:val="22"/>
        </w:rPr>
        <w:t xml:space="preserve"> to calculate that 29.4%</w:t>
      </w:r>
      <w:r w:rsidR="003A2EAB">
        <w:rPr>
          <w:rFonts w:ascii="Arial" w:hAnsi="Arial"/>
          <w:sz w:val="22"/>
          <w:szCs w:val="22"/>
        </w:rPr>
        <w:t xml:space="preserve"> of buprenorphine scripts are subject to Authority approval</w:t>
      </w:r>
      <w:r w:rsidR="008912CA">
        <w:rPr>
          <w:rFonts w:ascii="Arial" w:hAnsi="Arial"/>
          <w:sz w:val="22"/>
          <w:szCs w:val="22"/>
        </w:rPr>
        <w:t xml:space="preserve"> for increased quantities or repeats</w:t>
      </w:r>
      <w:r w:rsidR="003A2EAB">
        <w:rPr>
          <w:rFonts w:ascii="Arial" w:hAnsi="Arial"/>
          <w:sz w:val="22"/>
          <w:szCs w:val="22"/>
        </w:rPr>
        <w:t xml:space="preserve">. </w:t>
      </w:r>
    </w:p>
    <w:p w:rsidR="00CC5A27" w:rsidRDefault="00CC5A27" w:rsidP="00CC5A27">
      <w:pPr>
        <w:pStyle w:val="ListParagraph"/>
        <w:jc w:val="both"/>
        <w:rPr>
          <w:rFonts w:ascii="Arial" w:hAnsi="Arial"/>
          <w:sz w:val="22"/>
          <w:szCs w:val="22"/>
        </w:rPr>
      </w:pPr>
    </w:p>
    <w:p w:rsidR="00993A68" w:rsidRPr="00993A68" w:rsidRDefault="00CC5A27" w:rsidP="009B48F9">
      <w:pPr>
        <w:pStyle w:val="ListParagraph"/>
        <w:keepNext/>
        <w:numPr>
          <w:ilvl w:val="1"/>
          <w:numId w:val="25"/>
        </w:numPr>
        <w:jc w:val="both"/>
        <w:rPr>
          <w:rFonts w:ascii="Arial" w:hAnsi="Arial"/>
          <w:b/>
          <w:i/>
          <w:sz w:val="22"/>
          <w:szCs w:val="22"/>
        </w:rPr>
      </w:pPr>
      <w:r w:rsidRPr="006D68E1">
        <w:rPr>
          <w:rFonts w:ascii="Arial" w:hAnsi="Arial"/>
          <w:sz w:val="22"/>
          <w:szCs w:val="22"/>
        </w:rPr>
        <w:t>T</w:t>
      </w:r>
      <w:r w:rsidR="00335BC2" w:rsidRPr="006D68E1">
        <w:rPr>
          <w:rFonts w:ascii="Arial" w:hAnsi="Arial"/>
          <w:sz w:val="22"/>
          <w:szCs w:val="22"/>
        </w:rPr>
        <w:t xml:space="preserve">he submission </w:t>
      </w:r>
      <w:r w:rsidR="00BC4202">
        <w:rPr>
          <w:rFonts w:ascii="Arial" w:hAnsi="Arial"/>
          <w:sz w:val="22"/>
          <w:szCs w:val="22"/>
        </w:rPr>
        <w:t>claimed</w:t>
      </w:r>
      <w:r w:rsidR="00E07C6E">
        <w:rPr>
          <w:rFonts w:ascii="Arial" w:hAnsi="Arial"/>
          <w:sz w:val="22"/>
          <w:szCs w:val="22"/>
        </w:rPr>
        <w:t xml:space="preserve">, based on </w:t>
      </w:r>
      <w:r w:rsidRPr="006D68E1">
        <w:rPr>
          <w:rFonts w:ascii="Arial" w:hAnsi="Arial"/>
          <w:sz w:val="22"/>
          <w:szCs w:val="22"/>
        </w:rPr>
        <w:t xml:space="preserve">the DUSC </w:t>
      </w:r>
      <w:r w:rsidR="008912CA" w:rsidRPr="006D68E1">
        <w:rPr>
          <w:rFonts w:ascii="Arial" w:hAnsi="Arial"/>
          <w:sz w:val="22"/>
          <w:szCs w:val="22"/>
        </w:rPr>
        <w:t>report</w:t>
      </w:r>
      <w:r w:rsidR="00E07C6E">
        <w:rPr>
          <w:rFonts w:ascii="Arial" w:hAnsi="Arial"/>
          <w:sz w:val="22"/>
          <w:szCs w:val="22"/>
        </w:rPr>
        <w:t xml:space="preserve">, </w:t>
      </w:r>
      <w:r w:rsidRPr="006D68E1">
        <w:rPr>
          <w:rFonts w:ascii="Arial" w:hAnsi="Arial"/>
          <w:sz w:val="22"/>
          <w:szCs w:val="22"/>
        </w:rPr>
        <w:t>that the</w:t>
      </w:r>
      <w:r w:rsidR="003A2EAB" w:rsidRPr="006D68E1">
        <w:rPr>
          <w:rFonts w:ascii="Arial" w:hAnsi="Arial"/>
          <w:sz w:val="22"/>
          <w:szCs w:val="22"/>
        </w:rPr>
        <w:t>re was significant use in the</w:t>
      </w:r>
      <w:r w:rsidRPr="006D68E1">
        <w:rPr>
          <w:rFonts w:ascii="Arial" w:hAnsi="Arial"/>
          <w:sz w:val="22"/>
          <w:szCs w:val="22"/>
        </w:rPr>
        <w:t xml:space="preserve"> 10 </w:t>
      </w:r>
      <w:r w:rsidRPr="006D68E1">
        <w:rPr>
          <w:rFonts w:ascii="Arial" w:hAnsi="Arial" w:cs="Arial"/>
          <w:sz w:val="22"/>
          <w:szCs w:val="22"/>
        </w:rPr>
        <w:t>µ</w:t>
      </w:r>
      <w:r w:rsidRPr="006D68E1">
        <w:rPr>
          <w:rFonts w:ascii="Arial" w:hAnsi="Arial"/>
          <w:sz w:val="22"/>
          <w:szCs w:val="22"/>
        </w:rPr>
        <w:t xml:space="preserve">g/h and 20 </w:t>
      </w:r>
      <w:r w:rsidRPr="006D68E1">
        <w:rPr>
          <w:rFonts w:ascii="Arial" w:hAnsi="Arial" w:cs="Arial"/>
          <w:sz w:val="22"/>
          <w:szCs w:val="22"/>
        </w:rPr>
        <w:t>µg/h patches</w:t>
      </w:r>
      <w:r w:rsidR="00BC4202">
        <w:rPr>
          <w:rFonts w:ascii="Arial" w:hAnsi="Arial" w:cs="Arial"/>
          <w:sz w:val="22"/>
          <w:szCs w:val="22"/>
        </w:rPr>
        <w:t>.  The submission asserted</w:t>
      </w:r>
      <w:r w:rsidR="00E07C6E">
        <w:rPr>
          <w:rFonts w:ascii="Arial" w:hAnsi="Arial" w:cs="Arial"/>
          <w:sz w:val="22"/>
          <w:szCs w:val="22"/>
        </w:rPr>
        <w:t xml:space="preserve"> that this would</w:t>
      </w:r>
      <w:r w:rsidR="00C62B6A">
        <w:rPr>
          <w:rFonts w:ascii="Arial" w:hAnsi="Arial" w:cs="Arial"/>
          <w:sz w:val="22"/>
          <w:szCs w:val="22"/>
        </w:rPr>
        <w:t xml:space="preserve"> support the </w:t>
      </w:r>
      <w:r w:rsidR="00DA6EB0" w:rsidRPr="006D68E1">
        <w:rPr>
          <w:rFonts w:ascii="Arial" w:hAnsi="Arial" w:cs="Arial"/>
          <w:sz w:val="22"/>
          <w:szCs w:val="22"/>
        </w:rPr>
        <w:t>clinical need</w:t>
      </w:r>
      <w:r w:rsidR="003A2EAB" w:rsidRPr="006D68E1">
        <w:rPr>
          <w:rFonts w:ascii="Arial" w:hAnsi="Arial" w:cs="Arial"/>
          <w:sz w:val="22"/>
          <w:szCs w:val="22"/>
        </w:rPr>
        <w:t xml:space="preserve"> for an intermediate dose</w:t>
      </w:r>
      <w:r w:rsidR="00DA6EB0" w:rsidRPr="006D68E1">
        <w:rPr>
          <w:rFonts w:ascii="Arial" w:hAnsi="Arial" w:cs="Arial"/>
          <w:sz w:val="22"/>
          <w:szCs w:val="22"/>
        </w:rPr>
        <w:t xml:space="preserve">, stating that a </w:t>
      </w:r>
      <w:r w:rsidRPr="006D68E1">
        <w:rPr>
          <w:rFonts w:ascii="Arial" w:hAnsi="Arial" w:cs="Arial"/>
          <w:sz w:val="22"/>
          <w:szCs w:val="22"/>
        </w:rPr>
        <w:t xml:space="preserve">15 µg/h patch would allow for more flexible titration with smaller increments. </w:t>
      </w:r>
    </w:p>
    <w:p w:rsidR="009208F4" w:rsidRDefault="009208F4" w:rsidP="009208F4">
      <w:pPr>
        <w:pStyle w:val="ListParagraph"/>
        <w:rPr>
          <w:rFonts w:ascii="Arial" w:hAnsi="Arial"/>
          <w:i/>
          <w:sz w:val="22"/>
          <w:szCs w:val="22"/>
          <w:highlight w:val="yellow"/>
        </w:rPr>
      </w:pPr>
    </w:p>
    <w:p w:rsidR="009208F4" w:rsidRPr="00450015" w:rsidRDefault="009208F4" w:rsidP="009208F4">
      <w:pPr>
        <w:pStyle w:val="ListParagraph"/>
        <w:rPr>
          <w:rFonts w:ascii="Arial" w:hAnsi="Arial"/>
          <w:i/>
          <w:sz w:val="22"/>
          <w:szCs w:val="22"/>
          <w:highlight w:val="yellow"/>
        </w:rPr>
      </w:pPr>
      <w:r w:rsidRPr="009208F4">
        <w:rPr>
          <w:rFonts w:ascii="Arial" w:hAnsi="Arial"/>
          <w:i/>
          <w:sz w:val="22"/>
          <w:szCs w:val="22"/>
        </w:rPr>
        <w:t>For more detail on PBAC’s view, see section 7 “PBAC outcome”</w:t>
      </w:r>
    </w:p>
    <w:p w:rsidR="00993A68" w:rsidRPr="00993A68" w:rsidRDefault="00993A68" w:rsidP="00993A68">
      <w:pPr>
        <w:pStyle w:val="ListParagraph"/>
        <w:rPr>
          <w:rFonts w:ascii="Arial" w:hAnsi="Arial"/>
          <w:b/>
          <w:i/>
          <w:sz w:val="22"/>
          <w:szCs w:val="22"/>
        </w:rPr>
      </w:pPr>
    </w:p>
    <w:p w:rsidR="00F851C6" w:rsidRPr="00903B89" w:rsidRDefault="00F851C6" w:rsidP="005F6917">
      <w:pPr>
        <w:pStyle w:val="PBACheading1"/>
      </w:pPr>
      <w:r w:rsidRPr="00903B89">
        <w:t>Comparator</w:t>
      </w:r>
    </w:p>
    <w:p w:rsidR="00F851C6" w:rsidRDefault="00F851C6" w:rsidP="00F851C6">
      <w:pPr>
        <w:pStyle w:val="ListParagraph"/>
        <w:keepNext/>
        <w:jc w:val="both"/>
        <w:rPr>
          <w:rFonts w:ascii="Arial" w:hAnsi="Arial"/>
          <w:b/>
          <w:i/>
          <w:sz w:val="22"/>
          <w:szCs w:val="22"/>
        </w:rPr>
      </w:pPr>
      <w:r>
        <w:rPr>
          <w:rFonts w:ascii="Arial" w:hAnsi="Arial"/>
          <w:b/>
          <w:i/>
          <w:sz w:val="22"/>
          <w:szCs w:val="22"/>
        </w:rPr>
        <w:t xml:space="preserve"> </w:t>
      </w:r>
    </w:p>
    <w:p w:rsidR="00F851C6" w:rsidRDefault="00F851C6" w:rsidP="00F851C6">
      <w:pPr>
        <w:pStyle w:val="ListParagraph"/>
        <w:keepNext/>
        <w:numPr>
          <w:ilvl w:val="1"/>
          <w:numId w:val="25"/>
        </w:numPr>
        <w:jc w:val="both"/>
        <w:rPr>
          <w:rFonts w:ascii="Arial" w:hAnsi="Arial"/>
          <w:b/>
          <w:i/>
          <w:sz w:val="22"/>
          <w:szCs w:val="22"/>
        </w:rPr>
      </w:pPr>
      <w:r>
        <w:rPr>
          <w:rFonts w:ascii="Arial" w:hAnsi="Arial"/>
          <w:sz w:val="22"/>
          <w:szCs w:val="22"/>
        </w:rPr>
        <w:t xml:space="preserve">The submission did not nominate a comparator. </w:t>
      </w:r>
      <w:r>
        <w:rPr>
          <w:rFonts w:ascii="Arial" w:hAnsi="Arial"/>
          <w:b/>
          <w:i/>
          <w:sz w:val="22"/>
          <w:szCs w:val="22"/>
        </w:rPr>
        <w:t xml:space="preserve"> </w:t>
      </w:r>
    </w:p>
    <w:p w:rsidR="00F851C6" w:rsidRDefault="00F851C6" w:rsidP="00F851C6">
      <w:pPr>
        <w:pStyle w:val="ListParagraph"/>
        <w:keepNext/>
        <w:jc w:val="both"/>
        <w:rPr>
          <w:rFonts w:ascii="Arial" w:hAnsi="Arial"/>
          <w:b/>
          <w:i/>
          <w:sz w:val="22"/>
          <w:szCs w:val="22"/>
        </w:rPr>
      </w:pPr>
    </w:p>
    <w:p w:rsidR="009B48F9" w:rsidRPr="00903B89" w:rsidRDefault="00F851C6" w:rsidP="005F6917">
      <w:pPr>
        <w:pStyle w:val="PBACheading1"/>
      </w:pPr>
      <w:r w:rsidRPr="00903B89">
        <w:t>Consideration of the evidence</w:t>
      </w:r>
      <w:r w:rsidR="00C35996" w:rsidRPr="00903B89">
        <w:tab/>
      </w:r>
      <w:r w:rsidR="009444F9" w:rsidRPr="00903B89">
        <w:t xml:space="preserve"> </w:t>
      </w:r>
    </w:p>
    <w:p w:rsidR="00213744" w:rsidRDefault="00213744" w:rsidP="00213744">
      <w:pPr>
        <w:jc w:val="both"/>
        <w:rPr>
          <w:rFonts w:ascii="Arial" w:hAnsi="Arial"/>
          <w:b/>
          <w:sz w:val="22"/>
          <w:szCs w:val="22"/>
        </w:rPr>
      </w:pPr>
    </w:p>
    <w:p w:rsidR="00213744" w:rsidRPr="008C644C" w:rsidRDefault="00213744" w:rsidP="00213744">
      <w:pPr>
        <w:jc w:val="both"/>
        <w:rPr>
          <w:rFonts w:ascii="Arial" w:hAnsi="Arial"/>
          <w:b/>
          <w:sz w:val="22"/>
          <w:szCs w:val="22"/>
        </w:rPr>
      </w:pPr>
      <w:r w:rsidRPr="008C644C">
        <w:rPr>
          <w:rFonts w:ascii="Arial" w:hAnsi="Arial"/>
          <w:b/>
          <w:sz w:val="22"/>
          <w:szCs w:val="22"/>
        </w:rPr>
        <w:t>Sponsor hearing</w:t>
      </w:r>
    </w:p>
    <w:p w:rsidR="00213744" w:rsidRDefault="00213744" w:rsidP="00213744">
      <w:pPr>
        <w:pStyle w:val="ListParagraph"/>
        <w:jc w:val="both"/>
        <w:rPr>
          <w:rFonts w:ascii="Arial" w:hAnsi="Arial"/>
          <w:b/>
          <w:sz w:val="22"/>
          <w:szCs w:val="22"/>
        </w:rPr>
      </w:pPr>
    </w:p>
    <w:p w:rsidR="00213744" w:rsidRDefault="00213744" w:rsidP="00213744">
      <w:pPr>
        <w:pStyle w:val="ListParagraph"/>
        <w:numPr>
          <w:ilvl w:val="1"/>
          <w:numId w:val="25"/>
        </w:numPr>
        <w:rPr>
          <w:rFonts w:ascii="Arial" w:hAnsi="Arial"/>
          <w:bCs/>
          <w:sz w:val="22"/>
          <w:szCs w:val="22"/>
        </w:rPr>
      </w:pPr>
      <w:r w:rsidRPr="00D90E8A">
        <w:rPr>
          <w:rFonts w:ascii="Arial" w:hAnsi="Arial"/>
          <w:sz w:val="22"/>
          <w:szCs w:val="22"/>
        </w:rPr>
        <w:t xml:space="preserve"> </w:t>
      </w:r>
      <w:r w:rsidRPr="00D90E8A">
        <w:rPr>
          <w:rFonts w:ascii="Arial" w:hAnsi="Arial"/>
          <w:bCs/>
          <w:sz w:val="22"/>
          <w:szCs w:val="22"/>
        </w:rPr>
        <w:t>There was no hearing for this item as it was a minor su</w:t>
      </w:r>
      <w:r>
        <w:rPr>
          <w:rFonts w:ascii="Arial" w:hAnsi="Arial"/>
          <w:bCs/>
          <w:sz w:val="22"/>
          <w:szCs w:val="22"/>
        </w:rPr>
        <w:t>bmission.</w:t>
      </w:r>
    </w:p>
    <w:p w:rsidR="00213744" w:rsidRDefault="00213744" w:rsidP="00213744">
      <w:pPr>
        <w:pStyle w:val="ListParagraph"/>
        <w:rPr>
          <w:rFonts w:ascii="Arial" w:hAnsi="Arial"/>
          <w:bCs/>
          <w:sz w:val="22"/>
          <w:szCs w:val="22"/>
        </w:rPr>
      </w:pPr>
    </w:p>
    <w:p w:rsidR="00213744" w:rsidRPr="008C644C" w:rsidRDefault="00213744" w:rsidP="00213744">
      <w:pPr>
        <w:jc w:val="both"/>
        <w:rPr>
          <w:rFonts w:ascii="Arial" w:hAnsi="Arial"/>
          <w:b/>
          <w:sz w:val="22"/>
          <w:szCs w:val="22"/>
        </w:rPr>
      </w:pPr>
      <w:r w:rsidRPr="008C644C">
        <w:rPr>
          <w:rFonts w:ascii="Arial" w:hAnsi="Arial"/>
          <w:b/>
          <w:sz w:val="22"/>
          <w:szCs w:val="22"/>
        </w:rPr>
        <w:t>Consumer comments</w:t>
      </w:r>
    </w:p>
    <w:p w:rsidR="00213744" w:rsidRDefault="00213744" w:rsidP="00213744">
      <w:pPr>
        <w:pStyle w:val="ListParagraph"/>
        <w:rPr>
          <w:rFonts w:ascii="Arial" w:hAnsi="Arial"/>
          <w:bCs/>
          <w:sz w:val="22"/>
          <w:szCs w:val="22"/>
        </w:rPr>
      </w:pPr>
    </w:p>
    <w:p w:rsidR="00213744" w:rsidRPr="00213744" w:rsidRDefault="00213744" w:rsidP="00213744">
      <w:pPr>
        <w:pStyle w:val="ListParagraph"/>
        <w:numPr>
          <w:ilvl w:val="1"/>
          <w:numId w:val="25"/>
        </w:numPr>
        <w:rPr>
          <w:rFonts w:ascii="Arial" w:hAnsi="Arial"/>
          <w:bCs/>
          <w:sz w:val="22"/>
          <w:szCs w:val="22"/>
        </w:rPr>
      </w:pPr>
      <w:r w:rsidRPr="00213744">
        <w:rPr>
          <w:rFonts w:ascii="Arial" w:hAnsi="Arial" w:cs="Arial"/>
          <w:bCs/>
          <w:snapToGrid w:val="0"/>
          <w:sz w:val="22"/>
          <w:szCs w:val="22"/>
        </w:rPr>
        <w:t xml:space="preserve">The PBAC noted that no consumer comments were received for this item. </w:t>
      </w:r>
    </w:p>
    <w:p w:rsidR="00CB4CE9" w:rsidRDefault="00CB4CE9" w:rsidP="00CB4CE9">
      <w:pPr>
        <w:keepNext/>
        <w:jc w:val="both"/>
        <w:rPr>
          <w:rFonts w:ascii="Arial" w:hAnsi="Arial"/>
          <w:b/>
          <w:i/>
          <w:sz w:val="22"/>
          <w:szCs w:val="22"/>
        </w:rPr>
      </w:pPr>
    </w:p>
    <w:p w:rsidR="00CB4CE9" w:rsidRPr="008C644C" w:rsidRDefault="00CB4CE9" w:rsidP="00DA0BE1">
      <w:pPr>
        <w:rPr>
          <w:rFonts w:ascii="Arial" w:hAnsi="Arial"/>
          <w:b/>
          <w:sz w:val="22"/>
          <w:szCs w:val="22"/>
        </w:rPr>
      </w:pPr>
      <w:r>
        <w:rPr>
          <w:rFonts w:ascii="Arial" w:hAnsi="Arial"/>
          <w:b/>
          <w:i/>
          <w:sz w:val="22"/>
          <w:szCs w:val="22"/>
        </w:rPr>
        <w:br w:type="page"/>
      </w:r>
      <w:r w:rsidRPr="008C644C">
        <w:rPr>
          <w:rFonts w:ascii="Arial" w:hAnsi="Arial"/>
          <w:b/>
          <w:sz w:val="22"/>
          <w:szCs w:val="22"/>
        </w:rPr>
        <w:lastRenderedPageBreak/>
        <w:t>Economic analysis</w:t>
      </w:r>
      <w:r w:rsidRPr="008C644C">
        <w:rPr>
          <w:rFonts w:ascii="Arial" w:hAnsi="Arial"/>
          <w:sz w:val="22"/>
          <w:szCs w:val="22"/>
        </w:rPr>
        <w:tab/>
      </w:r>
    </w:p>
    <w:p w:rsidR="009B48F9" w:rsidRPr="009B48F9" w:rsidRDefault="009B48F9" w:rsidP="009B48F9">
      <w:pPr>
        <w:pStyle w:val="ListParagraph"/>
        <w:rPr>
          <w:rFonts w:ascii="Arial" w:hAnsi="Arial"/>
          <w:sz w:val="22"/>
          <w:szCs w:val="22"/>
        </w:rPr>
      </w:pPr>
    </w:p>
    <w:p w:rsidR="00622DEA" w:rsidRPr="00CB4CE9" w:rsidRDefault="009B48F9" w:rsidP="00335BC2">
      <w:pPr>
        <w:pStyle w:val="ListParagraph"/>
        <w:numPr>
          <w:ilvl w:val="1"/>
          <w:numId w:val="25"/>
        </w:numPr>
        <w:jc w:val="both"/>
        <w:rPr>
          <w:rFonts w:ascii="Arial" w:hAnsi="Arial"/>
          <w:sz w:val="22"/>
          <w:szCs w:val="22"/>
        </w:rPr>
      </w:pPr>
      <w:r>
        <w:rPr>
          <w:rFonts w:ascii="Arial" w:hAnsi="Arial"/>
          <w:sz w:val="22"/>
          <w:szCs w:val="22"/>
        </w:rPr>
        <w:t>The price proposed for the new s</w:t>
      </w:r>
      <w:r w:rsidR="00E87048">
        <w:rPr>
          <w:rFonts w:ascii="Arial" w:hAnsi="Arial"/>
          <w:sz w:val="22"/>
          <w:szCs w:val="22"/>
        </w:rPr>
        <w:t>trengths wa</w:t>
      </w:r>
      <w:r w:rsidR="00482DAE">
        <w:rPr>
          <w:rFonts w:ascii="Arial" w:hAnsi="Arial"/>
          <w:sz w:val="22"/>
          <w:szCs w:val="22"/>
        </w:rPr>
        <w:t>s based on pricing deriv</w:t>
      </w:r>
      <w:r>
        <w:rPr>
          <w:rFonts w:ascii="Arial" w:hAnsi="Arial"/>
          <w:sz w:val="22"/>
          <w:szCs w:val="22"/>
        </w:rPr>
        <w:t>ation advised by the Pharmaceutical Be</w:t>
      </w:r>
      <w:r w:rsidR="007D44DD">
        <w:rPr>
          <w:rFonts w:ascii="Arial" w:hAnsi="Arial"/>
          <w:sz w:val="22"/>
          <w:szCs w:val="22"/>
        </w:rPr>
        <w:t>nefits Pricing Authority manual, where if the new strength is doub</w:t>
      </w:r>
      <w:r w:rsidR="00F60B7F">
        <w:rPr>
          <w:rFonts w:ascii="Arial" w:hAnsi="Arial"/>
          <w:sz w:val="22"/>
          <w:szCs w:val="22"/>
        </w:rPr>
        <w:t>le that of an existing strength</w:t>
      </w:r>
      <w:r w:rsidR="007D44DD">
        <w:rPr>
          <w:rFonts w:ascii="Arial" w:hAnsi="Arial"/>
          <w:sz w:val="22"/>
          <w:szCs w:val="22"/>
        </w:rPr>
        <w:t xml:space="preserve"> it should be priced at one and two-thirds of th</w:t>
      </w:r>
      <w:r w:rsidR="00EE2896">
        <w:rPr>
          <w:rFonts w:ascii="Arial" w:hAnsi="Arial"/>
          <w:sz w:val="22"/>
          <w:szCs w:val="22"/>
        </w:rPr>
        <w:t>e</w:t>
      </w:r>
      <w:r w:rsidR="007D44DD">
        <w:rPr>
          <w:rFonts w:ascii="Arial" w:hAnsi="Arial"/>
          <w:sz w:val="22"/>
          <w:szCs w:val="22"/>
        </w:rPr>
        <w:t xml:space="preserve"> </w:t>
      </w:r>
      <w:r w:rsidR="00021EA5">
        <w:rPr>
          <w:rFonts w:ascii="Arial" w:hAnsi="Arial"/>
          <w:sz w:val="22"/>
          <w:szCs w:val="22"/>
        </w:rPr>
        <w:t xml:space="preserve">existing </w:t>
      </w:r>
      <w:r w:rsidR="007D44DD">
        <w:rPr>
          <w:rFonts w:ascii="Arial" w:hAnsi="Arial"/>
          <w:sz w:val="22"/>
          <w:szCs w:val="22"/>
        </w:rPr>
        <w:t>strength</w:t>
      </w:r>
      <w:r>
        <w:rPr>
          <w:rFonts w:ascii="Arial" w:hAnsi="Arial"/>
          <w:sz w:val="22"/>
          <w:szCs w:val="22"/>
        </w:rPr>
        <w:t>. In li</w:t>
      </w:r>
      <w:r w:rsidR="008B6E08">
        <w:rPr>
          <w:rFonts w:ascii="Arial" w:hAnsi="Arial"/>
          <w:sz w:val="22"/>
          <w:szCs w:val="22"/>
        </w:rPr>
        <w:t xml:space="preserve">ne with this </w:t>
      </w:r>
      <w:r w:rsidR="00F60B7F">
        <w:rPr>
          <w:rFonts w:ascii="Arial" w:hAnsi="Arial"/>
          <w:sz w:val="22"/>
          <w:szCs w:val="22"/>
        </w:rPr>
        <w:t>methodology</w:t>
      </w:r>
      <w:r w:rsidR="008B6E08">
        <w:rPr>
          <w:rFonts w:ascii="Arial" w:hAnsi="Arial"/>
          <w:sz w:val="22"/>
          <w:szCs w:val="22"/>
        </w:rPr>
        <w:t>, the submission</w:t>
      </w:r>
      <w:r>
        <w:rPr>
          <w:rFonts w:ascii="Arial" w:hAnsi="Arial"/>
          <w:sz w:val="22"/>
          <w:szCs w:val="22"/>
        </w:rPr>
        <w:t xml:space="preserve"> proposes that the 40 </w:t>
      </w:r>
      <w:r w:rsidR="006940F4">
        <w:rPr>
          <w:rFonts w:ascii="Arial" w:hAnsi="Arial" w:cs="Arial"/>
          <w:sz w:val="22"/>
          <w:szCs w:val="22"/>
        </w:rPr>
        <w:t>microgram</w:t>
      </w:r>
      <w:r w:rsidR="00335BC2" w:rsidRPr="00335BC2">
        <w:rPr>
          <w:rFonts w:ascii="Arial" w:hAnsi="Arial" w:cs="Arial"/>
          <w:sz w:val="22"/>
          <w:szCs w:val="22"/>
        </w:rPr>
        <w:t>/hour</w:t>
      </w:r>
      <w:r w:rsidR="00335BC2">
        <w:rPr>
          <w:rFonts w:ascii="Arial" w:hAnsi="Arial" w:cs="Arial"/>
          <w:i/>
          <w:sz w:val="22"/>
          <w:szCs w:val="22"/>
        </w:rPr>
        <w:t xml:space="preserve"> </w:t>
      </w:r>
      <w:r>
        <w:rPr>
          <w:rFonts w:ascii="Arial" w:hAnsi="Arial"/>
          <w:sz w:val="22"/>
          <w:szCs w:val="22"/>
        </w:rPr>
        <w:t xml:space="preserve">patch be </w:t>
      </w:r>
      <w:r w:rsidR="00021EA5">
        <w:rPr>
          <w:rFonts w:ascii="Arial" w:hAnsi="Arial"/>
          <w:sz w:val="22"/>
          <w:szCs w:val="22"/>
        </w:rPr>
        <w:t xml:space="preserve">priced </w:t>
      </w:r>
      <w:r>
        <w:rPr>
          <w:rFonts w:ascii="Arial" w:hAnsi="Arial"/>
          <w:sz w:val="22"/>
          <w:szCs w:val="22"/>
        </w:rPr>
        <w:t>one</w:t>
      </w:r>
      <w:r w:rsidR="007D44DD">
        <w:rPr>
          <w:rFonts w:ascii="Arial" w:hAnsi="Arial"/>
          <w:sz w:val="22"/>
          <w:szCs w:val="22"/>
        </w:rPr>
        <w:t xml:space="preserve"> and two-</w:t>
      </w:r>
      <w:r>
        <w:rPr>
          <w:rFonts w:ascii="Arial" w:hAnsi="Arial"/>
          <w:sz w:val="22"/>
          <w:szCs w:val="22"/>
        </w:rPr>
        <w:t xml:space="preserve">thirds of the currently listed 20 </w:t>
      </w:r>
      <w:r w:rsidR="006940F4">
        <w:rPr>
          <w:rFonts w:ascii="Arial" w:hAnsi="Arial" w:cs="Arial"/>
          <w:sz w:val="22"/>
          <w:szCs w:val="22"/>
        </w:rPr>
        <w:t>microgram</w:t>
      </w:r>
      <w:r w:rsidR="00335BC2" w:rsidRPr="00335BC2">
        <w:rPr>
          <w:rFonts w:ascii="Arial" w:hAnsi="Arial" w:cs="Arial"/>
          <w:sz w:val="22"/>
          <w:szCs w:val="22"/>
        </w:rPr>
        <w:t>/hour</w:t>
      </w:r>
      <w:r w:rsidR="00335BC2">
        <w:rPr>
          <w:rFonts w:ascii="Arial" w:hAnsi="Arial" w:cs="Arial"/>
          <w:i/>
          <w:sz w:val="22"/>
          <w:szCs w:val="22"/>
        </w:rPr>
        <w:t xml:space="preserve"> </w:t>
      </w:r>
      <w:r>
        <w:rPr>
          <w:rFonts w:ascii="Arial" w:hAnsi="Arial"/>
          <w:sz w:val="22"/>
          <w:szCs w:val="22"/>
        </w:rPr>
        <w:t>patch (calculated at ex-manufacturer price)</w:t>
      </w:r>
      <w:r w:rsidR="0025395A">
        <w:rPr>
          <w:rFonts w:ascii="Arial" w:hAnsi="Arial"/>
          <w:sz w:val="22"/>
          <w:szCs w:val="22"/>
        </w:rPr>
        <w:t>, and the remaining strengths be priced at the midpoint between the next lower and next higher strength (calculated at ex-manufacturer level).</w:t>
      </w:r>
    </w:p>
    <w:tbl>
      <w:tblPr>
        <w:tblStyle w:val="TableGrid"/>
        <w:tblpPr w:leftFromText="180" w:rightFromText="180" w:vertAnchor="text" w:horzAnchor="margin" w:tblpXSpec="right" w:tblpY="253"/>
        <w:tblW w:w="0" w:type="auto"/>
        <w:tblLook w:val="04A0" w:firstRow="1" w:lastRow="0" w:firstColumn="1" w:lastColumn="0" w:noHBand="0" w:noVBand="1"/>
      </w:tblPr>
      <w:tblGrid>
        <w:gridCol w:w="4928"/>
        <w:gridCol w:w="3544"/>
      </w:tblGrid>
      <w:tr w:rsidR="00021EA5" w:rsidRPr="00392C3A" w:rsidTr="00DA0BE1">
        <w:tc>
          <w:tcPr>
            <w:tcW w:w="4928" w:type="dxa"/>
          </w:tcPr>
          <w:p w:rsidR="00021EA5" w:rsidRPr="00392C3A" w:rsidRDefault="00021EA5" w:rsidP="00DA0BE1">
            <w:pPr>
              <w:jc w:val="both"/>
              <w:rPr>
                <w:rFonts w:ascii="Arial Narrow" w:hAnsi="Arial Narrow"/>
                <w:b/>
                <w:sz w:val="20"/>
                <w:szCs w:val="20"/>
              </w:rPr>
            </w:pPr>
            <w:r w:rsidRPr="00392C3A">
              <w:rPr>
                <w:rFonts w:ascii="Arial Narrow" w:hAnsi="Arial Narrow"/>
                <w:b/>
                <w:sz w:val="20"/>
                <w:szCs w:val="20"/>
              </w:rPr>
              <w:t>Product</w:t>
            </w:r>
          </w:p>
        </w:tc>
        <w:tc>
          <w:tcPr>
            <w:tcW w:w="3544" w:type="dxa"/>
          </w:tcPr>
          <w:p w:rsidR="00021EA5" w:rsidRPr="00392C3A" w:rsidRDefault="00021EA5" w:rsidP="00DA0BE1">
            <w:pPr>
              <w:jc w:val="both"/>
              <w:rPr>
                <w:rFonts w:ascii="Arial Narrow" w:hAnsi="Arial Narrow"/>
                <w:b/>
                <w:sz w:val="20"/>
                <w:szCs w:val="20"/>
              </w:rPr>
            </w:pPr>
            <w:r w:rsidRPr="00392C3A">
              <w:rPr>
                <w:rFonts w:ascii="Arial Narrow" w:hAnsi="Arial Narrow"/>
                <w:b/>
                <w:sz w:val="20"/>
                <w:szCs w:val="20"/>
              </w:rPr>
              <w:t>Ex-manufacturer price</w:t>
            </w:r>
          </w:p>
        </w:tc>
      </w:tr>
      <w:tr w:rsidR="00494AC2" w:rsidRPr="00392C3A" w:rsidTr="00DA0BE1">
        <w:tc>
          <w:tcPr>
            <w:tcW w:w="4928" w:type="dxa"/>
          </w:tcPr>
          <w:p w:rsidR="00494AC2" w:rsidRPr="00494AC2" w:rsidRDefault="00494AC2" w:rsidP="00DA0BE1">
            <w:pPr>
              <w:rPr>
                <w:rFonts w:ascii="Arial Narrow" w:hAnsi="Arial Narrow"/>
                <w:iCs/>
                <w:color w:val="000000"/>
                <w:sz w:val="22"/>
                <w:szCs w:val="22"/>
              </w:rPr>
            </w:pPr>
            <w:r>
              <w:rPr>
                <w:rFonts w:ascii="Arial Narrow" w:hAnsi="Arial Narrow"/>
                <w:iCs/>
                <w:color w:val="000000"/>
                <w:sz w:val="22"/>
                <w:szCs w:val="22"/>
              </w:rPr>
              <w:t>b</w:t>
            </w:r>
            <w:r w:rsidR="009F0C45">
              <w:rPr>
                <w:rFonts w:ascii="Arial Narrow" w:hAnsi="Arial Narrow"/>
                <w:iCs/>
                <w:color w:val="000000"/>
                <w:sz w:val="22"/>
                <w:szCs w:val="22"/>
              </w:rPr>
              <w:t>uprenorphine 5 microgram</w:t>
            </w:r>
            <w:r w:rsidRPr="00494AC2">
              <w:rPr>
                <w:rFonts w:ascii="Arial Narrow" w:hAnsi="Arial Narrow"/>
                <w:iCs/>
                <w:color w:val="000000"/>
                <w:sz w:val="22"/>
                <w:szCs w:val="22"/>
              </w:rPr>
              <w:t>/hour patch, 2</w:t>
            </w:r>
          </w:p>
        </w:tc>
        <w:tc>
          <w:tcPr>
            <w:tcW w:w="3544" w:type="dxa"/>
          </w:tcPr>
          <w:p w:rsidR="00494AC2" w:rsidRPr="00263604" w:rsidRDefault="00494AC2" w:rsidP="00DA0BE1">
            <w:pPr>
              <w:rPr>
                <w:rFonts w:ascii="Arial Narrow" w:hAnsi="Arial Narrow"/>
                <w:iCs/>
                <w:color w:val="000000"/>
                <w:sz w:val="22"/>
                <w:szCs w:val="22"/>
              </w:rPr>
            </w:pPr>
            <w:r w:rsidRPr="00263604">
              <w:rPr>
                <w:rFonts w:ascii="Arial Narrow" w:hAnsi="Arial Narrow"/>
                <w:iCs/>
                <w:color w:val="000000"/>
                <w:sz w:val="22"/>
                <w:szCs w:val="22"/>
              </w:rPr>
              <w:t>$</w:t>
            </w:r>
            <w:r w:rsidR="00C84DAD">
              <w:rPr>
                <w:rFonts w:ascii="Arial Narrow" w:hAnsi="Arial Narrow"/>
                <w:iCs/>
                <w:noProof/>
                <w:color w:val="000000"/>
                <w:sz w:val="22"/>
                <w:szCs w:val="22"/>
                <w:highlight w:val="black"/>
              </w:rPr>
              <w:t>'''''''''''''</w:t>
            </w:r>
            <w:r w:rsidRPr="00263604">
              <w:rPr>
                <w:rFonts w:ascii="Arial Narrow" w:hAnsi="Arial Narrow"/>
                <w:iCs/>
                <w:color w:val="000000"/>
                <w:sz w:val="22"/>
                <w:szCs w:val="22"/>
              </w:rPr>
              <w:t xml:space="preserve"> (at February 2014)</w:t>
            </w:r>
          </w:p>
        </w:tc>
      </w:tr>
      <w:tr w:rsidR="00494AC2" w:rsidRPr="00392C3A" w:rsidTr="00DA0BE1">
        <w:tc>
          <w:tcPr>
            <w:tcW w:w="4928" w:type="dxa"/>
          </w:tcPr>
          <w:p w:rsidR="00494AC2" w:rsidRPr="00494AC2" w:rsidRDefault="00494AC2" w:rsidP="00DA0BE1">
            <w:pPr>
              <w:rPr>
                <w:rFonts w:ascii="Arial Narrow" w:hAnsi="Arial Narrow"/>
                <w:iCs/>
                <w:color w:val="000000"/>
                <w:sz w:val="22"/>
                <w:szCs w:val="22"/>
              </w:rPr>
            </w:pPr>
            <w:r>
              <w:rPr>
                <w:rFonts w:ascii="Arial Narrow" w:hAnsi="Arial Narrow"/>
                <w:iCs/>
                <w:color w:val="000000"/>
                <w:sz w:val="22"/>
                <w:szCs w:val="22"/>
              </w:rPr>
              <w:t>b</w:t>
            </w:r>
            <w:r w:rsidR="009F0C45">
              <w:rPr>
                <w:rFonts w:ascii="Arial Narrow" w:hAnsi="Arial Narrow"/>
                <w:iCs/>
                <w:color w:val="000000"/>
                <w:sz w:val="22"/>
                <w:szCs w:val="22"/>
              </w:rPr>
              <w:t>uprenorphine 10 microgram</w:t>
            </w:r>
            <w:r w:rsidRPr="00494AC2">
              <w:rPr>
                <w:rFonts w:ascii="Arial Narrow" w:hAnsi="Arial Narrow"/>
                <w:iCs/>
                <w:color w:val="000000"/>
                <w:sz w:val="22"/>
                <w:szCs w:val="22"/>
              </w:rPr>
              <w:t>/hour patch, 2</w:t>
            </w:r>
          </w:p>
        </w:tc>
        <w:tc>
          <w:tcPr>
            <w:tcW w:w="3544" w:type="dxa"/>
          </w:tcPr>
          <w:p w:rsidR="00494AC2" w:rsidRPr="00263604" w:rsidRDefault="00494AC2" w:rsidP="00DA0BE1">
            <w:pPr>
              <w:rPr>
                <w:rFonts w:ascii="Arial Narrow" w:hAnsi="Arial Narrow"/>
                <w:iCs/>
                <w:color w:val="000000"/>
                <w:sz w:val="22"/>
                <w:szCs w:val="22"/>
              </w:rPr>
            </w:pPr>
            <w:r w:rsidRPr="00263604">
              <w:rPr>
                <w:rFonts w:ascii="Arial Narrow" w:hAnsi="Arial Narrow"/>
                <w:iCs/>
                <w:color w:val="000000"/>
                <w:sz w:val="22"/>
                <w:szCs w:val="22"/>
              </w:rPr>
              <w:t>$</w:t>
            </w:r>
            <w:r w:rsidR="00C84DAD">
              <w:rPr>
                <w:rFonts w:ascii="Arial Narrow" w:hAnsi="Arial Narrow"/>
                <w:iCs/>
                <w:noProof/>
                <w:color w:val="000000"/>
                <w:sz w:val="22"/>
                <w:szCs w:val="22"/>
                <w:highlight w:val="black"/>
              </w:rPr>
              <w:t>'''''''''''''</w:t>
            </w:r>
            <w:r w:rsidRPr="00263604">
              <w:rPr>
                <w:rFonts w:ascii="Arial Narrow" w:hAnsi="Arial Narrow"/>
                <w:iCs/>
                <w:color w:val="000000"/>
                <w:sz w:val="22"/>
                <w:szCs w:val="22"/>
              </w:rPr>
              <w:t xml:space="preserve"> (At February 2014)</w:t>
            </w:r>
          </w:p>
        </w:tc>
      </w:tr>
      <w:tr w:rsidR="00021EA5" w:rsidRPr="00392C3A" w:rsidTr="00DA0BE1">
        <w:tc>
          <w:tcPr>
            <w:tcW w:w="4928" w:type="dxa"/>
          </w:tcPr>
          <w:p w:rsidR="00021EA5" w:rsidRPr="00494AC2" w:rsidRDefault="009F0C45" w:rsidP="00DA0BE1">
            <w:pPr>
              <w:rPr>
                <w:rFonts w:ascii="Arial Narrow" w:hAnsi="Arial Narrow"/>
                <w:i/>
                <w:iCs/>
                <w:color w:val="000000"/>
                <w:sz w:val="22"/>
                <w:szCs w:val="22"/>
              </w:rPr>
            </w:pPr>
            <w:r>
              <w:rPr>
                <w:rFonts w:ascii="Arial Narrow" w:hAnsi="Arial Narrow"/>
                <w:i/>
                <w:iCs/>
                <w:color w:val="000000"/>
                <w:sz w:val="22"/>
                <w:szCs w:val="22"/>
              </w:rPr>
              <w:t>buprenorphine 15 microgram</w:t>
            </w:r>
            <w:r w:rsidR="00021EA5" w:rsidRPr="00494AC2">
              <w:rPr>
                <w:rFonts w:ascii="Arial Narrow" w:hAnsi="Arial Narrow"/>
                <w:i/>
                <w:iCs/>
                <w:color w:val="000000"/>
                <w:sz w:val="22"/>
                <w:szCs w:val="22"/>
              </w:rPr>
              <w:t>/hour patch, 2 proposed price</w:t>
            </w:r>
          </w:p>
        </w:tc>
        <w:tc>
          <w:tcPr>
            <w:tcW w:w="3544" w:type="dxa"/>
          </w:tcPr>
          <w:p w:rsidR="00021EA5" w:rsidRPr="00263604" w:rsidRDefault="00021EA5" w:rsidP="00DA0BE1">
            <w:pPr>
              <w:rPr>
                <w:rFonts w:ascii="Arial Narrow" w:hAnsi="Arial Narrow"/>
                <w:i/>
                <w:iCs/>
                <w:color w:val="000000"/>
                <w:sz w:val="22"/>
                <w:szCs w:val="22"/>
              </w:rPr>
            </w:pPr>
            <w:r w:rsidRPr="00263604">
              <w:rPr>
                <w:rFonts w:ascii="Arial Narrow" w:hAnsi="Arial Narrow"/>
                <w:i/>
                <w:iCs/>
                <w:color w:val="000000"/>
                <w:sz w:val="22"/>
                <w:szCs w:val="22"/>
              </w:rPr>
              <w:t>$</w:t>
            </w:r>
            <w:r w:rsidR="00C84DAD">
              <w:rPr>
                <w:rFonts w:ascii="Arial Narrow" w:hAnsi="Arial Narrow"/>
                <w:i/>
                <w:iCs/>
                <w:noProof/>
                <w:color w:val="000000"/>
                <w:sz w:val="22"/>
                <w:szCs w:val="22"/>
                <w:highlight w:val="black"/>
              </w:rPr>
              <w:t>''''''''''''''</w:t>
            </w:r>
          </w:p>
        </w:tc>
      </w:tr>
      <w:tr w:rsidR="00494AC2" w:rsidRPr="00392C3A" w:rsidTr="00DA0BE1">
        <w:tc>
          <w:tcPr>
            <w:tcW w:w="4928" w:type="dxa"/>
          </w:tcPr>
          <w:p w:rsidR="00494AC2" w:rsidRPr="00494AC2" w:rsidRDefault="00494AC2" w:rsidP="00DA0BE1">
            <w:pPr>
              <w:rPr>
                <w:rFonts w:ascii="Arial Narrow" w:hAnsi="Arial Narrow"/>
                <w:iCs/>
                <w:color w:val="000000"/>
                <w:sz w:val="22"/>
                <w:szCs w:val="22"/>
              </w:rPr>
            </w:pPr>
            <w:r>
              <w:rPr>
                <w:rFonts w:ascii="Arial Narrow" w:hAnsi="Arial Narrow"/>
                <w:iCs/>
                <w:color w:val="000000"/>
                <w:sz w:val="22"/>
                <w:szCs w:val="22"/>
              </w:rPr>
              <w:t>Buprenorphine 20</w:t>
            </w:r>
            <w:r w:rsidRPr="00494AC2">
              <w:rPr>
                <w:rFonts w:ascii="Arial Narrow" w:hAnsi="Arial Narrow"/>
                <w:i/>
                <w:iCs/>
                <w:color w:val="000000"/>
                <w:sz w:val="22"/>
                <w:szCs w:val="22"/>
              </w:rPr>
              <w:t xml:space="preserve"> </w:t>
            </w:r>
            <w:r w:rsidR="009F0C45">
              <w:rPr>
                <w:rFonts w:ascii="Arial Narrow" w:hAnsi="Arial Narrow"/>
                <w:iCs/>
                <w:color w:val="000000"/>
                <w:sz w:val="22"/>
                <w:szCs w:val="22"/>
              </w:rPr>
              <w:t>microgram</w:t>
            </w:r>
            <w:r w:rsidRPr="00494AC2">
              <w:rPr>
                <w:rFonts w:ascii="Arial Narrow" w:hAnsi="Arial Narrow"/>
                <w:iCs/>
                <w:color w:val="000000"/>
                <w:sz w:val="22"/>
                <w:szCs w:val="22"/>
              </w:rPr>
              <w:t>/hour</w:t>
            </w:r>
            <w:r>
              <w:rPr>
                <w:rFonts w:ascii="Arial Narrow" w:hAnsi="Arial Narrow"/>
                <w:iCs/>
                <w:color w:val="000000"/>
                <w:sz w:val="22"/>
                <w:szCs w:val="22"/>
              </w:rPr>
              <w:t xml:space="preserve"> patch, 2</w:t>
            </w:r>
          </w:p>
        </w:tc>
        <w:tc>
          <w:tcPr>
            <w:tcW w:w="3544" w:type="dxa"/>
          </w:tcPr>
          <w:p w:rsidR="00494AC2" w:rsidRPr="00263604" w:rsidRDefault="00494AC2" w:rsidP="00DA0BE1">
            <w:pPr>
              <w:rPr>
                <w:rFonts w:ascii="Arial Narrow" w:hAnsi="Arial Narrow"/>
                <w:iCs/>
                <w:color w:val="000000"/>
                <w:sz w:val="22"/>
                <w:szCs w:val="22"/>
              </w:rPr>
            </w:pPr>
            <w:r w:rsidRPr="00263604">
              <w:rPr>
                <w:rFonts w:ascii="Arial Narrow" w:hAnsi="Arial Narrow"/>
                <w:iCs/>
                <w:color w:val="000000"/>
                <w:sz w:val="22"/>
                <w:szCs w:val="22"/>
              </w:rPr>
              <w:t>$</w:t>
            </w:r>
            <w:r w:rsidR="00C84DAD">
              <w:rPr>
                <w:rFonts w:ascii="Arial Narrow" w:hAnsi="Arial Narrow"/>
                <w:iCs/>
                <w:noProof/>
                <w:color w:val="000000"/>
                <w:sz w:val="22"/>
                <w:szCs w:val="22"/>
                <w:highlight w:val="black"/>
              </w:rPr>
              <w:t>'''''''''''''</w:t>
            </w:r>
            <w:r w:rsidRPr="00263604">
              <w:rPr>
                <w:rFonts w:ascii="Arial Narrow" w:hAnsi="Arial Narrow"/>
                <w:iCs/>
                <w:color w:val="000000"/>
                <w:sz w:val="22"/>
                <w:szCs w:val="22"/>
              </w:rPr>
              <w:t xml:space="preserve"> (At February 2014) </w:t>
            </w:r>
          </w:p>
        </w:tc>
      </w:tr>
      <w:tr w:rsidR="00021EA5" w:rsidRPr="00392C3A" w:rsidTr="00DA0BE1">
        <w:tc>
          <w:tcPr>
            <w:tcW w:w="4928" w:type="dxa"/>
          </w:tcPr>
          <w:p w:rsidR="00021EA5" w:rsidRPr="00494AC2" w:rsidRDefault="009F0C45" w:rsidP="00DA0BE1">
            <w:pPr>
              <w:rPr>
                <w:rFonts w:ascii="Arial Narrow" w:hAnsi="Arial Narrow"/>
                <w:i/>
                <w:iCs/>
                <w:color w:val="000000"/>
                <w:sz w:val="22"/>
                <w:szCs w:val="22"/>
              </w:rPr>
            </w:pPr>
            <w:r>
              <w:rPr>
                <w:rFonts w:ascii="Arial Narrow" w:hAnsi="Arial Narrow"/>
                <w:i/>
                <w:iCs/>
                <w:color w:val="000000"/>
                <w:sz w:val="22"/>
                <w:szCs w:val="22"/>
              </w:rPr>
              <w:t>buprenorphine 25 micro</w:t>
            </w:r>
            <w:r w:rsidR="00021EA5" w:rsidRPr="00494AC2">
              <w:rPr>
                <w:rFonts w:ascii="Arial Narrow" w:hAnsi="Arial Narrow"/>
                <w:i/>
                <w:iCs/>
                <w:color w:val="000000"/>
                <w:sz w:val="22"/>
                <w:szCs w:val="22"/>
              </w:rPr>
              <w:t>g</w:t>
            </w:r>
            <w:r>
              <w:rPr>
                <w:rFonts w:ascii="Arial Narrow" w:hAnsi="Arial Narrow"/>
                <w:i/>
                <w:iCs/>
                <w:color w:val="000000"/>
                <w:sz w:val="22"/>
                <w:szCs w:val="22"/>
              </w:rPr>
              <w:t>ram</w:t>
            </w:r>
            <w:r w:rsidR="00021EA5" w:rsidRPr="00494AC2">
              <w:rPr>
                <w:rFonts w:ascii="Arial Narrow" w:hAnsi="Arial Narrow"/>
                <w:i/>
                <w:iCs/>
                <w:color w:val="000000"/>
                <w:sz w:val="22"/>
                <w:szCs w:val="22"/>
              </w:rPr>
              <w:t>/hour patch, 2 proposed price</w:t>
            </w:r>
          </w:p>
        </w:tc>
        <w:tc>
          <w:tcPr>
            <w:tcW w:w="3544" w:type="dxa"/>
          </w:tcPr>
          <w:p w:rsidR="00021EA5" w:rsidRPr="00263604" w:rsidRDefault="00021EA5" w:rsidP="00DA0BE1">
            <w:pPr>
              <w:rPr>
                <w:rFonts w:ascii="Arial Narrow" w:hAnsi="Arial Narrow"/>
                <w:i/>
                <w:iCs/>
                <w:color w:val="000000"/>
                <w:sz w:val="22"/>
                <w:szCs w:val="22"/>
              </w:rPr>
            </w:pPr>
            <w:r w:rsidRPr="00263604">
              <w:rPr>
                <w:rFonts w:ascii="Arial Narrow" w:hAnsi="Arial Narrow"/>
                <w:i/>
                <w:iCs/>
                <w:color w:val="000000"/>
                <w:sz w:val="22"/>
                <w:szCs w:val="22"/>
              </w:rPr>
              <w:t>$</w:t>
            </w:r>
            <w:r w:rsidR="00C84DAD">
              <w:rPr>
                <w:rFonts w:ascii="Arial Narrow" w:hAnsi="Arial Narrow"/>
                <w:i/>
                <w:iCs/>
                <w:noProof/>
                <w:color w:val="000000"/>
                <w:sz w:val="22"/>
                <w:szCs w:val="22"/>
                <w:highlight w:val="black"/>
              </w:rPr>
              <w:t>'''''''''''''''</w:t>
            </w:r>
          </w:p>
        </w:tc>
      </w:tr>
      <w:tr w:rsidR="00021EA5" w:rsidRPr="00392C3A" w:rsidTr="00DA0BE1">
        <w:tc>
          <w:tcPr>
            <w:tcW w:w="4928" w:type="dxa"/>
          </w:tcPr>
          <w:p w:rsidR="00021EA5" w:rsidRPr="00494AC2" w:rsidRDefault="009F0C45" w:rsidP="00DA0BE1">
            <w:pPr>
              <w:rPr>
                <w:rFonts w:ascii="Arial Narrow" w:hAnsi="Arial Narrow"/>
                <w:i/>
                <w:iCs/>
                <w:color w:val="000000"/>
                <w:sz w:val="22"/>
                <w:szCs w:val="22"/>
              </w:rPr>
            </w:pPr>
            <w:r>
              <w:rPr>
                <w:rFonts w:ascii="Arial Narrow" w:hAnsi="Arial Narrow"/>
                <w:i/>
                <w:iCs/>
                <w:color w:val="000000"/>
                <w:sz w:val="22"/>
                <w:szCs w:val="22"/>
              </w:rPr>
              <w:t>buprenorphine 30 micro</w:t>
            </w:r>
            <w:r w:rsidR="00021EA5" w:rsidRPr="00494AC2">
              <w:rPr>
                <w:rFonts w:ascii="Arial Narrow" w:hAnsi="Arial Narrow"/>
                <w:i/>
                <w:iCs/>
                <w:color w:val="000000"/>
                <w:sz w:val="22"/>
                <w:szCs w:val="22"/>
              </w:rPr>
              <w:t>g</w:t>
            </w:r>
            <w:r>
              <w:rPr>
                <w:rFonts w:ascii="Arial Narrow" w:hAnsi="Arial Narrow"/>
                <w:i/>
                <w:iCs/>
                <w:color w:val="000000"/>
                <w:sz w:val="22"/>
                <w:szCs w:val="22"/>
              </w:rPr>
              <w:t>ram</w:t>
            </w:r>
            <w:r w:rsidR="00021EA5" w:rsidRPr="00494AC2">
              <w:rPr>
                <w:rFonts w:ascii="Arial Narrow" w:hAnsi="Arial Narrow"/>
                <w:i/>
                <w:iCs/>
                <w:color w:val="000000"/>
                <w:sz w:val="22"/>
                <w:szCs w:val="22"/>
              </w:rPr>
              <w:t>/hour patch, 2 proposed price</w:t>
            </w:r>
          </w:p>
        </w:tc>
        <w:tc>
          <w:tcPr>
            <w:tcW w:w="3544" w:type="dxa"/>
          </w:tcPr>
          <w:p w:rsidR="00021EA5" w:rsidRPr="00263604" w:rsidRDefault="00021EA5" w:rsidP="00DA0BE1">
            <w:pPr>
              <w:rPr>
                <w:rFonts w:ascii="Arial Narrow" w:hAnsi="Arial Narrow"/>
                <w:i/>
                <w:iCs/>
                <w:color w:val="000000"/>
                <w:sz w:val="22"/>
                <w:szCs w:val="22"/>
              </w:rPr>
            </w:pPr>
            <w:r w:rsidRPr="00263604">
              <w:rPr>
                <w:rFonts w:ascii="Arial Narrow" w:hAnsi="Arial Narrow"/>
                <w:i/>
                <w:iCs/>
                <w:color w:val="000000"/>
                <w:sz w:val="22"/>
                <w:szCs w:val="22"/>
              </w:rPr>
              <w:t>$</w:t>
            </w:r>
            <w:r w:rsidR="00C84DAD">
              <w:rPr>
                <w:rFonts w:ascii="Arial Narrow" w:hAnsi="Arial Narrow"/>
                <w:i/>
                <w:iCs/>
                <w:noProof/>
                <w:color w:val="000000"/>
                <w:sz w:val="22"/>
                <w:szCs w:val="22"/>
                <w:highlight w:val="black"/>
              </w:rPr>
              <w:t>'''''''''''''</w:t>
            </w:r>
          </w:p>
        </w:tc>
      </w:tr>
      <w:tr w:rsidR="00021EA5" w:rsidRPr="00392C3A" w:rsidTr="00DA0BE1">
        <w:tc>
          <w:tcPr>
            <w:tcW w:w="4928" w:type="dxa"/>
          </w:tcPr>
          <w:p w:rsidR="00021EA5" w:rsidRPr="0025395A" w:rsidRDefault="009F0C45" w:rsidP="00DA0BE1">
            <w:pPr>
              <w:rPr>
                <w:rFonts w:ascii="Arial Narrow" w:hAnsi="Arial Narrow"/>
                <w:i/>
                <w:iCs/>
                <w:color w:val="000000"/>
                <w:sz w:val="22"/>
                <w:szCs w:val="22"/>
              </w:rPr>
            </w:pPr>
            <w:r>
              <w:rPr>
                <w:rFonts w:ascii="Arial Narrow" w:hAnsi="Arial Narrow"/>
                <w:iCs/>
                <w:color w:val="000000"/>
                <w:sz w:val="22"/>
                <w:szCs w:val="22"/>
              </w:rPr>
              <w:t>buprenorphine 40 micro</w:t>
            </w:r>
            <w:r w:rsidR="00021EA5" w:rsidRPr="002B735C">
              <w:rPr>
                <w:rFonts w:ascii="Arial Narrow" w:hAnsi="Arial Narrow"/>
                <w:iCs/>
                <w:color w:val="000000"/>
                <w:sz w:val="22"/>
                <w:szCs w:val="22"/>
              </w:rPr>
              <w:t>g</w:t>
            </w:r>
            <w:r>
              <w:rPr>
                <w:rFonts w:ascii="Arial Narrow" w:hAnsi="Arial Narrow"/>
                <w:iCs/>
                <w:color w:val="000000"/>
                <w:sz w:val="22"/>
                <w:szCs w:val="22"/>
              </w:rPr>
              <w:t>ram</w:t>
            </w:r>
            <w:r w:rsidR="00021EA5" w:rsidRPr="002B735C">
              <w:rPr>
                <w:rFonts w:ascii="Arial Narrow" w:hAnsi="Arial Narrow"/>
                <w:iCs/>
                <w:color w:val="000000"/>
                <w:sz w:val="22"/>
                <w:szCs w:val="22"/>
              </w:rPr>
              <w:t>/hour patch, 2</w:t>
            </w:r>
            <w:r w:rsidR="00021EA5">
              <w:rPr>
                <w:rFonts w:ascii="Arial Narrow" w:hAnsi="Arial Narrow"/>
                <w:i/>
                <w:iCs/>
                <w:color w:val="000000"/>
                <w:sz w:val="22"/>
                <w:szCs w:val="22"/>
              </w:rPr>
              <w:t xml:space="preserve"> proposed price</w:t>
            </w:r>
          </w:p>
        </w:tc>
        <w:tc>
          <w:tcPr>
            <w:tcW w:w="3544" w:type="dxa"/>
          </w:tcPr>
          <w:p w:rsidR="00021EA5" w:rsidRPr="00263604" w:rsidRDefault="00021EA5" w:rsidP="00DA0BE1">
            <w:pPr>
              <w:rPr>
                <w:rFonts w:ascii="Arial Narrow" w:hAnsi="Arial Narrow"/>
                <w:iCs/>
                <w:color w:val="000000"/>
                <w:sz w:val="22"/>
                <w:szCs w:val="22"/>
              </w:rPr>
            </w:pPr>
            <w:r w:rsidRPr="00263604">
              <w:rPr>
                <w:rFonts w:ascii="Arial Narrow" w:hAnsi="Arial Narrow"/>
                <w:iCs/>
                <w:color w:val="000000"/>
                <w:sz w:val="22"/>
                <w:szCs w:val="22"/>
              </w:rPr>
              <w:t>$</w:t>
            </w:r>
            <w:r w:rsidR="00C84DAD">
              <w:rPr>
                <w:rFonts w:ascii="Arial Narrow" w:hAnsi="Arial Narrow"/>
                <w:iCs/>
                <w:noProof/>
                <w:color w:val="000000"/>
                <w:sz w:val="22"/>
                <w:szCs w:val="22"/>
                <w:highlight w:val="black"/>
              </w:rPr>
              <w:t>''''''''''''''</w:t>
            </w:r>
          </w:p>
        </w:tc>
      </w:tr>
    </w:tbl>
    <w:p w:rsidR="00993A68" w:rsidRPr="006803D4" w:rsidRDefault="00993A68" w:rsidP="006803D4">
      <w:pPr>
        <w:tabs>
          <w:tab w:val="left" w:pos="855"/>
        </w:tabs>
        <w:jc w:val="both"/>
        <w:rPr>
          <w:rFonts w:ascii="Arial" w:hAnsi="Arial"/>
          <w:color w:val="FF00FF"/>
          <w:sz w:val="22"/>
          <w:szCs w:val="22"/>
        </w:rPr>
      </w:pPr>
    </w:p>
    <w:p w:rsidR="00DA0BE1" w:rsidRDefault="00DA0BE1" w:rsidP="00CB4CE9">
      <w:pPr>
        <w:jc w:val="both"/>
        <w:rPr>
          <w:rFonts w:ascii="Arial" w:hAnsi="Arial"/>
          <w:b/>
          <w:i/>
          <w:sz w:val="22"/>
          <w:szCs w:val="22"/>
        </w:rPr>
      </w:pPr>
    </w:p>
    <w:p w:rsidR="00DA0BE1" w:rsidRDefault="00DA0BE1" w:rsidP="00CB4CE9">
      <w:pPr>
        <w:jc w:val="both"/>
        <w:rPr>
          <w:rFonts w:ascii="Arial" w:hAnsi="Arial"/>
          <w:b/>
          <w:i/>
          <w:sz w:val="22"/>
          <w:szCs w:val="22"/>
        </w:rPr>
      </w:pPr>
    </w:p>
    <w:p w:rsidR="00DA0BE1" w:rsidRDefault="00DA0BE1" w:rsidP="00CB4CE9">
      <w:pPr>
        <w:jc w:val="both"/>
        <w:rPr>
          <w:rFonts w:ascii="Arial" w:hAnsi="Arial"/>
          <w:b/>
          <w:i/>
          <w:sz w:val="22"/>
          <w:szCs w:val="22"/>
        </w:rPr>
      </w:pPr>
    </w:p>
    <w:p w:rsidR="00DA0BE1" w:rsidRDefault="00DA0BE1" w:rsidP="00CB4CE9">
      <w:pPr>
        <w:jc w:val="both"/>
        <w:rPr>
          <w:rFonts w:ascii="Arial" w:hAnsi="Arial"/>
          <w:b/>
          <w:i/>
          <w:sz w:val="22"/>
          <w:szCs w:val="22"/>
        </w:rPr>
      </w:pPr>
    </w:p>
    <w:p w:rsidR="00DA0BE1" w:rsidRDefault="00DA0BE1" w:rsidP="00CB4CE9">
      <w:pPr>
        <w:jc w:val="both"/>
        <w:rPr>
          <w:rFonts w:ascii="Arial" w:hAnsi="Arial"/>
          <w:b/>
          <w:i/>
          <w:sz w:val="22"/>
          <w:szCs w:val="22"/>
        </w:rPr>
      </w:pPr>
    </w:p>
    <w:p w:rsidR="00DA0BE1" w:rsidRDefault="00DA0BE1" w:rsidP="00CB4CE9">
      <w:pPr>
        <w:jc w:val="both"/>
        <w:rPr>
          <w:rFonts w:ascii="Arial" w:hAnsi="Arial"/>
          <w:b/>
          <w:i/>
          <w:sz w:val="22"/>
          <w:szCs w:val="22"/>
        </w:rPr>
      </w:pPr>
    </w:p>
    <w:p w:rsidR="00DA0BE1" w:rsidRDefault="00DA0BE1" w:rsidP="00CB4CE9">
      <w:pPr>
        <w:jc w:val="both"/>
        <w:rPr>
          <w:rFonts w:ascii="Arial" w:hAnsi="Arial"/>
          <w:b/>
          <w:i/>
          <w:sz w:val="22"/>
          <w:szCs w:val="22"/>
        </w:rPr>
      </w:pPr>
    </w:p>
    <w:p w:rsidR="00DA0BE1" w:rsidRDefault="00DA0BE1" w:rsidP="00CB4CE9">
      <w:pPr>
        <w:jc w:val="both"/>
        <w:rPr>
          <w:rFonts w:ascii="Arial" w:hAnsi="Arial"/>
          <w:b/>
          <w:i/>
          <w:sz w:val="22"/>
          <w:szCs w:val="22"/>
        </w:rPr>
      </w:pPr>
    </w:p>
    <w:p w:rsidR="00DA0BE1" w:rsidRDefault="00DA0BE1" w:rsidP="00CB4CE9">
      <w:pPr>
        <w:jc w:val="both"/>
        <w:rPr>
          <w:rFonts w:ascii="Arial" w:hAnsi="Arial"/>
          <w:b/>
          <w:i/>
          <w:sz w:val="22"/>
          <w:szCs w:val="22"/>
        </w:rPr>
      </w:pPr>
    </w:p>
    <w:p w:rsidR="00622DEA" w:rsidRPr="008C644C" w:rsidRDefault="00622DEA" w:rsidP="00CB4CE9">
      <w:pPr>
        <w:jc w:val="both"/>
        <w:rPr>
          <w:rFonts w:ascii="Arial" w:hAnsi="Arial"/>
          <w:color w:val="FF00FF"/>
          <w:sz w:val="22"/>
          <w:szCs w:val="22"/>
        </w:rPr>
      </w:pPr>
      <w:r w:rsidRPr="008C644C">
        <w:rPr>
          <w:rFonts w:ascii="Arial" w:hAnsi="Arial"/>
          <w:b/>
          <w:sz w:val="22"/>
          <w:szCs w:val="22"/>
        </w:rPr>
        <w:t>Estimated PBS usage &amp; financial implications</w:t>
      </w:r>
    </w:p>
    <w:p w:rsidR="00622DEA" w:rsidRPr="00622DEA" w:rsidRDefault="00622DEA" w:rsidP="00622DEA">
      <w:pPr>
        <w:jc w:val="both"/>
        <w:rPr>
          <w:rFonts w:ascii="Arial" w:hAnsi="Arial"/>
          <w:sz w:val="22"/>
          <w:szCs w:val="22"/>
        </w:rPr>
      </w:pPr>
    </w:p>
    <w:p w:rsidR="00622DEA" w:rsidRDefault="00622DEA" w:rsidP="00622DEA">
      <w:pPr>
        <w:pStyle w:val="ListParagraph"/>
        <w:numPr>
          <w:ilvl w:val="1"/>
          <w:numId w:val="25"/>
        </w:numPr>
        <w:jc w:val="both"/>
        <w:rPr>
          <w:rFonts w:ascii="Arial" w:hAnsi="Arial"/>
          <w:sz w:val="22"/>
          <w:szCs w:val="22"/>
        </w:rPr>
      </w:pPr>
      <w:r>
        <w:rPr>
          <w:rFonts w:ascii="Arial" w:hAnsi="Arial"/>
          <w:sz w:val="22"/>
          <w:szCs w:val="22"/>
        </w:rPr>
        <w:t>The li</w:t>
      </w:r>
      <w:r w:rsidR="00A13E4A">
        <w:rPr>
          <w:rFonts w:ascii="Arial" w:hAnsi="Arial"/>
          <w:sz w:val="22"/>
          <w:szCs w:val="22"/>
        </w:rPr>
        <w:t>sting of additional strengths was</w:t>
      </w:r>
      <w:r>
        <w:rPr>
          <w:rFonts w:ascii="Arial" w:hAnsi="Arial"/>
          <w:sz w:val="22"/>
          <w:szCs w:val="22"/>
        </w:rPr>
        <w:t xml:space="preserve"> intended to </w:t>
      </w:r>
      <w:r w:rsidR="003E4EBA">
        <w:rPr>
          <w:rFonts w:ascii="Arial" w:hAnsi="Arial"/>
          <w:sz w:val="22"/>
          <w:szCs w:val="22"/>
        </w:rPr>
        <w:t xml:space="preserve">provide an </w:t>
      </w:r>
      <w:r>
        <w:rPr>
          <w:rFonts w:ascii="Arial" w:hAnsi="Arial"/>
          <w:sz w:val="22"/>
          <w:szCs w:val="22"/>
        </w:rPr>
        <w:t xml:space="preserve">intermediate dosing </w:t>
      </w:r>
      <w:r w:rsidR="003E4EBA">
        <w:rPr>
          <w:rFonts w:ascii="Arial" w:hAnsi="Arial"/>
          <w:sz w:val="22"/>
          <w:szCs w:val="22"/>
        </w:rPr>
        <w:t>option</w:t>
      </w:r>
      <w:r w:rsidR="002B735C">
        <w:rPr>
          <w:rFonts w:ascii="Arial" w:hAnsi="Arial"/>
          <w:sz w:val="22"/>
          <w:szCs w:val="22"/>
        </w:rPr>
        <w:t xml:space="preserve"> </w:t>
      </w:r>
      <w:r>
        <w:rPr>
          <w:rFonts w:ascii="Arial" w:hAnsi="Arial"/>
          <w:sz w:val="22"/>
          <w:szCs w:val="22"/>
        </w:rPr>
        <w:t xml:space="preserve">which otherwise </w:t>
      </w:r>
      <w:r w:rsidR="002B735C">
        <w:rPr>
          <w:rFonts w:ascii="Arial" w:hAnsi="Arial"/>
          <w:sz w:val="22"/>
          <w:szCs w:val="22"/>
        </w:rPr>
        <w:t xml:space="preserve">would have </w:t>
      </w:r>
      <w:r>
        <w:rPr>
          <w:rFonts w:ascii="Arial" w:hAnsi="Arial"/>
          <w:sz w:val="22"/>
          <w:szCs w:val="22"/>
        </w:rPr>
        <w:t xml:space="preserve">been achieved through the combination of different strength patches.  </w:t>
      </w:r>
      <w:r w:rsidR="002B735C">
        <w:rPr>
          <w:rFonts w:ascii="Arial" w:hAnsi="Arial"/>
          <w:sz w:val="22"/>
          <w:szCs w:val="22"/>
        </w:rPr>
        <w:t>As such, the listing of th</w:t>
      </w:r>
      <w:r w:rsidR="00A13E4A">
        <w:rPr>
          <w:rFonts w:ascii="Arial" w:hAnsi="Arial"/>
          <w:sz w:val="22"/>
          <w:szCs w:val="22"/>
        </w:rPr>
        <w:t>e additional strengths wa</w:t>
      </w:r>
      <w:r w:rsidR="002B735C">
        <w:rPr>
          <w:rFonts w:ascii="Arial" w:hAnsi="Arial"/>
          <w:sz w:val="22"/>
          <w:szCs w:val="22"/>
        </w:rPr>
        <w:t>s not expected to affect overall usage.</w:t>
      </w:r>
      <w:r w:rsidR="0046138A">
        <w:rPr>
          <w:rFonts w:ascii="Arial" w:hAnsi="Arial"/>
          <w:sz w:val="22"/>
          <w:szCs w:val="22"/>
        </w:rPr>
        <w:t xml:space="preserve"> </w:t>
      </w:r>
    </w:p>
    <w:p w:rsidR="00622DEA" w:rsidRDefault="00622DEA" w:rsidP="00622DEA">
      <w:pPr>
        <w:pStyle w:val="ListParagraph"/>
        <w:jc w:val="both"/>
        <w:rPr>
          <w:rFonts w:ascii="Arial" w:hAnsi="Arial"/>
          <w:sz w:val="22"/>
          <w:szCs w:val="22"/>
        </w:rPr>
      </w:pPr>
    </w:p>
    <w:p w:rsidR="00BB7EC3" w:rsidRDefault="00CB4CE9" w:rsidP="0046138A">
      <w:pPr>
        <w:pStyle w:val="ListParagraph"/>
        <w:numPr>
          <w:ilvl w:val="1"/>
          <w:numId w:val="25"/>
        </w:numPr>
        <w:jc w:val="both"/>
        <w:rPr>
          <w:rFonts w:ascii="Arial" w:hAnsi="Arial"/>
          <w:sz w:val="22"/>
          <w:szCs w:val="22"/>
        </w:rPr>
      </w:pPr>
      <w:r>
        <w:rPr>
          <w:rFonts w:ascii="Arial" w:hAnsi="Arial"/>
          <w:sz w:val="22"/>
          <w:szCs w:val="22"/>
        </w:rPr>
        <w:t>The submission used</w:t>
      </w:r>
      <w:r w:rsidR="00622DEA">
        <w:rPr>
          <w:rFonts w:ascii="Arial" w:hAnsi="Arial"/>
          <w:sz w:val="22"/>
          <w:szCs w:val="22"/>
        </w:rPr>
        <w:t xml:space="preserve"> a market share approach to estimate the utilisation and cost of the additional strengths</w:t>
      </w:r>
      <w:r w:rsidR="0046138A">
        <w:rPr>
          <w:rFonts w:ascii="Arial" w:hAnsi="Arial"/>
          <w:sz w:val="22"/>
          <w:szCs w:val="22"/>
        </w:rPr>
        <w:t xml:space="preserve"> using a linear extrapolation</w:t>
      </w:r>
      <w:r w:rsidR="00622DEA">
        <w:rPr>
          <w:rFonts w:ascii="Arial" w:hAnsi="Arial"/>
          <w:sz w:val="22"/>
          <w:szCs w:val="22"/>
        </w:rPr>
        <w:t xml:space="preserve"> over a five year time horizon</w:t>
      </w:r>
      <w:r w:rsidR="00CB69BA">
        <w:rPr>
          <w:rFonts w:ascii="Arial" w:hAnsi="Arial"/>
          <w:sz w:val="22"/>
          <w:szCs w:val="22"/>
        </w:rPr>
        <w:t xml:space="preserve">. </w:t>
      </w:r>
    </w:p>
    <w:p w:rsidR="00D9587D" w:rsidRPr="00F736F4" w:rsidRDefault="00D9587D" w:rsidP="00F736F4">
      <w:pPr>
        <w:rPr>
          <w:rFonts w:ascii="Arial" w:hAnsi="Arial"/>
          <w:sz w:val="22"/>
          <w:szCs w:val="22"/>
        </w:rPr>
      </w:pPr>
    </w:p>
    <w:p w:rsidR="00494AC2" w:rsidRPr="00921EEA" w:rsidRDefault="00D9587D" w:rsidP="00494AC2">
      <w:pPr>
        <w:pStyle w:val="ListParagraph"/>
        <w:rPr>
          <w:rFonts w:ascii="Arial Narrow" w:hAnsi="Arial Narrow"/>
          <w:sz w:val="20"/>
          <w:szCs w:val="20"/>
        </w:rPr>
      </w:pPr>
      <w:r w:rsidRPr="00921EEA">
        <w:rPr>
          <w:rFonts w:ascii="Arial Narrow" w:hAnsi="Arial Narrow"/>
          <w:sz w:val="20"/>
          <w:szCs w:val="20"/>
        </w:rPr>
        <w:t>Cost to PBS</w:t>
      </w:r>
    </w:p>
    <w:tbl>
      <w:tblPr>
        <w:tblStyle w:val="TableGrid"/>
        <w:tblW w:w="0" w:type="auto"/>
        <w:tblInd w:w="817" w:type="dxa"/>
        <w:tblLook w:val="04A0" w:firstRow="1" w:lastRow="0" w:firstColumn="1" w:lastColumn="0" w:noHBand="0" w:noVBand="1"/>
        <w:tblCaption w:val="Estimated PBS usage &amp; financial implications"/>
        <w:tblDescription w:val="Year 1 to 5"/>
      </w:tblPr>
      <w:tblGrid>
        <w:gridCol w:w="1418"/>
        <w:gridCol w:w="1353"/>
        <w:gridCol w:w="1413"/>
        <w:gridCol w:w="1413"/>
        <w:gridCol w:w="1414"/>
        <w:gridCol w:w="1414"/>
      </w:tblGrid>
      <w:tr w:rsidR="004240B6" w:rsidTr="00DA0BE1">
        <w:tc>
          <w:tcPr>
            <w:tcW w:w="1418" w:type="dxa"/>
          </w:tcPr>
          <w:p w:rsidR="004240B6" w:rsidRPr="004240B6" w:rsidRDefault="004240B6" w:rsidP="00494AC2">
            <w:pPr>
              <w:pStyle w:val="ListParagraph"/>
              <w:ind w:left="0"/>
              <w:jc w:val="both"/>
              <w:rPr>
                <w:rFonts w:ascii="Arial Narrow" w:hAnsi="Arial Narrow"/>
                <w:sz w:val="20"/>
                <w:szCs w:val="20"/>
              </w:rPr>
            </w:pPr>
          </w:p>
        </w:tc>
        <w:tc>
          <w:tcPr>
            <w:tcW w:w="1353" w:type="dxa"/>
          </w:tcPr>
          <w:p w:rsidR="004240B6" w:rsidRPr="004240B6" w:rsidRDefault="004240B6" w:rsidP="00494AC2">
            <w:pPr>
              <w:pStyle w:val="ListParagraph"/>
              <w:ind w:left="0"/>
              <w:jc w:val="both"/>
              <w:rPr>
                <w:rFonts w:ascii="Arial Narrow" w:hAnsi="Arial Narrow"/>
                <w:b/>
                <w:sz w:val="20"/>
                <w:szCs w:val="20"/>
              </w:rPr>
            </w:pPr>
            <w:r w:rsidRPr="004240B6">
              <w:rPr>
                <w:rFonts w:ascii="Arial Narrow" w:hAnsi="Arial Narrow"/>
                <w:b/>
                <w:sz w:val="20"/>
                <w:szCs w:val="20"/>
              </w:rPr>
              <w:t>Year 1</w:t>
            </w:r>
          </w:p>
        </w:tc>
        <w:tc>
          <w:tcPr>
            <w:tcW w:w="1413" w:type="dxa"/>
          </w:tcPr>
          <w:p w:rsidR="004240B6" w:rsidRPr="004240B6" w:rsidRDefault="004240B6" w:rsidP="00494AC2">
            <w:pPr>
              <w:pStyle w:val="ListParagraph"/>
              <w:ind w:left="0"/>
              <w:jc w:val="both"/>
              <w:rPr>
                <w:rFonts w:ascii="Arial Narrow" w:hAnsi="Arial Narrow"/>
                <w:b/>
                <w:sz w:val="20"/>
                <w:szCs w:val="20"/>
              </w:rPr>
            </w:pPr>
            <w:r w:rsidRPr="004240B6">
              <w:rPr>
                <w:rFonts w:ascii="Arial Narrow" w:hAnsi="Arial Narrow"/>
                <w:b/>
                <w:sz w:val="20"/>
                <w:szCs w:val="20"/>
              </w:rPr>
              <w:t>Year 2</w:t>
            </w:r>
          </w:p>
        </w:tc>
        <w:tc>
          <w:tcPr>
            <w:tcW w:w="1413" w:type="dxa"/>
          </w:tcPr>
          <w:p w:rsidR="004240B6" w:rsidRPr="004240B6" w:rsidRDefault="004240B6" w:rsidP="00494AC2">
            <w:pPr>
              <w:pStyle w:val="ListParagraph"/>
              <w:ind w:left="0"/>
              <w:jc w:val="both"/>
              <w:rPr>
                <w:rFonts w:ascii="Arial Narrow" w:hAnsi="Arial Narrow"/>
                <w:b/>
                <w:sz w:val="20"/>
                <w:szCs w:val="20"/>
              </w:rPr>
            </w:pPr>
            <w:r w:rsidRPr="004240B6">
              <w:rPr>
                <w:rFonts w:ascii="Arial Narrow" w:hAnsi="Arial Narrow"/>
                <w:b/>
                <w:sz w:val="20"/>
                <w:szCs w:val="20"/>
              </w:rPr>
              <w:t xml:space="preserve">Year 3 </w:t>
            </w:r>
          </w:p>
        </w:tc>
        <w:tc>
          <w:tcPr>
            <w:tcW w:w="1414" w:type="dxa"/>
          </w:tcPr>
          <w:p w:rsidR="004240B6" w:rsidRPr="004240B6" w:rsidRDefault="004240B6" w:rsidP="00494AC2">
            <w:pPr>
              <w:pStyle w:val="ListParagraph"/>
              <w:ind w:left="0"/>
              <w:jc w:val="both"/>
              <w:rPr>
                <w:rFonts w:ascii="Arial Narrow" w:hAnsi="Arial Narrow"/>
                <w:b/>
                <w:sz w:val="20"/>
                <w:szCs w:val="20"/>
              </w:rPr>
            </w:pPr>
            <w:r w:rsidRPr="004240B6">
              <w:rPr>
                <w:rFonts w:ascii="Arial Narrow" w:hAnsi="Arial Narrow"/>
                <w:b/>
                <w:sz w:val="20"/>
                <w:szCs w:val="20"/>
              </w:rPr>
              <w:t xml:space="preserve">Year 4 </w:t>
            </w:r>
          </w:p>
        </w:tc>
        <w:tc>
          <w:tcPr>
            <w:tcW w:w="1414" w:type="dxa"/>
          </w:tcPr>
          <w:p w:rsidR="004240B6" w:rsidRPr="004240B6" w:rsidRDefault="004240B6" w:rsidP="00494AC2">
            <w:pPr>
              <w:pStyle w:val="ListParagraph"/>
              <w:ind w:left="0"/>
              <w:jc w:val="both"/>
              <w:rPr>
                <w:rFonts w:ascii="Arial Narrow" w:hAnsi="Arial Narrow"/>
                <w:b/>
                <w:sz w:val="20"/>
                <w:szCs w:val="20"/>
              </w:rPr>
            </w:pPr>
            <w:r w:rsidRPr="004240B6">
              <w:rPr>
                <w:rFonts w:ascii="Arial Narrow" w:hAnsi="Arial Narrow"/>
                <w:b/>
                <w:sz w:val="20"/>
                <w:szCs w:val="20"/>
              </w:rPr>
              <w:t>Year 5</w:t>
            </w:r>
          </w:p>
        </w:tc>
      </w:tr>
      <w:tr w:rsidR="004240B6" w:rsidTr="00DA0BE1">
        <w:tc>
          <w:tcPr>
            <w:tcW w:w="1418" w:type="dxa"/>
          </w:tcPr>
          <w:p w:rsidR="004240B6" w:rsidRPr="004240B6" w:rsidRDefault="004240B6" w:rsidP="004240B6">
            <w:pPr>
              <w:pStyle w:val="ListParagraph"/>
              <w:ind w:left="0"/>
              <w:jc w:val="both"/>
              <w:rPr>
                <w:rFonts w:ascii="Arial Narrow" w:hAnsi="Arial Narrow"/>
                <w:sz w:val="20"/>
                <w:szCs w:val="20"/>
              </w:rPr>
            </w:pPr>
            <w:r>
              <w:rPr>
                <w:rFonts w:ascii="Arial Narrow" w:hAnsi="Arial Narrow"/>
                <w:sz w:val="20"/>
                <w:szCs w:val="20"/>
              </w:rPr>
              <w:t>Volume (PBS Services)</w:t>
            </w:r>
            <w:r w:rsidR="00D9587D">
              <w:rPr>
                <w:rFonts w:ascii="Arial Narrow" w:hAnsi="Arial Narrow"/>
                <w:sz w:val="20"/>
                <w:szCs w:val="20"/>
              </w:rPr>
              <w:t xml:space="preserve"> – without new presentations</w:t>
            </w:r>
          </w:p>
        </w:tc>
        <w:tc>
          <w:tcPr>
            <w:tcW w:w="1353" w:type="dxa"/>
          </w:tcPr>
          <w:p w:rsidR="004240B6" w:rsidRPr="00921EEA" w:rsidRDefault="00C84DAD" w:rsidP="00494AC2">
            <w:pPr>
              <w:pStyle w:val="ListParagraph"/>
              <w:ind w:left="0"/>
              <w:jc w:val="both"/>
              <w:rPr>
                <w:rFonts w:ascii="Arial Narrow" w:hAnsi="Arial Narrow"/>
                <w:sz w:val="20"/>
                <w:szCs w:val="20"/>
              </w:rPr>
            </w:pPr>
            <w:r>
              <w:rPr>
                <w:rFonts w:ascii="Arial Narrow" w:hAnsi="Arial Narrow"/>
                <w:noProof/>
                <w:color w:val="000000"/>
                <w:sz w:val="20"/>
                <w:szCs w:val="20"/>
                <w:highlight w:val="black"/>
              </w:rPr>
              <w:t>'''''''''''''''''''''''</w:t>
            </w:r>
            <w:r w:rsidR="00E06DD9">
              <w:rPr>
                <w:rFonts w:ascii="Arial Narrow" w:hAnsi="Arial Narrow"/>
                <w:sz w:val="20"/>
                <w:szCs w:val="20"/>
              </w:rPr>
              <w:t xml:space="preserve"> Rx</w:t>
            </w:r>
          </w:p>
        </w:tc>
        <w:tc>
          <w:tcPr>
            <w:tcW w:w="1413" w:type="dxa"/>
          </w:tcPr>
          <w:p w:rsidR="004240B6" w:rsidRPr="00E06DD9" w:rsidRDefault="00C84DAD" w:rsidP="00494AC2">
            <w:pPr>
              <w:pStyle w:val="ListParagraph"/>
              <w:ind w:left="0"/>
              <w:jc w:val="both"/>
              <w:rPr>
                <w:rFonts w:ascii="Arial Narrow" w:hAnsi="Arial Narrow"/>
                <w:sz w:val="20"/>
                <w:szCs w:val="20"/>
              </w:rPr>
            </w:pPr>
            <w:r>
              <w:rPr>
                <w:rFonts w:ascii="Arial Narrow" w:hAnsi="Arial Narrow"/>
                <w:noProof/>
                <w:color w:val="000000"/>
                <w:sz w:val="20"/>
                <w:szCs w:val="20"/>
                <w:highlight w:val="black"/>
              </w:rPr>
              <w:t>'''''''''''''''''''''''''</w:t>
            </w:r>
            <w:r w:rsidR="00E06DD9" w:rsidRPr="00E06DD9">
              <w:rPr>
                <w:rFonts w:ascii="Arial Narrow" w:hAnsi="Arial Narrow"/>
                <w:sz w:val="20"/>
                <w:szCs w:val="20"/>
              </w:rPr>
              <w:t xml:space="preserve"> Rx</w:t>
            </w:r>
          </w:p>
        </w:tc>
        <w:tc>
          <w:tcPr>
            <w:tcW w:w="1413" w:type="dxa"/>
          </w:tcPr>
          <w:p w:rsidR="004240B6" w:rsidRPr="00E06DD9" w:rsidRDefault="00C84DAD" w:rsidP="00494AC2">
            <w:pPr>
              <w:pStyle w:val="ListParagraph"/>
              <w:ind w:left="0"/>
              <w:jc w:val="both"/>
              <w:rPr>
                <w:rFonts w:ascii="Arial Narrow" w:hAnsi="Arial Narrow"/>
                <w:sz w:val="20"/>
                <w:szCs w:val="20"/>
              </w:rPr>
            </w:pPr>
            <w:r>
              <w:rPr>
                <w:rFonts w:ascii="Arial Narrow" w:hAnsi="Arial Narrow"/>
                <w:noProof/>
                <w:color w:val="000000"/>
                <w:sz w:val="20"/>
                <w:szCs w:val="20"/>
                <w:highlight w:val="black"/>
              </w:rPr>
              <w:t>''''''''''''''''''''''</w:t>
            </w:r>
            <w:r w:rsidR="00E06DD9" w:rsidRPr="00E06DD9">
              <w:rPr>
                <w:rFonts w:ascii="Arial Narrow" w:hAnsi="Arial Narrow"/>
                <w:sz w:val="20"/>
                <w:szCs w:val="20"/>
              </w:rPr>
              <w:t xml:space="preserve"> Rx</w:t>
            </w:r>
          </w:p>
        </w:tc>
        <w:tc>
          <w:tcPr>
            <w:tcW w:w="1414" w:type="dxa"/>
          </w:tcPr>
          <w:p w:rsidR="004240B6" w:rsidRPr="00E06DD9" w:rsidRDefault="00C84DAD" w:rsidP="00494AC2">
            <w:pPr>
              <w:pStyle w:val="ListParagraph"/>
              <w:ind w:left="0"/>
              <w:jc w:val="both"/>
              <w:rPr>
                <w:rFonts w:ascii="Arial Narrow" w:hAnsi="Arial Narrow"/>
                <w:sz w:val="20"/>
                <w:szCs w:val="20"/>
              </w:rPr>
            </w:pPr>
            <w:r>
              <w:rPr>
                <w:rFonts w:ascii="Arial Narrow" w:hAnsi="Arial Narrow"/>
                <w:noProof/>
                <w:color w:val="000000"/>
                <w:sz w:val="20"/>
                <w:szCs w:val="20"/>
                <w:highlight w:val="black"/>
              </w:rPr>
              <w:t>''''''''''''''''''''''''</w:t>
            </w:r>
            <w:r w:rsidR="00E06DD9" w:rsidRPr="00E06DD9">
              <w:rPr>
                <w:rFonts w:ascii="Arial Narrow" w:hAnsi="Arial Narrow"/>
                <w:sz w:val="20"/>
                <w:szCs w:val="20"/>
              </w:rPr>
              <w:t xml:space="preserve"> Rx</w:t>
            </w:r>
          </w:p>
        </w:tc>
        <w:tc>
          <w:tcPr>
            <w:tcW w:w="1414" w:type="dxa"/>
          </w:tcPr>
          <w:p w:rsidR="004240B6" w:rsidRPr="00E06DD9" w:rsidRDefault="00C84DAD" w:rsidP="00494AC2">
            <w:pPr>
              <w:pStyle w:val="ListParagraph"/>
              <w:ind w:left="0"/>
              <w:jc w:val="both"/>
              <w:rPr>
                <w:rFonts w:ascii="Arial Narrow" w:hAnsi="Arial Narrow"/>
                <w:sz w:val="20"/>
                <w:szCs w:val="20"/>
              </w:rPr>
            </w:pPr>
            <w:r>
              <w:rPr>
                <w:rFonts w:ascii="Arial Narrow" w:hAnsi="Arial Narrow"/>
                <w:noProof/>
                <w:color w:val="000000"/>
                <w:sz w:val="20"/>
                <w:szCs w:val="20"/>
                <w:highlight w:val="black"/>
              </w:rPr>
              <w:t>'''''''''''''''''''''''</w:t>
            </w:r>
            <w:r w:rsidR="00E06DD9" w:rsidRPr="00E06DD9">
              <w:rPr>
                <w:rFonts w:ascii="Arial Narrow" w:hAnsi="Arial Narrow"/>
                <w:sz w:val="20"/>
                <w:szCs w:val="20"/>
              </w:rPr>
              <w:t xml:space="preserve"> Rx</w:t>
            </w:r>
          </w:p>
        </w:tc>
      </w:tr>
      <w:tr w:rsidR="004240B6" w:rsidTr="00DA0BE1">
        <w:tc>
          <w:tcPr>
            <w:tcW w:w="1418" w:type="dxa"/>
          </w:tcPr>
          <w:p w:rsidR="004240B6" w:rsidRPr="004240B6" w:rsidRDefault="00D9587D" w:rsidP="00494AC2">
            <w:pPr>
              <w:pStyle w:val="ListParagraph"/>
              <w:ind w:left="0"/>
              <w:jc w:val="both"/>
              <w:rPr>
                <w:rFonts w:ascii="Arial Narrow" w:hAnsi="Arial Narrow"/>
                <w:sz w:val="20"/>
                <w:szCs w:val="20"/>
              </w:rPr>
            </w:pPr>
            <w:r>
              <w:rPr>
                <w:rFonts w:ascii="Arial Narrow" w:hAnsi="Arial Narrow"/>
                <w:sz w:val="20"/>
                <w:szCs w:val="20"/>
              </w:rPr>
              <w:t>Volume (PBS Services) – with new presentation</w:t>
            </w:r>
          </w:p>
        </w:tc>
        <w:tc>
          <w:tcPr>
            <w:tcW w:w="1353" w:type="dxa"/>
          </w:tcPr>
          <w:p w:rsidR="004240B6" w:rsidRPr="00967E7E" w:rsidRDefault="00C84DAD" w:rsidP="00494AC2">
            <w:pPr>
              <w:pStyle w:val="ListParagraph"/>
              <w:ind w:left="0"/>
              <w:jc w:val="both"/>
              <w:rPr>
                <w:rFonts w:ascii="Arial Narrow" w:hAnsi="Arial Narrow"/>
                <w:sz w:val="20"/>
                <w:szCs w:val="20"/>
              </w:rPr>
            </w:pPr>
            <w:r>
              <w:rPr>
                <w:rFonts w:ascii="Arial Narrow" w:hAnsi="Arial Narrow"/>
                <w:noProof/>
                <w:color w:val="000000"/>
                <w:sz w:val="20"/>
                <w:szCs w:val="20"/>
                <w:highlight w:val="black"/>
              </w:rPr>
              <w:t>'''''''''''''''''''''''''</w:t>
            </w:r>
            <w:r w:rsidR="00E06DD9" w:rsidRPr="00967E7E">
              <w:rPr>
                <w:rFonts w:ascii="Arial Narrow" w:hAnsi="Arial Narrow"/>
                <w:sz w:val="20"/>
                <w:szCs w:val="20"/>
              </w:rPr>
              <w:t xml:space="preserve"> Rx</w:t>
            </w:r>
          </w:p>
        </w:tc>
        <w:tc>
          <w:tcPr>
            <w:tcW w:w="1413" w:type="dxa"/>
          </w:tcPr>
          <w:p w:rsidR="004240B6" w:rsidRPr="00C84DAD" w:rsidRDefault="00C84DAD" w:rsidP="00494AC2">
            <w:pPr>
              <w:pStyle w:val="ListParagraph"/>
              <w:ind w:left="0"/>
              <w:jc w:val="both"/>
              <w:rPr>
                <w:rFonts w:ascii="Arial Narrow" w:hAnsi="Arial Narrow"/>
                <w:sz w:val="20"/>
                <w:szCs w:val="20"/>
                <w:highlight w:val="black"/>
              </w:rPr>
            </w:pPr>
            <w:r>
              <w:rPr>
                <w:rFonts w:ascii="Arial Narrow" w:hAnsi="Arial Narrow"/>
                <w:noProof/>
                <w:color w:val="000000"/>
                <w:sz w:val="20"/>
                <w:szCs w:val="20"/>
                <w:highlight w:val="black"/>
              </w:rPr>
              <w:t>'''''''''''''''''''''''</w:t>
            </w:r>
          </w:p>
        </w:tc>
        <w:tc>
          <w:tcPr>
            <w:tcW w:w="1413" w:type="dxa"/>
          </w:tcPr>
          <w:p w:rsidR="004240B6" w:rsidRPr="00967E7E" w:rsidRDefault="00C84DAD" w:rsidP="00494AC2">
            <w:pPr>
              <w:pStyle w:val="ListParagraph"/>
              <w:ind w:left="0"/>
              <w:jc w:val="both"/>
              <w:rPr>
                <w:rFonts w:ascii="Arial Narrow" w:hAnsi="Arial Narrow"/>
                <w:sz w:val="20"/>
                <w:szCs w:val="20"/>
              </w:rPr>
            </w:pPr>
            <w:r>
              <w:rPr>
                <w:rFonts w:ascii="Arial Narrow" w:hAnsi="Arial Narrow"/>
                <w:noProof/>
                <w:color w:val="000000"/>
                <w:sz w:val="20"/>
                <w:szCs w:val="20"/>
                <w:highlight w:val="black"/>
              </w:rPr>
              <w:t>'''''''''''''''''''''''''</w:t>
            </w:r>
            <w:r w:rsidR="00142266" w:rsidRPr="00967E7E">
              <w:rPr>
                <w:rFonts w:ascii="Arial Narrow" w:hAnsi="Arial Narrow"/>
                <w:sz w:val="20"/>
                <w:szCs w:val="20"/>
              </w:rPr>
              <w:t xml:space="preserve"> Rx</w:t>
            </w:r>
          </w:p>
        </w:tc>
        <w:tc>
          <w:tcPr>
            <w:tcW w:w="1414" w:type="dxa"/>
          </w:tcPr>
          <w:p w:rsidR="004240B6" w:rsidRPr="00967E7E" w:rsidRDefault="00C84DAD" w:rsidP="00494AC2">
            <w:pPr>
              <w:pStyle w:val="ListParagraph"/>
              <w:ind w:left="0"/>
              <w:jc w:val="both"/>
              <w:rPr>
                <w:rFonts w:ascii="Arial Narrow" w:hAnsi="Arial Narrow"/>
                <w:sz w:val="20"/>
                <w:szCs w:val="20"/>
              </w:rPr>
            </w:pPr>
            <w:r>
              <w:rPr>
                <w:rFonts w:ascii="Arial Narrow" w:hAnsi="Arial Narrow"/>
                <w:noProof/>
                <w:color w:val="000000"/>
                <w:sz w:val="20"/>
                <w:szCs w:val="20"/>
                <w:highlight w:val="black"/>
              </w:rPr>
              <w:t>''''''''''''''''''''''</w:t>
            </w:r>
            <w:r w:rsidR="00967E7E" w:rsidRPr="00967E7E">
              <w:rPr>
                <w:rFonts w:ascii="Arial Narrow" w:hAnsi="Arial Narrow"/>
                <w:sz w:val="20"/>
                <w:szCs w:val="20"/>
              </w:rPr>
              <w:t xml:space="preserve"> Rx</w:t>
            </w:r>
          </w:p>
        </w:tc>
        <w:tc>
          <w:tcPr>
            <w:tcW w:w="1414" w:type="dxa"/>
          </w:tcPr>
          <w:p w:rsidR="004240B6" w:rsidRPr="00967E7E" w:rsidRDefault="00C84DAD" w:rsidP="00494AC2">
            <w:pPr>
              <w:pStyle w:val="ListParagraph"/>
              <w:ind w:left="0"/>
              <w:jc w:val="both"/>
              <w:rPr>
                <w:rFonts w:ascii="Arial Narrow" w:hAnsi="Arial Narrow"/>
                <w:sz w:val="20"/>
                <w:szCs w:val="20"/>
              </w:rPr>
            </w:pPr>
            <w:r>
              <w:rPr>
                <w:rFonts w:ascii="Arial Narrow" w:hAnsi="Arial Narrow"/>
                <w:noProof/>
                <w:color w:val="000000"/>
                <w:sz w:val="20"/>
                <w:szCs w:val="20"/>
                <w:highlight w:val="black"/>
              </w:rPr>
              <w:t>''''''''''''''''''''''''''</w:t>
            </w:r>
            <w:r w:rsidR="00967E7E" w:rsidRPr="00967E7E">
              <w:rPr>
                <w:rFonts w:ascii="Arial Narrow" w:hAnsi="Arial Narrow"/>
                <w:sz w:val="20"/>
                <w:szCs w:val="20"/>
              </w:rPr>
              <w:t xml:space="preserve"> Rx</w:t>
            </w:r>
          </w:p>
        </w:tc>
      </w:tr>
      <w:tr w:rsidR="00D9587D" w:rsidTr="00DA0BE1">
        <w:tc>
          <w:tcPr>
            <w:tcW w:w="1418" w:type="dxa"/>
            <w:shd w:val="clear" w:color="auto" w:fill="D9D9D9" w:themeFill="background1" w:themeFillShade="D9"/>
          </w:tcPr>
          <w:p w:rsidR="00D9587D" w:rsidRPr="00B9616D" w:rsidRDefault="00D9587D" w:rsidP="00494AC2">
            <w:pPr>
              <w:pStyle w:val="ListParagraph"/>
              <w:ind w:left="0"/>
              <w:jc w:val="both"/>
              <w:rPr>
                <w:rFonts w:ascii="Arial Narrow" w:hAnsi="Arial Narrow"/>
                <w:b/>
                <w:sz w:val="20"/>
                <w:szCs w:val="20"/>
              </w:rPr>
            </w:pPr>
            <w:r w:rsidRPr="00B9616D">
              <w:rPr>
                <w:rFonts w:ascii="Arial Narrow" w:hAnsi="Arial Narrow"/>
                <w:b/>
                <w:sz w:val="20"/>
                <w:szCs w:val="20"/>
              </w:rPr>
              <w:t>Net volume</w:t>
            </w:r>
          </w:p>
        </w:tc>
        <w:tc>
          <w:tcPr>
            <w:tcW w:w="1353" w:type="dxa"/>
            <w:shd w:val="clear" w:color="auto" w:fill="D9D9D9" w:themeFill="background1" w:themeFillShade="D9"/>
          </w:tcPr>
          <w:p w:rsidR="00D9587D" w:rsidRPr="004240B6" w:rsidRDefault="00C84DAD" w:rsidP="00494AC2">
            <w:pPr>
              <w:pStyle w:val="ListParagraph"/>
              <w:ind w:left="0"/>
              <w:jc w:val="both"/>
              <w:rPr>
                <w:rFonts w:ascii="Arial Narrow" w:hAnsi="Arial Narrow"/>
                <w:b/>
                <w:sz w:val="20"/>
                <w:szCs w:val="20"/>
              </w:rPr>
            </w:pPr>
            <w:r>
              <w:rPr>
                <w:rFonts w:ascii="Arial Narrow" w:hAnsi="Arial Narrow"/>
                <w:b/>
                <w:noProof/>
                <w:color w:val="000000"/>
                <w:sz w:val="20"/>
                <w:szCs w:val="20"/>
                <w:highlight w:val="black"/>
              </w:rPr>
              <w:t>'''''''''''''''''</w:t>
            </w:r>
            <w:r w:rsidR="00142266">
              <w:rPr>
                <w:rFonts w:ascii="Arial Narrow" w:hAnsi="Arial Narrow"/>
                <w:b/>
                <w:sz w:val="20"/>
                <w:szCs w:val="20"/>
              </w:rPr>
              <w:t xml:space="preserve"> Rx</w:t>
            </w:r>
          </w:p>
        </w:tc>
        <w:tc>
          <w:tcPr>
            <w:tcW w:w="1413" w:type="dxa"/>
            <w:shd w:val="clear" w:color="auto" w:fill="D9D9D9" w:themeFill="background1" w:themeFillShade="D9"/>
          </w:tcPr>
          <w:p w:rsidR="00D9587D" w:rsidRPr="004240B6" w:rsidRDefault="00C84DAD" w:rsidP="00494AC2">
            <w:pPr>
              <w:pStyle w:val="ListParagraph"/>
              <w:ind w:left="0"/>
              <w:jc w:val="both"/>
              <w:rPr>
                <w:rFonts w:ascii="Arial Narrow" w:hAnsi="Arial Narrow"/>
                <w:b/>
                <w:sz w:val="20"/>
                <w:szCs w:val="20"/>
              </w:rPr>
            </w:pPr>
            <w:r>
              <w:rPr>
                <w:rFonts w:ascii="Arial Narrow" w:hAnsi="Arial Narrow"/>
                <w:b/>
                <w:noProof/>
                <w:color w:val="000000"/>
                <w:sz w:val="20"/>
                <w:szCs w:val="20"/>
                <w:highlight w:val="black"/>
              </w:rPr>
              <w:t>''''''''''''''''</w:t>
            </w:r>
            <w:r w:rsidR="00142266">
              <w:rPr>
                <w:rFonts w:ascii="Arial Narrow" w:hAnsi="Arial Narrow"/>
                <w:b/>
                <w:sz w:val="20"/>
                <w:szCs w:val="20"/>
              </w:rPr>
              <w:t xml:space="preserve"> Rx</w:t>
            </w:r>
          </w:p>
        </w:tc>
        <w:tc>
          <w:tcPr>
            <w:tcW w:w="1413" w:type="dxa"/>
            <w:shd w:val="clear" w:color="auto" w:fill="D9D9D9" w:themeFill="background1" w:themeFillShade="D9"/>
          </w:tcPr>
          <w:p w:rsidR="00D9587D" w:rsidRPr="004240B6" w:rsidRDefault="00C84DAD" w:rsidP="00494AC2">
            <w:pPr>
              <w:pStyle w:val="ListParagraph"/>
              <w:ind w:left="0"/>
              <w:jc w:val="both"/>
              <w:rPr>
                <w:rFonts w:ascii="Arial Narrow" w:hAnsi="Arial Narrow"/>
                <w:b/>
                <w:sz w:val="20"/>
                <w:szCs w:val="20"/>
              </w:rPr>
            </w:pPr>
            <w:r>
              <w:rPr>
                <w:rFonts w:ascii="Arial Narrow" w:hAnsi="Arial Narrow"/>
                <w:b/>
                <w:noProof/>
                <w:color w:val="000000"/>
                <w:sz w:val="20"/>
                <w:szCs w:val="20"/>
                <w:highlight w:val="black"/>
              </w:rPr>
              <w:t>'''''''''''''''</w:t>
            </w:r>
            <w:r w:rsidR="00967E7E">
              <w:rPr>
                <w:rFonts w:ascii="Arial Narrow" w:hAnsi="Arial Narrow"/>
                <w:b/>
                <w:sz w:val="20"/>
                <w:szCs w:val="20"/>
              </w:rPr>
              <w:t xml:space="preserve"> Rx</w:t>
            </w:r>
          </w:p>
        </w:tc>
        <w:tc>
          <w:tcPr>
            <w:tcW w:w="1414" w:type="dxa"/>
            <w:shd w:val="clear" w:color="auto" w:fill="D9D9D9" w:themeFill="background1" w:themeFillShade="D9"/>
          </w:tcPr>
          <w:p w:rsidR="00D9587D" w:rsidRPr="004240B6" w:rsidRDefault="00C84DAD" w:rsidP="00494AC2">
            <w:pPr>
              <w:pStyle w:val="ListParagraph"/>
              <w:ind w:left="0"/>
              <w:jc w:val="both"/>
              <w:rPr>
                <w:rFonts w:ascii="Arial Narrow" w:hAnsi="Arial Narrow"/>
                <w:b/>
                <w:sz w:val="20"/>
                <w:szCs w:val="20"/>
              </w:rPr>
            </w:pPr>
            <w:r>
              <w:rPr>
                <w:rFonts w:ascii="Arial Narrow" w:hAnsi="Arial Narrow"/>
                <w:b/>
                <w:noProof/>
                <w:color w:val="000000"/>
                <w:sz w:val="20"/>
                <w:szCs w:val="20"/>
                <w:highlight w:val="black"/>
              </w:rPr>
              <w:t>'''''''''''''''''</w:t>
            </w:r>
            <w:r w:rsidR="00967E7E">
              <w:rPr>
                <w:rFonts w:ascii="Arial Narrow" w:hAnsi="Arial Narrow"/>
                <w:b/>
                <w:sz w:val="20"/>
                <w:szCs w:val="20"/>
              </w:rPr>
              <w:t xml:space="preserve"> Rx</w:t>
            </w:r>
          </w:p>
        </w:tc>
        <w:tc>
          <w:tcPr>
            <w:tcW w:w="1414" w:type="dxa"/>
            <w:shd w:val="clear" w:color="auto" w:fill="D9D9D9" w:themeFill="background1" w:themeFillShade="D9"/>
          </w:tcPr>
          <w:p w:rsidR="00D9587D" w:rsidRPr="004240B6" w:rsidRDefault="00C84DAD" w:rsidP="00494AC2">
            <w:pPr>
              <w:pStyle w:val="ListParagraph"/>
              <w:ind w:left="0"/>
              <w:jc w:val="both"/>
              <w:rPr>
                <w:rFonts w:ascii="Arial Narrow" w:hAnsi="Arial Narrow"/>
                <w:b/>
                <w:sz w:val="20"/>
                <w:szCs w:val="20"/>
              </w:rPr>
            </w:pPr>
            <w:r>
              <w:rPr>
                <w:rFonts w:ascii="Arial Narrow" w:hAnsi="Arial Narrow"/>
                <w:b/>
                <w:noProof/>
                <w:color w:val="000000"/>
                <w:sz w:val="20"/>
                <w:szCs w:val="20"/>
                <w:highlight w:val="black"/>
              </w:rPr>
              <w:t>''''''''''''''''''</w:t>
            </w:r>
            <w:r w:rsidR="00967E7E">
              <w:rPr>
                <w:rFonts w:ascii="Arial Narrow" w:hAnsi="Arial Narrow"/>
                <w:b/>
                <w:sz w:val="20"/>
                <w:szCs w:val="20"/>
              </w:rPr>
              <w:t xml:space="preserve"> Rx</w:t>
            </w:r>
          </w:p>
        </w:tc>
      </w:tr>
      <w:tr w:rsidR="00D9587D" w:rsidTr="00DA0BE1">
        <w:tc>
          <w:tcPr>
            <w:tcW w:w="1418" w:type="dxa"/>
          </w:tcPr>
          <w:p w:rsidR="00D9587D" w:rsidRPr="00263604" w:rsidRDefault="00D9587D" w:rsidP="00494AC2">
            <w:pPr>
              <w:pStyle w:val="ListParagraph"/>
              <w:ind w:left="0"/>
              <w:jc w:val="both"/>
              <w:rPr>
                <w:rFonts w:ascii="Arial Narrow" w:hAnsi="Arial Narrow"/>
                <w:sz w:val="20"/>
                <w:szCs w:val="20"/>
              </w:rPr>
            </w:pPr>
            <w:r w:rsidRPr="00263604">
              <w:rPr>
                <w:rFonts w:ascii="Arial Narrow" w:hAnsi="Arial Narrow"/>
                <w:sz w:val="20"/>
                <w:szCs w:val="20"/>
              </w:rPr>
              <w:t>Cost – without new presentations</w:t>
            </w:r>
          </w:p>
        </w:tc>
        <w:tc>
          <w:tcPr>
            <w:tcW w:w="1353" w:type="dxa"/>
          </w:tcPr>
          <w:p w:rsidR="00D9587D" w:rsidRPr="00263604" w:rsidRDefault="00BB720E" w:rsidP="00494AC2">
            <w:pPr>
              <w:pStyle w:val="ListParagraph"/>
              <w:ind w:left="0"/>
              <w:jc w:val="both"/>
              <w:rPr>
                <w:rFonts w:ascii="Arial Narrow" w:hAnsi="Arial Narrow"/>
                <w:sz w:val="20"/>
                <w:szCs w:val="20"/>
              </w:rPr>
            </w:pPr>
            <w:r w:rsidRPr="00263604">
              <w:rPr>
                <w:rFonts w:ascii="Arial Narrow" w:hAnsi="Arial Narrow"/>
                <w:sz w:val="20"/>
                <w:szCs w:val="20"/>
              </w:rPr>
              <w:t>$</w:t>
            </w:r>
            <w:r w:rsidR="00C84DAD">
              <w:rPr>
                <w:rFonts w:ascii="Arial Narrow" w:hAnsi="Arial Narrow"/>
                <w:noProof/>
                <w:color w:val="000000"/>
                <w:sz w:val="20"/>
                <w:szCs w:val="20"/>
                <w:highlight w:val="black"/>
              </w:rPr>
              <w:t>''''''''''''''''''''''''''</w:t>
            </w:r>
          </w:p>
        </w:tc>
        <w:tc>
          <w:tcPr>
            <w:tcW w:w="1413" w:type="dxa"/>
          </w:tcPr>
          <w:p w:rsidR="00D9587D" w:rsidRPr="00263604" w:rsidRDefault="000A5C93" w:rsidP="00494AC2">
            <w:pPr>
              <w:pStyle w:val="ListParagraph"/>
              <w:ind w:left="0"/>
              <w:jc w:val="both"/>
              <w:rPr>
                <w:rFonts w:ascii="Arial Narrow" w:hAnsi="Arial Narrow"/>
                <w:sz w:val="20"/>
                <w:szCs w:val="20"/>
              </w:rPr>
            </w:pPr>
            <w:r w:rsidRPr="00263604">
              <w:rPr>
                <w:rFonts w:ascii="Arial Narrow" w:hAnsi="Arial Narrow"/>
                <w:sz w:val="20"/>
                <w:szCs w:val="20"/>
              </w:rPr>
              <w:t>$</w:t>
            </w:r>
            <w:r w:rsidR="00C84DAD">
              <w:rPr>
                <w:rFonts w:ascii="Arial Narrow" w:hAnsi="Arial Narrow"/>
                <w:noProof/>
                <w:color w:val="000000"/>
                <w:sz w:val="20"/>
                <w:szCs w:val="20"/>
                <w:highlight w:val="black"/>
              </w:rPr>
              <w:t>''''''''''''''''''''''''''''</w:t>
            </w:r>
          </w:p>
        </w:tc>
        <w:tc>
          <w:tcPr>
            <w:tcW w:w="1413" w:type="dxa"/>
          </w:tcPr>
          <w:p w:rsidR="00D9587D" w:rsidRPr="00263604" w:rsidRDefault="000A5C93" w:rsidP="00494AC2">
            <w:pPr>
              <w:pStyle w:val="ListParagraph"/>
              <w:ind w:left="0"/>
              <w:jc w:val="both"/>
              <w:rPr>
                <w:rFonts w:ascii="Arial Narrow" w:hAnsi="Arial Narrow"/>
                <w:sz w:val="20"/>
                <w:szCs w:val="20"/>
              </w:rPr>
            </w:pPr>
            <w:r w:rsidRPr="00263604">
              <w:rPr>
                <w:rFonts w:ascii="Arial Narrow" w:hAnsi="Arial Narrow"/>
                <w:sz w:val="20"/>
                <w:szCs w:val="20"/>
              </w:rPr>
              <w:t>$</w:t>
            </w:r>
            <w:r w:rsidR="00C84DAD">
              <w:rPr>
                <w:rFonts w:ascii="Arial Narrow" w:hAnsi="Arial Narrow"/>
                <w:noProof/>
                <w:color w:val="000000"/>
                <w:sz w:val="20"/>
                <w:szCs w:val="20"/>
                <w:highlight w:val="black"/>
              </w:rPr>
              <w:t>'''''''''''''''''''''''''</w:t>
            </w:r>
          </w:p>
        </w:tc>
        <w:tc>
          <w:tcPr>
            <w:tcW w:w="1414" w:type="dxa"/>
          </w:tcPr>
          <w:p w:rsidR="00D9587D" w:rsidRPr="00263604" w:rsidRDefault="000A5C93" w:rsidP="00494AC2">
            <w:pPr>
              <w:pStyle w:val="ListParagraph"/>
              <w:ind w:left="0"/>
              <w:jc w:val="both"/>
              <w:rPr>
                <w:rFonts w:ascii="Arial Narrow" w:hAnsi="Arial Narrow"/>
                <w:sz w:val="20"/>
                <w:szCs w:val="20"/>
              </w:rPr>
            </w:pPr>
            <w:r w:rsidRPr="00263604">
              <w:rPr>
                <w:rFonts w:ascii="Arial Narrow" w:hAnsi="Arial Narrow"/>
                <w:sz w:val="20"/>
                <w:szCs w:val="20"/>
              </w:rPr>
              <w:t>$</w:t>
            </w:r>
            <w:r w:rsidR="00C84DAD">
              <w:rPr>
                <w:rFonts w:ascii="Arial Narrow" w:hAnsi="Arial Narrow"/>
                <w:noProof/>
                <w:color w:val="000000"/>
                <w:sz w:val="20"/>
                <w:szCs w:val="20"/>
                <w:highlight w:val="black"/>
              </w:rPr>
              <w:t>''''''''''''''''''''''''''''</w:t>
            </w:r>
          </w:p>
        </w:tc>
        <w:tc>
          <w:tcPr>
            <w:tcW w:w="1414" w:type="dxa"/>
          </w:tcPr>
          <w:p w:rsidR="00D9587D" w:rsidRPr="00263604" w:rsidRDefault="000A5C93" w:rsidP="00494AC2">
            <w:pPr>
              <w:pStyle w:val="ListParagraph"/>
              <w:ind w:left="0"/>
              <w:jc w:val="both"/>
              <w:rPr>
                <w:rFonts w:ascii="Arial Narrow" w:hAnsi="Arial Narrow"/>
                <w:sz w:val="20"/>
                <w:szCs w:val="20"/>
              </w:rPr>
            </w:pPr>
            <w:r w:rsidRPr="00263604">
              <w:rPr>
                <w:rFonts w:ascii="Arial Narrow" w:hAnsi="Arial Narrow"/>
                <w:sz w:val="20"/>
                <w:szCs w:val="20"/>
              </w:rPr>
              <w:t>$</w:t>
            </w:r>
            <w:r w:rsidR="00C84DAD">
              <w:rPr>
                <w:rFonts w:ascii="Arial Narrow" w:hAnsi="Arial Narrow"/>
                <w:noProof/>
                <w:color w:val="000000"/>
                <w:sz w:val="20"/>
                <w:szCs w:val="20"/>
                <w:highlight w:val="black"/>
              </w:rPr>
              <w:t>''''''''''''''''''''''''</w:t>
            </w:r>
          </w:p>
        </w:tc>
      </w:tr>
      <w:tr w:rsidR="00D9587D" w:rsidTr="00DA0BE1">
        <w:tc>
          <w:tcPr>
            <w:tcW w:w="1418" w:type="dxa"/>
            <w:tcBorders>
              <w:bottom w:val="single" w:sz="8" w:space="0" w:color="auto"/>
            </w:tcBorders>
          </w:tcPr>
          <w:p w:rsidR="00D9587D" w:rsidRPr="00263604" w:rsidRDefault="00D9587D" w:rsidP="00494AC2">
            <w:pPr>
              <w:pStyle w:val="ListParagraph"/>
              <w:ind w:left="0"/>
              <w:jc w:val="both"/>
              <w:rPr>
                <w:rFonts w:ascii="Arial Narrow" w:hAnsi="Arial Narrow"/>
                <w:sz w:val="20"/>
                <w:szCs w:val="20"/>
              </w:rPr>
            </w:pPr>
            <w:r w:rsidRPr="00263604">
              <w:rPr>
                <w:rFonts w:ascii="Arial Narrow" w:hAnsi="Arial Narrow"/>
                <w:sz w:val="20"/>
                <w:szCs w:val="20"/>
              </w:rPr>
              <w:t>Cost – with new presentations</w:t>
            </w:r>
          </w:p>
        </w:tc>
        <w:tc>
          <w:tcPr>
            <w:tcW w:w="1353" w:type="dxa"/>
            <w:tcBorders>
              <w:bottom w:val="single" w:sz="8" w:space="0" w:color="auto"/>
            </w:tcBorders>
          </w:tcPr>
          <w:p w:rsidR="00D9587D" w:rsidRPr="00263604" w:rsidRDefault="000A5C93" w:rsidP="00494AC2">
            <w:pPr>
              <w:pStyle w:val="ListParagraph"/>
              <w:ind w:left="0"/>
              <w:jc w:val="both"/>
              <w:rPr>
                <w:rFonts w:ascii="Arial Narrow" w:hAnsi="Arial Narrow"/>
                <w:sz w:val="20"/>
                <w:szCs w:val="20"/>
              </w:rPr>
            </w:pPr>
            <w:r w:rsidRPr="00263604">
              <w:rPr>
                <w:rFonts w:ascii="Arial Narrow" w:hAnsi="Arial Narrow"/>
                <w:sz w:val="20"/>
                <w:szCs w:val="20"/>
              </w:rPr>
              <w:t>$</w:t>
            </w:r>
            <w:r w:rsidR="00C84DAD">
              <w:rPr>
                <w:rFonts w:ascii="Arial Narrow" w:hAnsi="Arial Narrow"/>
                <w:noProof/>
                <w:color w:val="000000"/>
                <w:sz w:val="20"/>
                <w:szCs w:val="20"/>
                <w:highlight w:val="black"/>
              </w:rPr>
              <w:t>'''''''''''''''''''''''''''''</w:t>
            </w:r>
          </w:p>
        </w:tc>
        <w:tc>
          <w:tcPr>
            <w:tcW w:w="1413" w:type="dxa"/>
            <w:tcBorders>
              <w:bottom w:val="single" w:sz="8" w:space="0" w:color="auto"/>
            </w:tcBorders>
          </w:tcPr>
          <w:p w:rsidR="00D9587D" w:rsidRPr="00263604" w:rsidRDefault="000A5C93" w:rsidP="00494AC2">
            <w:pPr>
              <w:pStyle w:val="ListParagraph"/>
              <w:ind w:left="0"/>
              <w:jc w:val="both"/>
              <w:rPr>
                <w:rFonts w:ascii="Arial Narrow" w:hAnsi="Arial Narrow"/>
                <w:sz w:val="20"/>
                <w:szCs w:val="20"/>
              </w:rPr>
            </w:pPr>
            <w:r w:rsidRPr="00263604">
              <w:rPr>
                <w:rFonts w:ascii="Arial Narrow" w:hAnsi="Arial Narrow"/>
                <w:sz w:val="20"/>
                <w:szCs w:val="20"/>
              </w:rPr>
              <w:t>$</w:t>
            </w:r>
            <w:r w:rsidR="00C84DAD">
              <w:rPr>
                <w:rFonts w:ascii="Arial Narrow" w:hAnsi="Arial Narrow"/>
                <w:noProof/>
                <w:color w:val="000000"/>
                <w:sz w:val="20"/>
                <w:szCs w:val="20"/>
                <w:highlight w:val="black"/>
              </w:rPr>
              <w:t>''''''''''''''''''''''''''</w:t>
            </w:r>
          </w:p>
        </w:tc>
        <w:tc>
          <w:tcPr>
            <w:tcW w:w="1413" w:type="dxa"/>
            <w:tcBorders>
              <w:bottom w:val="single" w:sz="8" w:space="0" w:color="auto"/>
            </w:tcBorders>
          </w:tcPr>
          <w:p w:rsidR="00D9587D" w:rsidRPr="00263604" w:rsidRDefault="000A5C93" w:rsidP="00494AC2">
            <w:pPr>
              <w:pStyle w:val="ListParagraph"/>
              <w:ind w:left="0"/>
              <w:jc w:val="both"/>
              <w:rPr>
                <w:rFonts w:ascii="Arial Narrow" w:hAnsi="Arial Narrow"/>
                <w:sz w:val="20"/>
                <w:szCs w:val="20"/>
              </w:rPr>
            </w:pPr>
            <w:r w:rsidRPr="00263604">
              <w:rPr>
                <w:rFonts w:ascii="Arial Narrow" w:hAnsi="Arial Narrow"/>
                <w:sz w:val="20"/>
                <w:szCs w:val="20"/>
              </w:rPr>
              <w:t>$</w:t>
            </w:r>
            <w:r w:rsidR="00C84DAD">
              <w:rPr>
                <w:rFonts w:ascii="Arial Narrow" w:hAnsi="Arial Narrow"/>
                <w:noProof/>
                <w:color w:val="000000"/>
                <w:sz w:val="20"/>
                <w:szCs w:val="20"/>
                <w:highlight w:val="black"/>
              </w:rPr>
              <w:t>''''''''''''''''''''''''''''</w:t>
            </w:r>
          </w:p>
        </w:tc>
        <w:tc>
          <w:tcPr>
            <w:tcW w:w="1414" w:type="dxa"/>
            <w:tcBorders>
              <w:bottom w:val="single" w:sz="8" w:space="0" w:color="auto"/>
            </w:tcBorders>
          </w:tcPr>
          <w:p w:rsidR="00D9587D" w:rsidRPr="00263604" w:rsidRDefault="000A5C93" w:rsidP="00494AC2">
            <w:pPr>
              <w:pStyle w:val="ListParagraph"/>
              <w:ind w:left="0"/>
              <w:jc w:val="both"/>
              <w:rPr>
                <w:rFonts w:ascii="Arial Narrow" w:hAnsi="Arial Narrow"/>
                <w:sz w:val="20"/>
                <w:szCs w:val="20"/>
              </w:rPr>
            </w:pPr>
            <w:r w:rsidRPr="00263604">
              <w:rPr>
                <w:rFonts w:ascii="Arial Narrow" w:hAnsi="Arial Narrow"/>
                <w:sz w:val="20"/>
                <w:szCs w:val="20"/>
              </w:rPr>
              <w:t>$</w:t>
            </w:r>
            <w:r w:rsidR="00C84DAD">
              <w:rPr>
                <w:rFonts w:ascii="Arial Narrow" w:hAnsi="Arial Narrow"/>
                <w:noProof/>
                <w:color w:val="000000"/>
                <w:sz w:val="20"/>
                <w:szCs w:val="20"/>
                <w:highlight w:val="black"/>
              </w:rPr>
              <w:t>''''''''''''''''''''''''</w:t>
            </w:r>
          </w:p>
        </w:tc>
        <w:tc>
          <w:tcPr>
            <w:tcW w:w="1414" w:type="dxa"/>
            <w:tcBorders>
              <w:bottom w:val="single" w:sz="8" w:space="0" w:color="auto"/>
            </w:tcBorders>
          </w:tcPr>
          <w:p w:rsidR="00D9587D" w:rsidRPr="00263604" w:rsidRDefault="000A5C93" w:rsidP="00494AC2">
            <w:pPr>
              <w:pStyle w:val="ListParagraph"/>
              <w:ind w:left="0"/>
              <w:jc w:val="both"/>
              <w:rPr>
                <w:rFonts w:ascii="Arial Narrow" w:hAnsi="Arial Narrow"/>
                <w:sz w:val="20"/>
                <w:szCs w:val="20"/>
              </w:rPr>
            </w:pPr>
            <w:r w:rsidRPr="00263604">
              <w:rPr>
                <w:rFonts w:ascii="Arial Narrow" w:hAnsi="Arial Narrow"/>
                <w:sz w:val="20"/>
                <w:szCs w:val="20"/>
              </w:rPr>
              <w:t>$</w:t>
            </w:r>
            <w:r w:rsidR="00C84DAD">
              <w:rPr>
                <w:rFonts w:ascii="Arial Narrow" w:hAnsi="Arial Narrow"/>
                <w:noProof/>
                <w:color w:val="000000"/>
                <w:sz w:val="20"/>
                <w:szCs w:val="20"/>
                <w:highlight w:val="black"/>
              </w:rPr>
              <w:t>''''''''''''''''''''''''''</w:t>
            </w:r>
          </w:p>
        </w:tc>
      </w:tr>
      <w:tr w:rsidR="00D9587D" w:rsidTr="00DA0BE1">
        <w:tc>
          <w:tcPr>
            <w:tcW w:w="1418" w:type="dxa"/>
            <w:tcBorders>
              <w:top w:val="single" w:sz="8" w:space="0" w:color="auto"/>
              <w:left w:val="single" w:sz="8" w:space="0" w:color="auto"/>
              <w:bottom w:val="single" w:sz="8" w:space="0" w:color="auto"/>
            </w:tcBorders>
            <w:shd w:val="clear" w:color="auto" w:fill="D9D9D9" w:themeFill="background1" w:themeFillShade="D9"/>
          </w:tcPr>
          <w:p w:rsidR="00D9587D" w:rsidRPr="00263604" w:rsidRDefault="00D9587D" w:rsidP="00494AC2">
            <w:pPr>
              <w:pStyle w:val="ListParagraph"/>
              <w:ind w:left="0"/>
              <w:jc w:val="both"/>
              <w:rPr>
                <w:rFonts w:ascii="Arial Narrow" w:hAnsi="Arial Narrow"/>
                <w:b/>
                <w:sz w:val="20"/>
                <w:szCs w:val="20"/>
              </w:rPr>
            </w:pPr>
            <w:r w:rsidRPr="00263604">
              <w:rPr>
                <w:rFonts w:ascii="Arial Narrow" w:hAnsi="Arial Narrow"/>
                <w:b/>
                <w:sz w:val="20"/>
                <w:szCs w:val="20"/>
              </w:rPr>
              <w:t>Net Cost</w:t>
            </w:r>
          </w:p>
        </w:tc>
        <w:tc>
          <w:tcPr>
            <w:tcW w:w="1353" w:type="dxa"/>
            <w:tcBorders>
              <w:top w:val="single" w:sz="8" w:space="0" w:color="auto"/>
              <w:bottom w:val="single" w:sz="8" w:space="0" w:color="auto"/>
            </w:tcBorders>
            <w:shd w:val="clear" w:color="auto" w:fill="D9D9D9" w:themeFill="background1" w:themeFillShade="D9"/>
          </w:tcPr>
          <w:p w:rsidR="00D9587D" w:rsidRPr="00263604" w:rsidRDefault="000A5C93" w:rsidP="00494AC2">
            <w:pPr>
              <w:pStyle w:val="ListParagraph"/>
              <w:ind w:left="0"/>
              <w:jc w:val="both"/>
              <w:rPr>
                <w:rFonts w:ascii="Arial Narrow" w:hAnsi="Arial Narrow"/>
                <w:b/>
                <w:sz w:val="20"/>
                <w:szCs w:val="20"/>
              </w:rPr>
            </w:pPr>
            <w:r w:rsidRPr="00263604">
              <w:rPr>
                <w:rFonts w:ascii="Arial Narrow" w:hAnsi="Arial Narrow"/>
                <w:b/>
                <w:sz w:val="20"/>
                <w:szCs w:val="20"/>
              </w:rPr>
              <w:t>-$</w:t>
            </w:r>
            <w:r w:rsidR="00C84DAD">
              <w:rPr>
                <w:rFonts w:ascii="Arial Narrow" w:hAnsi="Arial Narrow"/>
                <w:b/>
                <w:noProof/>
                <w:color w:val="000000"/>
                <w:sz w:val="20"/>
                <w:szCs w:val="20"/>
                <w:highlight w:val="black"/>
              </w:rPr>
              <w:t>'''''''''''''''''''''</w:t>
            </w:r>
          </w:p>
        </w:tc>
        <w:tc>
          <w:tcPr>
            <w:tcW w:w="1413" w:type="dxa"/>
            <w:tcBorders>
              <w:top w:val="single" w:sz="8" w:space="0" w:color="auto"/>
              <w:bottom w:val="single" w:sz="8" w:space="0" w:color="auto"/>
            </w:tcBorders>
            <w:shd w:val="clear" w:color="auto" w:fill="D9D9D9" w:themeFill="background1" w:themeFillShade="D9"/>
          </w:tcPr>
          <w:p w:rsidR="00D9587D" w:rsidRPr="00263604" w:rsidRDefault="000A5C93" w:rsidP="00494AC2">
            <w:pPr>
              <w:pStyle w:val="ListParagraph"/>
              <w:ind w:left="0"/>
              <w:jc w:val="both"/>
              <w:rPr>
                <w:rFonts w:ascii="Arial Narrow" w:hAnsi="Arial Narrow"/>
                <w:b/>
                <w:sz w:val="20"/>
                <w:szCs w:val="20"/>
              </w:rPr>
            </w:pPr>
            <w:r w:rsidRPr="00263604">
              <w:rPr>
                <w:rFonts w:ascii="Arial Narrow" w:hAnsi="Arial Narrow"/>
                <w:b/>
                <w:sz w:val="20"/>
                <w:szCs w:val="20"/>
              </w:rPr>
              <w:t>-$</w:t>
            </w:r>
            <w:r w:rsidR="00C84DAD">
              <w:rPr>
                <w:rFonts w:ascii="Arial Narrow" w:hAnsi="Arial Narrow"/>
                <w:b/>
                <w:noProof/>
                <w:color w:val="000000"/>
                <w:sz w:val="20"/>
                <w:szCs w:val="20"/>
                <w:highlight w:val="black"/>
              </w:rPr>
              <w:t>''''''''''''''''''''</w:t>
            </w:r>
          </w:p>
        </w:tc>
        <w:tc>
          <w:tcPr>
            <w:tcW w:w="1413" w:type="dxa"/>
            <w:tcBorders>
              <w:top w:val="single" w:sz="8" w:space="0" w:color="auto"/>
              <w:bottom w:val="single" w:sz="8" w:space="0" w:color="auto"/>
            </w:tcBorders>
            <w:shd w:val="clear" w:color="auto" w:fill="D9D9D9" w:themeFill="background1" w:themeFillShade="D9"/>
          </w:tcPr>
          <w:p w:rsidR="00D9587D" w:rsidRPr="00263604" w:rsidRDefault="00BB720E" w:rsidP="00494AC2">
            <w:pPr>
              <w:pStyle w:val="ListParagraph"/>
              <w:ind w:left="0"/>
              <w:jc w:val="both"/>
              <w:rPr>
                <w:rFonts w:ascii="Arial Narrow" w:hAnsi="Arial Narrow"/>
                <w:b/>
                <w:sz w:val="20"/>
                <w:szCs w:val="20"/>
              </w:rPr>
            </w:pPr>
            <w:r w:rsidRPr="00263604">
              <w:rPr>
                <w:rFonts w:ascii="Arial Narrow" w:hAnsi="Arial Narrow"/>
                <w:b/>
                <w:sz w:val="20"/>
                <w:szCs w:val="20"/>
              </w:rPr>
              <w:t>-</w:t>
            </w:r>
            <w:r w:rsidR="000A5C93" w:rsidRPr="00263604">
              <w:rPr>
                <w:rFonts w:ascii="Arial Narrow" w:hAnsi="Arial Narrow"/>
                <w:b/>
                <w:sz w:val="20"/>
                <w:szCs w:val="20"/>
              </w:rPr>
              <w:t>$</w:t>
            </w:r>
            <w:r w:rsidR="00C84DAD">
              <w:rPr>
                <w:rFonts w:ascii="Arial Narrow" w:hAnsi="Arial Narrow"/>
                <w:b/>
                <w:noProof/>
                <w:color w:val="000000"/>
                <w:sz w:val="20"/>
                <w:szCs w:val="20"/>
                <w:highlight w:val="black"/>
              </w:rPr>
              <w:t>''''''''''''''''''</w:t>
            </w:r>
          </w:p>
        </w:tc>
        <w:tc>
          <w:tcPr>
            <w:tcW w:w="1414" w:type="dxa"/>
            <w:tcBorders>
              <w:top w:val="single" w:sz="8" w:space="0" w:color="auto"/>
              <w:bottom w:val="single" w:sz="8" w:space="0" w:color="auto"/>
            </w:tcBorders>
            <w:shd w:val="clear" w:color="auto" w:fill="D9D9D9" w:themeFill="background1" w:themeFillShade="D9"/>
          </w:tcPr>
          <w:p w:rsidR="00D9587D" w:rsidRPr="00263604" w:rsidRDefault="000A5C93" w:rsidP="00494AC2">
            <w:pPr>
              <w:pStyle w:val="ListParagraph"/>
              <w:ind w:left="0"/>
              <w:jc w:val="both"/>
              <w:rPr>
                <w:rFonts w:ascii="Arial Narrow" w:hAnsi="Arial Narrow"/>
                <w:b/>
                <w:sz w:val="20"/>
                <w:szCs w:val="20"/>
              </w:rPr>
            </w:pPr>
            <w:r w:rsidRPr="00263604">
              <w:rPr>
                <w:rFonts w:ascii="Arial Narrow" w:hAnsi="Arial Narrow"/>
                <w:b/>
                <w:sz w:val="20"/>
                <w:szCs w:val="20"/>
              </w:rPr>
              <w:t>-$</w:t>
            </w:r>
            <w:r w:rsidR="00C84DAD">
              <w:rPr>
                <w:rFonts w:ascii="Arial Narrow" w:hAnsi="Arial Narrow"/>
                <w:b/>
                <w:noProof/>
                <w:color w:val="000000"/>
                <w:sz w:val="20"/>
                <w:szCs w:val="20"/>
                <w:highlight w:val="black"/>
              </w:rPr>
              <w:t>'''''''''''''''''''''</w:t>
            </w:r>
          </w:p>
        </w:tc>
        <w:tc>
          <w:tcPr>
            <w:tcW w:w="1414" w:type="dxa"/>
            <w:tcBorders>
              <w:top w:val="single" w:sz="8" w:space="0" w:color="auto"/>
              <w:bottom w:val="single" w:sz="8" w:space="0" w:color="auto"/>
              <w:right w:val="single" w:sz="8" w:space="0" w:color="auto"/>
            </w:tcBorders>
            <w:shd w:val="clear" w:color="auto" w:fill="D9D9D9" w:themeFill="background1" w:themeFillShade="D9"/>
          </w:tcPr>
          <w:p w:rsidR="00D9587D" w:rsidRPr="00263604" w:rsidRDefault="000A5C93" w:rsidP="00494AC2">
            <w:pPr>
              <w:pStyle w:val="ListParagraph"/>
              <w:ind w:left="0"/>
              <w:jc w:val="both"/>
              <w:rPr>
                <w:rFonts w:ascii="Arial Narrow" w:hAnsi="Arial Narrow"/>
                <w:b/>
                <w:sz w:val="20"/>
                <w:szCs w:val="20"/>
              </w:rPr>
            </w:pPr>
            <w:r w:rsidRPr="00263604">
              <w:rPr>
                <w:rFonts w:ascii="Arial Narrow" w:hAnsi="Arial Narrow"/>
                <w:b/>
                <w:sz w:val="20"/>
                <w:szCs w:val="20"/>
              </w:rPr>
              <w:t>-$</w:t>
            </w:r>
            <w:r w:rsidR="00C84DAD">
              <w:rPr>
                <w:rFonts w:ascii="Arial Narrow" w:hAnsi="Arial Narrow"/>
                <w:b/>
                <w:noProof/>
                <w:color w:val="000000"/>
                <w:sz w:val="20"/>
                <w:szCs w:val="20"/>
                <w:highlight w:val="black"/>
              </w:rPr>
              <w:t>'''''''''''''''''''''</w:t>
            </w:r>
          </w:p>
        </w:tc>
      </w:tr>
    </w:tbl>
    <w:p w:rsidR="00D9587D" w:rsidRDefault="00D9587D" w:rsidP="00D9587D">
      <w:pPr>
        <w:pStyle w:val="ListParagraph"/>
        <w:rPr>
          <w:rFonts w:ascii="Arial" w:hAnsi="Arial"/>
          <w:sz w:val="22"/>
          <w:szCs w:val="22"/>
        </w:rPr>
      </w:pPr>
    </w:p>
    <w:p w:rsidR="00335BC2" w:rsidRDefault="00335BC2">
      <w:pPr>
        <w:rPr>
          <w:rFonts w:ascii="Arial Narrow" w:hAnsi="Arial Narrow"/>
          <w:sz w:val="20"/>
          <w:szCs w:val="20"/>
        </w:rPr>
      </w:pPr>
      <w:r>
        <w:rPr>
          <w:rFonts w:ascii="Arial Narrow" w:hAnsi="Arial Narrow"/>
          <w:sz w:val="20"/>
          <w:szCs w:val="20"/>
        </w:rPr>
        <w:br w:type="page"/>
      </w:r>
    </w:p>
    <w:p w:rsidR="00D9587D" w:rsidRPr="00921EEA" w:rsidRDefault="008A5B66" w:rsidP="00D9587D">
      <w:pPr>
        <w:pStyle w:val="ListParagraph"/>
        <w:rPr>
          <w:rFonts w:ascii="Arial Narrow" w:hAnsi="Arial Narrow"/>
          <w:sz w:val="20"/>
          <w:szCs w:val="20"/>
        </w:rPr>
      </w:pPr>
      <w:r>
        <w:rPr>
          <w:rFonts w:ascii="Arial Narrow" w:hAnsi="Arial Narrow"/>
          <w:sz w:val="20"/>
          <w:szCs w:val="20"/>
        </w:rPr>
        <w:lastRenderedPageBreak/>
        <w:t>Cost to RPBS</w:t>
      </w:r>
    </w:p>
    <w:tbl>
      <w:tblPr>
        <w:tblStyle w:val="TableGrid"/>
        <w:tblW w:w="0" w:type="auto"/>
        <w:tblInd w:w="817" w:type="dxa"/>
        <w:tblLook w:val="04A0" w:firstRow="1" w:lastRow="0" w:firstColumn="1" w:lastColumn="0" w:noHBand="0" w:noVBand="1"/>
        <w:tblCaption w:val="Cost to RPBS"/>
        <w:tblDescription w:val="Year 1 to 5"/>
      </w:tblPr>
      <w:tblGrid>
        <w:gridCol w:w="1418"/>
        <w:gridCol w:w="1353"/>
        <w:gridCol w:w="1413"/>
        <w:gridCol w:w="1413"/>
        <w:gridCol w:w="1414"/>
        <w:gridCol w:w="1414"/>
      </w:tblGrid>
      <w:tr w:rsidR="00921EEA" w:rsidTr="00DA0BE1">
        <w:tc>
          <w:tcPr>
            <w:tcW w:w="1418" w:type="dxa"/>
          </w:tcPr>
          <w:p w:rsidR="00921EEA" w:rsidRPr="004240B6" w:rsidRDefault="00921EEA" w:rsidP="004E5EA2">
            <w:pPr>
              <w:pStyle w:val="ListParagraph"/>
              <w:ind w:left="0"/>
              <w:jc w:val="both"/>
              <w:rPr>
                <w:rFonts w:ascii="Arial Narrow" w:hAnsi="Arial Narrow"/>
                <w:sz w:val="20"/>
                <w:szCs w:val="20"/>
              </w:rPr>
            </w:pPr>
          </w:p>
        </w:tc>
        <w:tc>
          <w:tcPr>
            <w:tcW w:w="1353" w:type="dxa"/>
          </w:tcPr>
          <w:p w:rsidR="00921EEA" w:rsidRPr="004240B6" w:rsidRDefault="00921EEA" w:rsidP="004E5EA2">
            <w:pPr>
              <w:pStyle w:val="ListParagraph"/>
              <w:ind w:left="0"/>
              <w:jc w:val="both"/>
              <w:rPr>
                <w:rFonts w:ascii="Arial Narrow" w:hAnsi="Arial Narrow"/>
                <w:b/>
                <w:sz w:val="20"/>
                <w:szCs w:val="20"/>
              </w:rPr>
            </w:pPr>
            <w:r w:rsidRPr="004240B6">
              <w:rPr>
                <w:rFonts w:ascii="Arial Narrow" w:hAnsi="Arial Narrow"/>
                <w:b/>
                <w:sz w:val="20"/>
                <w:szCs w:val="20"/>
              </w:rPr>
              <w:t>Year 1</w:t>
            </w:r>
          </w:p>
        </w:tc>
        <w:tc>
          <w:tcPr>
            <w:tcW w:w="1413" w:type="dxa"/>
          </w:tcPr>
          <w:p w:rsidR="00921EEA" w:rsidRPr="004240B6" w:rsidRDefault="00921EEA" w:rsidP="004E5EA2">
            <w:pPr>
              <w:pStyle w:val="ListParagraph"/>
              <w:ind w:left="0"/>
              <w:jc w:val="both"/>
              <w:rPr>
                <w:rFonts w:ascii="Arial Narrow" w:hAnsi="Arial Narrow"/>
                <w:b/>
                <w:sz w:val="20"/>
                <w:szCs w:val="20"/>
              </w:rPr>
            </w:pPr>
            <w:r w:rsidRPr="004240B6">
              <w:rPr>
                <w:rFonts w:ascii="Arial Narrow" w:hAnsi="Arial Narrow"/>
                <w:b/>
                <w:sz w:val="20"/>
                <w:szCs w:val="20"/>
              </w:rPr>
              <w:t>Year 2</w:t>
            </w:r>
          </w:p>
        </w:tc>
        <w:tc>
          <w:tcPr>
            <w:tcW w:w="1413" w:type="dxa"/>
          </w:tcPr>
          <w:p w:rsidR="00921EEA" w:rsidRPr="004240B6" w:rsidRDefault="00921EEA" w:rsidP="004E5EA2">
            <w:pPr>
              <w:pStyle w:val="ListParagraph"/>
              <w:ind w:left="0"/>
              <w:jc w:val="both"/>
              <w:rPr>
                <w:rFonts w:ascii="Arial Narrow" w:hAnsi="Arial Narrow"/>
                <w:b/>
                <w:sz w:val="20"/>
                <w:szCs w:val="20"/>
              </w:rPr>
            </w:pPr>
            <w:r w:rsidRPr="004240B6">
              <w:rPr>
                <w:rFonts w:ascii="Arial Narrow" w:hAnsi="Arial Narrow"/>
                <w:b/>
                <w:sz w:val="20"/>
                <w:szCs w:val="20"/>
              </w:rPr>
              <w:t xml:space="preserve">Year 3 </w:t>
            </w:r>
          </w:p>
        </w:tc>
        <w:tc>
          <w:tcPr>
            <w:tcW w:w="1414" w:type="dxa"/>
          </w:tcPr>
          <w:p w:rsidR="00921EEA" w:rsidRPr="004240B6" w:rsidRDefault="00921EEA" w:rsidP="004E5EA2">
            <w:pPr>
              <w:pStyle w:val="ListParagraph"/>
              <w:ind w:left="0"/>
              <w:jc w:val="both"/>
              <w:rPr>
                <w:rFonts w:ascii="Arial Narrow" w:hAnsi="Arial Narrow"/>
                <w:b/>
                <w:sz w:val="20"/>
                <w:szCs w:val="20"/>
              </w:rPr>
            </w:pPr>
            <w:r w:rsidRPr="004240B6">
              <w:rPr>
                <w:rFonts w:ascii="Arial Narrow" w:hAnsi="Arial Narrow"/>
                <w:b/>
                <w:sz w:val="20"/>
                <w:szCs w:val="20"/>
              </w:rPr>
              <w:t xml:space="preserve">Year 4 </w:t>
            </w:r>
          </w:p>
        </w:tc>
        <w:tc>
          <w:tcPr>
            <w:tcW w:w="1414" w:type="dxa"/>
          </w:tcPr>
          <w:p w:rsidR="00921EEA" w:rsidRPr="004240B6" w:rsidRDefault="00921EEA" w:rsidP="004E5EA2">
            <w:pPr>
              <w:pStyle w:val="ListParagraph"/>
              <w:ind w:left="0"/>
              <w:jc w:val="both"/>
              <w:rPr>
                <w:rFonts w:ascii="Arial Narrow" w:hAnsi="Arial Narrow"/>
                <w:b/>
                <w:sz w:val="20"/>
                <w:szCs w:val="20"/>
              </w:rPr>
            </w:pPr>
            <w:r w:rsidRPr="004240B6">
              <w:rPr>
                <w:rFonts w:ascii="Arial Narrow" w:hAnsi="Arial Narrow"/>
                <w:b/>
                <w:sz w:val="20"/>
                <w:szCs w:val="20"/>
              </w:rPr>
              <w:t>Year 5</w:t>
            </w:r>
          </w:p>
        </w:tc>
      </w:tr>
      <w:tr w:rsidR="00921EEA" w:rsidTr="008A43D6">
        <w:trPr>
          <w:trHeight w:val="947"/>
        </w:trPr>
        <w:tc>
          <w:tcPr>
            <w:tcW w:w="1418" w:type="dxa"/>
          </w:tcPr>
          <w:p w:rsidR="00921EEA" w:rsidRPr="004240B6" w:rsidRDefault="00921EEA" w:rsidP="004E5EA2">
            <w:pPr>
              <w:pStyle w:val="ListParagraph"/>
              <w:ind w:left="0"/>
              <w:jc w:val="both"/>
              <w:rPr>
                <w:rFonts w:ascii="Arial Narrow" w:hAnsi="Arial Narrow"/>
                <w:sz w:val="20"/>
                <w:szCs w:val="20"/>
              </w:rPr>
            </w:pPr>
            <w:r>
              <w:rPr>
                <w:rFonts w:ascii="Arial Narrow" w:hAnsi="Arial Narrow"/>
                <w:sz w:val="20"/>
                <w:szCs w:val="20"/>
              </w:rPr>
              <w:t>Volume (</w:t>
            </w:r>
            <w:r w:rsidR="008A5B66">
              <w:rPr>
                <w:rFonts w:ascii="Arial Narrow" w:hAnsi="Arial Narrow"/>
                <w:sz w:val="20"/>
                <w:szCs w:val="20"/>
              </w:rPr>
              <w:t>R</w:t>
            </w:r>
            <w:r>
              <w:rPr>
                <w:rFonts w:ascii="Arial Narrow" w:hAnsi="Arial Narrow"/>
                <w:sz w:val="20"/>
                <w:szCs w:val="20"/>
              </w:rPr>
              <w:t>PBS Services) – without new presentations</w:t>
            </w:r>
          </w:p>
        </w:tc>
        <w:tc>
          <w:tcPr>
            <w:tcW w:w="1353" w:type="dxa"/>
          </w:tcPr>
          <w:p w:rsidR="00921EEA" w:rsidRPr="008A5B66" w:rsidRDefault="00C84DAD" w:rsidP="004E5EA2">
            <w:pPr>
              <w:pStyle w:val="ListParagraph"/>
              <w:ind w:left="0"/>
              <w:jc w:val="both"/>
              <w:rPr>
                <w:rFonts w:ascii="Arial Narrow" w:hAnsi="Arial Narrow"/>
                <w:sz w:val="20"/>
                <w:szCs w:val="20"/>
              </w:rPr>
            </w:pPr>
            <w:r>
              <w:rPr>
                <w:rFonts w:ascii="Arial Narrow" w:hAnsi="Arial Narrow"/>
                <w:noProof/>
                <w:color w:val="000000"/>
                <w:sz w:val="20"/>
                <w:szCs w:val="20"/>
                <w:highlight w:val="black"/>
              </w:rPr>
              <w:t>'''''''''''''''''''''</w:t>
            </w:r>
            <w:r w:rsidR="000A5C93" w:rsidRPr="008A5B66">
              <w:rPr>
                <w:rFonts w:ascii="Arial Narrow" w:hAnsi="Arial Narrow"/>
                <w:sz w:val="20"/>
                <w:szCs w:val="20"/>
              </w:rPr>
              <w:t xml:space="preserve"> Rx</w:t>
            </w:r>
          </w:p>
        </w:tc>
        <w:tc>
          <w:tcPr>
            <w:tcW w:w="1413" w:type="dxa"/>
          </w:tcPr>
          <w:p w:rsidR="00921EEA" w:rsidRPr="008A5B66" w:rsidRDefault="00C84DAD" w:rsidP="004E5EA2">
            <w:pPr>
              <w:pStyle w:val="ListParagraph"/>
              <w:ind w:left="0"/>
              <w:jc w:val="both"/>
              <w:rPr>
                <w:rFonts w:ascii="Arial Narrow" w:hAnsi="Arial Narrow"/>
                <w:sz w:val="20"/>
                <w:szCs w:val="20"/>
              </w:rPr>
            </w:pPr>
            <w:r>
              <w:rPr>
                <w:rFonts w:ascii="Arial Narrow" w:hAnsi="Arial Narrow"/>
                <w:noProof/>
                <w:color w:val="000000"/>
                <w:sz w:val="20"/>
                <w:szCs w:val="20"/>
                <w:highlight w:val="black"/>
              </w:rPr>
              <w:t>''''''''''''''''''</w:t>
            </w:r>
            <w:r w:rsidR="000A5C93" w:rsidRPr="008A5B66">
              <w:rPr>
                <w:rFonts w:ascii="Arial Narrow" w:hAnsi="Arial Narrow"/>
                <w:sz w:val="20"/>
                <w:szCs w:val="20"/>
              </w:rPr>
              <w:t xml:space="preserve"> Rx</w:t>
            </w:r>
          </w:p>
        </w:tc>
        <w:tc>
          <w:tcPr>
            <w:tcW w:w="1413" w:type="dxa"/>
          </w:tcPr>
          <w:p w:rsidR="00921EEA" w:rsidRPr="008A5B66" w:rsidRDefault="00C84DAD" w:rsidP="004E5EA2">
            <w:pPr>
              <w:pStyle w:val="ListParagraph"/>
              <w:ind w:left="0"/>
              <w:jc w:val="both"/>
              <w:rPr>
                <w:rFonts w:ascii="Arial Narrow" w:hAnsi="Arial Narrow"/>
                <w:sz w:val="20"/>
                <w:szCs w:val="20"/>
              </w:rPr>
            </w:pPr>
            <w:r>
              <w:rPr>
                <w:rFonts w:ascii="Arial Narrow" w:hAnsi="Arial Narrow"/>
                <w:noProof/>
                <w:color w:val="000000"/>
                <w:sz w:val="20"/>
                <w:szCs w:val="20"/>
                <w:highlight w:val="black"/>
              </w:rPr>
              <w:t>''''''''''''''''''''</w:t>
            </w:r>
            <w:r w:rsidR="000A5C93" w:rsidRPr="008A5B66">
              <w:rPr>
                <w:rFonts w:ascii="Arial Narrow" w:hAnsi="Arial Narrow"/>
                <w:sz w:val="20"/>
                <w:szCs w:val="20"/>
              </w:rPr>
              <w:t xml:space="preserve"> Rx</w:t>
            </w:r>
          </w:p>
        </w:tc>
        <w:tc>
          <w:tcPr>
            <w:tcW w:w="1414" w:type="dxa"/>
          </w:tcPr>
          <w:p w:rsidR="00921EEA" w:rsidRPr="008A5B66" w:rsidRDefault="00C84DAD" w:rsidP="004E5EA2">
            <w:pPr>
              <w:pStyle w:val="ListParagraph"/>
              <w:ind w:left="0"/>
              <w:jc w:val="both"/>
              <w:rPr>
                <w:rFonts w:ascii="Arial Narrow" w:hAnsi="Arial Narrow"/>
                <w:sz w:val="20"/>
                <w:szCs w:val="20"/>
              </w:rPr>
            </w:pPr>
            <w:r>
              <w:rPr>
                <w:rFonts w:ascii="Arial Narrow" w:hAnsi="Arial Narrow"/>
                <w:noProof/>
                <w:color w:val="000000"/>
                <w:sz w:val="20"/>
                <w:szCs w:val="20"/>
                <w:highlight w:val="black"/>
              </w:rPr>
              <w:t>'''''''''''''''''''</w:t>
            </w:r>
            <w:r w:rsidR="000A5C93" w:rsidRPr="008A5B66">
              <w:rPr>
                <w:rFonts w:ascii="Arial Narrow" w:hAnsi="Arial Narrow"/>
                <w:sz w:val="20"/>
                <w:szCs w:val="20"/>
              </w:rPr>
              <w:t xml:space="preserve"> Rx</w:t>
            </w:r>
          </w:p>
        </w:tc>
        <w:tc>
          <w:tcPr>
            <w:tcW w:w="1414" w:type="dxa"/>
          </w:tcPr>
          <w:p w:rsidR="00921EEA" w:rsidRPr="008A5B66" w:rsidRDefault="00C84DAD" w:rsidP="004E5EA2">
            <w:pPr>
              <w:pStyle w:val="ListParagraph"/>
              <w:ind w:left="0"/>
              <w:jc w:val="both"/>
              <w:rPr>
                <w:rFonts w:ascii="Arial Narrow" w:hAnsi="Arial Narrow"/>
                <w:sz w:val="20"/>
                <w:szCs w:val="20"/>
              </w:rPr>
            </w:pPr>
            <w:r>
              <w:rPr>
                <w:rFonts w:ascii="Arial Narrow" w:hAnsi="Arial Narrow"/>
                <w:noProof/>
                <w:color w:val="000000"/>
                <w:sz w:val="20"/>
                <w:szCs w:val="20"/>
                <w:highlight w:val="black"/>
              </w:rPr>
              <w:t>'''''''''''''''''''''</w:t>
            </w:r>
            <w:r w:rsidR="000A5C93" w:rsidRPr="008A5B66">
              <w:rPr>
                <w:rFonts w:ascii="Arial Narrow" w:hAnsi="Arial Narrow"/>
                <w:sz w:val="20"/>
                <w:szCs w:val="20"/>
              </w:rPr>
              <w:t xml:space="preserve"> Rx</w:t>
            </w:r>
          </w:p>
        </w:tc>
      </w:tr>
      <w:tr w:rsidR="00921EEA" w:rsidTr="00DA0BE1">
        <w:tc>
          <w:tcPr>
            <w:tcW w:w="1418" w:type="dxa"/>
          </w:tcPr>
          <w:p w:rsidR="00921EEA" w:rsidRPr="004240B6" w:rsidRDefault="00921EEA" w:rsidP="004E5EA2">
            <w:pPr>
              <w:pStyle w:val="ListParagraph"/>
              <w:ind w:left="0"/>
              <w:jc w:val="both"/>
              <w:rPr>
                <w:rFonts w:ascii="Arial Narrow" w:hAnsi="Arial Narrow"/>
                <w:sz w:val="20"/>
                <w:szCs w:val="20"/>
              </w:rPr>
            </w:pPr>
            <w:r>
              <w:rPr>
                <w:rFonts w:ascii="Arial Narrow" w:hAnsi="Arial Narrow"/>
                <w:sz w:val="20"/>
                <w:szCs w:val="20"/>
              </w:rPr>
              <w:t>Volume (</w:t>
            </w:r>
            <w:r w:rsidR="008A5B66">
              <w:rPr>
                <w:rFonts w:ascii="Arial Narrow" w:hAnsi="Arial Narrow"/>
                <w:sz w:val="20"/>
                <w:szCs w:val="20"/>
              </w:rPr>
              <w:t>R</w:t>
            </w:r>
            <w:r>
              <w:rPr>
                <w:rFonts w:ascii="Arial Narrow" w:hAnsi="Arial Narrow"/>
                <w:sz w:val="20"/>
                <w:szCs w:val="20"/>
              </w:rPr>
              <w:t>PBS Services) – with new presentation</w:t>
            </w:r>
            <w:r w:rsidR="0089521F">
              <w:rPr>
                <w:rFonts w:ascii="Arial Narrow" w:hAnsi="Arial Narrow"/>
                <w:sz w:val="20"/>
                <w:szCs w:val="20"/>
              </w:rPr>
              <w:t>s</w:t>
            </w:r>
          </w:p>
        </w:tc>
        <w:tc>
          <w:tcPr>
            <w:tcW w:w="1353" w:type="dxa"/>
          </w:tcPr>
          <w:p w:rsidR="00921EEA" w:rsidRPr="008A5B66" w:rsidRDefault="00C84DAD" w:rsidP="004E5EA2">
            <w:pPr>
              <w:pStyle w:val="ListParagraph"/>
              <w:ind w:left="0"/>
              <w:jc w:val="both"/>
              <w:rPr>
                <w:rFonts w:ascii="Arial Narrow" w:hAnsi="Arial Narrow"/>
                <w:sz w:val="20"/>
                <w:szCs w:val="20"/>
              </w:rPr>
            </w:pPr>
            <w:r>
              <w:rPr>
                <w:rFonts w:ascii="Arial Narrow" w:hAnsi="Arial Narrow"/>
                <w:noProof/>
                <w:color w:val="000000"/>
                <w:sz w:val="20"/>
                <w:szCs w:val="20"/>
                <w:highlight w:val="black"/>
              </w:rPr>
              <w:t>''''''''''''''''''''</w:t>
            </w:r>
            <w:r w:rsidR="000A5C93" w:rsidRPr="008A5B66">
              <w:rPr>
                <w:rFonts w:ascii="Arial Narrow" w:hAnsi="Arial Narrow"/>
                <w:sz w:val="20"/>
                <w:szCs w:val="20"/>
              </w:rPr>
              <w:t xml:space="preserve"> Rx</w:t>
            </w:r>
          </w:p>
        </w:tc>
        <w:tc>
          <w:tcPr>
            <w:tcW w:w="1413" w:type="dxa"/>
          </w:tcPr>
          <w:p w:rsidR="00921EEA" w:rsidRPr="008A5B66" w:rsidRDefault="00C84DAD" w:rsidP="004E5EA2">
            <w:pPr>
              <w:pStyle w:val="ListParagraph"/>
              <w:ind w:left="0"/>
              <w:jc w:val="both"/>
              <w:rPr>
                <w:rFonts w:ascii="Arial Narrow" w:hAnsi="Arial Narrow"/>
                <w:sz w:val="20"/>
                <w:szCs w:val="20"/>
              </w:rPr>
            </w:pPr>
            <w:r>
              <w:rPr>
                <w:rFonts w:ascii="Arial Narrow" w:hAnsi="Arial Narrow"/>
                <w:noProof/>
                <w:color w:val="000000"/>
                <w:sz w:val="20"/>
                <w:szCs w:val="20"/>
                <w:highlight w:val="black"/>
              </w:rPr>
              <w:t>'''''''''''''''''''</w:t>
            </w:r>
            <w:r w:rsidR="000A5C93" w:rsidRPr="008A5B66">
              <w:rPr>
                <w:rFonts w:ascii="Arial Narrow" w:hAnsi="Arial Narrow"/>
                <w:sz w:val="20"/>
                <w:szCs w:val="20"/>
              </w:rPr>
              <w:t xml:space="preserve"> Rx</w:t>
            </w:r>
          </w:p>
        </w:tc>
        <w:tc>
          <w:tcPr>
            <w:tcW w:w="1413" w:type="dxa"/>
          </w:tcPr>
          <w:p w:rsidR="00921EEA" w:rsidRPr="008A5B66" w:rsidRDefault="00C84DAD" w:rsidP="004E5EA2">
            <w:pPr>
              <w:pStyle w:val="ListParagraph"/>
              <w:ind w:left="0"/>
              <w:jc w:val="both"/>
              <w:rPr>
                <w:rFonts w:ascii="Arial Narrow" w:hAnsi="Arial Narrow"/>
                <w:sz w:val="20"/>
                <w:szCs w:val="20"/>
              </w:rPr>
            </w:pPr>
            <w:r>
              <w:rPr>
                <w:rFonts w:ascii="Arial Narrow" w:hAnsi="Arial Narrow"/>
                <w:noProof/>
                <w:color w:val="000000"/>
                <w:sz w:val="20"/>
                <w:szCs w:val="20"/>
                <w:highlight w:val="black"/>
              </w:rPr>
              <w:t>'''''''''''''''''''</w:t>
            </w:r>
            <w:r w:rsidR="000A5C93" w:rsidRPr="008A5B66">
              <w:rPr>
                <w:rFonts w:ascii="Arial Narrow" w:hAnsi="Arial Narrow"/>
                <w:sz w:val="20"/>
                <w:szCs w:val="20"/>
              </w:rPr>
              <w:t xml:space="preserve"> Rx</w:t>
            </w:r>
          </w:p>
        </w:tc>
        <w:tc>
          <w:tcPr>
            <w:tcW w:w="1414" w:type="dxa"/>
          </w:tcPr>
          <w:p w:rsidR="00921EEA" w:rsidRPr="008A5B66" w:rsidRDefault="00C84DAD" w:rsidP="004E5EA2">
            <w:pPr>
              <w:pStyle w:val="ListParagraph"/>
              <w:ind w:left="0"/>
              <w:jc w:val="both"/>
              <w:rPr>
                <w:rFonts w:ascii="Arial Narrow" w:hAnsi="Arial Narrow"/>
                <w:sz w:val="20"/>
                <w:szCs w:val="20"/>
              </w:rPr>
            </w:pPr>
            <w:r>
              <w:rPr>
                <w:rFonts w:ascii="Arial Narrow" w:hAnsi="Arial Narrow"/>
                <w:noProof/>
                <w:color w:val="000000"/>
                <w:sz w:val="20"/>
                <w:szCs w:val="20"/>
                <w:highlight w:val="black"/>
              </w:rPr>
              <w:t>'''''''''''''''''''''</w:t>
            </w:r>
            <w:r w:rsidR="008A5B66" w:rsidRPr="008A5B66">
              <w:rPr>
                <w:rFonts w:ascii="Arial Narrow" w:hAnsi="Arial Narrow"/>
                <w:sz w:val="20"/>
                <w:szCs w:val="20"/>
              </w:rPr>
              <w:t xml:space="preserve"> Rx</w:t>
            </w:r>
          </w:p>
        </w:tc>
        <w:tc>
          <w:tcPr>
            <w:tcW w:w="1414" w:type="dxa"/>
          </w:tcPr>
          <w:p w:rsidR="00921EEA" w:rsidRPr="008A5B66" w:rsidRDefault="00C84DAD" w:rsidP="004E5EA2">
            <w:pPr>
              <w:pStyle w:val="ListParagraph"/>
              <w:ind w:left="0"/>
              <w:jc w:val="both"/>
              <w:rPr>
                <w:rFonts w:ascii="Arial Narrow" w:hAnsi="Arial Narrow"/>
                <w:sz w:val="20"/>
                <w:szCs w:val="20"/>
              </w:rPr>
            </w:pPr>
            <w:r>
              <w:rPr>
                <w:rFonts w:ascii="Arial Narrow" w:hAnsi="Arial Narrow"/>
                <w:noProof/>
                <w:color w:val="000000"/>
                <w:sz w:val="20"/>
                <w:szCs w:val="20"/>
                <w:highlight w:val="black"/>
              </w:rPr>
              <w:t>'''''''''''''''''</w:t>
            </w:r>
            <w:r w:rsidR="008A5B66" w:rsidRPr="008A5B66">
              <w:rPr>
                <w:rFonts w:ascii="Arial Narrow" w:hAnsi="Arial Narrow"/>
                <w:sz w:val="20"/>
                <w:szCs w:val="20"/>
              </w:rPr>
              <w:t xml:space="preserve"> Rx</w:t>
            </w:r>
          </w:p>
        </w:tc>
      </w:tr>
      <w:tr w:rsidR="00921EEA" w:rsidTr="00DA0BE1">
        <w:tc>
          <w:tcPr>
            <w:tcW w:w="1418" w:type="dxa"/>
            <w:shd w:val="clear" w:color="auto" w:fill="D9D9D9" w:themeFill="background1" w:themeFillShade="D9"/>
          </w:tcPr>
          <w:p w:rsidR="00921EEA" w:rsidRPr="00B9616D" w:rsidRDefault="00921EEA" w:rsidP="004E5EA2">
            <w:pPr>
              <w:pStyle w:val="ListParagraph"/>
              <w:ind w:left="0"/>
              <w:jc w:val="both"/>
              <w:rPr>
                <w:rFonts w:ascii="Arial Narrow" w:hAnsi="Arial Narrow"/>
                <w:b/>
                <w:sz w:val="20"/>
                <w:szCs w:val="20"/>
              </w:rPr>
            </w:pPr>
            <w:r w:rsidRPr="00B9616D">
              <w:rPr>
                <w:rFonts w:ascii="Arial Narrow" w:hAnsi="Arial Narrow"/>
                <w:b/>
                <w:sz w:val="20"/>
                <w:szCs w:val="20"/>
              </w:rPr>
              <w:t>Net volume</w:t>
            </w:r>
          </w:p>
        </w:tc>
        <w:tc>
          <w:tcPr>
            <w:tcW w:w="1353" w:type="dxa"/>
            <w:shd w:val="clear" w:color="auto" w:fill="D9D9D9" w:themeFill="background1" w:themeFillShade="D9"/>
          </w:tcPr>
          <w:p w:rsidR="00921EEA" w:rsidRPr="008A5B66" w:rsidRDefault="00C84DAD" w:rsidP="004E5EA2">
            <w:pPr>
              <w:pStyle w:val="ListParagraph"/>
              <w:ind w:left="0"/>
              <w:jc w:val="both"/>
              <w:rPr>
                <w:rFonts w:ascii="Arial Narrow" w:hAnsi="Arial Narrow"/>
                <w:b/>
                <w:sz w:val="20"/>
                <w:szCs w:val="20"/>
              </w:rPr>
            </w:pPr>
            <w:r>
              <w:rPr>
                <w:rFonts w:ascii="Arial Narrow" w:hAnsi="Arial Narrow"/>
                <w:b/>
                <w:noProof/>
                <w:color w:val="000000"/>
                <w:sz w:val="20"/>
                <w:szCs w:val="20"/>
                <w:highlight w:val="black"/>
              </w:rPr>
              <w:t>'''''''''''''</w:t>
            </w:r>
            <w:r w:rsidR="008A5B66" w:rsidRPr="008A5B66">
              <w:rPr>
                <w:rFonts w:ascii="Arial Narrow" w:hAnsi="Arial Narrow"/>
                <w:b/>
                <w:sz w:val="20"/>
                <w:szCs w:val="20"/>
              </w:rPr>
              <w:t xml:space="preserve"> Rx</w:t>
            </w:r>
          </w:p>
        </w:tc>
        <w:tc>
          <w:tcPr>
            <w:tcW w:w="1413" w:type="dxa"/>
            <w:shd w:val="clear" w:color="auto" w:fill="D9D9D9" w:themeFill="background1" w:themeFillShade="D9"/>
          </w:tcPr>
          <w:p w:rsidR="00921EEA" w:rsidRPr="004240B6" w:rsidRDefault="00C84DAD" w:rsidP="004E5EA2">
            <w:pPr>
              <w:pStyle w:val="ListParagraph"/>
              <w:ind w:left="0"/>
              <w:jc w:val="both"/>
              <w:rPr>
                <w:rFonts w:ascii="Arial Narrow" w:hAnsi="Arial Narrow"/>
                <w:b/>
                <w:sz w:val="20"/>
                <w:szCs w:val="20"/>
              </w:rPr>
            </w:pPr>
            <w:r>
              <w:rPr>
                <w:rFonts w:ascii="Arial Narrow" w:hAnsi="Arial Narrow"/>
                <w:b/>
                <w:noProof/>
                <w:color w:val="000000"/>
                <w:sz w:val="20"/>
                <w:szCs w:val="20"/>
                <w:highlight w:val="black"/>
              </w:rPr>
              <w:t>'''''''''''''''</w:t>
            </w:r>
            <w:r w:rsidR="008A5B66">
              <w:rPr>
                <w:rFonts w:ascii="Arial Narrow" w:hAnsi="Arial Narrow"/>
                <w:b/>
                <w:sz w:val="20"/>
                <w:szCs w:val="20"/>
              </w:rPr>
              <w:t xml:space="preserve"> Rx</w:t>
            </w:r>
          </w:p>
        </w:tc>
        <w:tc>
          <w:tcPr>
            <w:tcW w:w="1413" w:type="dxa"/>
            <w:shd w:val="clear" w:color="auto" w:fill="D9D9D9" w:themeFill="background1" w:themeFillShade="D9"/>
          </w:tcPr>
          <w:p w:rsidR="00921EEA" w:rsidRPr="004240B6" w:rsidRDefault="00C84DAD" w:rsidP="004E5EA2">
            <w:pPr>
              <w:pStyle w:val="ListParagraph"/>
              <w:ind w:left="0"/>
              <w:jc w:val="both"/>
              <w:rPr>
                <w:rFonts w:ascii="Arial Narrow" w:hAnsi="Arial Narrow"/>
                <w:b/>
                <w:sz w:val="20"/>
                <w:szCs w:val="20"/>
              </w:rPr>
            </w:pPr>
            <w:r>
              <w:rPr>
                <w:rFonts w:ascii="Arial Narrow" w:hAnsi="Arial Narrow"/>
                <w:b/>
                <w:noProof/>
                <w:color w:val="000000"/>
                <w:sz w:val="20"/>
                <w:szCs w:val="20"/>
                <w:highlight w:val="black"/>
              </w:rPr>
              <w:t>''''''''''''''''</w:t>
            </w:r>
            <w:r w:rsidR="008A5B66">
              <w:rPr>
                <w:rFonts w:ascii="Arial Narrow" w:hAnsi="Arial Narrow"/>
                <w:b/>
                <w:sz w:val="20"/>
                <w:szCs w:val="20"/>
              </w:rPr>
              <w:t xml:space="preserve"> Rx </w:t>
            </w:r>
          </w:p>
        </w:tc>
        <w:tc>
          <w:tcPr>
            <w:tcW w:w="1414" w:type="dxa"/>
            <w:shd w:val="clear" w:color="auto" w:fill="D9D9D9" w:themeFill="background1" w:themeFillShade="D9"/>
          </w:tcPr>
          <w:p w:rsidR="00921EEA" w:rsidRPr="004240B6" w:rsidRDefault="00C84DAD" w:rsidP="004E5EA2">
            <w:pPr>
              <w:pStyle w:val="ListParagraph"/>
              <w:ind w:left="0"/>
              <w:jc w:val="both"/>
              <w:rPr>
                <w:rFonts w:ascii="Arial Narrow" w:hAnsi="Arial Narrow"/>
                <w:b/>
                <w:sz w:val="20"/>
                <w:szCs w:val="20"/>
              </w:rPr>
            </w:pPr>
            <w:r>
              <w:rPr>
                <w:rFonts w:ascii="Arial Narrow" w:hAnsi="Arial Narrow"/>
                <w:b/>
                <w:noProof/>
                <w:color w:val="000000"/>
                <w:sz w:val="20"/>
                <w:szCs w:val="20"/>
                <w:highlight w:val="black"/>
              </w:rPr>
              <w:t>'''''''''''''''</w:t>
            </w:r>
            <w:r w:rsidR="008A5B66">
              <w:rPr>
                <w:rFonts w:ascii="Arial Narrow" w:hAnsi="Arial Narrow"/>
                <w:b/>
                <w:sz w:val="20"/>
                <w:szCs w:val="20"/>
              </w:rPr>
              <w:t xml:space="preserve"> Rx</w:t>
            </w:r>
          </w:p>
        </w:tc>
        <w:tc>
          <w:tcPr>
            <w:tcW w:w="1414" w:type="dxa"/>
            <w:shd w:val="clear" w:color="auto" w:fill="D9D9D9" w:themeFill="background1" w:themeFillShade="D9"/>
          </w:tcPr>
          <w:p w:rsidR="00921EEA" w:rsidRPr="004240B6" w:rsidRDefault="00C84DAD" w:rsidP="004E5EA2">
            <w:pPr>
              <w:pStyle w:val="ListParagraph"/>
              <w:ind w:left="0"/>
              <w:jc w:val="both"/>
              <w:rPr>
                <w:rFonts w:ascii="Arial Narrow" w:hAnsi="Arial Narrow"/>
                <w:b/>
                <w:sz w:val="20"/>
                <w:szCs w:val="20"/>
              </w:rPr>
            </w:pPr>
            <w:r>
              <w:rPr>
                <w:rFonts w:ascii="Arial Narrow" w:hAnsi="Arial Narrow"/>
                <w:b/>
                <w:noProof/>
                <w:color w:val="000000"/>
                <w:sz w:val="20"/>
                <w:szCs w:val="20"/>
                <w:highlight w:val="black"/>
              </w:rPr>
              <w:t>'''''''''''''</w:t>
            </w:r>
            <w:r w:rsidR="008A5B66">
              <w:rPr>
                <w:rFonts w:ascii="Arial Narrow" w:hAnsi="Arial Narrow"/>
                <w:b/>
                <w:sz w:val="20"/>
                <w:szCs w:val="20"/>
              </w:rPr>
              <w:t xml:space="preserve"> Rx </w:t>
            </w:r>
          </w:p>
        </w:tc>
      </w:tr>
      <w:tr w:rsidR="00921EEA" w:rsidTr="00DA0BE1">
        <w:tc>
          <w:tcPr>
            <w:tcW w:w="1418" w:type="dxa"/>
          </w:tcPr>
          <w:p w:rsidR="00921EEA" w:rsidRDefault="00921EEA" w:rsidP="004E5EA2">
            <w:pPr>
              <w:pStyle w:val="ListParagraph"/>
              <w:ind w:left="0"/>
              <w:jc w:val="both"/>
              <w:rPr>
                <w:rFonts w:ascii="Arial Narrow" w:hAnsi="Arial Narrow"/>
                <w:sz w:val="20"/>
                <w:szCs w:val="20"/>
              </w:rPr>
            </w:pPr>
            <w:r>
              <w:rPr>
                <w:rFonts w:ascii="Arial Narrow" w:hAnsi="Arial Narrow"/>
                <w:sz w:val="20"/>
                <w:szCs w:val="20"/>
              </w:rPr>
              <w:t>Cost – without new presentations</w:t>
            </w:r>
          </w:p>
        </w:tc>
        <w:tc>
          <w:tcPr>
            <w:tcW w:w="1353" w:type="dxa"/>
          </w:tcPr>
          <w:p w:rsidR="00921EEA" w:rsidRPr="00263604" w:rsidRDefault="008A5B66" w:rsidP="004E5EA2">
            <w:pPr>
              <w:pStyle w:val="ListParagraph"/>
              <w:ind w:left="0"/>
              <w:jc w:val="both"/>
              <w:rPr>
                <w:rFonts w:ascii="Arial Narrow" w:hAnsi="Arial Narrow"/>
                <w:sz w:val="20"/>
                <w:szCs w:val="20"/>
              </w:rPr>
            </w:pPr>
            <w:r w:rsidRPr="00263604">
              <w:rPr>
                <w:rFonts w:ascii="Arial Narrow" w:hAnsi="Arial Narrow"/>
                <w:sz w:val="20"/>
                <w:szCs w:val="20"/>
              </w:rPr>
              <w:t>$</w:t>
            </w:r>
            <w:r w:rsidR="00C84DAD">
              <w:rPr>
                <w:rFonts w:ascii="Arial Narrow" w:hAnsi="Arial Narrow"/>
                <w:noProof/>
                <w:color w:val="000000"/>
                <w:sz w:val="20"/>
                <w:szCs w:val="20"/>
                <w:highlight w:val="black"/>
              </w:rPr>
              <w:t>'''''''''''''''''''''''</w:t>
            </w:r>
          </w:p>
        </w:tc>
        <w:tc>
          <w:tcPr>
            <w:tcW w:w="1413" w:type="dxa"/>
          </w:tcPr>
          <w:p w:rsidR="00921EEA" w:rsidRPr="00263604" w:rsidRDefault="008A5B66" w:rsidP="004E5EA2">
            <w:pPr>
              <w:pStyle w:val="ListParagraph"/>
              <w:ind w:left="0"/>
              <w:jc w:val="both"/>
              <w:rPr>
                <w:rFonts w:ascii="Arial Narrow" w:hAnsi="Arial Narrow"/>
                <w:sz w:val="20"/>
                <w:szCs w:val="20"/>
              </w:rPr>
            </w:pPr>
            <w:r w:rsidRPr="00263604">
              <w:rPr>
                <w:rFonts w:ascii="Arial Narrow" w:hAnsi="Arial Narrow"/>
                <w:sz w:val="20"/>
                <w:szCs w:val="20"/>
              </w:rPr>
              <w:t>$</w:t>
            </w:r>
            <w:r w:rsidR="00C84DAD">
              <w:rPr>
                <w:rFonts w:ascii="Arial Narrow" w:hAnsi="Arial Narrow"/>
                <w:noProof/>
                <w:color w:val="000000"/>
                <w:sz w:val="20"/>
                <w:szCs w:val="20"/>
                <w:highlight w:val="black"/>
              </w:rPr>
              <w:t>'''''''''''''''''''''</w:t>
            </w:r>
          </w:p>
        </w:tc>
        <w:tc>
          <w:tcPr>
            <w:tcW w:w="1413" w:type="dxa"/>
          </w:tcPr>
          <w:p w:rsidR="00921EEA" w:rsidRPr="00263604" w:rsidRDefault="008A5B66" w:rsidP="004E5EA2">
            <w:pPr>
              <w:pStyle w:val="ListParagraph"/>
              <w:ind w:left="0"/>
              <w:jc w:val="both"/>
              <w:rPr>
                <w:rFonts w:ascii="Arial Narrow" w:hAnsi="Arial Narrow"/>
                <w:sz w:val="20"/>
                <w:szCs w:val="20"/>
              </w:rPr>
            </w:pPr>
            <w:r w:rsidRPr="00263604">
              <w:rPr>
                <w:rFonts w:ascii="Arial Narrow" w:hAnsi="Arial Narrow"/>
                <w:sz w:val="20"/>
                <w:szCs w:val="20"/>
              </w:rPr>
              <w:t>$</w:t>
            </w:r>
            <w:r w:rsidR="00C84DAD">
              <w:rPr>
                <w:rFonts w:ascii="Arial Narrow" w:hAnsi="Arial Narrow"/>
                <w:noProof/>
                <w:color w:val="000000"/>
                <w:sz w:val="20"/>
                <w:szCs w:val="20"/>
                <w:highlight w:val="black"/>
              </w:rPr>
              <w:t>'''''''''''''''''''''''''</w:t>
            </w:r>
          </w:p>
        </w:tc>
        <w:tc>
          <w:tcPr>
            <w:tcW w:w="1414" w:type="dxa"/>
          </w:tcPr>
          <w:p w:rsidR="00921EEA" w:rsidRPr="00263604" w:rsidRDefault="008A5B66" w:rsidP="004E5EA2">
            <w:pPr>
              <w:pStyle w:val="ListParagraph"/>
              <w:ind w:left="0"/>
              <w:jc w:val="both"/>
              <w:rPr>
                <w:rFonts w:ascii="Arial Narrow" w:hAnsi="Arial Narrow"/>
                <w:sz w:val="20"/>
                <w:szCs w:val="20"/>
              </w:rPr>
            </w:pPr>
            <w:r w:rsidRPr="00263604">
              <w:rPr>
                <w:rFonts w:ascii="Arial Narrow" w:hAnsi="Arial Narrow"/>
                <w:sz w:val="20"/>
                <w:szCs w:val="20"/>
              </w:rPr>
              <w:t>$</w:t>
            </w:r>
            <w:r w:rsidR="00C84DAD">
              <w:rPr>
                <w:rFonts w:ascii="Arial Narrow" w:hAnsi="Arial Narrow"/>
                <w:noProof/>
                <w:color w:val="000000"/>
                <w:sz w:val="20"/>
                <w:szCs w:val="20"/>
                <w:highlight w:val="black"/>
              </w:rPr>
              <w:t>'''''''''''''''''''''''</w:t>
            </w:r>
          </w:p>
        </w:tc>
        <w:tc>
          <w:tcPr>
            <w:tcW w:w="1414" w:type="dxa"/>
          </w:tcPr>
          <w:p w:rsidR="00921EEA" w:rsidRPr="00263604" w:rsidRDefault="008A5B66" w:rsidP="004E5EA2">
            <w:pPr>
              <w:pStyle w:val="ListParagraph"/>
              <w:ind w:left="0"/>
              <w:jc w:val="both"/>
              <w:rPr>
                <w:rFonts w:ascii="Arial Narrow" w:hAnsi="Arial Narrow"/>
                <w:sz w:val="20"/>
                <w:szCs w:val="20"/>
              </w:rPr>
            </w:pPr>
            <w:r w:rsidRPr="00263604">
              <w:rPr>
                <w:rFonts w:ascii="Arial Narrow" w:hAnsi="Arial Narrow"/>
                <w:sz w:val="20"/>
                <w:szCs w:val="20"/>
              </w:rPr>
              <w:t>$</w:t>
            </w:r>
            <w:r w:rsidR="00C84DAD">
              <w:rPr>
                <w:rFonts w:ascii="Arial Narrow" w:hAnsi="Arial Narrow"/>
                <w:noProof/>
                <w:color w:val="000000"/>
                <w:sz w:val="20"/>
                <w:szCs w:val="20"/>
                <w:highlight w:val="black"/>
              </w:rPr>
              <w:t>''''''''''''''''''''''</w:t>
            </w:r>
          </w:p>
        </w:tc>
      </w:tr>
      <w:tr w:rsidR="00921EEA" w:rsidTr="00DA0BE1">
        <w:tc>
          <w:tcPr>
            <w:tcW w:w="1418" w:type="dxa"/>
            <w:tcBorders>
              <w:bottom w:val="single" w:sz="8" w:space="0" w:color="auto"/>
            </w:tcBorders>
          </w:tcPr>
          <w:p w:rsidR="00921EEA" w:rsidRDefault="00921EEA" w:rsidP="004E5EA2">
            <w:pPr>
              <w:pStyle w:val="ListParagraph"/>
              <w:ind w:left="0"/>
              <w:jc w:val="both"/>
              <w:rPr>
                <w:rFonts w:ascii="Arial Narrow" w:hAnsi="Arial Narrow"/>
                <w:sz w:val="20"/>
                <w:szCs w:val="20"/>
              </w:rPr>
            </w:pPr>
            <w:r>
              <w:rPr>
                <w:rFonts w:ascii="Arial Narrow" w:hAnsi="Arial Narrow"/>
                <w:sz w:val="20"/>
                <w:szCs w:val="20"/>
              </w:rPr>
              <w:t>Cost – with new presentations</w:t>
            </w:r>
          </w:p>
        </w:tc>
        <w:tc>
          <w:tcPr>
            <w:tcW w:w="1353" w:type="dxa"/>
            <w:tcBorders>
              <w:bottom w:val="single" w:sz="8" w:space="0" w:color="auto"/>
            </w:tcBorders>
          </w:tcPr>
          <w:p w:rsidR="00921EEA" w:rsidRPr="00263604" w:rsidRDefault="008A5B66" w:rsidP="004E5EA2">
            <w:pPr>
              <w:pStyle w:val="ListParagraph"/>
              <w:ind w:left="0"/>
              <w:jc w:val="both"/>
              <w:rPr>
                <w:rFonts w:ascii="Arial Narrow" w:hAnsi="Arial Narrow"/>
                <w:sz w:val="20"/>
                <w:szCs w:val="20"/>
              </w:rPr>
            </w:pPr>
            <w:r w:rsidRPr="00263604">
              <w:rPr>
                <w:rFonts w:ascii="Arial Narrow" w:hAnsi="Arial Narrow"/>
                <w:sz w:val="20"/>
                <w:szCs w:val="20"/>
              </w:rPr>
              <w:t>$</w:t>
            </w:r>
            <w:r w:rsidR="00C84DAD">
              <w:rPr>
                <w:rFonts w:ascii="Arial Narrow" w:hAnsi="Arial Narrow"/>
                <w:noProof/>
                <w:color w:val="000000"/>
                <w:sz w:val="20"/>
                <w:szCs w:val="20"/>
                <w:highlight w:val="black"/>
              </w:rPr>
              <w:t>'''''''''''''''''''''''''</w:t>
            </w:r>
          </w:p>
        </w:tc>
        <w:tc>
          <w:tcPr>
            <w:tcW w:w="1413" w:type="dxa"/>
            <w:tcBorders>
              <w:bottom w:val="single" w:sz="8" w:space="0" w:color="auto"/>
            </w:tcBorders>
          </w:tcPr>
          <w:p w:rsidR="00921EEA" w:rsidRPr="00263604" w:rsidRDefault="008A5B66" w:rsidP="004E5EA2">
            <w:pPr>
              <w:pStyle w:val="ListParagraph"/>
              <w:ind w:left="0"/>
              <w:jc w:val="both"/>
              <w:rPr>
                <w:rFonts w:ascii="Arial Narrow" w:hAnsi="Arial Narrow"/>
                <w:sz w:val="20"/>
                <w:szCs w:val="20"/>
              </w:rPr>
            </w:pPr>
            <w:r w:rsidRPr="00263604">
              <w:rPr>
                <w:rFonts w:ascii="Arial Narrow" w:hAnsi="Arial Narrow"/>
                <w:sz w:val="20"/>
                <w:szCs w:val="20"/>
              </w:rPr>
              <w:t>$</w:t>
            </w:r>
            <w:r w:rsidR="00C84DAD">
              <w:rPr>
                <w:rFonts w:ascii="Arial Narrow" w:hAnsi="Arial Narrow"/>
                <w:noProof/>
                <w:color w:val="000000"/>
                <w:sz w:val="20"/>
                <w:szCs w:val="20"/>
                <w:highlight w:val="black"/>
              </w:rPr>
              <w:t>''''''''''''''''''''''</w:t>
            </w:r>
          </w:p>
        </w:tc>
        <w:tc>
          <w:tcPr>
            <w:tcW w:w="1413" w:type="dxa"/>
            <w:tcBorders>
              <w:bottom w:val="single" w:sz="8" w:space="0" w:color="auto"/>
            </w:tcBorders>
          </w:tcPr>
          <w:p w:rsidR="00921EEA" w:rsidRPr="00263604" w:rsidRDefault="008A5B66" w:rsidP="004E5EA2">
            <w:pPr>
              <w:pStyle w:val="ListParagraph"/>
              <w:ind w:left="0"/>
              <w:jc w:val="both"/>
              <w:rPr>
                <w:rFonts w:ascii="Arial Narrow" w:hAnsi="Arial Narrow"/>
                <w:sz w:val="20"/>
                <w:szCs w:val="20"/>
              </w:rPr>
            </w:pPr>
            <w:r w:rsidRPr="00263604">
              <w:rPr>
                <w:rFonts w:ascii="Arial Narrow" w:hAnsi="Arial Narrow"/>
                <w:sz w:val="20"/>
                <w:szCs w:val="20"/>
              </w:rPr>
              <w:t>$</w:t>
            </w:r>
            <w:r w:rsidR="00C84DAD">
              <w:rPr>
                <w:rFonts w:ascii="Arial Narrow" w:hAnsi="Arial Narrow"/>
                <w:noProof/>
                <w:color w:val="000000"/>
                <w:sz w:val="20"/>
                <w:szCs w:val="20"/>
                <w:highlight w:val="black"/>
              </w:rPr>
              <w:t>'''''''''''''''''''''''</w:t>
            </w:r>
          </w:p>
        </w:tc>
        <w:tc>
          <w:tcPr>
            <w:tcW w:w="1414" w:type="dxa"/>
            <w:tcBorders>
              <w:bottom w:val="single" w:sz="8" w:space="0" w:color="auto"/>
            </w:tcBorders>
          </w:tcPr>
          <w:p w:rsidR="00921EEA" w:rsidRPr="00263604" w:rsidRDefault="008A5B66" w:rsidP="004E5EA2">
            <w:pPr>
              <w:pStyle w:val="ListParagraph"/>
              <w:ind w:left="0"/>
              <w:jc w:val="both"/>
              <w:rPr>
                <w:rFonts w:ascii="Arial Narrow" w:hAnsi="Arial Narrow"/>
                <w:sz w:val="20"/>
                <w:szCs w:val="20"/>
              </w:rPr>
            </w:pPr>
            <w:r w:rsidRPr="00263604">
              <w:rPr>
                <w:rFonts w:ascii="Arial Narrow" w:hAnsi="Arial Narrow"/>
                <w:sz w:val="20"/>
                <w:szCs w:val="20"/>
              </w:rPr>
              <w:t>$</w:t>
            </w:r>
            <w:r w:rsidR="00C84DAD">
              <w:rPr>
                <w:rFonts w:ascii="Arial Narrow" w:hAnsi="Arial Narrow"/>
                <w:noProof/>
                <w:color w:val="000000"/>
                <w:sz w:val="20"/>
                <w:szCs w:val="20"/>
                <w:highlight w:val="black"/>
              </w:rPr>
              <w:t>'''''''''''''''''''''''</w:t>
            </w:r>
          </w:p>
        </w:tc>
        <w:tc>
          <w:tcPr>
            <w:tcW w:w="1414" w:type="dxa"/>
            <w:tcBorders>
              <w:bottom w:val="single" w:sz="8" w:space="0" w:color="auto"/>
            </w:tcBorders>
          </w:tcPr>
          <w:p w:rsidR="00921EEA" w:rsidRPr="00263604" w:rsidRDefault="008A5B66" w:rsidP="004E5EA2">
            <w:pPr>
              <w:pStyle w:val="ListParagraph"/>
              <w:ind w:left="0"/>
              <w:jc w:val="both"/>
              <w:rPr>
                <w:rFonts w:ascii="Arial Narrow" w:hAnsi="Arial Narrow"/>
                <w:sz w:val="20"/>
                <w:szCs w:val="20"/>
              </w:rPr>
            </w:pPr>
            <w:r w:rsidRPr="00263604">
              <w:rPr>
                <w:rFonts w:ascii="Arial Narrow" w:hAnsi="Arial Narrow"/>
                <w:sz w:val="20"/>
                <w:szCs w:val="20"/>
              </w:rPr>
              <w:t>$</w:t>
            </w:r>
            <w:r w:rsidR="00C84DAD">
              <w:rPr>
                <w:rFonts w:ascii="Arial Narrow" w:hAnsi="Arial Narrow"/>
                <w:noProof/>
                <w:color w:val="000000"/>
                <w:sz w:val="20"/>
                <w:szCs w:val="20"/>
                <w:highlight w:val="black"/>
              </w:rPr>
              <w:t>'''''''''''''''''''''''''</w:t>
            </w:r>
          </w:p>
        </w:tc>
      </w:tr>
      <w:tr w:rsidR="00921EEA" w:rsidTr="00DA0BE1">
        <w:tc>
          <w:tcPr>
            <w:tcW w:w="1418" w:type="dxa"/>
            <w:tcBorders>
              <w:top w:val="single" w:sz="8" w:space="0" w:color="auto"/>
              <w:left w:val="single" w:sz="8" w:space="0" w:color="auto"/>
              <w:bottom w:val="single" w:sz="8" w:space="0" w:color="auto"/>
            </w:tcBorders>
            <w:shd w:val="clear" w:color="auto" w:fill="D9D9D9" w:themeFill="background1" w:themeFillShade="D9"/>
          </w:tcPr>
          <w:p w:rsidR="00921EEA" w:rsidRPr="00B9616D" w:rsidRDefault="00921EEA" w:rsidP="004E5EA2">
            <w:pPr>
              <w:pStyle w:val="ListParagraph"/>
              <w:ind w:left="0"/>
              <w:jc w:val="both"/>
              <w:rPr>
                <w:rFonts w:ascii="Arial Narrow" w:hAnsi="Arial Narrow"/>
                <w:b/>
                <w:sz w:val="20"/>
                <w:szCs w:val="20"/>
              </w:rPr>
            </w:pPr>
            <w:r w:rsidRPr="00B9616D">
              <w:rPr>
                <w:rFonts w:ascii="Arial Narrow" w:hAnsi="Arial Narrow"/>
                <w:b/>
                <w:sz w:val="20"/>
                <w:szCs w:val="20"/>
              </w:rPr>
              <w:t>Net Cost</w:t>
            </w:r>
          </w:p>
        </w:tc>
        <w:tc>
          <w:tcPr>
            <w:tcW w:w="1353" w:type="dxa"/>
            <w:tcBorders>
              <w:top w:val="single" w:sz="8" w:space="0" w:color="auto"/>
              <w:bottom w:val="single" w:sz="8" w:space="0" w:color="auto"/>
            </w:tcBorders>
            <w:shd w:val="clear" w:color="auto" w:fill="D9D9D9" w:themeFill="background1" w:themeFillShade="D9"/>
          </w:tcPr>
          <w:p w:rsidR="00921EEA" w:rsidRPr="00263604" w:rsidRDefault="00B81E07" w:rsidP="004E5EA2">
            <w:pPr>
              <w:pStyle w:val="ListParagraph"/>
              <w:ind w:left="0"/>
              <w:jc w:val="both"/>
              <w:rPr>
                <w:rFonts w:ascii="Arial Narrow" w:hAnsi="Arial Narrow"/>
                <w:b/>
                <w:sz w:val="20"/>
                <w:szCs w:val="20"/>
              </w:rPr>
            </w:pPr>
            <w:r w:rsidRPr="00263604">
              <w:rPr>
                <w:rFonts w:ascii="Arial Narrow" w:hAnsi="Arial Narrow"/>
                <w:b/>
                <w:sz w:val="20"/>
                <w:szCs w:val="20"/>
              </w:rPr>
              <w:t>-$</w:t>
            </w:r>
            <w:r w:rsidR="00C84DAD">
              <w:rPr>
                <w:rFonts w:ascii="Arial Narrow" w:hAnsi="Arial Narrow"/>
                <w:b/>
                <w:noProof/>
                <w:color w:val="000000"/>
                <w:sz w:val="20"/>
                <w:szCs w:val="20"/>
                <w:highlight w:val="black"/>
              </w:rPr>
              <w:t>''''''''''''''''''</w:t>
            </w:r>
          </w:p>
        </w:tc>
        <w:tc>
          <w:tcPr>
            <w:tcW w:w="1413" w:type="dxa"/>
            <w:tcBorders>
              <w:top w:val="single" w:sz="8" w:space="0" w:color="auto"/>
              <w:bottom w:val="single" w:sz="8" w:space="0" w:color="auto"/>
            </w:tcBorders>
            <w:shd w:val="clear" w:color="auto" w:fill="D9D9D9" w:themeFill="background1" w:themeFillShade="D9"/>
          </w:tcPr>
          <w:p w:rsidR="00921EEA" w:rsidRPr="00263604" w:rsidRDefault="00B81E07" w:rsidP="004E5EA2">
            <w:pPr>
              <w:pStyle w:val="ListParagraph"/>
              <w:ind w:left="0"/>
              <w:jc w:val="both"/>
              <w:rPr>
                <w:rFonts w:ascii="Arial Narrow" w:hAnsi="Arial Narrow"/>
                <w:b/>
                <w:sz w:val="20"/>
                <w:szCs w:val="20"/>
              </w:rPr>
            </w:pPr>
            <w:r w:rsidRPr="00263604">
              <w:rPr>
                <w:rFonts w:ascii="Arial Narrow" w:hAnsi="Arial Narrow"/>
                <w:b/>
                <w:sz w:val="20"/>
                <w:szCs w:val="20"/>
              </w:rPr>
              <w:t>-$</w:t>
            </w:r>
            <w:r w:rsidR="00C84DAD">
              <w:rPr>
                <w:rFonts w:ascii="Arial Narrow" w:hAnsi="Arial Narrow"/>
                <w:b/>
                <w:noProof/>
                <w:color w:val="000000"/>
                <w:sz w:val="20"/>
                <w:szCs w:val="20"/>
                <w:highlight w:val="black"/>
              </w:rPr>
              <w:t>''''''''''''''''''</w:t>
            </w:r>
          </w:p>
        </w:tc>
        <w:tc>
          <w:tcPr>
            <w:tcW w:w="1413" w:type="dxa"/>
            <w:tcBorders>
              <w:top w:val="single" w:sz="8" w:space="0" w:color="auto"/>
              <w:bottom w:val="single" w:sz="8" w:space="0" w:color="auto"/>
            </w:tcBorders>
            <w:shd w:val="clear" w:color="auto" w:fill="D9D9D9" w:themeFill="background1" w:themeFillShade="D9"/>
          </w:tcPr>
          <w:p w:rsidR="00921EEA" w:rsidRPr="00263604" w:rsidRDefault="00B81E07" w:rsidP="004E5EA2">
            <w:pPr>
              <w:pStyle w:val="ListParagraph"/>
              <w:ind w:left="0"/>
              <w:jc w:val="both"/>
              <w:rPr>
                <w:rFonts w:ascii="Arial Narrow" w:hAnsi="Arial Narrow"/>
                <w:b/>
                <w:sz w:val="20"/>
                <w:szCs w:val="20"/>
              </w:rPr>
            </w:pPr>
            <w:r w:rsidRPr="00263604">
              <w:rPr>
                <w:rFonts w:ascii="Arial Narrow" w:hAnsi="Arial Narrow"/>
                <w:b/>
                <w:sz w:val="20"/>
                <w:szCs w:val="20"/>
              </w:rPr>
              <w:t>-$</w:t>
            </w:r>
            <w:r w:rsidR="00C84DAD">
              <w:rPr>
                <w:rFonts w:ascii="Arial Narrow" w:hAnsi="Arial Narrow"/>
                <w:b/>
                <w:noProof/>
                <w:color w:val="000000"/>
                <w:sz w:val="20"/>
                <w:szCs w:val="20"/>
                <w:highlight w:val="black"/>
              </w:rPr>
              <w:t>''''''''''''''''''''</w:t>
            </w:r>
          </w:p>
        </w:tc>
        <w:tc>
          <w:tcPr>
            <w:tcW w:w="1414" w:type="dxa"/>
            <w:tcBorders>
              <w:top w:val="single" w:sz="8" w:space="0" w:color="auto"/>
              <w:bottom w:val="single" w:sz="8" w:space="0" w:color="auto"/>
            </w:tcBorders>
            <w:shd w:val="clear" w:color="auto" w:fill="D9D9D9" w:themeFill="background1" w:themeFillShade="D9"/>
          </w:tcPr>
          <w:p w:rsidR="00921EEA" w:rsidRPr="00263604" w:rsidRDefault="00B81E07" w:rsidP="004E5EA2">
            <w:pPr>
              <w:pStyle w:val="ListParagraph"/>
              <w:ind w:left="0"/>
              <w:jc w:val="both"/>
              <w:rPr>
                <w:rFonts w:ascii="Arial Narrow" w:hAnsi="Arial Narrow"/>
                <w:b/>
                <w:sz w:val="20"/>
                <w:szCs w:val="20"/>
              </w:rPr>
            </w:pPr>
            <w:r w:rsidRPr="00263604">
              <w:rPr>
                <w:rFonts w:ascii="Arial Narrow" w:hAnsi="Arial Narrow"/>
                <w:b/>
                <w:sz w:val="20"/>
                <w:szCs w:val="20"/>
              </w:rPr>
              <w:t>-$</w:t>
            </w:r>
            <w:r w:rsidR="00C84DAD">
              <w:rPr>
                <w:rFonts w:ascii="Arial Narrow" w:hAnsi="Arial Narrow"/>
                <w:b/>
                <w:noProof/>
                <w:color w:val="000000"/>
                <w:sz w:val="20"/>
                <w:szCs w:val="20"/>
                <w:highlight w:val="black"/>
              </w:rPr>
              <w:t>'''''''''''''''''''''</w:t>
            </w:r>
          </w:p>
        </w:tc>
        <w:tc>
          <w:tcPr>
            <w:tcW w:w="1414" w:type="dxa"/>
            <w:tcBorders>
              <w:top w:val="single" w:sz="8" w:space="0" w:color="auto"/>
              <w:bottom w:val="single" w:sz="8" w:space="0" w:color="auto"/>
              <w:right w:val="single" w:sz="8" w:space="0" w:color="auto"/>
            </w:tcBorders>
            <w:shd w:val="clear" w:color="auto" w:fill="D9D9D9" w:themeFill="background1" w:themeFillShade="D9"/>
          </w:tcPr>
          <w:p w:rsidR="00921EEA" w:rsidRPr="00263604" w:rsidRDefault="00B81E07" w:rsidP="004E5EA2">
            <w:pPr>
              <w:pStyle w:val="ListParagraph"/>
              <w:ind w:left="0"/>
              <w:jc w:val="both"/>
              <w:rPr>
                <w:rFonts w:ascii="Arial Narrow" w:hAnsi="Arial Narrow"/>
                <w:b/>
                <w:sz w:val="20"/>
                <w:szCs w:val="20"/>
              </w:rPr>
            </w:pPr>
            <w:r w:rsidRPr="00263604">
              <w:rPr>
                <w:rFonts w:ascii="Arial Narrow" w:hAnsi="Arial Narrow"/>
                <w:b/>
                <w:sz w:val="20"/>
                <w:szCs w:val="20"/>
              </w:rPr>
              <w:t>-$</w:t>
            </w:r>
            <w:r w:rsidR="00C84DAD">
              <w:rPr>
                <w:rFonts w:ascii="Arial Narrow" w:hAnsi="Arial Narrow"/>
                <w:b/>
                <w:noProof/>
                <w:color w:val="000000"/>
                <w:sz w:val="20"/>
                <w:szCs w:val="20"/>
                <w:highlight w:val="black"/>
              </w:rPr>
              <w:t>''''''''''''''''''</w:t>
            </w:r>
          </w:p>
        </w:tc>
      </w:tr>
    </w:tbl>
    <w:p w:rsidR="00EF3438" w:rsidRPr="00B81E07" w:rsidRDefault="00EF3438" w:rsidP="00B81E07">
      <w:pPr>
        <w:rPr>
          <w:rFonts w:ascii="Arial" w:hAnsi="Arial"/>
          <w:sz w:val="22"/>
          <w:szCs w:val="22"/>
        </w:rPr>
      </w:pPr>
    </w:p>
    <w:p w:rsidR="009568BF" w:rsidRPr="009568BF" w:rsidRDefault="009568BF" w:rsidP="009568BF">
      <w:pPr>
        <w:pStyle w:val="ListParagraph"/>
        <w:rPr>
          <w:rFonts w:ascii="Arial" w:hAnsi="Arial" w:cs="Arial"/>
          <w:sz w:val="22"/>
          <w:szCs w:val="22"/>
          <w:highlight w:val="yellow"/>
        </w:rPr>
      </w:pPr>
    </w:p>
    <w:p w:rsidR="009444F9" w:rsidRPr="001553CE" w:rsidRDefault="009444F9" w:rsidP="009444F9">
      <w:pPr>
        <w:pStyle w:val="ListParagraph"/>
        <w:numPr>
          <w:ilvl w:val="1"/>
          <w:numId w:val="25"/>
        </w:numPr>
        <w:jc w:val="both"/>
        <w:rPr>
          <w:rFonts w:ascii="Arial" w:hAnsi="Arial" w:cs="Arial"/>
          <w:sz w:val="22"/>
          <w:szCs w:val="22"/>
        </w:rPr>
      </w:pPr>
      <w:r w:rsidRPr="001553CE">
        <w:rPr>
          <w:rFonts w:ascii="Arial" w:hAnsi="Arial" w:cs="Arial"/>
          <w:bCs/>
          <w:sz w:val="22"/>
          <w:szCs w:val="22"/>
        </w:rPr>
        <w:t xml:space="preserve">At year 5, the estimated number of </w:t>
      </w:r>
      <w:r w:rsidR="00C92FB3" w:rsidRPr="001553CE">
        <w:rPr>
          <w:rFonts w:ascii="Arial" w:hAnsi="Arial" w:cs="Arial"/>
          <w:bCs/>
          <w:sz w:val="22"/>
          <w:szCs w:val="22"/>
        </w:rPr>
        <w:t xml:space="preserve">PBS </w:t>
      </w:r>
      <w:r w:rsidRPr="001553CE">
        <w:rPr>
          <w:rFonts w:ascii="Arial" w:hAnsi="Arial" w:cs="Arial"/>
          <w:bCs/>
          <w:sz w:val="22"/>
          <w:szCs w:val="22"/>
        </w:rPr>
        <w:t xml:space="preserve">scripts was </w:t>
      </w:r>
      <w:r w:rsidR="008A43D6">
        <w:rPr>
          <w:rFonts w:ascii="Arial" w:hAnsi="Arial" w:cs="Arial"/>
          <w:bCs/>
          <w:sz w:val="22"/>
          <w:szCs w:val="22"/>
        </w:rPr>
        <w:t>over 200,000</w:t>
      </w:r>
      <w:r w:rsidRPr="001553CE">
        <w:rPr>
          <w:rFonts w:ascii="Arial" w:hAnsi="Arial" w:cs="Arial"/>
          <w:bCs/>
          <w:sz w:val="22"/>
          <w:szCs w:val="22"/>
        </w:rPr>
        <w:t xml:space="preserve"> and the net </w:t>
      </w:r>
      <w:r w:rsidR="001553CE" w:rsidRPr="001553CE">
        <w:rPr>
          <w:rFonts w:ascii="Arial" w:hAnsi="Arial" w:cs="Arial"/>
          <w:bCs/>
          <w:sz w:val="22"/>
          <w:szCs w:val="22"/>
        </w:rPr>
        <w:t xml:space="preserve">saving to the PBS was estimated to be </w:t>
      </w:r>
      <w:r w:rsidR="008A43D6" w:rsidRPr="008A43D6">
        <w:rPr>
          <w:rFonts w:ascii="Arial" w:hAnsi="Arial" w:cs="Arial"/>
          <w:bCs/>
          <w:sz w:val="22"/>
          <w:szCs w:val="22"/>
        </w:rPr>
        <w:t>less than $10 million</w:t>
      </w:r>
      <w:r w:rsidRPr="00263604">
        <w:rPr>
          <w:rFonts w:ascii="Arial" w:hAnsi="Arial" w:cs="Arial"/>
          <w:bCs/>
          <w:sz w:val="22"/>
          <w:szCs w:val="22"/>
        </w:rPr>
        <w:t>.</w:t>
      </w:r>
    </w:p>
    <w:p w:rsidR="009444F9" w:rsidRPr="009444F9" w:rsidRDefault="009444F9" w:rsidP="009444F9">
      <w:pPr>
        <w:pStyle w:val="ListParagraph"/>
        <w:jc w:val="both"/>
        <w:rPr>
          <w:rFonts w:ascii="Arial" w:hAnsi="Arial" w:cs="Arial"/>
          <w:sz w:val="22"/>
          <w:szCs w:val="22"/>
        </w:rPr>
      </w:pPr>
    </w:p>
    <w:p w:rsidR="002255D9" w:rsidRDefault="00F736F4" w:rsidP="00993A68">
      <w:pPr>
        <w:pStyle w:val="ListParagraph"/>
        <w:numPr>
          <w:ilvl w:val="1"/>
          <w:numId w:val="25"/>
        </w:numPr>
        <w:jc w:val="both"/>
        <w:rPr>
          <w:rFonts w:ascii="Arial" w:hAnsi="Arial" w:cs="Arial"/>
          <w:sz w:val="22"/>
          <w:szCs w:val="22"/>
        </w:rPr>
      </w:pPr>
      <w:r w:rsidRPr="004240B6">
        <w:rPr>
          <w:rFonts w:ascii="Arial" w:hAnsi="Arial" w:cs="Arial"/>
          <w:sz w:val="22"/>
          <w:szCs w:val="22"/>
        </w:rPr>
        <w:t>The submission</w:t>
      </w:r>
      <w:r w:rsidRPr="004240B6">
        <w:rPr>
          <w:rFonts w:ascii="Arial" w:hAnsi="Arial"/>
          <w:sz w:val="22"/>
          <w:szCs w:val="22"/>
        </w:rPr>
        <w:t xml:space="preserve"> predicted that the actual number of PBS</w:t>
      </w:r>
      <w:r>
        <w:rPr>
          <w:rFonts w:ascii="Arial" w:hAnsi="Arial"/>
          <w:sz w:val="22"/>
          <w:szCs w:val="22"/>
        </w:rPr>
        <w:t>/RPBS</w:t>
      </w:r>
      <w:r w:rsidR="006803D4">
        <w:rPr>
          <w:rFonts w:ascii="Arial" w:hAnsi="Arial"/>
          <w:sz w:val="22"/>
          <w:szCs w:val="22"/>
        </w:rPr>
        <w:t xml:space="preserve"> Services would</w:t>
      </w:r>
      <w:r w:rsidRPr="004240B6">
        <w:rPr>
          <w:rFonts w:ascii="Arial" w:hAnsi="Arial"/>
          <w:sz w:val="22"/>
          <w:szCs w:val="22"/>
        </w:rPr>
        <w:t xml:space="preserve"> decline as patients who currently require two patches to achieve an intermediate dose would be prescribed one patch for the same dose</w:t>
      </w:r>
      <w:r w:rsidRPr="004240B6">
        <w:rPr>
          <w:rFonts w:ascii="Arial" w:hAnsi="Arial" w:cs="Arial"/>
          <w:sz w:val="22"/>
          <w:szCs w:val="22"/>
        </w:rPr>
        <w:t>.</w:t>
      </w:r>
      <w:r w:rsidR="00335BC2">
        <w:rPr>
          <w:rFonts w:ascii="Arial" w:hAnsi="Arial" w:cs="Arial"/>
          <w:sz w:val="22"/>
          <w:szCs w:val="22"/>
        </w:rPr>
        <w:t xml:space="preserve"> The submission claimed</w:t>
      </w:r>
      <w:r>
        <w:rPr>
          <w:rFonts w:ascii="Arial" w:hAnsi="Arial" w:cs="Arial"/>
          <w:sz w:val="22"/>
          <w:szCs w:val="22"/>
        </w:rPr>
        <w:t xml:space="preserve"> that the savings are driven by the reduced PBS/RPBS co-payment for a single patch compared to two patches to achieve the same dose. </w:t>
      </w:r>
      <w:r w:rsidR="002255D9" w:rsidRPr="00993A68">
        <w:rPr>
          <w:rFonts w:ascii="Arial" w:hAnsi="Arial" w:cs="Arial"/>
          <w:sz w:val="22"/>
          <w:szCs w:val="22"/>
        </w:rPr>
        <w:t xml:space="preserve"> </w:t>
      </w:r>
    </w:p>
    <w:p w:rsidR="00482DAE" w:rsidRPr="00C92FB3" w:rsidRDefault="00482DAE" w:rsidP="00C92FB3">
      <w:pPr>
        <w:jc w:val="both"/>
        <w:rPr>
          <w:rFonts w:ascii="Arial" w:hAnsi="Arial" w:cs="Arial"/>
          <w:sz w:val="22"/>
          <w:szCs w:val="22"/>
        </w:rPr>
      </w:pPr>
    </w:p>
    <w:p w:rsidR="00FF00BD" w:rsidRDefault="002255D9" w:rsidP="005F6917">
      <w:pPr>
        <w:pStyle w:val="PBACheading1"/>
      </w:pPr>
      <w:r w:rsidRPr="002255D9">
        <w:t>PBAC outcome</w:t>
      </w:r>
    </w:p>
    <w:p w:rsidR="00993A68" w:rsidRDefault="00993A68" w:rsidP="00993A68">
      <w:pPr>
        <w:pStyle w:val="ListParagraph"/>
        <w:jc w:val="both"/>
        <w:rPr>
          <w:rFonts w:ascii="Arial" w:hAnsi="Arial" w:cs="Arial"/>
          <w:b/>
          <w:sz w:val="22"/>
          <w:szCs w:val="22"/>
        </w:rPr>
      </w:pPr>
      <w:r>
        <w:rPr>
          <w:rFonts w:ascii="Arial" w:hAnsi="Arial" w:cs="Arial"/>
          <w:b/>
          <w:sz w:val="22"/>
          <w:szCs w:val="22"/>
        </w:rPr>
        <w:t xml:space="preserve"> </w:t>
      </w:r>
    </w:p>
    <w:p w:rsidR="00BD25BB" w:rsidRDefault="00CB4CE9" w:rsidP="00D41118">
      <w:pPr>
        <w:numPr>
          <w:ilvl w:val="1"/>
          <w:numId w:val="25"/>
        </w:numPr>
        <w:jc w:val="both"/>
        <w:rPr>
          <w:rFonts w:ascii="Arial" w:hAnsi="Arial" w:cs="Arial"/>
          <w:bCs/>
          <w:sz w:val="22"/>
          <w:szCs w:val="22"/>
          <w:lang w:val="en-GB"/>
        </w:rPr>
      </w:pPr>
      <w:r w:rsidRPr="001A29D9">
        <w:rPr>
          <w:rFonts w:ascii="Arial" w:hAnsi="Arial" w:cs="Arial"/>
          <w:bCs/>
          <w:sz w:val="22"/>
          <w:szCs w:val="22"/>
          <w:lang w:val="en-GB"/>
        </w:rPr>
        <w:t xml:space="preserve">The PBAC deferred </w:t>
      </w:r>
      <w:r w:rsidR="00BD25BB">
        <w:rPr>
          <w:rFonts w:ascii="Arial" w:hAnsi="Arial" w:cs="Arial"/>
          <w:bCs/>
          <w:sz w:val="22"/>
          <w:szCs w:val="22"/>
          <w:lang w:val="en-GB"/>
        </w:rPr>
        <w:t xml:space="preserve">making a recommendation regarding the proposed General Schedule listing of additional buprenorphine patch strengths. </w:t>
      </w:r>
    </w:p>
    <w:p w:rsidR="00D41118" w:rsidRDefault="00BD25BB" w:rsidP="00BD25BB">
      <w:pPr>
        <w:ind w:left="720"/>
        <w:jc w:val="both"/>
        <w:rPr>
          <w:rFonts w:ascii="Arial" w:hAnsi="Arial" w:cs="Arial"/>
          <w:bCs/>
          <w:sz w:val="22"/>
          <w:szCs w:val="22"/>
          <w:lang w:val="en-GB"/>
        </w:rPr>
      </w:pPr>
      <w:r>
        <w:rPr>
          <w:rFonts w:ascii="Arial" w:hAnsi="Arial" w:cs="Arial"/>
          <w:bCs/>
          <w:sz w:val="22"/>
          <w:szCs w:val="22"/>
          <w:lang w:val="en-GB"/>
        </w:rPr>
        <w:t xml:space="preserve"> </w:t>
      </w:r>
    </w:p>
    <w:p w:rsidR="00BD25BB" w:rsidRPr="00531D84" w:rsidRDefault="006F760C" w:rsidP="00531D84">
      <w:pPr>
        <w:numPr>
          <w:ilvl w:val="1"/>
          <w:numId w:val="25"/>
        </w:numPr>
        <w:jc w:val="both"/>
        <w:rPr>
          <w:rFonts w:ascii="Arial" w:hAnsi="Arial" w:cs="Arial"/>
          <w:bCs/>
          <w:sz w:val="22"/>
          <w:szCs w:val="22"/>
          <w:lang w:val="en-GB"/>
        </w:rPr>
      </w:pPr>
      <w:r w:rsidRPr="006803D4">
        <w:rPr>
          <w:rFonts w:ascii="Arial" w:hAnsi="Arial" w:cs="Arial"/>
          <w:bCs/>
          <w:sz w:val="22"/>
          <w:szCs w:val="22"/>
          <w:lang w:val="en-GB"/>
        </w:rPr>
        <w:t xml:space="preserve">The PBAC </w:t>
      </w:r>
      <w:r w:rsidR="0091570B" w:rsidRPr="006803D4">
        <w:rPr>
          <w:rFonts w:ascii="Arial" w:hAnsi="Arial" w:cs="Arial"/>
          <w:bCs/>
          <w:sz w:val="22"/>
          <w:szCs w:val="22"/>
          <w:lang w:val="en-GB"/>
        </w:rPr>
        <w:t>noted that the requested 40</w:t>
      </w:r>
      <w:r w:rsidR="009F0C45">
        <w:rPr>
          <w:rFonts w:ascii="Arial" w:hAnsi="Arial" w:cs="Arial"/>
          <w:bCs/>
          <w:sz w:val="22"/>
          <w:szCs w:val="22"/>
          <w:lang w:val="en-GB"/>
        </w:rPr>
        <w:t xml:space="preserve"> </w:t>
      </w:r>
      <w:r w:rsidR="006940F4">
        <w:rPr>
          <w:rFonts w:ascii="Arial" w:hAnsi="Arial" w:cs="Arial"/>
          <w:bCs/>
          <w:sz w:val="22"/>
          <w:szCs w:val="22"/>
          <w:lang w:val="en-GB"/>
        </w:rPr>
        <w:t>microgram</w:t>
      </w:r>
      <w:r w:rsidR="0091570B" w:rsidRPr="006803D4">
        <w:rPr>
          <w:rFonts w:ascii="Arial" w:hAnsi="Arial" w:cs="Arial"/>
          <w:bCs/>
          <w:sz w:val="22"/>
          <w:szCs w:val="22"/>
          <w:lang w:val="en-GB"/>
        </w:rPr>
        <w:t xml:space="preserve">/hour patch was stronger than </w:t>
      </w:r>
      <w:r w:rsidR="006803D4" w:rsidRPr="006803D4">
        <w:rPr>
          <w:rFonts w:ascii="Arial" w:hAnsi="Arial" w:cs="Arial"/>
          <w:bCs/>
          <w:sz w:val="22"/>
          <w:szCs w:val="22"/>
          <w:lang w:val="en-GB"/>
        </w:rPr>
        <w:t>the</w:t>
      </w:r>
      <w:r w:rsidR="0091570B" w:rsidRPr="006803D4">
        <w:rPr>
          <w:rFonts w:ascii="Arial" w:hAnsi="Arial" w:cs="Arial"/>
          <w:bCs/>
          <w:sz w:val="22"/>
          <w:szCs w:val="22"/>
          <w:lang w:val="en-GB"/>
        </w:rPr>
        <w:t xml:space="preserve"> </w:t>
      </w:r>
      <w:r w:rsidR="006803D4">
        <w:rPr>
          <w:rFonts w:ascii="Arial" w:hAnsi="Arial" w:cs="Arial"/>
          <w:bCs/>
          <w:sz w:val="22"/>
          <w:szCs w:val="22"/>
          <w:lang w:val="en-GB"/>
        </w:rPr>
        <w:t>strongest currently listed</w:t>
      </w:r>
      <w:r w:rsidR="006803D4" w:rsidRPr="006803D4">
        <w:rPr>
          <w:rFonts w:ascii="Arial" w:hAnsi="Arial" w:cs="Arial"/>
          <w:bCs/>
          <w:sz w:val="22"/>
          <w:szCs w:val="22"/>
          <w:lang w:val="en-GB"/>
        </w:rPr>
        <w:t xml:space="preserve"> </w:t>
      </w:r>
      <w:r w:rsidR="0091570B" w:rsidRPr="006803D4">
        <w:rPr>
          <w:rFonts w:ascii="Arial" w:hAnsi="Arial" w:cs="Arial"/>
          <w:bCs/>
          <w:sz w:val="22"/>
          <w:szCs w:val="22"/>
          <w:lang w:val="en-GB"/>
        </w:rPr>
        <w:t>patch</w:t>
      </w:r>
      <w:r w:rsidR="006803D4" w:rsidRPr="006803D4">
        <w:rPr>
          <w:rFonts w:ascii="Arial" w:hAnsi="Arial" w:cs="Arial"/>
          <w:bCs/>
          <w:sz w:val="22"/>
          <w:szCs w:val="22"/>
          <w:lang w:val="en-GB"/>
        </w:rPr>
        <w:t xml:space="preserve"> (</w:t>
      </w:r>
      <w:r w:rsidR="00D12AA5">
        <w:rPr>
          <w:rFonts w:ascii="Arial" w:hAnsi="Arial" w:cs="Arial"/>
          <w:bCs/>
          <w:sz w:val="22"/>
          <w:szCs w:val="22"/>
          <w:lang w:val="en-GB"/>
        </w:rPr>
        <w:t>2</w:t>
      </w:r>
      <w:r w:rsidR="00D12AA5" w:rsidRPr="006803D4">
        <w:rPr>
          <w:rFonts w:ascii="Arial" w:hAnsi="Arial" w:cs="Arial"/>
          <w:bCs/>
          <w:sz w:val="22"/>
          <w:szCs w:val="22"/>
          <w:lang w:val="en-GB"/>
        </w:rPr>
        <w:t xml:space="preserve">0 </w:t>
      </w:r>
      <w:r w:rsidR="006940F4">
        <w:rPr>
          <w:rFonts w:ascii="Arial" w:hAnsi="Arial" w:cs="Arial"/>
          <w:bCs/>
          <w:sz w:val="22"/>
          <w:szCs w:val="22"/>
          <w:lang w:val="en-GB"/>
        </w:rPr>
        <w:t>microgram</w:t>
      </w:r>
      <w:r w:rsidR="006803D4" w:rsidRPr="006803D4">
        <w:rPr>
          <w:rFonts w:ascii="Arial" w:hAnsi="Arial" w:cs="Arial"/>
          <w:bCs/>
          <w:sz w:val="22"/>
          <w:szCs w:val="22"/>
          <w:lang w:val="en-GB"/>
        </w:rPr>
        <w:t>/hour)</w:t>
      </w:r>
      <w:r w:rsidR="006803D4">
        <w:rPr>
          <w:rFonts w:ascii="Arial" w:hAnsi="Arial" w:cs="Arial"/>
          <w:bCs/>
          <w:sz w:val="22"/>
          <w:szCs w:val="22"/>
          <w:lang w:val="en-GB"/>
        </w:rPr>
        <w:t xml:space="preserve">. The PBAC considered </w:t>
      </w:r>
      <w:r w:rsidR="0091570B" w:rsidRPr="006803D4">
        <w:rPr>
          <w:rFonts w:ascii="Arial" w:hAnsi="Arial" w:cs="Arial"/>
          <w:bCs/>
          <w:sz w:val="22"/>
          <w:szCs w:val="22"/>
          <w:lang w:val="en-GB"/>
        </w:rPr>
        <w:t xml:space="preserve">that </w:t>
      </w:r>
      <w:r w:rsidR="00D12AA5">
        <w:rPr>
          <w:rFonts w:ascii="Arial" w:hAnsi="Arial" w:cs="Arial"/>
          <w:bCs/>
          <w:sz w:val="22"/>
          <w:szCs w:val="22"/>
          <w:lang w:val="en-GB"/>
        </w:rPr>
        <w:t xml:space="preserve">the submission had not explored the risk of utilisation being driven towards higher </w:t>
      </w:r>
      <w:r w:rsidR="00CE3431">
        <w:rPr>
          <w:rFonts w:ascii="Arial" w:hAnsi="Arial" w:cs="Arial"/>
          <w:bCs/>
          <w:sz w:val="22"/>
          <w:szCs w:val="22"/>
          <w:lang w:val="en-GB"/>
        </w:rPr>
        <w:t xml:space="preserve">doses due to the availability of the higher </w:t>
      </w:r>
      <w:r w:rsidR="00D12AA5">
        <w:rPr>
          <w:rFonts w:ascii="Arial" w:hAnsi="Arial" w:cs="Arial"/>
          <w:bCs/>
          <w:sz w:val="22"/>
          <w:szCs w:val="22"/>
          <w:lang w:val="en-GB"/>
        </w:rPr>
        <w:t>strength patch</w:t>
      </w:r>
      <w:r w:rsidR="00CE3431">
        <w:rPr>
          <w:rFonts w:ascii="Arial" w:hAnsi="Arial" w:cs="Arial"/>
          <w:bCs/>
          <w:sz w:val="22"/>
          <w:szCs w:val="22"/>
          <w:lang w:val="en-GB"/>
        </w:rPr>
        <w:t xml:space="preserve">es.  The PBAC </w:t>
      </w:r>
      <w:r w:rsidR="00D12AA5">
        <w:rPr>
          <w:rFonts w:ascii="Arial" w:hAnsi="Arial" w:cs="Arial"/>
          <w:bCs/>
          <w:sz w:val="22"/>
          <w:szCs w:val="22"/>
          <w:lang w:val="en-GB"/>
        </w:rPr>
        <w:t>cons</w:t>
      </w:r>
      <w:r w:rsidR="00CE3431">
        <w:rPr>
          <w:rFonts w:ascii="Arial" w:hAnsi="Arial" w:cs="Arial"/>
          <w:bCs/>
          <w:sz w:val="22"/>
          <w:szCs w:val="22"/>
          <w:lang w:val="en-GB"/>
        </w:rPr>
        <w:t>idered that clarif</w:t>
      </w:r>
      <w:r w:rsidR="00D12AA5">
        <w:rPr>
          <w:rFonts w:ascii="Arial" w:hAnsi="Arial" w:cs="Arial"/>
          <w:bCs/>
          <w:sz w:val="22"/>
          <w:szCs w:val="22"/>
          <w:lang w:val="en-GB"/>
        </w:rPr>
        <w:t>y</w:t>
      </w:r>
      <w:r w:rsidR="00CE3431">
        <w:rPr>
          <w:rFonts w:ascii="Arial" w:hAnsi="Arial" w:cs="Arial"/>
          <w:bCs/>
          <w:sz w:val="22"/>
          <w:szCs w:val="22"/>
          <w:lang w:val="en-GB"/>
        </w:rPr>
        <w:t>ing</w:t>
      </w:r>
      <w:r w:rsidR="00D12AA5">
        <w:rPr>
          <w:rFonts w:ascii="Arial" w:hAnsi="Arial" w:cs="Arial"/>
          <w:bCs/>
          <w:sz w:val="22"/>
          <w:szCs w:val="22"/>
          <w:lang w:val="en-GB"/>
        </w:rPr>
        <w:t xml:space="preserve"> this issue would be essential </w:t>
      </w:r>
      <w:r w:rsidR="00CE3431">
        <w:rPr>
          <w:rFonts w:ascii="Arial" w:hAnsi="Arial" w:cs="Arial"/>
          <w:bCs/>
          <w:sz w:val="22"/>
          <w:szCs w:val="22"/>
          <w:lang w:val="en-GB"/>
        </w:rPr>
        <w:t>to</w:t>
      </w:r>
      <w:r w:rsidR="00D12AA5">
        <w:rPr>
          <w:rFonts w:ascii="Arial" w:hAnsi="Arial" w:cs="Arial"/>
          <w:bCs/>
          <w:sz w:val="22"/>
          <w:szCs w:val="22"/>
          <w:lang w:val="en-GB"/>
        </w:rPr>
        <w:t xml:space="preserve"> establish the clinical appropriateness </w:t>
      </w:r>
      <w:r w:rsidR="00CE3431">
        <w:rPr>
          <w:rFonts w:ascii="Arial" w:hAnsi="Arial" w:cs="Arial"/>
          <w:bCs/>
          <w:sz w:val="22"/>
          <w:szCs w:val="22"/>
          <w:lang w:val="en-GB"/>
        </w:rPr>
        <w:t>strengths above the current 20 microgram/hour patch.</w:t>
      </w:r>
      <w:r w:rsidR="00D12AA5">
        <w:rPr>
          <w:rFonts w:ascii="Arial" w:hAnsi="Arial" w:cs="Arial"/>
          <w:bCs/>
          <w:sz w:val="22"/>
          <w:szCs w:val="22"/>
          <w:lang w:val="en-GB"/>
        </w:rPr>
        <w:t xml:space="preserve"> </w:t>
      </w:r>
    </w:p>
    <w:p w:rsidR="00D41118" w:rsidRDefault="00D41118" w:rsidP="00555599">
      <w:pPr>
        <w:jc w:val="both"/>
        <w:rPr>
          <w:rFonts w:ascii="Arial" w:hAnsi="Arial" w:cs="Arial"/>
          <w:bCs/>
          <w:sz w:val="22"/>
          <w:szCs w:val="22"/>
          <w:lang w:val="en-GB"/>
        </w:rPr>
      </w:pPr>
    </w:p>
    <w:p w:rsidR="00BD25BB" w:rsidRPr="006F760C" w:rsidRDefault="002B2D03" w:rsidP="00BD25BB">
      <w:pPr>
        <w:numPr>
          <w:ilvl w:val="1"/>
          <w:numId w:val="25"/>
        </w:numPr>
        <w:jc w:val="both"/>
        <w:rPr>
          <w:rFonts w:ascii="Arial" w:hAnsi="Arial" w:cs="Arial"/>
          <w:bCs/>
          <w:sz w:val="22"/>
          <w:szCs w:val="22"/>
          <w:lang w:val="en-GB"/>
        </w:rPr>
      </w:pPr>
      <w:r>
        <w:rPr>
          <w:rFonts w:ascii="Arial" w:hAnsi="Arial" w:cs="Arial"/>
          <w:bCs/>
          <w:sz w:val="22"/>
          <w:szCs w:val="22"/>
          <w:lang w:val="en-GB"/>
        </w:rPr>
        <w:t>The</w:t>
      </w:r>
      <w:r w:rsidR="00D41118">
        <w:rPr>
          <w:rFonts w:ascii="Arial" w:hAnsi="Arial" w:cs="Arial"/>
          <w:bCs/>
          <w:sz w:val="22"/>
          <w:szCs w:val="22"/>
          <w:lang w:val="en-GB"/>
        </w:rPr>
        <w:t xml:space="preserve"> PBAC </w:t>
      </w:r>
      <w:r w:rsidR="006F760C">
        <w:rPr>
          <w:rFonts w:ascii="Arial" w:hAnsi="Arial" w:cs="Arial"/>
          <w:bCs/>
          <w:sz w:val="22"/>
          <w:szCs w:val="22"/>
          <w:lang w:val="en-GB"/>
        </w:rPr>
        <w:t xml:space="preserve">considered that further advice would need to be sought regarding the clinical place </w:t>
      </w:r>
      <w:r w:rsidR="00CE3431">
        <w:rPr>
          <w:rFonts w:ascii="Arial" w:hAnsi="Arial" w:cs="Arial"/>
          <w:bCs/>
          <w:sz w:val="22"/>
          <w:szCs w:val="22"/>
          <w:lang w:val="en-GB"/>
        </w:rPr>
        <w:t xml:space="preserve">and appropriateness </w:t>
      </w:r>
      <w:r w:rsidR="006F760C">
        <w:rPr>
          <w:rFonts w:ascii="Arial" w:hAnsi="Arial" w:cs="Arial"/>
          <w:bCs/>
          <w:sz w:val="22"/>
          <w:szCs w:val="22"/>
          <w:lang w:val="en-GB"/>
        </w:rPr>
        <w:t xml:space="preserve">for additional </w:t>
      </w:r>
      <w:r w:rsidR="00CE3431">
        <w:rPr>
          <w:rFonts w:ascii="Arial" w:hAnsi="Arial" w:cs="Arial"/>
          <w:bCs/>
          <w:sz w:val="22"/>
          <w:szCs w:val="22"/>
          <w:lang w:val="en-GB"/>
        </w:rPr>
        <w:t xml:space="preserve">strengths of </w:t>
      </w:r>
      <w:r w:rsidR="00B50E60">
        <w:rPr>
          <w:rFonts w:ascii="Arial" w:hAnsi="Arial" w:cs="Arial"/>
          <w:bCs/>
          <w:sz w:val="22"/>
          <w:szCs w:val="22"/>
          <w:lang w:val="en-GB"/>
        </w:rPr>
        <w:t>buprenorphine patch</w:t>
      </w:r>
      <w:r w:rsidR="00CE3431">
        <w:rPr>
          <w:rFonts w:ascii="Arial" w:hAnsi="Arial" w:cs="Arial"/>
          <w:bCs/>
          <w:sz w:val="22"/>
          <w:szCs w:val="22"/>
          <w:lang w:val="en-GB"/>
        </w:rPr>
        <w:t>es</w:t>
      </w:r>
      <w:r w:rsidR="006F760C">
        <w:rPr>
          <w:rFonts w:ascii="Arial" w:hAnsi="Arial" w:cs="Arial"/>
          <w:bCs/>
          <w:sz w:val="22"/>
          <w:szCs w:val="22"/>
          <w:lang w:val="en-GB"/>
        </w:rPr>
        <w:t xml:space="preserve">, and recommended </w:t>
      </w:r>
      <w:r w:rsidR="00CE3431">
        <w:rPr>
          <w:rFonts w:ascii="Arial" w:hAnsi="Arial" w:cs="Arial"/>
          <w:bCs/>
          <w:sz w:val="22"/>
          <w:szCs w:val="22"/>
          <w:lang w:val="en-GB"/>
        </w:rPr>
        <w:t xml:space="preserve">that the Department </w:t>
      </w:r>
      <w:r w:rsidR="006F760C">
        <w:rPr>
          <w:rFonts w:ascii="Arial" w:hAnsi="Arial" w:cs="Arial"/>
          <w:bCs/>
          <w:sz w:val="22"/>
          <w:szCs w:val="22"/>
          <w:lang w:val="en-GB"/>
        </w:rPr>
        <w:t xml:space="preserve">consult </w:t>
      </w:r>
      <w:r w:rsidR="0091570B">
        <w:rPr>
          <w:rFonts w:ascii="Arial" w:hAnsi="Arial" w:cs="Arial"/>
          <w:bCs/>
          <w:sz w:val="22"/>
          <w:szCs w:val="22"/>
          <w:lang w:val="en-GB"/>
        </w:rPr>
        <w:t xml:space="preserve">with organisations representing physicians experienced in pain management. </w:t>
      </w:r>
      <w:r w:rsidR="006F760C">
        <w:rPr>
          <w:rFonts w:ascii="Arial" w:hAnsi="Arial" w:cs="Arial"/>
          <w:bCs/>
          <w:sz w:val="22"/>
          <w:szCs w:val="22"/>
          <w:lang w:val="en-GB"/>
        </w:rPr>
        <w:t xml:space="preserve"> </w:t>
      </w:r>
    </w:p>
    <w:p w:rsidR="0091570B" w:rsidRPr="00531D84" w:rsidRDefault="0091570B" w:rsidP="00531D84">
      <w:pPr>
        <w:rPr>
          <w:rFonts w:ascii="Arial" w:hAnsi="Arial" w:cs="Arial"/>
          <w:bCs/>
          <w:sz w:val="22"/>
          <w:szCs w:val="22"/>
          <w:lang w:val="en-GB"/>
        </w:rPr>
      </w:pPr>
    </w:p>
    <w:p w:rsidR="0091570B" w:rsidRPr="0091570B" w:rsidRDefault="0091570B" w:rsidP="0091570B">
      <w:pPr>
        <w:numPr>
          <w:ilvl w:val="1"/>
          <w:numId w:val="25"/>
        </w:numPr>
        <w:jc w:val="both"/>
        <w:rPr>
          <w:rFonts w:ascii="Arial" w:hAnsi="Arial" w:cs="Arial"/>
          <w:bCs/>
          <w:sz w:val="22"/>
          <w:szCs w:val="22"/>
          <w:lang w:val="en-GB"/>
        </w:rPr>
      </w:pPr>
      <w:r>
        <w:rPr>
          <w:rFonts w:ascii="Arial" w:hAnsi="Arial" w:cs="Arial"/>
          <w:bCs/>
          <w:sz w:val="22"/>
          <w:szCs w:val="22"/>
          <w:lang w:val="en-GB"/>
        </w:rPr>
        <w:t xml:space="preserve">The PBAC noted expert clinician advice that </w:t>
      </w:r>
      <w:r>
        <w:rPr>
          <w:rFonts w:ascii="Arial" w:hAnsi="Arial"/>
          <w:sz w:val="22"/>
          <w:szCs w:val="22"/>
        </w:rPr>
        <w:t xml:space="preserve">“narcotic” is an outdated term that has been replaced with “opioid” in clinical practice, and </w:t>
      </w:r>
      <w:r w:rsidR="00D12AA5">
        <w:rPr>
          <w:rFonts w:ascii="Arial" w:hAnsi="Arial"/>
          <w:sz w:val="22"/>
          <w:szCs w:val="22"/>
        </w:rPr>
        <w:t xml:space="preserve">agreed </w:t>
      </w:r>
      <w:r>
        <w:rPr>
          <w:rFonts w:ascii="Arial" w:hAnsi="Arial"/>
          <w:sz w:val="22"/>
          <w:szCs w:val="22"/>
        </w:rPr>
        <w:t>that the</w:t>
      </w:r>
      <w:r>
        <w:rPr>
          <w:rFonts w:ascii="Arial" w:hAnsi="Arial"/>
          <w:i/>
          <w:sz w:val="22"/>
          <w:szCs w:val="22"/>
        </w:rPr>
        <w:t xml:space="preserve"> </w:t>
      </w:r>
      <w:r>
        <w:rPr>
          <w:rFonts w:ascii="Arial" w:hAnsi="Arial"/>
          <w:sz w:val="22"/>
          <w:szCs w:val="22"/>
        </w:rPr>
        <w:t>clinical criteria “The condition must be unresponsive to non-narcotic analgesics” for currently listed opioids be changed to “The condition must be unresponsive to non-opioid analgesics”. The PBAC noted that this change would impact a significant number of listings and the timing of implementing the change would need to be prioritised.</w:t>
      </w:r>
    </w:p>
    <w:p w:rsidR="00993A68" w:rsidRDefault="00993A68" w:rsidP="00993A68">
      <w:pPr>
        <w:jc w:val="both"/>
        <w:rPr>
          <w:rFonts w:ascii="Arial" w:hAnsi="Arial"/>
          <w:b/>
          <w:sz w:val="22"/>
          <w:szCs w:val="22"/>
        </w:rPr>
      </w:pPr>
    </w:p>
    <w:p w:rsidR="00993A68" w:rsidRPr="009444F9" w:rsidRDefault="00993A68" w:rsidP="00993A68">
      <w:pPr>
        <w:jc w:val="both"/>
        <w:rPr>
          <w:rFonts w:ascii="Arial" w:hAnsi="Arial" w:cs="Arial"/>
          <w:b/>
          <w:bCs/>
          <w:snapToGrid w:val="0"/>
          <w:sz w:val="22"/>
          <w:szCs w:val="22"/>
          <w:lang w:val="en-GB"/>
        </w:rPr>
      </w:pPr>
      <w:r w:rsidRPr="009444F9">
        <w:rPr>
          <w:rFonts w:ascii="Arial" w:hAnsi="Arial" w:cs="Arial"/>
          <w:b/>
          <w:bCs/>
          <w:snapToGrid w:val="0"/>
          <w:sz w:val="22"/>
          <w:szCs w:val="22"/>
          <w:lang w:val="en-GB"/>
        </w:rPr>
        <w:t>Outcome:</w:t>
      </w:r>
    </w:p>
    <w:p w:rsidR="00993A68" w:rsidRPr="009444F9" w:rsidRDefault="00993A68" w:rsidP="00993A68">
      <w:pPr>
        <w:jc w:val="both"/>
        <w:rPr>
          <w:rFonts w:ascii="Arial" w:hAnsi="Arial" w:cs="Arial"/>
          <w:bCs/>
          <w:snapToGrid w:val="0"/>
          <w:sz w:val="22"/>
          <w:szCs w:val="22"/>
          <w:lang w:val="en-GB"/>
        </w:rPr>
      </w:pPr>
      <w:r w:rsidRPr="009444F9">
        <w:rPr>
          <w:rFonts w:ascii="Arial" w:hAnsi="Arial" w:cs="Arial"/>
          <w:bCs/>
          <w:snapToGrid w:val="0"/>
          <w:sz w:val="22"/>
          <w:szCs w:val="22"/>
          <w:lang w:val="en-GB"/>
        </w:rPr>
        <w:t xml:space="preserve">Deferred </w:t>
      </w:r>
    </w:p>
    <w:p w:rsidR="00C92FB3" w:rsidRDefault="00C92FB3" w:rsidP="00DB5BA7">
      <w:pPr>
        <w:widowControl w:val="0"/>
        <w:jc w:val="both"/>
        <w:rPr>
          <w:rFonts w:ascii="Arial" w:hAnsi="Arial" w:cs="Arial"/>
          <w:b/>
          <w:bCs/>
          <w:snapToGrid w:val="0"/>
          <w:sz w:val="22"/>
          <w:szCs w:val="22"/>
        </w:rPr>
      </w:pPr>
    </w:p>
    <w:p w:rsidR="009D4E2B" w:rsidRPr="009D4E2B" w:rsidRDefault="009D4E2B" w:rsidP="009D4E2B">
      <w:pPr>
        <w:jc w:val="both"/>
        <w:rPr>
          <w:rFonts w:ascii="Arial" w:hAnsi="Arial"/>
          <w:sz w:val="22"/>
          <w:szCs w:val="22"/>
        </w:rPr>
      </w:pPr>
    </w:p>
    <w:p w:rsidR="009D4E2B" w:rsidRPr="009D4E2B" w:rsidRDefault="009D4E2B" w:rsidP="005F6917">
      <w:pPr>
        <w:pStyle w:val="PBACheading1"/>
        <w:rPr>
          <w:rFonts w:eastAsia="SimSun"/>
          <w:lang w:eastAsia="en-US"/>
        </w:rPr>
      </w:pPr>
      <w:r w:rsidRPr="009D4E2B">
        <w:rPr>
          <w:rFonts w:eastAsia="SimSun"/>
          <w:lang w:eastAsia="en-US"/>
        </w:rPr>
        <w:lastRenderedPageBreak/>
        <w:t>Context for Decision</w:t>
      </w:r>
    </w:p>
    <w:p w:rsidR="009D4E2B" w:rsidRPr="009D4E2B" w:rsidRDefault="009D4E2B" w:rsidP="009D4E2B">
      <w:pPr>
        <w:ind w:left="720"/>
        <w:contextualSpacing/>
        <w:rPr>
          <w:b/>
        </w:rPr>
      </w:pPr>
    </w:p>
    <w:p w:rsidR="009D4E2B" w:rsidRPr="009D4E2B" w:rsidRDefault="009D4E2B" w:rsidP="009D4E2B">
      <w:pPr>
        <w:ind w:left="720"/>
        <w:rPr>
          <w:rFonts w:ascii="Arial" w:hAnsi="Arial" w:cs="Arial"/>
          <w:bCs/>
          <w:snapToGrid w:val="0"/>
          <w:sz w:val="22"/>
          <w:szCs w:val="22"/>
        </w:rPr>
      </w:pPr>
      <w:r w:rsidRPr="009D4E2B">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D4E2B" w:rsidRPr="009D4E2B" w:rsidRDefault="009D4E2B" w:rsidP="009D4E2B"/>
    <w:p w:rsidR="009D4E2B" w:rsidRPr="009D4E2B" w:rsidRDefault="009D4E2B" w:rsidP="005F6917">
      <w:pPr>
        <w:pStyle w:val="PBACheading1"/>
        <w:rPr>
          <w:rFonts w:eastAsia="SimSun"/>
          <w:lang w:eastAsia="en-US"/>
        </w:rPr>
      </w:pPr>
      <w:r w:rsidRPr="009D4E2B">
        <w:rPr>
          <w:rFonts w:eastAsia="SimSun"/>
          <w:lang w:eastAsia="en-US"/>
        </w:rPr>
        <w:t>Sponsor’s Comment</w:t>
      </w:r>
    </w:p>
    <w:p w:rsidR="009D4E2B" w:rsidRPr="009D4E2B" w:rsidRDefault="009D4E2B" w:rsidP="009D4E2B">
      <w:pPr>
        <w:jc w:val="both"/>
        <w:rPr>
          <w:rFonts w:ascii="Arial" w:hAnsi="Arial"/>
          <w:sz w:val="22"/>
          <w:szCs w:val="22"/>
        </w:rPr>
      </w:pPr>
    </w:p>
    <w:p w:rsidR="009D4E2B" w:rsidRPr="00BB52BE" w:rsidRDefault="002547F5" w:rsidP="002547F5">
      <w:pPr>
        <w:widowControl w:val="0"/>
        <w:ind w:left="720"/>
        <w:jc w:val="both"/>
        <w:rPr>
          <w:rFonts w:ascii="Arial" w:hAnsi="Arial" w:cs="Arial"/>
          <w:bCs/>
          <w:snapToGrid w:val="0"/>
          <w:sz w:val="22"/>
          <w:szCs w:val="22"/>
        </w:rPr>
      </w:pPr>
      <w:r w:rsidRPr="00BB52BE">
        <w:rPr>
          <w:rFonts w:ascii="Arial" w:hAnsi="Arial" w:cs="Arial"/>
          <w:bCs/>
          <w:snapToGrid w:val="0"/>
          <w:sz w:val="22"/>
          <w:szCs w:val="22"/>
        </w:rPr>
        <w:t>The sponsor had no comment.</w:t>
      </w:r>
    </w:p>
    <w:p w:rsidR="00DB5BA7" w:rsidRPr="00DB5BA7" w:rsidRDefault="00DB5BA7" w:rsidP="00993A68">
      <w:pPr>
        <w:jc w:val="both"/>
        <w:rPr>
          <w:rFonts w:ascii="Arial" w:hAnsi="Arial"/>
          <w:sz w:val="22"/>
          <w:szCs w:val="22"/>
        </w:rPr>
      </w:pPr>
    </w:p>
    <w:sectPr w:rsidR="00DB5BA7" w:rsidRPr="00DB5BA7"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DAD" w:rsidRDefault="00C84DAD">
      <w:r>
        <w:separator/>
      </w:r>
    </w:p>
  </w:endnote>
  <w:endnote w:type="continuationSeparator" w:id="0">
    <w:p w:rsidR="00C84DAD" w:rsidRDefault="00C8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D7F23" w:rsidTr="005A3173">
      <w:trPr>
        <w:trHeight w:val="151"/>
      </w:trPr>
      <w:tc>
        <w:tcPr>
          <w:tcW w:w="2250" w:type="pct"/>
          <w:tcBorders>
            <w:top w:val="nil"/>
            <w:left w:val="nil"/>
            <w:bottom w:val="single" w:sz="4" w:space="0" w:color="4F81BD"/>
            <w:right w:val="nil"/>
          </w:tcBorders>
        </w:tcPr>
        <w:p w:rsidR="005D7F23" w:rsidRPr="005A3173" w:rsidRDefault="005D7F2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D7F23" w:rsidRPr="005A3173" w:rsidRDefault="005D7F2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D7F23" w:rsidRPr="005A3173" w:rsidRDefault="005D7F23" w:rsidP="005A3173">
          <w:pPr>
            <w:pStyle w:val="Header"/>
            <w:spacing w:line="276" w:lineRule="auto"/>
            <w:rPr>
              <w:rFonts w:ascii="Calibri" w:eastAsia="MS Gothic" w:hAnsi="Calibri"/>
              <w:b/>
              <w:bCs/>
              <w:color w:val="4F81BD"/>
            </w:rPr>
          </w:pPr>
        </w:p>
      </w:tc>
    </w:tr>
    <w:tr w:rsidR="005D7F23" w:rsidTr="005A3173">
      <w:trPr>
        <w:trHeight w:val="150"/>
      </w:trPr>
      <w:tc>
        <w:tcPr>
          <w:tcW w:w="2250" w:type="pct"/>
          <w:tcBorders>
            <w:top w:val="single" w:sz="4" w:space="0" w:color="4F81BD"/>
            <w:left w:val="nil"/>
            <w:bottom w:val="nil"/>
            <w:right w:val="nil"/>
          </w:tcBorders>
        </w:tcPr>
        <w:p w:rsidR="005D7F23" w:rsidRPr="005A3173" w:rsidRDefault="005D7F23" w:rsidP="005A3173">
          <w:pPr>
            <w:pStyle w:val="Header"/>
            <w:spacing w:line="276" w:lineRule="auto"/>
            <w:rPr>
              <w:rFonts w:ascii="Calibri" w:eastAsia="MS Gothic" w:hAnsi="Calibri"/>
              <w:b/>
              <w:bCs/>
              <w:color w:val="4F81BD"/>
            </w:rPr>
          </w:pPr>
        </w:p>
      </w:tc>
      <w:tc>
        <w:tcPr>
          <w:tcW w:w="0" w:type="auto"/>
          <w:vMerge/>
          <w:vAlign w:val="center"/>
          <w:hideMark/>
        </w:tcPr>
        <w:p w:rsidR="005D7F23" w:rsidRPr="005A3173" w:rsidRDefault="005D7F23" w:rsidP="005A3173">
          <w:pPr>
            <w:rPr>
              <w:rFonts w:ascii="Calibri" w:hAnsi="Calibri"/>
              <w:color w:val="365F91"/>
              <w:sz w:val="22"/>
              <w:szCs w:val="22"/>
            </w:rPr>
          </w:pPr>
        </w:p>
      </w:tc>
      <w:tc>
        <w:tcPr>
          <w:tcW w:w="2250" w:type="pct"/>
          <w:tcBorders>
            <w:top w:val="single" w:sz="4" w:space="0" w:color="4F81BD"/>
            <w:left w:val="nil"/>
            <w:bottom w:val="nil"/>
            <w:right w:val="nil"/>
          </w:tcBorders>
        </w:tcPr>
        <w:p w:rsidR="005D7F23" w:rsidRPr="005A3173" w:rsidRDefault="005D7F23" w:rsidP="005A3173">
          <w:pPr>
            <w:pStyle w:val="Header"/>
            <w:spacing w:line="276" w:lineRule="auto"/>
            <w:rPr>
              <w:rFonts w:ascii="Calibri" w:eastAsia="MS Gothic" w:hAnsi="Calibri"/>
              <w:b/>
              <w:bCs/>
              <w:color w:val="4F81BD"/>
            </w:rPr>
          </w:pPr>
        </w:p>
      </w:tc>
    </w:tr>
  </w:tbl>
  <w:p w:rsidR="005D7F23" w:rsidRDefault="005D7F2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7F23" w:rsidRDefault="005D7F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C85B02" w:rsidRPr="00541A0D" w:rsidRDefault="00C85B02" w:rsidP="00C85B02">
        <w:pPr>
          <w:pStyle w:val="Footer"/>
          <w:ind w:left="360"/>
          <w:jc w:val="center"/>
          <w:rPr>
            <w:rFonts w:ascii="Arial" w:hAnsi="Arial" w:cs="Arial"/>
            <w:sz w:val="20"/>
          </w:rPr>
        </w:pPr>
      </w:p>
      <w:p w:rsidR="00C85B02" w:rsidRDefault="00C85B02" w:rsidP="00C85B02">
        <w:pPr>
          <w:pStyle w:val="Footer"/>
          <w:ind w:left="360"/>
          <w:jc w:val="center"/>
          <w:rPr>
            <w:rFonts w:ascii="Arial" w:hAnsi="Arial" w:cs="Arial"/>
            <w:noProof/>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C84DAD">
          <w:rPr>
            <w:rFonts w:ascii="Arial" w:hAnsi="Arial" w:cs="Arial"/>
            <w:noProof/>
            <w:sz w:val="20"/>
            <w:szCs w:val="20"/>
          </w:rPr>
          <w:t>2</w:t>
        </w:r>
        <w:r w:rsidRPr="00651169">
          <w:rPr>
            <w:rFonts w:ascii="Arial" w:hAnsi="Arial" w:cs="Arial"/>
            <w:noProof/>
            <w:sz w:val="20"/>
            <w:szCs w:val="20"/>
          </w:rPr>
          <w:fldChar w:fldCharType="end"/>
        </w:r>
      </w:p>
    </w:sdtContent>
  </w:sdt>
  <w:p w:rsidR="005D7F23" w:rsidRPr="008F1434" w:rsidRDefault="005D7F23"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5D7F23" w:rsidTr="005A3173">
      <w:trPr>
        <w:trHeight w:val="151"/>
      </w:trPr>
      <w:tc>
        <w:tcPr>
          <w:tcW w:w="2250" w:type="pct"/>
          <w:tcBorders>
            <w:top w:val="nil"/>
            <w:left w:val="nil"/>
            <w:bottom w:val="single" w:sz="4" w:space="0" w:color="4F81BD"/>
            <w:right w:val="nil"/>
          </w:tcBorders>
        </w:tcPr>
        <w:p w:rsidR="005D7F23" w:rsidRPr="005A3173" w:rsidRDefault="005D7F2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D7F23" w:rsidRPr="005A3173" w:rsidRDefault="005D7F2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D7F23" w:rsidRPr="005A3173" w:rsidRDefault="005D7F23" w:rsidP="005A3173">
          <w:pPr>
            <w:pStyle w:val="Header"/>
            <w:spacing w:line="276" w:lineRule="auto"/>
            <w:rPr>
              <w:rFonts w:ascii="Calibri" w:eastAsia="MS Gothic" w:hAnsi="Calibri"/>
              <w:b/>
              <w:bCs/>
              <w:color w:val="4F81BD"/>
            </w:rPr>
          </w:pPr>
        </w:p>
      </w:tc>
    </w:tr>
    <w:tr w:rsidR="005D7F23" w:rsidTr="005A3173">
      <w:trPr>
        <w:trHeight w:val="150"/>
      </w:trPr>
      <w:tc>
        <w:tcPr>
          <w:tcW w:w="2250" w:type="pct"/>
          <w:tcBorders>
            <w:top w:val="single" w:sz="4" w:space="0" w:color="4F81BD"/>
            <w:left w:val="nil"/>
            <w:bottom w:val="nil"/>
            <w:right w:val="nil"/>
          </w:tcBorders>
        </w:tcPr>
        <w:p w:rsidR="005D7F23" w:rsidRPr="005A3173" w:rsidRDefault="005D7F23" w:rsidP="005A3173">
          <w:pPr>
            <w:pStyle w:val="Header"/>
            <w:spacing w:line="276" w:lineRule="auto"/>
            <w:rPr>
              <w:rFonts w:ascii="Calibri" w:eastAsia="MS Gothic" w:hAnsi="Calibri"/>
              <w:b/>
              <w:bCs/>
              <w:color w:val="4F81BD"/>
            </w:rPr>
          </w:pPr>
        </w:p>
      </w:tc>
      <w:tc>
        <w:tcPr>
          <w:tcW w:w="0" w:type="auto"/>
          <w:vMerge/>
          <w:vAlign w:val="center"/>
          <w:hideMark/>
        </w:tcPr>
        <w:p w:rsidR="005D7F23" w:rsidRPr="005A3173" w:rsidRDefault="005D7F23" w:rsidP="005A3173">
          <w:pPr>
            <w:rPr>
              <w:rFonts w:ascii="Calibri" w:hAnsi="Calibri"/>
              <w:color w:val="365F91"/>
              <w:sz w:val="22"/>
              <w:szCs w:val="22"/>
            </w:rPr>
          </w:pPr>
        </w:p>
      </w:tc>
      <w:tc>
        <w:tcPr>
          <w:tcW w:w="2250" w:type="pct"/>
          <w:tcBorders>
            <w:top w:val="single" w:sz="4" w:space="0" w:color="4F81BD"/>
            <w:left w:val="nil"/>
            <w:bottom w:val="nil"/>
            <w:right w:val="nil"/>
          </w:tcBorders>
        </w:tcPr>
        <w:p w:rsidR="005D7F23" w:rsidRPr="005A3173" w:rsidRDefault="005D7F2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D7F23" w:rsidTr="005A3173">
      <w:trPr>
        <w:trHeight w:val="151"/>
      </w:trPr>
      <w:tc>
        <w:tcPr>
          <w:tcW w:w="2250" w:type="pct"/>
          <w:tcBorders>
            <w:top w:val="nil"/>
            <w:left w:val="nil"/>
            <w:bottom w:val="single" w:sz="4" w:space="0" w:color="4F81BD"/>
            <w:right w:val="nil"/>
          </w:tcBorders>
        </w:tcPr>
        <w:p w:rsidR="005D7F23" w:rsidRPr="005A3173" w:rsidRDefault="005D7F2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D7F23" w:rsidRPr="005A3173" w:rsidRDefault="005D7F2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D7F23" w:rsidRPr="005A3173" w:rsidRDefault="005D7F23" w:rsidP="005A3173">
          <w:pPr>
            <w:pStyle w:val="Header"/>
            <w:spacing w:line="276" w:lineRule="auto"/>
            <w:rPr>
              <w:rFonts w:ascii="Calibri" w:eastAsia="MS Gothic" w:hAnsi="Calibri"/>
              <w:b/>
              <w:bCs/>
              <w:color w:val="4F81BD"/>
            </w:rPr>
          </w:pPr>
        </w:p>
      </w:tc>
    </w:tr>
    <w:tr w:rsidR="005D7F23" w:rsidTr="005A3173">
      <w:trPr>
        <w:trHeight w:val="150"/>
      </w:trPr>
      <w:tc>
        <w:tcPr>
          <w:tcW w:w="2250" w:type="pct"/>
          <w:tcBorders>
            <w:top w:val="single" w:sz="4" w:space="0" w:color="4F81BD"/>
            <w:left w:val="nil"/>
            <w:bottom w:val="nil"/>
            <w:right w:val="nil"/>
          </w:tcBorders>
        </w:tcPr>
        <w:p w:rsidR="005D7F23" w:rsidRPr="005A3173" w:rsidRDefault="005D7F23" w:rsidP="005A3173">
          <w:pPr>
            <w:pStyle w:val="Header"/>
            <w:spacing w:line="276" w:lineRule="auto"/>
            <w:rPr>
              <w:rFonts w:ascii="Calibri" w:eastAsia="MS Gothic" w:hAnsi="Calibri"/>
              <w:b/>
              <w:bCs/>
              <w:color w:val="4F81BD"/>
            </w:rPr>
          </w:pPr>
        </w:p>
      </w:tc>
      <w:tc>
        <w:tcPr>
          <w:tcW w:w="0" w:type="auto"/>
          <w:vMerge/>
          <w:vAlign w:val="center"/>
          <w:hideMark/>
        </w:tcPr>
        <w:p w:rsidR="005D7F23" w:rsidRPr="005A3173" w:rsidRDefault="005D7F23" w:rsidP="005A3173">
          <w:pPr>
            <w:rPr>
              <w:rFonts w:ascii="Calibri" w:hAnsi="Calibri"/>
              <w:color w:val="365F91"/>
              <w:sz w:val="22"/>
              <w:szCs w:val="22"/>
            </w:rPr>
          </w:pPr>
        </w:p>
      </w:tc>
      <w:tc>
        <w:tcPr>
          <w:tcW w:w="2250" w:type="pct"/>
          <w:tcBorders>
            <w:top w:val="single" w:sz="4" w:space="0" w:color="4F81BD"/>
            <w:left w:val="nil"/>
            <w:bottom w:val="nil"/>
            <w:right w:val="nil"/>
          </w:tcBorders>
        </w:tcPr>
        <w:p w:rsidR="005D7F23" w:rsidRPr="005A3173" w:rsidRDefault="005D7F23" w:rsidP="005A3173">
          <w:pPr>
            <w:pStyle w:val="Header"/>
            <w:spacing w:line="276" w:lineRule="auto"/>
            <w:rPr>
              <w:rFonts w:ascii="Calibri" w:eastAsia="MS Gothic" w:hAnsi="Calibri"/>
              <w:b/>
              <w:bCs/>
              <w:color w:val="4F81BD"/>
            </w:rPr>
          </w:pPr>
        </w:p>
      </w:tc>
    </w:tr>
  </w:tbl>
  <w:p w:rsidR="005D7F23" w:rsidRPr="007C0F57" w:rsidRDefault="005D7F2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5D7F23" w:rsidRPr="007C0F57" w:rsidRDefault="005D7F23"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DAD" w:rsidRDefault="00C84DAD">
      <w:r>
        <w:separator/>
      </w:r>
    </w:p>
  </w:footnote>
  <w:footnote w:type="continuationSeparator" w:id="0">
    <w:p w:rsidR="00C84DAD" w:rsidRDefault="00C84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5D7F23" w:rsidRPr="008E0D90" w:rsidTr="00A06225">
      <w:trPr>
        <w:trHeight w:val="151"/>
      </w:trPr>
      <w:tc>
        <w:tcPr>
          <w:tcW w:w="2389" w:type="pct"/>
          <w:tcBorders>
            <w:top w:val="nil"/>
            <w:left w:val="nil"/>
            <w:bottom w:val="single" w:sz="4" w:space="0" w:color="4F81BD"/>
            <w:right w:val="nil"/>
          </w:tcBorders>
        </w:tcPr>
        <w:p w:rsidR="005D7F23" w:rsidRPr="00A06225" w:rsidRDefault="005D7F23">
          <w:pPr>
            <w:pStyle w:val="Header"/>
            <w:spacing w:line="276" w:lineRule="auto"/>
            <w:rPr>
              <w:rFonts w:ascii="Cambria" w:eastAsia="MS Gothic" w:hAnsi="Cambria"/>
              <w:b/>
              <w:bCs/>
              <w:color w:val="4F81BD"/>
            </w:rPr>
          </w:pPr>
        </w:p>
      </w:tc>
      <w:tc>
        <w:tcPr>
          <w:tcW w:w="333" w:type="pct"/>
          <w:vMerge w:val="restart"/>
          <w:noWrap/>
          <w:vAlign w:val="center"/>
          <w:hideMark/>
        </w:tcPr>
        <w:p w:rsidR="005D7F23" w:rsidRPr="00A06225" w:rsidRDefault="005D7F2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5D7F23" w:rsidRPr="00A06225" w:rsidRDefault="005D7F23">
          <w:pPr>
            <w:pStyle w:val="Header"/>
            <w:spacing w:line="276" w:lineRule="auto"/>
            <w:rPr>
              <w:rFonts w:ascii="Cambria" w:eastAsia="MS Gothic" w:hAnsi="Cambria"/>
              <w:b/>
              <w:bCs/>
              <w:color w:val="4F81BD"/>
            </w:rPr>
          </w:pPr>
        </w:p>
      </w:tc>
    </w:tr>
    <w:tr w:rsidR="005D7F23" w:rsidRPr="008E0D90" w:rsidTr="00A06225">
      <w:trPr>
        <w:trHeight w:val="150"/>
      </w:trPr>
      <w:tc>
        <w:tcPr>
          <w:tcW w:w="2389" w:type="pct"/>
          <w:tcBorders>
            <w:top w:val="single" w:sz="4" w:space="0" w:color="4F81BD"/>
            <w:left w:val="nil"/>
            <w:bottom w:val="nil"/>
            <w:right w:val="nil"/>
          </w:tcBorders>
        </w:tcPr>
        <w:p w:rsidR="005D7F23" w:rsidRPr="00A06225" w:rsidRDefault="005D7F23">
          <w:pPr>
            <w:pStyle w:val="Header"/>
            <w:spacing w:line="276" w:lineRule="auto"/>
            <w:rPr>
              <w:rFonts w:ascii="Cambria" w:eastAsia="MS Gothic" w:hAnsi="Cambria"/>
              <w:b/>
              <w:bCs/>
              <w:color w:val="4F81BD"/>
            </w:rPr>
          </w:pPr>
        </w:p>
      </w:tc>
      <w:tc>
        <w:tcPr>
          <w:tcW w:w="0" w:type="auto"/>
          <w:vMerge/>
          <w:vAlign w:val="center"/>
          <w:hideMark/>
        </w:tcPr>
        <w:p w:rsidR="005D7F23" w:rsidRPr="00A06225" w:rsidRDefault="005D7F23">
          <w:pPr>
            <w:rPr>
              <w:rFonts w:ascii="Cambria" w:hAnsi="Cambria"/>
              <w:color w:val="4F81BD"/>
              <w:sz w:val="22"/>
              <w:szCs w:val="22"/>
            </w:rPr>
          </w:pPr>
        </w:p>
      </w:tc>
      <w:tc>
        <w:tcPr>
          <w:tcW w:w="2278" w:type="pct"/>
          <w:tcBorders>
            <w:top w:val="single" w:sz="4" w:space="0" w:color="4F81BD"/>
            <w:left w:val="nil"/>
            <w:bottom w:val="nil"/>
            <w:right w:val="nil"/>
          </w:tcBorders>
        </w:tcPr>
        <w:p w:rsidR="005D7F23" w:rsidRPr="00A06225" w:rsidRDefault="005D7F23">
          <w:pPr>
            <w:pStyle w:val="Header"/>
            <w:spacing w:line="276" w:lineRule="auto"/>
            <w:rPr>
              <w:rFonts w:ascii="Cambria" w:eastAsia="MS Gothic" w:hAnsi="Cambria"/>
              <w:b/>
              <w:bCs/>
              <w:color w:val="4F81BD"/>
            </w:rPr>
          </w:pPr>
        </w:p>
      </w:tc>
    </w:tr>
  </w:tbl>
  <w:p w:rsidR="005D7F23" w:rsidRDefault="005D7F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B02" w:rsidRPr="00DF217D" w:rsidRDefault="009D4E2B" w:rsidP="00C85B02">
    <w:pPr>
      <w:pStyle w:val="Header"/>
      <w:ind w:left="360"/>
      <w:jc w:val="center"/>
      <w:rPr>
        <w:rFonts w:ascii="Arial" w:hAnsi="Arial" w:cs="Arial"/>
        <w:i/>
        <w:color w:val="808080"/>
        <w:sz w:val="22"/>
      </w:rPr>
    </w:pPr>
    <w:r w:rsidRPr="009D4E2B">
      <w:rPr>
        <w:rFonts w:ascii="Arial" w:hAnsi="Arial" w:cs="Arial"/>
        <w:i/>
        <w:color w:val="808080"/>
        <w:sz w:val="22"/>
        <w:szCs w:val="22"/>
      </w:rPr>
      <w:t>Public Summary Document</w:t>
    </w:r>
    <w:r>
      <w:rPr>
        <w:i/>
        <w:color w:val="808080"/>
      </w:rPr>
      <w:t xml:space="preserve"> </w:t>
    </w:r>
    <w:r w:rsidR="00C85B02" w:rsidRPr="00DF217D">
      <w:rPr>
        <w:rFonts w:ascii="Arial" w:hAnsi="Arial" w:cs="Arial"/>
        <w:i/>
        <w:color w:val="808080"/>
        <w:sz w:val="22"/>
      </w:rPr>
      <w:t xml:space="preserve">– </w:t>
    </w:r>
    <w:r w:rsidR="00C85B02">
      <w:rPr>
        <w:rFonts w:ascii="Arial" w:hAnsi="Arial" w:cs="Arial"/>
        <w:i/>
        <w:color w:val="808080"/>
        <w:sz w:val="22"/>
      </w:rPr>
      <w:t xml:space="preserve">March 2015 </w:t>
    </w:r>
    <w:r w:rsidR="00C85B02" w:rsidRPr="00DF217D">
      <w:rPr>
        <w:rFonts w:ascii="Arial" w:hAnsi="Arial" w:cs="Arial"/>
        <w:i/>
        <w:color w:val="808080"/>
        <w:sz w:val="22"/>
      </w:rPr>
      <w:t>PBAC</w:t>
    </w:r>
    <w:r w:rsidR="00C85B02">
      <w:rPr>
        <w:rFonts w:ascii="Arial" w:hAnsi="Arial" w:cs="Arial"/>
        <w:i/>
        <w:color w:val="808080"/>
        <w:sz w:val="22"/>
      </w:rPr>
      <w:t xml:space="preserve"> </w:t>
    </w:r>
    <w:r w:rsidR="00C85B02" w:rsidRPr="00DF217D">
      <w:rPr>
        <w:rFonts w:ascii="Arial" w:hAnsi="Arial" w:cs="Arial"/>
        <w:i/>
        <w:color w:val="808080"/>
        <w:sz w:val="22"/>
      </w:rPr>
      <w:t>Meeting</w:t>
    </w:r>
  </w:p>
  <w:p w:rsidR="005D7F23" w:rsidRPr="00C85B02" w:rsidRDefault="005D7F23" w:rsidP="00C85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2A4303EE"/>
    <w:multiLevelType w:val="hybridMultilevel"/>
    <w:tmpl w:val="23F84D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0">
    <w:nsid w:val="409D10B7"/>
    <w:multiLevelType w:val="hybridMultilevel"/>
    <w:tmpl w:val="C62AAB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4FFE7F1E"/>
    <w:multiLevelType w:val="hybridMultilevel"/>
    <w:tmpl w:val="E6BC3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7">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E5644E5"/>
    <w:multiLevelType w:val="hybridMultilevel"/>
    <w:tmpl w:val="562439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5">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7">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8">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0">
    <w:nsid w:val="784D033C"/>
    <w:multiLevelType w:val="multilevel"/>
    <w:tmpl w:val="7ABCEB52"/>
    <w:lvl w:ilvl="0">
      <w:start w:val="1"/>
      <w:numFmt w:val="decimal"/>
      <w:pStyle w:val="PBACheading1"/>
      <w:lvlText w:val="%1"/>
      <w:lvlJc w:val="left"/>
      <w:pPr>
        <w:ind w:left="720" w:hanging="720"/>
      </w:pPr>
      <w:rPr>
        <w:rFonts w:hint="default"/>
        <w:b/>
        <w:color w:val="auto"/>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6"/>
  </w:num>
  <w:num w:numId="3">
    <w:abstractNumId w:val="21"/>
  </w:num>
  <w:num w:numId="4">
    <w:abstractNumId w:val="0"/>
  </w:num>
  <w:num w:numId="5">
    <w:abstractNumId w:val="5"/>
  </w:num>
  <w:num w:numId="6">
    <w:abstractNumId w:val="19"/>
  </w:num>
  <w:num w:numId="7">
    <w:abstractNumId w:val="16"/>
  </w:num>
  <w:num w:numId="8">
    <w:abstractNumId w:val="4"/>
  </w:num>
  <w:num w:numId="9">
    <w:abstractNumId w:val="7"/>
  </w:num>
  <w:num w:numId="10">
    <w:abstractNumId w:val="34"/>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7"/>
  </w:num>
  <w:num w:numId="15">
    <w:abstractNumId w:val="29"/>
  </w:num>
  <w:num w:numId="16">
    <w:abstractNumId w:val="24"/>
  </w:num>
  <w:num w:numId="17">
    <w:abstractNumId w:val="39"/>
  </w:num>
  <w:num w:numId="18">
    <w:abstractNumId w:val="12"/>
  </w:num>
  <w:num w:numId="19">
    <w:abstractNumId w:val="18"/>
  </w:num>
  <w:num w:numId="20">
    <w:abstractNumId w:val="3"/>
  </w:num>
  <w:num w:numId="21">
    <w:abstractNumId w:val="33"/>
  </w:num>
  <w:num w:numId="22">
    <w:abstractNumId w:val="35"/>
  </w:num>
  <w:num w:numId="23">
    <w:abstractNumId w:val="41"/>
  </w:num>
  <w:num w:numId="24">
    <w:abstractNumId w:val="15"/>
  </w:num>
  <w:num w:numId="25">
    <w:abstractNumId w:val="40"/>
  </w:num>
  <w:num w:numId="26">
    <w:abstractNumId w:val="30"/>
  </w:num>
  <w:num w:numId="27">
    <w:abstractNumId w:val="11"/>
  </w:num>
  <w:num w:numId="28">
    <w:abstractNumId w:val="6"/>
  </w:num>
  <w:num w:numId="29">
    <w:abstractNumId w:val="27"/>
  </w:num>
  <w:num w:numId="30">
    <w:abstractNumId w:val="2"/>
  </w:num>
  <w:num w:numId="31">
    <w:abstractNumId w:val="28"/>
  </w:num>
  <w:num w:numId="32">
    <w:abstractNumId w:val="38"/>
  </w:num>
  <w:num w:numId="33">
    <w:abstractNumId w:val="26"/>
  </w:num>
  <w:num w:numId="34">
    <w:abstractNumId w:val="42"/>
  </w:num>
  <w:num w:numId="35">
    <w:abstractNumId w:val="10"/>
  </w:num>
  <w:num w:numId="36">
    <w:abstractNumId w:val="23"/>
  </w:num>
  <w:num w:numId="37">
    <w:abstractNumId w:val="32"/>
  </w:num>
  <w:num w:numId="38">
    <w:abstractNumId w:val="8"/>
  </w:num>
  <w:num w:numId="39">
    <w:abstractNumId w:val="17"/>
  </w:num>
  <w:num w:numId="40">
    <w:abstractNumId w:val="1"/>
  </w:num>
  <w:num w:numId="41">
    <w:abstractNumId w:val="14"/>
  </w:num>
  <w:num w:numId="42">
    <w:abstractNumId w:val="31"/>
  </w:num>
  <w:num w:numId="43">
    <w:abstractNumId w:val="20"/>
  </w:num>
  <w:num w:numId="44">
    <w:abstractNumId w:val="13"/>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2CAC"/>
    <w:rsid w:val="00017914"/>
    <w:rsid w:val="00021EA5"/>
    <w:rsid w:val="0002464A"/>
    <w:rsid w:val="000272B2"/>
    <w:rsid w:val="0003106B"/>
    <w:rsid w:val="000421A1"/>
    <w:rsid w:val="0004240E"/>
    <w:rsid w:val="00045E26"/>
    <w:rsid w:val="000514B5"/>
    <w:rsid w:val="00060E64"/>
    <w:rsid w:val="00066755"/>
    <w:rsid w:val="00087749"/>
    <w:rsid w:val="000969AD"/>
    <w:rsid w:val="000A175F"/>
    <w:rsid w:val="000A5C93"/>
    <w:rsid w:val="000B12D7"/>
    <w:rsid w:val="000B558D"/>
    <w:rsid w:val="000B6AE7"/>
    <w:rsid w:val="000C6996"/>
    <w:rsid w:val="000D23BA"/>
    <w:rsid w:val="000D4A3C"/>
    <w:rsid w:val="000E681E"/>
    <w:rsid w:val="000F4E6A"/>
    <w:rsid w:val="001107BF"/>
    <w:rsid w:val="0012417C"/>
    <w:rsid w:val="00142266"/>
    <w:rsid w:val="00142395"/>
    <w:rsid w:val="00142714"/>
    <w:rsid w:val="001452ED"/>
    <w:rsid w:val="001553CE"/>
    <w:rsid w:val="001830CE"/>
    <w:rsid w:val="00196307"/>
    <w:rsid w:val="001A1201"/>
    <w:rsid w:val="001B017F"/>
    <w:rsid w:val="001B5129"/>
    <w:rsid w:val="001B7426"/>
    <w:rsid w:val="001C1195"/>
    <w:rsid w:val="00213744"/>
    <w:rsid w:val="00213CFB"/>
    <w:rsid w:val="00223C8A"/>
    <w:rsid w:val="002245FF"/>
    <w:rsid w:val="002255D9"/>
    <w:rsid w:val="0025395A"/>
    <w:rsid w:val="002547F5"/>
    <w:rsid w:val="00263604"/>
    <w:rsid w:val="0026771E"/>
    <w:rsid w:val="00271BA1"/>
    <w:rsid w:val="00277505"/>
    <w:rsid w:val="0029458F"/>
    <w:rsid w:val="002A104C"/>
    <w:rsid w:val="002A4960"/>
    <w:rsid w:val="002A67CB"/>
    <w:rsid w:val="002B1AE6"/>
    <w:rsid w:val="002B2D03"/>
    <w:rsid w:val="002B30F8"/>
    <w:rsid w:val="002B735C"/>
    <w:rsid w:val="002C212F"/>
    <w:rsid w:val="002E72CA"/>
    <w:rsid w:val="00326E79"/>
    <w:rsid w:val="00335BC2"/>
    <w:rsid w:val="003367EF"/>
    <w:rsid w:val="00341AE4"/>
    <w:rsid w:val="00345526"/>
    <w:rsid w:val="0035370F"/>
    <w:rsid w:val="0036667F"/>
    <w:rsid w:val="003809D5"/>
    <w:rsid w:val="003A2EAB"/>
    <w:rsid w:val="003A3FB0"/>
    <w:rsid w:val="003A5B4A"/>
    <w:rsid w:val="003B23C5"/>
    <w:rsid w:val="003B2A75"/>
    <w:rsid w:val="003D4AC4"/>
    <w:rsid w:val="003D63B7"/>
    <w:rsid w:val="003E468B"/>
    <w:rsid w:val="003E4EBA"/>
    <w:rsid w:val="003F5C8C"/>
    <w:rsid w:val="003F6E70"/>
    <w:rsid w:val="00413C68"/>
    <w:rsid w:val="004240B6"/>
    <w:rsid w:val="00435348"/>
    <w:rsid w:val="004465BD"/>
    <w:rsid w:val="00447A1E"/>
    <w:rsid w:val="00454734"/>
    <w:rsid w:val="0046138A"/>
    <w:rsid w:val="00466ADA"/>
    <w:rsid w:val="00476245"/>
    <w:rsid w:val="00482DAE"/>
    <w:rsid w:val="00485940"/>
    <w:rsid w:val="00485F85"/>
    <w:rsid w:val="00494AC2"/>
    <w:rsid w:val="00497D83"/>
    <w:rsid w:val="004A5A85"/>
    <w:rsid w:val="004B3E22"/>
    <w:rsid w:val="004B5640"/>
    <w:rsid w:val="004B5BBF"/>
    <w:rsid w:val="004B6C76"/>
    <w:rsid w:val="004C0C3F"/>
    <w:rsid w:val="004C1BD7"/>
    <w:rsid w:val="004C691D"/>
    <w:rsid w:val="004E4E4C"/>
    <w:rsid w:val="004E692D"/>
    <w:rsid w:val="004F735F"/>
    <w:rsid w:val="00501554"/>
    <w:rsid w:val="00504546"/>
    <w:rsid w:val="00507AF4"/>
    <w:rsid w:val="00514CD7"/>
    <w:rsid w:val="00530DA2"/>
    <w:rsid w:val="00531D84"/>
    <w:rsid w:val="00532C74"/>
    <w:rsid w:val="00534E2E"/>
    <w:rsid w:val="0053692E"/>
    <w:rsid w:val="00544552"/>
    <w:rsid w:val="00555599"/>
    <w:rsid w:val="00581932"/>
    <w:rsid w:val="00581D05"/>
    <w:rsid w:val="00587678"/>
    <w:rsid w:val="005963BB"/>
    <w:rsid w:val="005A1089"/>
    <w:rsid w:val="005A3173"/>
    <w:rsid w:val="005A3223"/>
    <w:rsid w:val="005A3DA3"/>
    <w:rsid w:val="005A52C4"/>
    <w:rsid w:val="005A63C0"/>
    <w:rsid w:val="005C15EA"/>
    <w:rsid w:val="005D03AB"/>
    <w:rsid w:val="005D5017"/>
    <w:rsid w:val="005D7F23"/>
    <w:rsid w:val="005E2A7B"/>
    <w:rsid w:val="005F6917"/>
    <w:rsid w:val="005F7430"/>
    <w:rsid w:val="00601A91"/>
    <w:rsid w:val="00602BA3"/>
    <w:rsid w:val="00606EA7"/>
    <w:rsid w:val="00614159"/>
    <w:rsid w:val="00617C00"/>
    <w:rsid w:val="00622DEA"/>
    <w:rsid w:val="006263BF"/>
    <w:rsid w:val="0062669C"/>
    <w:rsid w:val="0062748A"/>
    <w:rsid w:val="00630A2C"/>
    <w:rsid w:val="006364FB"/>
    <w:rsid w:val="006406E9"/>
    <w:rsid w:val="00643C14"/>
    <w:rsid w:val="00647663"/>
    <w:rsid w:val="00651169"/>
    <w:rsid w:val="00653D69"/>
    <w:rsid w:val="00666613"/>
    <w:rsid w:val="00670A76"/>
    <w:rsid w:val="006711AA"/>
    <w:rsid w:val="00675622"/>
    <w:rsid w:val="006803D4"/>
    <w:rsid w:val="006847F9"/>
    <w:rsid w:val="006906DB"/>
    <w:rsid w:val="006940F4"/>
    <w:rsid w:val="006A12A5"/>
    <w:rsid w:val="006A5752"/>
    <w:rsid w:val="006A65BF"/>
    <w:rsid w:val="006B0D94"/>
    <w:rsid w:val="006B485D"/>
    <w:rsid w:val="006C708E"/>
    <w:rsid w:val="006D3571"/>
    <w:rsid w:val="006D68E1"/>
    <w:rsid w:val="006D6EC7"/>
    <w:rsid w:val="006F5125"/>
    <w:rsid w:val="006F760C"/>
    <w:rsid w:val="007109CB"/>
    <w:rsid w:val="007174BB"/>
    <w:rsid w:val="00717863"/>
    <w:rsid w:val="00727FF1"/>
    <w:rsid w:val="00747274"/>
    <w:rsid w:val="0076420C"/>
    <w:rsid w:val="007753C2"/>
    <w:rsid w:val="007838B8"/>
    <w:rsid w:val="007C0F57"/>
    <w:rsid w:val="007C31AB"/>
    <w:rsid w:val="007C40B6"/>
    <w:rsid w:val="007C729F"/>
    <w:rsid w:val="007D44DD"/>
    <w:rsid w:val="007D6883"/>
    <w:rsid w:val="007E1D28"/>
    <w:rsid w:val="007E5004"/>
    <w:rsid w:val="007F2641"/>
    <w:rsid w:val="007F7C36"/>
    <w:rsid w:val="008065E0"/>
    <w:rsid w:val="00806796"/>
    <w:rsid w:val="0080766A"/>
    <w:rsid w:val="008210B9"/>
    <w:rsid w:val="00826F6D"/>
    <w:rsid w:val="00847C23"/>
    <w:rsid w:val="00856DDD"/>
    <w:rsid w:val="00863E68"/>
    <w:rsid w:val="00882085"/>
    <w:rsid w:val="00883188"/>
    <w:rsid w:val="008912CA"/>
    <w:rsid w:val="0089521F"/>
    <w:rsid w:val="00897D58"/>
    <w:rsid w:val="008A1956"/>
    <w:rsid w:val="008A35EB"/>
    <w:rsid w:val="008A43D6"/>
    <w:rsid w:val="008A4937"/>
    <w:rsid w:val="008A5B66"/>
    <w:rsid w:val="008B6E08"/>
    <w:rsid w:val="008C1935"/>
    <w:rsid w:val="008C644C"/>
    <w:rsid w:val="008D3C82"/>
    <w:rsid w:val="008D447E"/>
    <w:rsid w:val="008D7A41"/>
    <w:rsid w:val="008E15DE"/>
    <w:rsid w:val="008E1A15"/>
    <w:rsid w:val="008E3680"/>
    <w:rsid w:val="008E5870"/>
    <w:rsid w:val="008F1434"/>
    <w:rsid w:val="008F7355"/>
    <w:rsid w:val="00903B89"/>
    <w:rsid w:val="009067B7"/>
    <w:rsid w:val="0091570B"/>
    <w:rsid w:val="009208F4"/>
    <w:rsid w:val="00921EEA"/>
    <w:rsid w:val="00925B30"/>
    <w:rsid w:val="00930937"/>
    <w:rsid w:val="00933E6C"/>
    <w:rsid w:val="00942160"/>
    <w:rsid w:val="009444F9"/>
    <w:rsid w:val="009568BF"/>
    <w:rsid w:val="009602C5"/>
    <w:rsid w:val="00967E7E"/>
    <w:rsid w:val="00974C21"/>
    <w:rsid w:val="00987C29"/>
    <w:rsid w:val="00993A68"/>
    <w:rsid w:val="009B0F67"/>
    <w:rsid w:val="009B48F9"/>
    <w:rsid w:val="009C0CE0"/>
    <w:rsid w:val="009C1099"/>
    <w:rsid w:val="009C703C"/>
    <w:rsid w:val="009D3CAA"/>
    <w:rsid w:val="009D4E2B"/>
    <w:rsid w:val="009F0C45"/>
    <w:rsid w:val="009F4E46"/>
    <w:rsid w:val="009F5B65"/>
    <w:rsid w:val="009F5F2E"/>
    <w:rsid w:val="00A06225"/>
    <w:rsid w:val="00A13E4A"/>
    <w:rsid w:val="00A37C8D"/>
    <w:rsid w:val="00A5273B"/>
    <w:rsid w:val="00A53A9D"/>
    <w:rsid w:val="00A53AA6"/>
    <w:rsid w:val="00A578E6"/>
    <w:rsid w:val="00A62C1A"/>
    <w:rsid w:val="00A6426D"/>
    <w:rsid w:val="00A70622"/>
    <w:rsid w:val="00A70977"/>
    <w:rsid w:val="00A71503"/>
    <w:rsid w:val="00A8390C"/>
    <w:rsid w:val="00A95172"/>
    <w:rsid w:val="00AA4D1C"/>
    <w:rsid w:val="00AA7BE8"/>
    <w:rsid w:val="00AC5206"/>
    <w:rsid w:val="00AE11A5"/>
    <w:rsid w:val="00AF68CC"/>
    <w:rsid w:val="00B205AA"/>
    <w:rsid w:val="00B22E84"/>
    <w:rsid w:val="00B25F75"/>
    <w:rsid w:val="00B3265C"/>
    <w:rsid w:val="00B43E90"/>
    <w:rsid w:val="00B50E60"/>
    <w:rsid w:val="00B56118"/>
    <w:rsid w:val="00B65AE5"/>
    <w:rsid w:val="00B6773F"/>
    <w:rsid w:val="00B746FA"/>
    <w:rsid w:val="00B801BA"/>
    <w:rsid w:val="00B81E07"/>
    <w:rsid w:val="00B9616D"/>
    <w:rsid w:val="00B97CE3"/>
    <w:rsid w:val="00BB52BE"/>
    <w:rsid w:val="00BB69F5"/>
    <w:rsid w:val="00BB720E"/>
    <w:rsid w:val="00BB7EC3"/>
    <w:rsid w:val="00BC4202"/>
    <w:rsid w:val="00BC4B9A"/>
    <w:rsid w:val="00BD25BB"/>
    <w:rsid w:val="00BD784C"/>
    <w:rsid w:val="00BE674B"/>
    <w:rsid w:val="00BF0C93"/>
    <w:rsid w:val="00BF4CB6"/>
    <w:rsid w:val="00C00DA7"/>
    <w:rsid w:val="00C12768"/>
    <w:rsid w:val="00C277E9"/>
    <w:rsid w:val="00C35996"/>
    <w:rsid w:val="00C361F9"/>
    <w:rsid w:val="00C5342C"/>
    <w:rsid w:val="00C53A38"/>
    <w:rsid w:val="00C6256A"/>
    <w:rsid w:val="00C62B6A"/>
    <w:rsid w:val="00C764EF"/>
    <w:rsid w:val="00C8237F"/>
    <w:rsid w:val="00C84DAD"/>
    <w:rsid w:val="00C85B02"/>
    <w:rsid w:val="00C877C0"/>
    <w:rsid w:val="00C91449"/>
    <w:rsid w:val="00C92D10"/>
    <w:rsid w:val="00C92FB3"/>
    <w:rsid w:val="00CB07E6"/>
    <w:rsid w:val="00CB4CE9"/>
    <w:rsid w:val="00CB574A"/>
    <w:rsid w:val="00CB69BA"/>
    <w:rsid w:val="00CC5922"/>
    <w:rsid w:val="00CC5A27"/>
    <w:rsid w:val="00CD65AB"/>
    <w:rsid w:val="00CE10C4"/>
    <w:rsid w:val="00CE27B5"/>
    <w:rsid w:val="00CE3431"/>
    <w:rsid w:val="00CE593D"/>
    <w:rsid w:val="00D0321E"/>
    <w:rsid w:val="00D12AA5"/>
    <w:rsid w:val="00D1455A"/>
    <w:rsid w:val="00D228C9"/>
    <w:rsid w:val="00D3280C"/>
    <w:rsid w:val="00D3406A"/>
    <w:rsid w:val="00D41118"/>
    <w:rsid w:val="00D469B2"/>
    <w:rsid w:val="00D5173B"/>
    <w:rsid w:val="00D701F9"/>
    <w:rsid w:val="00D70C4B"/>
    <w:rsid w:val="00D741EB"/>
    <w:rsid w:val="00D86AEC"/>
    <w:rsid w:val="00D91271"/>
    <w:rsid w:val="00D94668"/>
    <w:rsid w:val="00D9587D"/>
    <w:rsid w:val="00DA0BE1"/>
    <w:rsid w:val="00DA2CB5"/>
    <w:rsid w:val="00DA4BAC"/>
    <w:rsid w:val="00DA6EB0"/>
    <w:rsid w:val="00DB5BA7"/>
    <w:rsid w:val="00DE5A21"/>
    <w:rsid w:val="00DE6D27"/>
    <w:rsid w:val="00DF217D"/>
    <w:rsid w:val="00DF26A7"/>
    <w:rsid w:val="00E06DD9"/>
    <w:rsid w:val="00E07C6E"/>
    <w:rsid w:val="00E164B3"/>
    <w:rsid w:val="00E16910"/>
    <w:rsid w:val="00E16C36"/>
    <w:rsid w:val="00E65E54"/>
    <w:rsid w:val="00E80155"/>
    <w:rsid w:val="00E848C0"/>
    <w:rsid w:val="00E87048"/>
    <w:rsid w:val="00E91B96"/>
    <w:rsid w:val="00E941A1"/>
    <w:rsid w:val="00E95CE3"/>
    <w:rsid w:val="00EA190D"/>
    <w:rsid w:val="00EA2825"/>
    <w:rsid w:val="00EB5088"/>
    <w:rsid w:val="00ED1644"/>
    <w:rsid w:val="00ED284B"/>
    <w:rsid w:val="00EE2896"/>
    <w:rsid w:val="00EE661C"/>
    <w:rsid w:val="00EF3438"/>
    <w:rsid w:val="00EF44A0"/>
    <w:rsid w:val="00F050BD"/>
    <w:rsid w:val="00F05657"/>
    <w:rsid w:val="00F11D03"/>
    <w:rsid w:val="00F20C32"/>
    <w:rsid w:val="00F25578"/>
    <w:rsid w:val="00F258E5"/>
    <w:rsid w:val="00F300BC"/>
    <w:rsid w:val="00F3334E"/>
    <w:rsid w:val="00F4705A"/>
    <w:rsid w:val="00F50EC4"/>
    <w:rsid w:val="00F57A6D"/>
    <w:rsid w:val="00F60B7F"/>
    <w:rsid w:val="00F638CC"/>
    <w:rsid w:val="00F736F4"/>
    <w:rsid w:val="00F8247A"/>
    <w:rsid w:val="00F851C6"/>
    <w:rsid w:val="00F9629A"/>
    <w:rsid w:val="00F96DD0"/>
    <w:rsid w:val="00FA5883"/>
    <w:rsid w:val="00FA6055"/>
    <w:rsid w:val="00FA7772"/>
    <w:rsid w:val="00FA7AEE"/>
    <w:rsid w:val="00FB1F7C"/>
    <w:rsid w:val="00FB322F"/>
    <w:rsid w:val="00FB442F"/>
    <w:rsid w:val="00FC1929"/>
    <w:rsid w:val="00FC5B46"/>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PBACHeading10">
    <w:name w:val="PBAC Heading 1"/>
    <w:qFormat/>
    <w:rsid w:val="00993A68"/>
    <w:pPr>
      <w:ind w:left="720" w:hanging="720"/>
    </w:pPr>
    <w:rPr>
      <w:rFonts w:ascii="Arial" w:hAnsi="Arial" w:cs="Arial"/>
      <w:b/>
      <w:snapToGrid w:val="0"/>
      <w:sz w:val="22"/>
      <w:szCs w:val="22"/>
      <w:lang w:eastAsia="en-US"/>
    </w:rPr>
  </w:style>
  <w:style w:type="paragraph" w:customStyle="1" w:styleId="PBACheading1">
    <w:name w:val="PBAC heading 1"/>
    <w:basedOn w:val="ListParagraph"/>
    <w:qFormat/>
    <w:rsid w:val="005F6917"/>
    <w:pPr>
      <w:numPr>
        <w:numId w:val="25"/>
      </w:numPr>
      <w:jc w:val="both"/>
    </w:pPr>
    <w:rPr>
      <w:rFonts w:ascii="Arial" w:hAnsi="Arial"/>
      <w:b/>
      <w:sz w:val="22"/>
      <w:szCs w:val="22"/>
    </w:rPr>
  </w:style>
  <w:style w:type="paragraph" w:styleId="Title">
    <w:name w:val="Title"/>
    <w:basedOn w:val="Normal"/>
    <w:next w:val="Normal"/>
    <w:link w:val="TitleChar"/>
    <w:qFormat/>
    <w:rsid w:val="00530DA2"/>
    <w:pPr>
      <w:ind w:left="720" w:hanging="720"/>
    </w:pPr>
    <w:rPr>
      <w:rFonts w:ascii="Arial" w:hAnsi="Arial"/>
      <w:b/>
      <w:sz w:val="28"/>
      <w:szCs w:val="28"/>
    </w:rPr>
  </w:style>
  <w:style w:type="character" w:customStyle="1" w:styleId="TitleChar">
    <w:name w:val="Title Char"/>
    <w:basedOn w:val="DefaultParagraphFont"/>
    <w:link w:val="Title"/>
    <w:rsid w:val="00530DA2"/>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PBACHeading10">
    <w:name w:val="PBAC Heading 1"/>
    <w:qFormat/>
    <w:rsid w:val="00993A68"/>
    <w:pPr>
      <w:ind w:left="720" w:hanging="720"/>
    </w:pPr>
    <w:rPr>
      <w:rFonts w:ascii="Arial" w:hAnsi="Arial" w:cs="Arial"/>
      <w:b/>
      <w:snapToGrid w:val="0"/>
      <w:sz w:val="22"/>
      <w:szCs w:val="22"/>
      <w:lang w:eastAsia="en-US"/>
    </w:rPr>
  </w:style>
  <w:style w:type="paragraph" w:customStyle="1" w:styleId="PBACheading1">
    <w:name w:val="PBAC heading 1"/>
    <w:basedOn w:val="ListParagraph"/>
    <w:qFormat/>
    <w:rsid w:val="005F6917"/>
    <w:pPr>
      <w:numPr>
        <w:numId w:val="25"/>
      </w:numPr>
      <w:jc w:val="both"/>
    </w:pPr>
    <w:rPr>
      <w:rFonts w:ascii="Arial" w:hAnsi="Arial"/>
      <w:b/>
      <w:sz w:val="22"/>
      <w:szCs w:val="22"/>
    </w:rPr>
  </w:style>
  <w:style w:type="paragraph" w:styleId="Title">
    <w:name w:val="Title"/>
    <w:basedOn w:val="Normal"/>
    <w:next w:val="Normal"/>
    <w:link w:val="TitleChar"/>
    <w:qFormat/>
    <w:rsid w:val="00530DA2"/>
    <w:pPr>
      <w:ind w:left="720" w:hanging="720"/>
    </w:pPr>
    <w:rPr>
      <w:rFonts w:ascii="Arial" w:hAnsi="Arial"/>
      <w:b/>
      <w:sz w:val="28"/>
      <w:szCs w:val="28"/>
    </w:rPr>
  </w:style>
  <w:style w:type="character" w:customStyle="1" w:styleId="TitleChar">
    <w:name w:val="Title Char"/>
    <w:basedOn w:val="DefaultParagraphFont"/>
    <w:link w:val="Title"/>
    <w:rsid w:val="00530DA2"/>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5954139">
      <w:bodyDiv w:val="1"/>
      <w:marLeft w:val="0"/>
      <w:marRight w:val="0"/>
      <w:marTop w:val="0"/>
      <w:marBottom w:val="0"/>
      <w:divBdr>
        <w:top w:val="none" w:sz="0" w:space="0" w:color="auto"/>
        <w:left w:val="none" w:sz="0" w:space="0" w:color="auto"/>
        <w:bottom w:val="none" w:sz="0" w:space="0" w:color="auto"/>
        <w:right w:val="none" w:sz="0" w:space="0" w:color="auto"/>
      </w:divBdr>
    </w:div>
    <w:div w:id="83650084">
      <w:bodyDiv w:val="1"/>
      <w:marLeft w:val="0"/>
      <w:marRight w:val="0"/>
      <w:marTop w:val="0"/>
      <w:marBottom w:val="0"/>
      <w:divBdr>
        <w:top w:val="none" w:sz="0" w:space="0" w:color="auto"/>
        <w:left w:val="none" w:sz="0" w:space="0" w:color="auto"/>
        <w:bottom w:val="none" w:sz="0" w:space="0" w:color="auto"/>
        <w:right w:val="none" w:sz="0" w:space="0" w:color="auto"/>
      </w:divBdr>
    </w:div>
    <w:div w:id="352194867">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0205291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79C48-D2DD-4DEB-A446-95D85630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5.28 Buprenorphine</vt:lpstr>
    </vt:vector>
  </TitlesOfParts>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5.28 Buprenorphine</dc:title>
  <dc:creator/>
  <cp:lastModifiedBy/>
  <cp:revision>1</cp:revision>
  <dcterms:created xsi:type="dcterms:W3CDTF">2015-06-29T06:57:00Z</dcterms:created>
  <dcterms:modified xsi:type="dcterms:W3CDTF">2015-06-29T06:58:00Z</dcterms:modified>
</cp:coreProperties>
</file>