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2B" w:rsidRDefault="00D41E06" w:rsidP="006B072B">
      <w:pPr>
        <w:pStyle w:val="Title"/>
      </w:pPr>
      <w:bookmarkStart w:id="0" w:name="_Toc409614769"/>
      <w:r w:rsidRPr="006B072B">
        <w:t>6.</w:t>
      </w:r>
      <w:r w:rsidR="007D4EAE" w:rsidRPr="006B072B">
        <w:t>0</w:t>
      </w:r>
      <w:r w:rsidRPr="006B072B">
        <w:t>3</w:t>
      </w:r>
      <w:r w:rsidR="00B60939" w:rsidRPr="006B072B">
        <w:tab/>
      </w:r>
      <w:r w:rsidRPr="006B072B">
        <w:t>D</w:t>
      </w:r>
      <w:r w:rsidR="00B22C59" w:rsidRPr="006B072B">
        <w:t>apagliflozin</w:t>
      </w:r>
      <w:r w:rsidRPr="006B072B">
        <w:t xml:space="preserve"> </w:t>
      </w:r>
    </w:p>
    <w:p w:rsidR="006B072B" w:rsidRPr="006B072B" w:rsidRDefault="00D41E06" w:rsidP="006B072B">
      <w:pPr>
        <w:ind w:firstLine="720"/>
        <w:rPr>
          <w:b/>
          <w:sz w:val="28"/>
          <w:szCs w:val="28"/>
        </w:rPr>
      </w:pPr>
      <w:r w:rsidRPr="006B072B">
        <w:rPr>
          <w:b/>
          <w:sz w:val="28"/>
          <w:szCs w:val="28"/>
        </w:rPr>
        <w:t xml:space="preserve">10 mg </w:t>
      </w:r>
      <w:r w:rsidR="00B22C59" w:rsidRPr="006B072B">
        <w:rPr>
          <w:b/>
          <w:sz w:val="28"/>
          <w:szCs w:val="28"/>
        </w:rPr>
        <w:t>tablet</w:t>
      </w:r>
      <w:r w:rsidR="00B60939" w:rsidRPr="006B072B">
        <w:rPr>
          <w:b/>
          <w:sz w:val="28"/>
          <w:szCs w:val="28"/>
        </w:rPr>
        <w:t xml:space="preserve">, </w:t>
      </w:r>
      <w:r w:rsidRPr="006B072B">
        <w:rPr>
          <w:b/>
          <w:sz w:val="28"/>
          <w:szCs w:val="28"/>
        </w:rPr>
        <w:t xml:space="preserve">28, </w:t>
      </w:r>
    </w:p>
    <w:p w:rsidR="00B60939" w:rsidRPr="006B072B" w:rsidRDefault="00B22C59" w:rsidP="006B072B">
      <w:pPr>
        <w:ind w:firstLine="720"/>
        <w:rPr>
          <w:b/>
          <w:sz w:val="28"/>
          <w:szCs w:val="28"/>
        </w:rPr>
      </w:pPr>
      <w:r w:rsidRPr="006B072B">
        <w:rPr>
          <w:b/>
          <w:sz w:val="28"/>
          <w:szCs w:val="28"/>
        </w:rPr>
        <w:t>Forxiga</w:t>
      </w:r>
      <w:r w:rsidR="00B60939" w:rsidRPr="006B072B">
        <w:rPr>
          <w:b/>
          <w:sz w:val="28"/>
          <w:szCs w:val="28"/>
        </w:rPr>
        <w:t>®</w:t>
      </w:r>
      <w:r w:rsidR="00D41E06" w:rsidRPr="006B072B">
        <w:rPr>
          <w:b/>
          <w:sz w:val="28"/>
          <w:szCs w:val="28"/>
        </w:rPr>
        <w:t xml:space="preserve">, </w:t>
      </w:r>
      <w:r w:rsidRPr="006B072B">
        <w:rPr>
          <w:b/>
          <w:sz w:val="28"/>
          <w:szCs w:val="28"/>
        </w:rPr>
        <w:t xml:space="preserve">AstraZeneca Australia </w:t>
      </w:r>
      <w:r w:rsidR="00D41E06" w:rsidRPr="006B072B">
        <w:rPr>
          <w:b/>
          <w:sz w:val="28"/>
          <w:szCs w:val="28"/>
        </w:rPr>
        <w:t>Pty Ltd</w:t>
      </w:r>
      <w:r w:rsidR="00B60939" w:rsidRPr="006B072B">
        <w:rPr>
          <w:b/>
          <w:sz w:val="28"/>
          <w:szCs w:val="28"/>
        </w:rPr>
        <w:t>.</w:t>
      </w:r>
      <w:bookmarkEnd w:id="0"/>
    </w:p>
    <w:p w:rsidR="00B60939" w:rsidRDefault="00B60939" w:rsidP="004C5FCE">
      <w:pPr>
        <w:widowControl/>
      </w:pPr>
    </w:p>
    <w:p w:rsidR="00B60939" w:rsidRDefault="00B60939" w:rsidP="004C5FCE">
      <w:pPr>
        <w:widowControl/>
      </w:pPr>
    </w:p>
    <w:p w:rsidR="00B50DB8" w:rsidRPr="00407F2D" w:rsidRDefault="00B50DB8" w:rsidP="00A8769F">
      <w:pPr>
        <w:pStyle w:val="PBACheading1"/>
      </w:pPr>
      <w:bookmarkStart w:id="1" w:name="_Toc409614771"/>
      <w:r w:rsidRPr="00407F2D">
        <w:t>Purpose of Application</w:t>
      </w:r>
      <w:bookmarkEnd w:id="1"/>
    </w:p>
    <w:p w:rsidR="00B60939" w:rsidRPr="00882085" w:rsidRDefault="00B60939" w:rsidP="004C5FCE">
      <w:pPr>
        <w:widowControl/>
        <w:rPr>
          <w:szCs w:val="22"/>
        </w:rPr>
      </w:pPr>
    </w:p>
    <w:p w:rsidR="002C2775" w:rsidRPr="00B2417A" w:rsidRDefault="00F016F7" w:rsidP="004C5FCE">
      <w:pPr>
        <w:pStyle w:val="ListParagraph"/>
        <w:widowControl/>
        <w:numPr>
          <w:ilvl w:val="1"/>
          <w:numId w:val="1"/>
        </w:numPr>
        <w:rPr>
          <w:szCs w:val="22"/>
        </w:rPr>
      </w:pPr>
      <w:r>
        <w:t xml:space="preserve">The submission sought an </w:t>
      </w:r>
      <w:r w:rsidR="001E238E" w:rsidRPr="004B3DDB">
        <w:t>Authority Required</w:t>
      </w:r>
      <w:r w:rsidR="00B22C59">
        <w:t xml:space="preserve"> (Streamlined)</w:t>
      </w:r>
      <w:r w:rsidR="001E238E" w:rsidRPr="004B3DDB">
        <w:t xml:space="preserve"> listing for </w:t>
      </w:r>
      <w:bookmarkStart w:id="2" w:name="_GoBack"/>
      <w:r w:rsidR="00B22C59">
        <w:t>dapagliflozin</w:t>
      </w:r>
      <w:bookmarkEnd w:id="2"/>
      <w:r w:rsidR="001E238E" w:rsidRPr="004B3DDB">
        <w:t xml:space="preserve"> </w:t>
      </w:r>
      <w:r w:rsidR="00B22C59">
        <w:t>10mg tablets</w:t>
      </w:r>
      <w:r w:rsidR="00B22C59" w:rsidRPr="004B3DDB">
        <w:t xml:space="preserve"> for </w:t>
      </w:r>
      <w:r w:rsidR="00B22C59">
        <w:t xml:space="preserve">the </w:t>
      </w:r>
      <w:r w:rsidR="00B22C59" w:rsidRPr="004B3DDB">
        <w:t>treatment of</w:t>
      </w:r>
      <w:r w:rsidR="002B2560">
        <w:t xml:space="preserve"> patients with</w:t>
      </w:r>
      <w:r w:rsidR="00B22C59" w:rsidRPr="004B3DDB">
        <w:t xml:space="preserve"> </w:t>
      </w:r>
      <w:r w:rsidR="00B22C59">
        <w:t>type 2 diabetes</w:t>
      </w:r>
      <w:r w:rsidR="00851734">
        <w:t xml:space="preserve"> mellitus</w:t>
      </w:r>
      <w:r w:rsidR="00B22C59">
        <w:t xml:space="preserve"> (T2D</w:t>
      </w:r>
      <w:r w:rsidR="00286379">
        <w:t>M</w:t>
      </w:r>
      <w:r w:rsidR="00B22C59">
        <w:t xml:space="preserve">) in </w:t>
      </w:r>
      <w:r w:rsidR="00B22C59" w:rsidRPr="00B2417A">
        <w:t>combination with metformin and a sulfonylurea</w:t>
      </w:r>
      <w:r w:rsidR="0035497C" w:rsidRPr="00B2417A">
        <w:t xml:space="preserve"> (MET + SU)</w:t>
      </w:r>
      <w:r w:rsidR="001E238E" w:rsidRPr="00B2417A">
        <w:t>.</w:t>
      </w:r>
    </w:p>
    <w:p w:rsidR="0087374D" w:rsidRPr="00B2417A" w:rsidRDefault="0087374D" w:rsidP="004C5FCE">
      <w:pPr>
        <w:pStyle w:val="ListParagraph"/>
        <w:widowControl/>
        <w:rPr>
          <w:b/>
        </w:rPr>
      </w:pPr>
    </w:p>
    <w:p w:rsidR="0087374D" w:rsidRPr="00B2417A" w:rsidRDefault="00047D1A" w:rsidP="004C5FCE">
      <w:pPr>
        <w:pStyle w:val="ListParagraph"/>
        <w:widowControl/>
        <w:numPr>
          <w:ilvl w:val="1"/>
          <w:numId w:val="1"/>
        </w:numPr>
        <w:rPr>
          <w:b/>
          <w:bCs/>
        </w:rPr>
      </w:pPr>
      <w:r w:rsidRPr="00B2417A">
        <w:t>At its November 2014 meeting, t</w:t>
      </w:r>
      <w:r w:rsidR="0087374D" w:rsidRPr="00B2417A">
        <w:t>he PBAC stated that it “would welcome submissions for PBS listing of the triple</w:t>
      </w:r>
      <w:r w:rsidR="0087374D" w:rsidRPr="00B2417A">
        <w:rPr>
          <w:bCs/>
        </w:rPr>
        <w:t xml:space="preserve"> oral therapy combination of metformin + sulfonylurea + SGLT2 inhibitor” (PBAC Ratified Minutes Type 2 Diabetes Medicines Post-Market Review, Para 5.7). </w:t>
      </w:r>
      <w:r w:rsidR="009C101B" w:rsidRPr="00B2417A">
        <w:rPr>
          <w:bCs/>
        </w:rPr>
        <w:t>T</w:t>
      </w:r>
      <w:r w:rsidR="0087374D" w:rsidRPr="00B2417A">
        <w:rPr>
          <w:bCs/>
        </w:rPr>
        <w:t xml:space="preserve">his was based on a Network Meta-Analysis (NMA) </w:t>
      </w:r>
      <w:r w:rsidR="009C101B" w:rsidRPr="00B2417A">
        <w:t xml:space="preserve">of triple therapy trials included in the ‘Comparative Safety and </w:t>
      </w:r>
      <w:r w:rsidR="00932718" w:rsidRPr="00B2417A">
        <w:t>E</w:t>
      </w:r>
      <w:r w:rsidR="009C101B" w:rsidRPr="00B2417A">
        <w:t xml:space="preserve">ffectiveness of Type 2 Diabetes Medicines: Final Report September 2014’ prepared for the Post Market Review of Diabetes </w:t>
      </w:r>
      <w:r w:rsidR="00932718" w:rsidRPr="00B2417A">
        <w:t>M</w:t>
      </w:r>
      <w:r w:rsidR="009C101B" w:rsidRPr="00B2417A">
        <w:t xml:space="preserve">edicines </w:t>
      </w:r>
      <w:r w:rsidR="00E80407" w:rsidRPr="00B2417A">
        <w:t xml:space="preserve">that </w:t>
      </w:r>
      <w:r w:rsidR="009C101B" w:rsidRPr="00B2417A">
        <w:t xml:space="preserve">indicated “that of the triple oral therapy options, metformin + sulfonylurea + SGLT2 inhibitor provided the largest reductions in HbA1c and likely important weight loss. The Committee also noted small reductions in systolic and diastolic blood pressure associated with the use of SGLT2 inhibitors.” However, the NMA </w:t>
      </w:r>
      <w:r w:rsidR="0087374D" w:rsidRPr="00B2417A">
        <w:rPr>
          <w:bCs/>
        </w:rPr>
        <w:t xml:space="preserve">did not include data on dapagliflozin triple oral therapy. </w:t>
      </w:r>
      <w:r w:rsidR="001C7171" w:rsidRPr="00B2417A">
        <w:rPr>
          <w:bCs/>
        </w:rPr>
        <w:t xml:space="preserve">Efficacy of SGLT2 inhibitors was informed by a trial of </w:t>
      </w:r>
      <w:r w:rsidR="001C7171" w:rsidRPr="00B2417A">
        <w:rPr>
          <w:bCs/>
          <w:u w:val="single"/>
        </w:rPr>
        <w:t>canagliflozin</w:t>
      </w:r>
      <w:r w:rsidR="001C7171" w:rsidRPr="00B2417A">
        <w:rPr>
          <w:bCs/>
        </w:rPr>
        <w:t xml:space="preserve"> versus sitagliptin, on a background of MET+SU. </w:t>
      </w:r>
      <w:r w:rsidR="00B2417A" w:rsidRPr="00B2417A">
        <w:rPr>
          <w:bCs/>
        </w:rPr>
        <w:t xml:space="preserve">The evaluation considered that the </w:t>
      </w:r>
      <w:r w:rsidR="0087374D" w:rsidRPr="00B2417A">
        <w:rPr>
          <w:bCs/>
        </w:rPr>
        <w:t xml:space="preserve">NMA </w:t>
      </w:r>
      <w:r w:rsidR="00B2417A" w:rsidRPr="00B2417A">
        <w:rPr>
          <w:bCs/>
        </w:rPr>
        <w:t>may not be</w:t>
      </w:r>
      <w:r w:rsidR="0087374D" w:rsidRPr="00B2417A">
        <w:rPr>
          <w:bCs/>
        </w:rPr>
        <w:t xml:space="preserve"> applicable to dapagliflozin triple oral therapy.</w:t>
      </w:r>
      <w:r w:rsidR="00E80407" w:rsidRPr="00B2417A">
        <w:rPr>
          <w:bCs/>
        </w:rPr>
        <w:t xml:space="preserve"> </w:t>
      </w:r>
    </w:p>
    <w:p w:rsidR="00E80407" w:rsidRPr="00E80407" w:rsidRDefault="00E80407" w:rsidP="004C5FCE">
      <w:pPr>
        <w:pStyle w:val="ListParagraph"/>
        <w:widowControl/>
        <w:rPr>
          <w:b/>
          <w:bCs/>
        </w:rPr>
      </w:pPr>
    </w:p>
    <w:p w:rsidR="00F6411A" w:rsidRDefault="00F6411A">
      <w:pPr>
        <w:widowControl/>
        <w:jc w:val="left"/>
      </w:pPr>
      <w:r>
        <w:br w:type="page"/>
      </w:r>
    </w:p>
    <w:p w:rsidR="00B50DB8" w:rsidRPr="00407F2D" w:rsidRDefault="00B50DB8" w:rsidP="00A8769F">
      <w:pPr>
        <w:pStyle w:val="PBACheading1"/>
      </w:pPr>
      <w:bookmarkStart w:id="3" w:name="_Toc409614772"/>
      <w:r w:rsidRPr="00407F2D">
        <w:lastRenderedPageBreak/>
        <w:t>Requested listing</w:t>
      </w:r>
      <w:bookmarkEnd w:id="3"/>
    </w:p>
    <w:p w:rsidR="00B60939" w:rsidRPr="00851734" w:rsidRDefault="00B60939" w:rsidP="004C5FCE">
      <w:pPr>
        <w:widowControl/>
      </w:pPr>
    </w:p>
    <w:p w:rsidR="00344756" w:rsidRPr="00BC1D5F" w:rsidRDefault="00344756" w:rsidP="004C5FCE">
      <w:pPr>
        <w:pStyle w:val="ListParagraph"/>
        <w:widowControl/>
        <w:numPr>
          <w:ilvl w:val="1"/>
          <w:numId w:val="1"/>
        </w:numPr>
      </w:pPr>
      <w:r w:rsidRPr="00BC1D5F">
        <w:t>Suggestions and additions proposed by the Secretariat to the requested listing are added in italics and suggested deletions are crossed out with strikethrough:</w:t>
      </w:r>
    </w:p>
    <w:p w:rsidR="00344756" w:rsidRPr="00BC1D5F" w:rsidRDefault="00344756" w:rsidP="004C5FCE">
      <w:pPr>
        <w:pStyle w:val="ListParagraph"/>
        <w:widowControl/>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6"/>
        <w:gridCol w:w="567"/>
        <w:gridCol w:w="850"/>
        <w:gridCol w:w="1701"/>
        <w:gridCol w:w="1418"/>
        <w:gridCol w:w="1417"/>
      </w:tblGrid>
      <w:tr w:rsidR="00344756" w:rsidRPr="00D72941" w:rsidTr="00735319">
        <w:trPr>
          <w:cantSplit/>
          <w:trHeight w:val="471"/>
        </w:trPr>
        <w:tc>
          <w:tcPr>
            <w:tcW w:w="2552" w:type="dxa"/>
            <w:gridSpan w:val="2"/>
            <w:tcBorders>
              <w:top w:val="nil"/>
              <w:left w:val="nil"/>
              <w:bottom w:val="nil"/>
              <w:right w:val="nil"/>
            </w:tcBorders>
          </w:tcPr>
          <w:p w:rsidR="00344756" w:rsidRPr="00D72941" w:rsidRDefault="00344756" w:rsidP="004C5FCE">
            <w:pPr>
              <w:keepNext/>
              <w:widowControl/>
              <w:ind w:left="-108"/>
              <w:jc w:val="left"/>
              <w:rPr>
                <w:rFonts w:ascii="Arial Narrow" w:hAnsi="Arial Narrow"/>
                <w:snapToGrid/>
                <w:sz w:val="20"/>
                <w:lang w:eastAsia="en-AU"/>
              </w:rPr>
            </w:pPr>
            <w:r w:rsidRPr="00D72941">
              <w:rPr>
                <w:rFonts w:ascii="Arial Narrow" w:hAnsi="Arial Narrow"/>
                <w:snapToGrid/>
                <w:sz w:val="20"/>
                <w:lang w:eastAsia="en-AU"/>
              </w:rPr>
              <w:t>Name, Restriction,</w:t>
            </w:r>
          </w:p>
          <w:p w:rsidR="00344756" w:rsidRPr="00D72941" w:rsidRDefault="00344756" w:rsidP="004C5FCE">
            <w:pPr>
              <w:keepNext/>
              <w:widowControl/>
              <w:ind w:left="-108"/>
              <w:jc w:val="left"/>
              <w:rPr>
                <w:rFonts w:ascii="Arial Narrow" w:hAnsi="Arial Narrow"/>
                <w:snapToGrid/>
                <w:sz w:val="20"/>
                <w:lang w:eastAsia="en-AU"/>
              </w:rPr>
            </w:pPr>
            <w:r w:rsidRPr="00D72941">
              <w:rPr>
                <w:rFonts w:ascii="Arial Narrow" w:hAnsi="Arial Narrow"/>
                <w:snapToGrid/>
                <w:sz w:val="20"/>
                <w:lang w:eastAsia="en-AU"/>
              </w:rPr>
              <w:t>Manner of administration and form</w:t>
            </w:r>
          </w:p>
        </w:tc>
        <w:tc>
          <w:tcPr>
            <w:tcW w:w="567" w:type="dxa"/>
            <w:tcBorders>
              <w:top w:val="nil"/>
              <w:left w:val="nil"/>
              <w:bottom w:val="nil"/>
              <w:right w:val="nil"/>
            </w:tcBorders>
            <w:vAlign w:val="center"/>
          </w:tcPr>
          <w:p w:rsidR="00344756" w:rsidRPr="00D72941" w:rsidRDefault="00344756" w:rsidP="004C5FCE">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Max</w:t>
            </w:r>
          </w:p>
          <w:p w:rsidR="00344756" w:rsidRPr="00D72941" w:rsidRDefault="00344756" w:rsidP="004C5FCE">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Qty</w:t>
            </w:r>
          </w:p>
        </w:tc>
        <w:tc>
          <w:tcPr>
            <w:tcW w:w="850" w:type="dxa"/>
            <w:tcBorders>
              <w:top w:val="nil"/>
              <w:left w:val="nil"/>
              <w:bottom w:val="nil"/>
              <w:right w:val="nil"/>
            </w:tcBorders>
            <w:vAlign w:val="center"/>
          </w:tcPr>
          <w:p w:rsidR="00344756" w:rsidRPr="00D72941" w:rsidRDefault="00344756" w:rsidP="004C5FCE">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№.of</w:t>
            </w:r>
          </w:p>
          <w:p w:rsidR="00344756" w:rsidRPr="00D72941" w:rsidRDefault="00344756" w:rsidP="004C5FCE">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Rpts</w:t>
            </w:r>
          </w:p>
        </w:tc>
        <w:tc>
          <w:tcPr>
            <w:tcW w:w="1701" w:type="dxa"/>
            <w:tcBorders>
              <w:top w:val="nil"/>
              <w:left w:val="nil"/>
              <w:bottom w:val="nil"/>
              <w:right w:val="nil"/>
            </w:tcBorders>
            <w:vAlign w:val="center"/>
          </w:tcPr>
          <w:p w:rsidR="00344756" w:rsidRPr="00D72941" w:rsidRDefault="00344756" w:rsidP="004C5FCE">
            <w:pPr>
              <w:keepNext/>
              <w:widowControl/>
              <w:ind w:left="-108"/>
              <w:jc w:val="center"/>
              <w:rPr>
                <w:rFonts w:ascii="Arial Narrow" w:hAnsi="Arial Narrow"/>
                <w:snapToGrid/>
                <w:sz w:val="20"/>
                <w:lang w:eastAsia="en-AU"/>
              </w:rPr>
            </w:pPr>
            <w:r w:rsidRPr="002C6D44">
              <w:rPr>
                <w:rFonts w:ascii="Arial Narrow" w:hAnsi="Arial Narrow"/>
                <w:sz w:val="20"/>
              </w:rPr>
              <w:t>Dispensed Price for Max. Qty</w:t>
            </w:r>
          </w:p>
        </w:tc>
        <w:tc>
          <w:tcPr>
            <w:tcW w:w="2835" w:type="dxa"/>
            <w:gridSpan w:val="2"/>
            <w:tcBorders>
              <w:top w:val="nil"/>
              <w:left w:val="nil"/>
              <w:bottom w:val="nil"/>
              <w:right w:val="nil"/>
            </w:tcBorders>
          </w:tcPr>
          <w:p w:rsidR="00344756" w:rsidRPr="00D72941" w:rsidRDefault="00344756" w:rsidP="004C5FCE">
            <w:pPr>
              <w:keepNext/>
              <w:widowControl/>
              <w:rPr>
                <w:rFonts w:ascii="Arial Narrow" w:hAnsi="Arial Narrow"/>
                <w:snapToGrid/>
                <w:sz w:val="20"/>
                <w:lang w:eastAsia="en-AU"/>
              </w:rPr>
            </w:pPr>
            <w:r w:rsidRPr="00D72941">
              <w:rPr>
                <w:rFonts w:ascii="Arial Narrow" w:hAnsi="Arial Narrow"/>
                <w:snapToGrid/>
                <w:sz w:val="20"/>
                <w:lang w:eastAsia="en-AU"/>
              </w:rPr>
              <w:t>Proprietary Name and Manufacturer</w:t>
            </w:r>
          </w:p>
        </w:tc>
      </w:tr>
      <w:tr w:rsidR="00344756" w:rsidRPr="007F48FB" w:rsidTr="00735319">
        <w:trPr>
          <w:cantSplit/>
          <w:trHeight w:val="386"/>
        </w:trPr>
        <w:tc>
          <w:tcPr>
            <w:tcW w:w="2552" w:type="dxa"/>
            <w:gridSpan w:val="2"/>
            <w:tcBorders>
              <w:top w:val="nil"/>
              <w:left w:val="nil"/>
              <w:right w:val="nil"/>
            </w:tcBorders>
          </w:tcPr>
          <w:p w:rsidR="00344756" w:rsidRPr="007F48FB" w:rsidRDefault="00344756" w:rsidP="004C5FCE">
            <w:pPr>
              <w:widowControl/>
              <w:ind w:left="-108"/>
              <w:jc w:val="left"/>
              <w:rPr>
                <w:rFonts w:ascii="Arial Narrow" w:hAnsi="Arial Narrow"/>
                <w:snapToGrid/>
                <w:sz w:val="20"/>
                <w:szCs w:val="22"/>
                <w:lang w:eastAsia="en-AU"/>
              </w:rPr>
            </w:pPr>
            <w:r w:rsidRPr="007F48FB">
              <w:rPr>
                <w:rFonts w:ascii="Arial Narrow" w:hAnsi="Arial Narrow"/>
                <w:snapToGrid/>
                <w:sz w:val="20"/>
                <w:szCs w:val="22"/>
                <w:lang w:eastAsia="en-AU"/>
              </w:rPr>
              <w:t>DAPAGLIFLOZIN</w:t>
            </w:r>
          </w:p>
          <w:p w:rsidR="00344756" w:rsidRDefault="00344756" w:rsidP="004C5FCE">
            <w:pPr>
              <w:keepNext/>
              <w:widowControl/>
              <w:ind w:left="-108"/>
              <w:jc w:val="left"/>
              <w:rPr>
                <w:rFonts w:ascii="Arial Narrow" w:hAnsi="Arial Narrow"/>
                <w:snapToGrid/>
                <w:sz w:val="20"/>
                <w:szCs w:val="22"/>
                <w:lang w:eastAsia="en-AU"/>
              </w:rPr>
            </w:pPr>
            <w:r w:rsidRPr="007F48FB">
              <w:rPr>
                <w:rFonts w:ascii="Arial Narrow" w:hAnsi="Arial Narrow"/>
                <w:snapToGrid/>
                <w:sz w:val="20"/>
                <w:szCs w:val="22"/>
                <w:lang w:eastAsia="en-AU"/>
              </w:rPr>
              <w:t>dapagliflozin 10 mg tablet, 28</w:t>
            </w:r>
          </w:p>
          <w:p w:rsidR="00735319" w:rsidRPr="007F48FB" w:rsidRDefault="00735319" w:rsidP="004C5FCE">
            <w:pPr>
              <w:keepNext/>
              <w:widowControl/>
              <w:ind w:left="-108"/>
              <w:jc w:val="left"/>
              <w:rPr>
                <w:rFonts w:ascii="Arial Narrow" w:hAnsi="Arial Narrow"/>
                <w:snapToGrid/>
                <w:sz w:val="20"/>
                <w:szCs w:val="22"/>
                <w:lang w:eastAsia="en-AU"/>
              </w:rPr>
            </w:pPr>
          </w:p>
        </w:tc>
        <w:tc>
          <w:tcPr>
            <w:tcW w:w="567" w:type="dxa"/>
            <w:tcBorders>
              <w:top w:val="nil"/>
              <w:left w:val="nil"/>
              <w:right w:val="nil"/>
            </w:tcBorders>
            <w:vAlign w:val="center"/>
          </w:tcPr>
          <w:p w:rsidR="00344756" w:rsidRPr="007F48FB" w:rsidRDefault="00344756" w:rsidP="004C5FCE">
            <w:pPr>
              <w:keepNext/>
              <w:widowControl/>
              <w:ind w:left="-108"/>
              <w:jc w:val="center"/>
              <w:rPr>
                <w:rFonts w:ascii="Arial Narrow" w:hAnsi="Arial Narrow"/>
                <w:snapToGrid/>
                <w:sz w:val="20"/>
                <w:szCs w:val="22"/>
                <w:lang w:eastAsia="en-AU"/>
              </w:rPr>
            </w:pPr>
            <w:r w:rsidRPr="007F48FB">
              <w:rPr>
                <w:rFonts w:ascii="Arial Narrow" w:hAnsi="Arial Narrow"/>
                <w:snapToGrid/>
                <w:sz w:val="20"/>
                <w:szCs w:val="22"/>
                <w:lang w:eastAsia="en-AU"/>
              </w:rPr>
              <w:t>1</w:t>
            </w:r>
          </w:p>
        </w:tc>
        <w:tc>
          <w:tcPr>
            <w:tcW w:w="850" w:type="dxa"/>
            <w:tcBorders>
              <w:top w:val="nil"/>
              <w:left w:val="nil"/>
              <w:right w:val="nil"/>
            </w:tcBorders>
            <w:vAlign w:val="center"/>
          </w:tcPr>
          <w:p w:rsidR="00344756" w:rsidRPr="007F48FB" w:rsidRDefault="00344756" w:rsidP="004C5FCE">
            <w:pPr>
              <w:keepNext/>
              <w:widowControl/>
              <w:ind w:left="-108"/>
              <w:jc w:val="center"/>
              <w:rPr>
                <w:rFonts w:ascii="Arial Narrow" w:hAnsi="Arial Narrow"/>
                <w:snapToGrid/>
                <w:sz w:val="20"/>
                <w:szCs w:val="22"/>
                <w:lang w:eastAsia="en-AU"/>
              </w:rPr>
            </w:pPr>
            <w:r w:rsidRPr="007F48FB">
              <w:rPr>
                <w:rFonts w:ascii="Arial Narrow" w:hAnsi="Arial Narrow"/>
                <w:snapToGrid/>
                <w:sz w:val="20"/>
                <w:szCs w:val="22"/>
                <w:lang w:eastAsia="en-AU"/>
              </w:rPr>
              <w:t>5</w:t>
            </w:r>
          </w:p>
        </w:tc>
        <w:tc>
          <w:tcPr>
            <w:tcW w:w="1701" w:type="dxa"/>
            <w:tcBorders>
              <w:top w:val="nil"/>
              <w:left w:val="nil"/>
              <w:right w:val="nil"/>
            </w:tcBorders>
            <w:vAlign w:val="center"/>
          </w:tcPr>
          <w:p w:rsidR="00344756" w:rsidRPr="007F48FB" w:rsidRDefault="00344756" w:rsidP="004C5FCE">
            <w:pPr>
              <w:keepNext/>
              <w:widowControl/>
              <w:ind w:left="-108"/>
              <w:jc w:val="center"/>
              <w:rPr>
                <w:rFonts w:ascii="Arial Narrow" w:hAnsi="Arial Narrow"/>
                <w:snapToGrid/>
                <w:sz w:val="20"/>
                <w:szCs w:val="22"/>
                <w:lang w:eastAsia="en-AU"/>
              </w:rPr>
            </w:pPr>
            <w:r>
              <w:rPr>
                <w:rFonts w:ascii="Arial Narrow" w:hAnsi="Arial Narrow"/>
                <w:sz w:val="20"/>
              </w:rPr>
              <w:t>TBA</w:t>
            </w:r>
          </w:p>
        </w:tc>
        <w:tc>
          <w:tcPr>
            <w:tcW w:w="1418" w:type="dxa"/>
            <w:tcBorders>
              <w:top w:val="nil"/>
              <w:left w:val="nil"/>
              <w:right w:val="nil"/>
            </w:tcBorders>
          </w:tcPr>
          <w:p w:rsidR="00344756" w:rsidRPr="007F48FB" w:rsidRDefault="00344756" w:rsidP="004C5FCE">
            <w:pPr>
              <w:keepNext/>
              <w:widowControl/>
              <w:rPr>
                <w:rFonts w:ascii="Arial Narrow" w:hAnsi="Arial Narrow"/>
                <w:snapToGrid/>
                <w:sz w:val="20"/>
                <w:szCs w:val="22"/>
                <w:lang w:eastAsia="en-AU"/>
              </w:rPr>
            </w:pPr>
          </w:p>
          <w:p w:rsidR="00344756" w:rsidRPr="007F48FB" w:rsidRDefault="00344756" w:rsidP="004C5FCE">
            <w:pPr>
              <w:widowControl/>
              <w:ind w:left="-108"/>
              <w:jc w:val="left"/>
              <w:rPr>
                <w:rFonts w:ascii="Arial Narrow" w:hAnsi="Arial Narrow"/>
                <w:snapToGrid/>
                <w:sz w:val="20"/>
                <w:szCs w:val="22"/>
                <w:lang w:eastAsia="en-AU"/>
              </w:rPr>
            </w:pPr>
            <w:r w:rsidRPr="007F48FB">
              <w:rPr>
                <w:rFonts w:ascii="Arial Narrow" w:hAnsi="Arial Narrow"/>
                <w:snapToGrid/>
                <w:sz w:val="20"/>
                <w:szCs w:val="22"/>
                <w:lang w:eastAsia="en-AU"/>
              </w:rPr>
              <w:t>F</w:t>
            </w:r>
            <w:r>
              <w:rPr>
                <w:rFonts w:ascii="Arial Narrow" w:hAnsi="Arial Narrow"/>
                <w:snapToGrid/>
                <w:sz w:val="20"/>
                <w:szCs w:val="22"/>
                <w:lang w:eastAsia="en-AU"/>
              </w:rPr>
              <w:t>orxiga</w:t>
            </w:r>
          </w:p>
        </w:tc>
        <w:tc>
          <w:tcPr>
            <w:tcW w:w="1417" w:type="dxa"/>
            <w:tcBorders>
              <w:top w:val="nil"/>
              <w:left w:val="nil"/>
              <w:right w:val="nil"/>
            </w:tcBorders>
          </w:tcPr>
          <w:p w:rsidR="00344756" w:rsidRPr="007F48FB" w:rsidRDefault="00344756" w:rsidP="004C5FCE">
            <w:pPr>
              <w:keepNext/>
              <w:widowControl/>
              <w:rPr>
                <w:rFonts w:ascii="Arial Narrow" w:hAnsi="Arial Narrow"/>
                <w:snapToGrid/>
                <w:sz w:val="20"/>
                <w:szCs w:val="22"/>
                <w:lang w:eastAsia="en-AU"/>
              </w:rPr>
            </w:pPr>
          </w:p>
          <w:p w:rsidR="00344756" w:rsidRPr="007F48FB" w:rsidRDefault="00344756" w:rsidP="004C5FCE">
            <w:pPr>
              <w:keepNext/>
              <w:widowControl/>
              <w:rPr>
                <w:rFonts w:ascii="Arial Narrow" w:hAnsi="Arial Narrow"/>
                <w:snapToGrid/>
                <w:sz w:val="20"/>
                <w:szCs w:val="22"/>
                <w:lang w:eastAsia="en-AU"/>
              </w:rPr>
            </w:pPr>
            <w:r w:rsidRPr="007F48FB">
              <w:rPr>
                <w:rFonts w:ascii="Arial Narrow" w:hAnsi="Arial Narrow"/>
                <w:snapToGrid/>
                <w:sz w:val="20"/>
                <w:szCs w:val="22"/>
                <w:lang w:eastAsia="en-AU"/>
              </w:rPr>
              <w:t>AZ</w:t>
            </w:r>
          </w:p>
        </w:tc>
      </w:tr>
      <w:tr w:rsidR="00344756" w:rsidRPr="00D72941" w:rsidTr="00735319">
        <w:trPr>
          <w:cantSplit/>
          <w:trHeight w:val="58"/>
        </w:trPr>
        <w:tc>
          <w:tcPr>
            <w:tcW w:w="2126" w:type="dxa"/>
          </w:tcPr>
          <w:p w:rsidR="00344756" w:rsidRPr="00D72941" w:rsidRDefault="00344756" w:rsidP="004C5FCE">
            <w:pPr>
              <w:widowControl/>
              <w:rPr>
                <w:rFonts w:ascii="Arial Narrow" w:hAnsi="Arial Narrow"/>
                <w:b/>
                <w:sz w:val="20"/>
              </w:rPr>
            </w:pPr>
            <w:r w:rsidRPr="00D72941">
              <w:rPr>
                <w:rFonts w:ascii="Arial Narrow" w:hAnsi="Arial Narrow"/>
                <w:b/>
                <w:sz w:val="20"/>
              </w:rPr>
              <w:t>Category / Program</w:t>
            </w:r>
          </w:p>
        </w:tc>
        <w:tc>
          <w:tcPr>
            <w:tcW w:w="6379" w:type="dxa"/>
            <w:gridSpan w:val="6"/>
          </w:tcPr>
          <w:p w:rsidR="00344756" w:rsidRPr="00D72941" w:rsidRDefault="00344756" w:rsidP="004C5FCE">
            <w:pPr>
              <w:widowControl/>
              <w:rPr>
                <w:rFonts w:ascii="Arial Narrow" w:hAnsi="Arial Narrow"/>
                <w:sz w:val="20"/>
              </w:rPr>
            </w:pPr>
            <w:r w:rsidRPr="00D72941">
              <w:rPr>
                <w:rFonts w:ascii="Arial Narrow" w:hAnsi="Arial Narrow"/>
                <w:sz w:val="20"/>
              </w:rPr>
              <w:t>GENERAL – General Schedule (Code GE)</w:t>
            </w:r>
          </w:p>
        </w:tc>
      </w:tr>
      <w:tr w:rsidR="00344756" w:rsidRPr="00D72941" w:rsidTr="00735319">
        <w:trPr>
          <w:cantSplit/>
          <w:trHeight w:val="58"/>
        </w:trPr>
        <w:tc>
          <w:tcPr>
            <w:tcW w:w="2126" w:type="dxa"/>
          </w:tcPr>
          <w:p w:rsidR="00344756" w:rsidRPr="00D72941" w:rsidRDefault="00344756" w:rsidP="004C5FCE">
            <w:pPr>
              <w:widowControl/>
              <w:rPr>
                <w:rFonts w:ascii="Arial Narrow" w:hAnsi="Arial Narrow"/>
                <w:b/>
                <w:sz w:val="20"/>
              </w:rPr>
            </w:pPr>
            <w:r w:rsidRPr="00D72941">
              <w:rPr>
                <w:rFonts w:ascii="Arial Narrow" w:hAnsi="Arial Narrow"/>
                <w:b/>
                <w:sz w:val="20"/>
              </w:rPr>
              <w:t>Prescriber type:</w:t>
            </w:r>
          </w:p>
        </w:tc>
        <w:tc>
          <w:tcPr>
            <w:tcW w:w="6379" w:type="dxa"/>
            <w:gridSpan w:val="6"/>
          </w:tcPr>
          <w:p w:rsidR="00344756" w:rsidRPr="00D72941" w:rsidRDefault="00344756" w:rsidP="004C5FCE">
            <w:pPr>
              <w:widowControl/>
              <w:rPr>
                <w:rFonts w:ascii="Arial Narrow" w:hAnsi="Arial Narrow"/>
                <w:sz w:val="20"/>
              </w:rPr>
            </w:pPr>
            <w:r w:rsidRPr="00D72941">
              <w:rPr>
                <w:rFonts w:ascii="Arial Narrow" w:hAnsi="Arial Narrow"/>
                <w:sz w:val="20"/>
              </w:rPr>
              <w:fldChar w:fldCharType="begin">
                <w:ffData>
                  <w:name w:val=""/>
                  <w:enabled/>
                  <w:calcOnExit w:val="0"/>
                  <w:checkBox>
                    <w:sizeAuto/>
                    <w:default w:val="1"/>
                  </w:checkBox>
                </w:ffData>
              </w:fldChar>
            </w:r>
            <w:r w:rsidRPr="00D72941">
              <w:rPr>
                <w:rFonts w:ascii="Arial Narrow" w:hAnsi="Arial Narrow"/>
                <w:sz w:val="20"/>
              </w:rPr>
              <w:instrText xml:space="preserve"> FORMCHECKBOX </w:instrText>
            </w:r>
            <w:r w:rsidR="007430E3">
              <w:rPr>
                <w:rFonts w:ascii="Arial Narrow" w:hAnsi="Arial Narrow"/>
                <w:sz w:val="20"/>
              </w:rPr>
            </w:r>
            <w:r w:rsidR="007430E3">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Medical Practitioners  </w:t>
            </w:r>
            <w:r w:rsidRPr="00D72941">
              <w:rPr>
                <w:rFonts w:ascii="Arial Narrow" w:hAnsi="Arial Narrow"/>
                <w:sz w:val="20"/>
              </w:rPr>
              <w:fldChar w:fldCharType="begin">
                <w:ffData>
                  <w:name w:val="Check3"/>
                  <w:enabled/>
                  <w:calcOnExit w:val="0"/>
                  <w:checkBox>
                    <w:sizeAuto/>
                    <w:default w:val="1"/>
                  </w:checkBox>
                </w:ffData>
              </w:fldChar>
            </w:r>
            <w:bookmarkStart w:id="4" w:name="Check3"/>
            <w:r w:rsidRPr="00D72941">
              <w:rPr>
                <w:rFonts w:ascii="Arial Narrow" w:hAnsi="Arial Narrow"/>
                <w:sz w:val="20"/>
              </w:rPr>
              <w:instrText xml:space="preserve"> FORMCHECKBOX </w:instrText>
            </w:r>
            <w:r w:rsidR="007430E3">
              <w:rPr>
                <w:rFonts w:ascii="Arial Narrow" w:hAnsi="Arial Narrow"/>
                <w:sz w:val="20"/>
              </w:rPr>
            </w:r>
            <w:r w:rsidR="007430E3">
              <w:rPr>
                <w:rFonts w:ascii="Arial Narrow" w:hAnsi="Arial Narrow"/>
                <w:sz w:val="20"/>
              </w:rPr>
              <w:fldChar w:fldCharType="separate"/>
            </w:r>
            <w:r w:rsidRPr="00D72941">
              <w:rPr>
                <w:rFonts w:ascii="Arial Narrow" w:hAnsi="Arial Narrow"/>
                <w:sz w:val="20"/>
              </w:rPr>
              <w:fldChar w:fldCharType="end"/>
            </w:r>
            <w:bookmarkEnd w:id="4"/>
            <w:r w:rsidRPr="00D72941">
              <w:rPr>
                <w:rFonts w:ascii="Arial Narrow" w:hAnsi="Arial Narrow"/>
                <w:sz w:val="20"/>
              </w:rPr>
              <w:t xml:space="preserve">Nurse practitioners  </w:t>
            </w:r>
          </w:p>
        </w:tc>
      </w:tr>
      <w:tr w:rsidR="00344756" w:rsidRPr="00D72941" w:rsidTr="00735319">
        <w:trPr>
          <w:cantSplit/>
          <w:trHeight w:val="58"/>
        </w:trPr>
        <w:tc>
          <w:tcPr>
            <w:tcW w:w="2126" w:type="dxa"/>
          </w:tcPr>
          <w:p w:rsidR="00344756" w:rsidRPr="00D72941" w:rsidRDefault="00344756" w:rsidP="004C5FCE">
            <w:pPr>
              <w:widowControl/>
              <w:rPr>
                <w:rFonts w:ascii="Arial Narrow" w:hAnsi="Arial Narrow"/>
                <w:b/>
                <w:sz w:val="20"/>
              </w:rPr>
            </w:pPr>
            <w:r w:rsidRPr="00D72941">
              <w:rPr>
                <w:rFonts w:ascii="Arial Narrow" w:hAnsi="Arial Narrow"/>
                <w:b/>
                <w:sz w:val="20"/>
              </w:rPr>
              <w:t>PBS Indication:</w:t>
            </w:r>
          </w:p>
        </w:tc>
        <w:tc>
          <w:tcPr>
            <w:tcW w:w="6379" w:type="dxa"/>
            <w:gridSpan w:val="6"/>
          </w:tcPr>
          <w:p w:rsidR="00344756" w:rsidRPr="00D72941" w:rsidRDefault="00344756" w:rsidP="004C5FCE">
            <w:pPr>
              <w:widowControl/>
              <w:rPr>
                <w:rFonts w:ascii="Arial Narrow" w:hAnsi="Arial Narrow"/>
                <w:sz w:val="20"/>
              </w:rPr>
            </w:pPr>
            <w:r w:rsidRPr="00626736">
              <w:rPr>
                <w:rFonts w:ascii="Arial Narrow" w:hAnsi="Arial Narrow"/>
                <w:sz w:val="20"/>
              </w:rPr>
              <w:t xml:space="preserve">Diabetes mellitus type </w:t>
            </w:r>
            <w:r>
              <w:rPr>
                <w:rFonts w:ascii="Arial Narrow" w:hAnsi="Arial Narrow"/>
                <w:sz w:val="20"/>
              </w:rPr>
              <w:t>2</w:t>
            </w:r>
          </w:p>
        </w:tc>
      </w:tr>
      <w:tr w:rsidR="00344756" w:rsidRPr="00D72941" w:rsidTr="00735319">
        <w:trPr>
          <w:cantSplit/>
          <w:trHeight w:val="96"/>
        </w:trPr>
        <w:tc>
          <w:tcPr>
            <w:tcW w:w="2126" w:type="dxa"/>
          </w:tcPr>
          <w:p w:rsidR="00344756" w:rsidRPr="00D72941" w:rsidRDefault="00344756" w:rsidP="004C5FCE">
            <w:pPr>
              <w:widowControl/>
              <w:jc w:val="left"/>
              <w:rPr>
                <w:rFonts w:ascii="Arial Narrow" w:hAnsi="Arial Narrow"/>
                <w:sz w:val="20"/>
              </w:rPr>
            </w:pPr>
            <w:r w:rsidRPr="00D72941">
              <w:rPr>
                <w:rFonts w:ascii="Arial Narrow" w:hAnsi="Arial Narrow"/>
                <w:b/>
                <w:sz w:val="20"/>
              </w:rPr>
              <w:t>Restriction Level / Method:</w:t>
            </w:r>
          </w:p>
        </w:tc>
        <w:tc>
          <w:tcPr>
            <w:tcW w:w="6379" w:type="dxa"/>
            <w:gridSpan w:val="6"/>
          </w:tcPr>
          <w:p w:rsidR="00344756" w:rsidRPr="00D72941" w:rsidRDefault="00344756" w:rsidP="004C5FCE">
            <w:pPr>
              <w:widowControl/>
              <w:rPr>
                <w:rFonts w:ascii="Arial Narrow" w:hAnsi="Arial Narrow"/>
                <w:sz w:val="20"/>
              </w:rPr>
            </w:pPr>
            <w:r>
              <w:rPr>
                <w:rFonts w:ascii="Arial Narrow" w:hAnsi="Arial Narrow"/>
                <w:sz w:val="20"/>
              </w:rPr>
              <w:t xml:space="preserve">Authority required (Streamlined) </w:t>
            </w:r>
          </w:p>
        </w:tc>
      </w:tr>
      <w:tr w:rsidR="00344756" w:rsidRPr="00D72941" w:rsidTr="00735319">
        <w:trPr>
          <w:cantSplit/>
          <w:trHeight w:val="360"/>
        </w:trPr>
        <w:tc>
          <w:tcPr>
            <w:tcW w:w="2126" w:type="dxa"/>
          </w:tcPr>
          <w:p w:rsidR="00344756" w:rsidRPr="00D72941" w:rsidRDefault="00344756" w:rsidP="004C5FCE">
            <w:pPr>
              <w:widowControl/>
              <w:rPr>
                <w:rFonts w:ascii="Arial Narrow" w:hAnsi="Arial Narrow"/>
                <w:b/>
                <w:sz w:val="20"/>
              </w:rPr>
            </w:pPr>
            <w:r w:rsidRPr="00D72941">
              <w:rPr>
                <w:rFonts w:ascii="Arial Narrow" w:hAnsi="Arial Narrow"/>
                <w:b/>
                <w:sz w:val="20"/>
              </w:rPr>
              <w:t>Clinical criteria:</w:t>
            </w:r>
          </w:p>
          <w:p w:rsidR="00344756" w:rsidRPr="00D72941" w:rsidRDefault="00344756" w:rsidP="004C5FCE">
            <w:pPr>
              <w:widowControl/>
              <w:rPr>
                <w:rFonts w:ascii="Arial Narrow" w:hAnsi="Arial Narrow"/>
                <w:i/>
                <w:sz w:val="20"/>
              </w:rPr>
            </w:pPr>
          </w:p>
          <w:p w:rsidR="00344756" w:rsidRPr="00D72941" w:rsidRDefault="00344756" w:rsidP="004C5FCE">
            <w:pPr>
              <w:widowControl/>
              <w:rPr>
                <w:rFonts w:ascii="Arial Narrow" w:hAnsi="Arial Narrow"/>
                <w:sz w:val="20"/>
              </w:rPr>
            </w:pPr>
          </w:p>
        </w:tc>
        <w:tc>
          <w:tcPr>
            <w:tcW w:w="6379" w:type="dxa"/>
            <w:gridSpan w:val="6"/>
          </w:tcPr>
          <w:p w:rsidR="00344756" w:rsidRPr="00D72941" w:rsidRDefault="00344756" w:rsidP="004C5FCE">
            <w:pPr>
              <w:pStyle w:val="TableText1"/>
              <w:spacing w:line="276" w:lineRule="auto"/>
              <w:rPr>
                <w:rFonts w:ascii="Arial Narrow" w:hAnsi="Arial Narrow"/>
              </w:rPr>
            </w:pPr>
            <w:r w:rsidRPr="00D72941">
              <w:rPr>
                <w:rFonts w:ascii="Arial Narrow" w:hAnsi="Arial Narrow"/>
              </w:rPr>
              <w:t xml:space="preserve">The treatment must be in combination with metformin, </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AND</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The treatment must be in combination with a sulfonylurea</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AND</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OR </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maximally tolerated doses of metformin and a sulfonylurea. </w:t>
            </w:r>
          </w:p>
        </w:tc>
      </w:tr>
      <w:tr w:rsidR="00344756" w:rsidRPr="00D72941" w:rsidTr="00735319">
        <w:trPr>
          <w:cantSplit/>
          <w:trHeight w:val="360"/>
        </w:trPr>
        <w:tc>
          <w:tcPr>
            <w:tcW w:w="2126" w:type="dxa"/>
          </w:tcPr>
          <w:p w:rsidR="00344756" w:rsidRPr="00D72941" w:rsidRDefault="00344756" w:rsidP="004C5FCE">
            <w:pPr>
              <w:widowControl/>
              <w:rPr>
                <w:rFonts w:ascii="Arial Narrow" w:hAnsi="Arial Narrow"/>
                <w:b/>
                <w:sz w:val="20"/>
              </w:rPr>
            </w:pPr>
            <w:r w:rsidRPr="00D72941">
              <w:rPr>
                <w:rFonts w:ascii="Arial Narrow" w:hAnsi="Arial Narrow"/>
                <w:b/>
                <w:sz w:val="20"/>
              </w:rPr>
              <w:t>Prescriber Instructions</w:t>
            </w:r>
          </w:p>
          <w:p w:rsidR="00344756" w:rsidRPr="00D72941" w:rsidRDefault="00344756" w:rsidP="004C5FCE">
            <w:pPr>
              <w:widowControl/>
              <w:rPr>
                <w:rFonts w:ascii="Arial Narrow" w:hAnsi="Arial Narrow"/>
                <w:sz w:val="20"/>
              </w:rPr>
            </w:pPr>
          </w:p>
        </w:tc>
        <w:tc>
          <w:tcPr>
            <w:tcW w:w="6379" w:type="dxa"/>
            <w:gridSpan w:val="6"/>
          </w:tcPr>
          <w:p w:rsidR="00344756" w:rsidRPr="00D72941" w:rsidRDefault="00344756" w:rsidP="004C5FCE">
            <w:pPr>
              <w:pStyle w:val="TableText1"/>
              <w:spacing w:line="276" w:lineRule="auto"/>
              <w:rPr>
                <w:rFonts w:ascii="Arial Narrow" w:hAnsi="Arial Narrow"/>
              </w:rPr>
            </w:pPr>
            <w:r w:rsidRPr="00D72941">
              <w:rPr>
                <w:rFonts w:ascii="Arial Narrow" w:hAnsi="Arial Narrow"/>
              </w:rPr>
              <w:t xml:space="preserve">The date and level of the qualifying HbA1c measurement must be, or must have been, documented in the patient's medical records at the time treatment with a gliptin, a glitazone, a glucagon-like peptide-1 or an SGLT2 inhibitor is initiated. </w:t>
            </w:r>
          </w:p>
          <w:p w:rsidR="00344756" w:rsidRPr="00D72941" w:rsidRDefault="00344756" w:rsidP="004C5FCE">
            <w:pPr>
              <w:pStyle w:val="TableText1"/>
              <w:spacing w:line="276" w:lineRule="auto"/>
              <w:rPr>
                <w:rFonts w:ascii="Arial Narrow" w:hAnsi="Arial Narrow"/>
              </w:rPr>
            </w:pPr>
          </w:p>
          <w:p w:rsidR="00344756" w:rsidRPr="00D72941" w:rsidRDefault="00344756" w:rsidP="004C5FCE">
            <w:pPr>
              <w:pStyle w:val="TableText1"/>
              <w:spacing w:line="276" w:lineRule="auto"/>
              <w:rPr>
                <w:rFonts w:ascii="Arial Narrow" w:hAnsi="Arial Narrow"/>
              </w:rPr>
            </w:pPr>
            <w:r w:rsidRPr="00D72941">
              <w:rPr>
                <w:rFonts w:ascii="Arial Narrow" w:hAnsi="Arial Narrow"/>
              </w:rPr>
              <w:t xml:space="preserve">The HbA1c must be no more than 4 months old at the time treatment with a gliptin, a glitazone, a glucagon-like peptide-1 or an SGLT2 inhibitor was initiated. </w:t>
            </w:r>
          </w:p>
          <w:p w:rsidR="00344756" w:rsidRPr="00D72941" w:rsidRDefault="00344756" w:rsidP="004C5FCE">
            <w:pPr>
              <w:pStyle w:val="TableText1"/>
              <w:spacing w:line="276" w:lineRule="auto"/>
              <w:rPr>
                <w:rFonts w:ascii="Arial Narrow" w:hAnsi="Arial Narrow"/>
              </w:rPr>
            </w:pPr>
          </w:p>
          <w:p w:rsidR="00344756" w:rsidRPr="00D72941" w:rsidRDefault="00344756" w:rsidP="004C5FCE">
            <w:pPr>
              <w:pStyle w:val="TableText1"/>
              <w:spacing w:line="276" w:lineRule="auto"/>
              <w:rPr>
                <w:rFonts w:ascii="Arial Narrow" w:hAnsi="Arial Narrow"/>
              </w:rPr>
            </w:pPr>
            <w:r w:rsidRPr="00D72941">
              <w:rPr>
                <w:rFonts w:ascii="Arial Narrow" w:hAnsi="Arial Narrow"/>
              </w:rPr>
              <w:t>Blood glucose monitoring may be used as an alternative assessment to HbA1c levels in the following circumstances:</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(a) A clinical condition with reduced red blood cell survival, including haemolytic anaemias and haemoglobinopathies; and/or</w:t>
            </w:r>
          </w:p>
          <w:p w:rsidR="00344756" w:rsidRPr="00D72941" w:rsidRDefault="00344756" w:rsidP="004C5FCE">
            <w:pPr>
              <w:pStyle w:val="TableText1"/>
              <w:spacing w:line="276" w:lineRule="auto"/>
              <w:rPr>
                <w:rFonts w:ascii="Arial Narrow" w:hAnsi="Arial Narrow"/>
              </w:rPr>
            </w:pPr>
            <w:r w:rsidRPr="00D72941">
              <w:rPr>
                <w:rFonts w:ascii="Arial Narrow" w:hAnsi="Arial Narrow"/>
              </w:rPr>
              <w:t>(b) Had red cell transfusion within the previous 3 months.</w:t>
            </w:r>
          </w:p>
          <w:p w:rsidR="00344756" w:rsidRPr="00D72941" w:rsidRDefault="00344756" w:rsidP="004C5FCE">
            <w:pPr>
              <w:pStyle w:val="TableText1"/>
              <w:spacing w:line="276" w:lineRule="auto"/>
              <w:rPr>
                <w:rFonts w:ascii="Arial Narrow" w:hAnsi="Arial Narrow"/>
              </w:rPr>
            </w:pPr>
          </w:p>
          <w:p w:rsidR="00344756" w:rsidRPr="00D72941" w:rsidRDefault="00344756" w:rsidP="004C5FCE">
            <w:pPr>
              <w:widowControl/>
              <w:rPr>
                <w:rFonts w:ascii="Arial Narrow" w:hAnsi="Arial Narrow"/>
                <w:sz w:val="20"/>
              </w:rPr>
            </w:pPr>
            <w:r w:rsidRPr="00D72941">
              <w:rPr>
                <w:rFonts w:ascii="Arial Narrow" w:hAnsi="Arial Narrow"/>
                <w:sz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344756" w:rsidRPr="00D72941" w:rsidTr="00735319">
        <w:trPr>
          <w:cantSplit/>
          <w:trHeight w:val="360"/>
        </w:trPr>
        <w:tc>
          <w:tcPr>
            <w:tcW w:w="2126" w:type="dxa"/>
          </w:tcPr>
          <w:p w:rsidR="00344756" w:rsidRPr="00D72941" w:rsidRDefault="00344756" w:rsidP="004C5FCE">
            <w:pPr>
              <w:widowControl/>
              <w:rPr>
                <w:rFonts w:ascii="Arial Narrow" w:hAnsi="Arial Narrow"/>
                <w:b/>
                <w:sz w:val="20"/>
              </w:rPr>
            </w:pPr>
            <w:r w:rsidRPr="00D72941">
              <w:rPr>
                <w:rFonts w:ascii="Arial Narrow" w:hAnsi="Arial Narrow"/>
                <w:b/>
                <w:sz w:val="20"/>
              </w:rPr>
              <w:t>Administrative Advice</w:t>
            </w:r>
          </w:p>
          <w:p w:rsidR="00344756" w:rsidRPr="00D72941" w:rsidRDefault="00344756" w:rsidP="004C5FCE">
            <w:pPr>
              <w:widowControl/>
              <w:rPr>
                <w:rFonts w:ascii="Arial Narrow" w:hAnsi="Arial Narrow"/>
                <w:i/>
                <w:sz w:val="20"/>
              </w:rPr>
            </w:pPr>
          </w:p>
          <w:p w:rsidR="00344756" w:rsidRPr="00D72941" w:rsidRDefault="00344756" w:rsidP="004C5FCE">
            <w:pPr>
              <w:widowControl/>
              <w:rPr>
                <w:rFonts w:ascii="Arial Narrow" w:hAnsi="Arial Narrow"/>
                <w:i/>
                <w:sz w:val="20"/>
              </w:rPr>
            </w:pPr>
          </w:p>
        </w:tc>
        <w:tc>
          <w:tcPr>
            <w:tcW w:w="6379" w:type="dxa"/>
            <w:gridSpan w:val="6"/>
          </w:tcPr>
          <w:p w:rsidR="00344756" w:rsidRPr="00D72941" w:rsidRDefault="00344756" w:rsidP="004C5FCE">
            <w:pPr>
              <w:widowControl/>
              <w:rPr>
                <w:rFonts w:ascii="Arial Narrow" w:hAnsi="Arial Narrow"/>
                <w:sz w:val="20"/>
              </w:rPr>
            </w:pPr>
            <w:r w:rsidRPr="00D72941">
              <w:rPr>
                <w:rFonts w:ascii="Arial Narrow" w:hAnsi="Arial Narrow"/>
                <w:i/>
                <w:sz w:val="20"/>
              </w:rPr>
              <w:t>Dapagliflozin is not PBS-subsidised for use as monotherapy or in combination with a thiazolidinedione (glitazone), a dipeptidyl peptidase 4 inhibitor (gliptin) or a glucagon-like peptide-1’</w:t>
            </w:r>
          </w:p>
        </w:tc>
      </w:tr>
    </w:tbl>
    <w:p w:rsidR="00B60939" w:rsidRPr="009F28C4" w:rsidRDefault="00B60939" w:rsidP="004C5FCE">
      <w:pPr>
        <w:pStyle w:val="ListParagraph"/>
        <w:widowControl/>
      </w:pPr>
    </w:p>
    <w:p w:rsidR="00CD1320" w:rsidRPr="009F28C4" w:rsidRDefault="00CD1320" w:rsidP="00CD1320">
      <w:pPr>
        <w:pStyle w:val="ListParagraph"/>
        <w:widowControl/>
        <w:numPr>
          <w:ilvl w:val="1"/>
          <w:numId w:val="1"/>
        </w:numPr>
        <w:rPr>
          <w:szCs w:val="22"/>
        </w:rPr>
      </w:pPr>
      <w:r w:rsidRPr="009F28C4">
        <w:rPr>
          <w:szCs w:val="22"/>
        </w:rPr>
        <w:lastRenderedPageBreak/>
        <w:t>The PBAC noted the sponsor’s request, in its pre-PBAC response, for a listing for the dapagliflozin+metformin XR fixed dose combination (FDC) for use in combination with sulfonylurea so as to align the restrictions</w:t>
      </w:r>
      <w:r w:rsidR="00415AC0" w:rsidRPr="009F28C4">
        <w:rPr>
          <w:szCs w:val="22"/>
        </w:rPr>
        <w:t xml:space="preserve"> between dapagliflozin and the FDC, noting that the FDC was recommended for use in the dual therapy setting in July 2014</w:t>
      </w:r>
      <w:r w:rsidR="00065948" w:rsidRPr="009F28C4">
        <w:rPr>
          <w:szCs w:val="22"/>
        </w:rPr>
        <w:t>, but is yet to be listed</w:t>
      </w:r>
      <w:r w:rsidR="00415AC0" w:rsidRPr="009F28C4">
        <w:rPr>
          <w:szCs w:val="22"/>
        </w:rPr>
        <w:t xml:space="preserve">. </w:t>
      </w:r>
    </w:p>
    <w:p w:rsidR="00CD1320" w:rsidRDefault="00CD1320" w:rsidP="00CD1320">
      <w:pPr>
        <w:pStyle w:val="ListParagraph"/>
        <w:widowControl/>
        <w:rPr>
          <w:szCs w:val="22"/>
        </w:rPr>
      </w:pPr>
    </w:p>
    <w:p w:rsidR="002C2775" w:rsidRPr="00C6465F" w:rsidRDefault="0047134C" w:rsidP="004C5FCE">
      <w:pPr>
        <w:pStyle w:val="ListParagraph"/>
        <w:widowControl/>
        <w:numPr>
          <w:ilvl w:val="1"/>
          <w:numId w:val="1"/>
        </w:numPr>
        <w:rPr>
          <w:szCs w:val="22"/>
        </w:rPr>
      </w:pPr>
      <w:r>
        <w:rPr>
          <w:szCs w:val="22"/>
        </w:rPr>
        <w:t>L</w:t>
      </w:r>
      <w:r w:rsidR="00C6465F" w:rsidRPr="00C6465F">
        <w:rPr>
          <w:szCs w:val="22"/>
        </w:rPr>
        <w:t xml:space="preserve">isting </w:t>
      </w:r>
      <w:r>
        <w:rPr>
          <w:szCs w:val="22"/>
        </w:rPr>
        <w:t>wa</w:t>
      </w:r>
      <w:r w:rsidR="00C6465F" w:rsidRPr="00C6465F">
        <w:rPr>
          <w:szCs w:val="22"/>
        </w:rPr>
        <w:t xml:space="preserve">s requested on a </w:t>
      </w:r>
      <w:r w:rsidR="00047D1A" w:rsidRPr="00047D1A">
        <w:rPr>
          <w:szCs w:val="22"/>
        </w:rPr>
        <w:t>co</w:t>
      </w:r>
      <w:r w:rsidR="004C3BC2">
        <w:rPr>
          <w:szCs w:val="22"/>
        </w:rPr>
        <w:t>st-minimisation (including cost-</w:t>
      </w:r>
      <w:r w:rsidR="00047D1A" w:rsidRPr="00047D1A">
        <w:rPr>
          <w:szCs w:val="22"/>
        </w:rPr>
        <w:t>offsets)</w:t>
      </w:r>
      <w:r w:rsidR="00047D1A">
        <w:rPr>
          <w:szCs w:val="22"/>
        </w:rPr>
        <w:t xml:space="preserve"> </w:t>
      </w:r>
      <w:r w:rsidR="00C6465F" w:rsidRPr="00C6465F">
        <w:rPr>
          <w:szCs w:val="22"/>
        </w:rPr>
        <w:t xml:space="preserve">basis compared to insulin </w:t>
      </w:r>
      <w:r w:rsidR="00C6465F">
        <w:rPr>
          <w:szCs w:val="22"/>
        </w:rPr>
        <w:t>glargine</w:t>
      </w:r>
      <w:r w:rsidR="00C6465F" w:rsidRPr="00C6465F">
        <w:rPr>
          <w:szCs w:val="22"/>
        </w:rPr>
        <w:t xml:space="preserve"> as the main comparator and exenatide as the secondary comparator. </w:t>
      </w:r>
    </w:p>
    <w:p w:rsidR="00BB3A5D" w:rsidRDefault="00BB3A5D" w:rsidP="004C5FCE">
      <w:pPr>
        <w:widowControl/>
      </w:pPr>
    </w:p>
    <w:p w:rsidR="004C5FCE" w:rsidRPr="00BB3A5D" w:rsidRDefault="00BB3A5D" w:rsidP="00BB3A5D">
      <w:pPr>
        <w:widowControl/>
        <w:ind w:firstLine="720"/>
        <w:rPr>
          <w:i/>
        </w:rPr>
      </w:pPr>
      <w:r w:rsidRPr="00BB3A5D">
        <w:rPr>
          <w:i/>
        </w:rPr>
        <w:t>For more detail on PBAC’s view, see section 7 “PBAC outcome”</w:t>
      </w:r>
    </w:p>
    <w:p w:rsidR="00BB3A5D" w:rsidRPr="00882085" w:rsidRDefault="00BB3A5D" w:rsidP="004C5FCE">
      <w:pPr>
        <w:widowControl/>
      </w:pPr>
    </w:p>
    <w:p w:rsidR="00B50DB8" w:rsidRPr="00407F2D" w:rsidRDefault="00B50DB8" w:rsidP="00A8769F">
      <w:pPr>
        <w:pStyle w:val="PBACheading1"/>
      </w:pPr>
      <w:bookmarkStart w:id="5" w:name="_Toc409614773"/>
      <w:r w:rsidRPr="00407F2D">
        <w:t>Background</w:t>
      </w:r>
      <w:bookmarkEnd w:id="5"/>
    </w:p>
    <w:p w:rsidR="00B60939" w:rsidRPr="00882085" w:rsidRDefault="00B60939" w:rsidP="004C5FCE">
      <w:pPr>
        <w:widowControl/>
        <w:rPr>
          <w:szCs w:val="22"/>
        </w:rPr>
      </w:pPr>
    </w:p>
    <w:p w:rsidR="008A005D" w:rsidRDefault="008A005D" w:rsidP="00FC700A">
      <w:pPr>
        <w:pStyle w:val="ListParagraph"/>
        <w:widowControl/>
        <w:numPr>
          <w:ilvl w:val="1"/>
          <w:numId w:val="1"/>
        </w:numPr>
        <w:rPr>
          <w:szCs w:val="22"/>
        </w:rPr>
      </w:pPr>
      <w:r>
        <w:rPr>
          <w:szCs w:val="22"/>
        </w:rPr>
        <w:t>D</w:t>
      </w:r>
      <w:r w:rsidR="00C6465F" w:rsidRPr="00494ECE">
        <w:rPr>
          <w:szCs w:val="22"/>
        </w:rPr>
        <w:t xml:space="preserve">apagliflozin was TGA registered on 22 October 2012 </w:t>
      </w:r>
      <w:r w:rsidR="0047134C">
        <w:rPr>
          <w:szCs w:val="22"/>
        </w:rPr>
        <w:t>for use</w:t>
      </w:r>
      <w:r w:rsidR="00C6465F" w:rsidRPr="00494ECE">
        <w:rPr>
          <w:szCs w:val="22"/>
        </w:rPr>
        <w:t xml:space="preserve"> in patients with </w:t>
      </w:r>
      <w:r w:rsidR="00286379">
        <w:rPr>
          <w:szCs w:val="22"/>
        </w:rPr>
        <w:t>T2D</w:t>
      </w:r>
      <w:r w:rsidR="00122750">
        <w:rPr>
          <w:szCs w:val="22"/>
        </w:rPr>
        <w:t>M</w:t>
      </w:r>
      <w:r w:rsidR="00204329">
        <w:rPr>
          <w:szCs w:val="22"/>
        </w:rPr>
        <w:t xml:space="preserve">: </w:t>
      </w:r>
      <w:r w:rsidR="00C6465F" w:rsidRPr="00494ECE">
        <w:rPr>
          <w:szCs w:val="22"/>
        </w:rPr>
        <w:t xml:space="preserve">as monotherapy </w:t>
      </w:r>
      <w:r w:rsidR="00204329">
        <w:rPr>
          <w:szCs w:val="22"/>
        </w:rPr>
        <w:t xml:space="preserve">in patients </w:t>
      </w:r>
      <w:r w:rsidR="00C6465F" w:rsidRPr="00494ECE">
        <w:rPr>
          <w:szCs w:val="22"/>
        </w:rPr>
        <w:t xml:space="preserve">for whom </w:t>
      </w:r>
      <w:r w:rsidR="00683163">
        <w:rPr>
          <w:szCs w:val="22"/>
        </w:rPr>
        <w:t>MET</w:t>
      </w:r>
      <w:r w:rsidR="00683163" w:rsidRPr="00494ECE">
        <w:rPr>
          <w:szCs w:val="22"/>
        </w:rPr>
        <w:t xml:space="preserve"> </w:t>
      </w:r>
      <w:r w:rsidR="00654B02">
        <w:rPr>
          <w:szCs w:val="22"/>
        </w:rPr>
        <w:t>is</w:t>
      </w:r>
      <w:r w:rsidR="00C6465F" w:rsidRPr="00494ECE">
        <w:rPr>
          <w:szCs w:val="22"/>
        </w:rPr>
        <w:t xml:space="preserve"> not tolerated</w:t>
      </w:r>
      <w:r w:rsidR="00204329">
        <w:rPr>
          <w:szCs w:val="22"/>
        </w:rPr>
        <w:t>;</w:t>
      </w:r>
      <w:r w:rsidR="00C6465F" w:rsidRPr="00494ECE">
        <w:rPr>
          <w:szCs w:val="22"/>
        </w:rPr>
        <w:t xml:space="preserve"> initial combination therapy with </w:t>
      </w:r>
      <w:r w:rsidR="00683163">
        <w:rPr>
          <w:szCs w:val="22"/>
        </w:rPr>
        <w:t>MET</w:t>
      </w:r>
      <w:r w:rsidR="00204329">
        <w:rPr>
          <w:szCs w:val="22"/>
        </w:rPr>
        <w:t>;</w:t>
      </w:r>
      <w:r w:rsidR="00C6465F" w:rsidRPr="00494ECE">
        <w:rPr>
          <w:szCs w:val="22"/>
        </w:rPr>
        <w:t xml:space="preserve"> and </w:t>
      </w:r>
      <w:r w:rsidR="00654B02">
        <w:rPr>
          <w:szCs w:val="22"/>
        </w:rPr>
        <w:t xml:space="preserve">add-on </w:t>
      </w:r>
      <w:r w:rsidR="00C6465F" w:rsidRPr="00494ECE">
        <w:rPr>
          <w:szCs w:val="22"/>
        </w:rPr>
        <w:t xml:space="preserve">combination therapy with </w:t>
      </w:r>
      <w:r w:rsidR="00654B02">
        <w:rPr>
          <w:szCs w:val="22"/>
        </w:rPr>
        <w:t xml:space="preserve">MET, SU, </w:t>
      </w:r>
      <w:r w:rsidR="00FC700A" w:rsidRPr="00FC700A">
        <w:rPr>
          <w:szCs w:val="22"/>
        </w:rPr>
        <w:t xml:space="preserve">dipeptidyl peptidase-4 </w:t>
      </w:r>
      <w:r w:rsidR="00FC700A">
        <w:rPr>
          <w:szCs w:val="22"/>
        </w:rPr>
        <w:t>(</w:t>
      </w:r>
      <w:r w:rsidR="00654B02">
        <w:rPr>
          <w:szCs w:val="22"/>
        </w:rPr>
        <w:t>DPP4</w:t>
      </w:r>
      <w:r w:rsidR="00FC700A">
        <w:rPr>
          <w:szCs w:val="22"/>
        </w:rPr>
        <w:t>)</w:t>
      </w:r>
      <w:r w:rsidR="00654B02">
        <w:rPr>
          <w:szCs w:val="22"/>
        </w:rPr>
        <w:t xml:space="preserve"> inhibitor or insulin</w:t>
      </w:r>
      <w:r w:rsidR="00C6465F">
        <w:rPr>
          <w:szCs w:val="22"/>
        </w:rPr>
        <w:t>.</w:t>
      </w:r>
    </w:p>
    <w:p w:rsidR="008A005D" w:rsidRDefault="008A005D" w:rsidP="004C5FCE">
      <w:pPr>
        <w:pStyle w:val="ListParagraph"/>
        <w:widowControl/>
        <w:rPr>
          <w:szCs w:val="22"/>
        </w:rPr>
      </w:pPr>
    </w:p>
    <w:p w:rsidR="00E21A4C" w:rsidRPr="009F28C4" w:rsidRDefault="00C54890" w:rsidP="004C5FCE">
      <w:pPr>
        <w:pStyle w:val="ListParagraph"/>
        <w:widowControl/>
        <w:numPr>
          <w:ilvl w:val="1"/>
          <w:numId w:val="1"/>
        </w:numPr>
        <w:rPr>
          <w:szCs w:val="22"/>
        </w:rPr>
      </w:pPr>
      <w:r w:rsidRPr="009F28C4">
        <w:rPr>
          <w:snapToGrid/>
          <w:szCs w:val="24"/>
          <w:lang w:eastAsia="en-AU"/>
        </w:rPr>
        <w:t>On 4 March 2015, the registered indications were</w:t>
      </w:r>
      <w:r w:rsidR="007B5518" w:rsidRPr="009F28C4">
        <w:t xml:space="preserve"> extend</w:t>
      </w:r>
      <w:r w:rsidRPr="009F28C4">
        <w:t>ed</w:t>
      </w:r>
      <w:r w:rsidR="007B5518" w:rsidRPr="009F28C4">
        <w:t xml:space="preserve"> </w:t>
      </w:r>
      <w:r w:rsidR="00E21A4C" w:rsidRPr="009F28C4">
        <w:t xml:space="preserve">to include </w:t>
      </w:r>
      <w:r w:rsidR="00E21A4C" w:rsidRPr="009F28C4">
        <w:rPr>
          <w:snapToGrid/>
          <w:szCs w:val="24"/>
          <w:lang w:eastAsia="en-AU"/>
        </w:rPr>
        <w:t>use in triple therapy with MET+SU</w:t>
      </w:r>
      <w:r w:rsidR="008A005D" w:rsidRPr="009F28C4">
        <w:t xml:space="preserve">. </w:t>
      </w:r>
    </w:p>
    <w:p w:rsidR="00E21A4C" w:rsidRDefault="00E21A4C" w:rsidP="004C5FCE">
      <w:pPr>
        <w:pStyle w:val="ListParagraph"/>
        <w:widowControl/>
      </w:pPr>
    </w:p>
    <w:p w:rsidR="008A005D" w:rsidRPr="00E21A4C" w:rsidRDefault="00E21A4C" w:rsidP="004C5FCE">
      <w:pPr>
        <w:pStyle w:val="ListParagraph"/>
        <w:widowControl/>
        <w:numPr>
          <w:ilvl w:val="1"/>
          <w:numId w:val="1"/>
        </w:numPr>
        <w:rPr>
          <w:szCs w:val="22"/>
        </w:rPr>
      </w:pPr>
      <w:r w:rsidRPr="00E21A4C">
        <w:rPr>
          <w:snapToGrid/>
          <w:szCs w:val="24"/>
          <w:lang w:eastAsia="en-AU"/>
        </w:rPr>
        <w:t xml:space="preserve">The submission was lodged under the TGA/PBAC parallel process. </w:t>
      </w:r>
      <w:r w:rsidR="008A005D">
        <w:t>At the time of evaluation, the Clinical Evaluator’s Report and draft Produc</w:t>
      </w:r>
      <w:r w:rsidR="009158C9">
        <w:t>t Information (PI) were available</w:t>
      </w:r>
      <w:r w:rsidR="008A005D">
        <w:t xml:space="preserve">.  </w:t>
      </w:r>
    </w:p>
    <w:p w:rsidR="00502A1D" w:rsidRPr="00502A1D" w:rsidRDefault="00502A1D" w:rsidP="004C5FCE">
      <w:pPr>
        <w:pStyle w:val="ListParagraph"/>
        <w:widowControl/>
        <w:rPr>
          <w:szCs w:val="22"/>
        </w:rPr>
      </w:pPr>
    </w:p>
    <w:p w:rsidR="007B5518" w:rsidRPr="007B5518" w:rsidRDefault="002B2560" w:rsidP="004C5FCE">
      <w:pPr>
        <w:pStyle w:val="ListParagraph"/>
        <w:widowControl/>
        <w:numPr>
          <w:ilvl w:val="1"/>
          <w:numId w:val="1"/>
        </w:numPr>
        <w:rPr>
          <w:szCs w:val="22"/>
        </w:rPr>
      </w:pPr>
      <w:r w:rsidRPr="001A4A3A">
        <w:rPr>
          <w:szCs w:val="22"/>
        </w:rPr>
        <w:t xml:space="preserve">Dapagliflozin is currently PBS-listed </w:t>
      </w:r>
      <w:r w:rsidR="00841399" w:rsidRPr="001A4A3A">
        <w:rPr>
          <w:szCs w:val="22"/>
        </w:rPr>
        <w:t xml:space="preserve">as </w:t>
      </w:r>
      <w:r w:rsidR="00286306">
        <w:rPr>
          <w:szCs w:val="22"/>
        </w:rPr>
        <w:t xml:space="preserve">a </w:t>
      </w:r>
      <w:r w:rsidR="00841399" w:rsidRPr="001A4A3A">
        <w:rPr>
          <w:szCs w:val="22"/>
        </w:rPr>
        <w:t>second-line treatment i</w:t>
      </w:r>
      <w:r w:rsidRPr="001A4A3A">
        <w:rPr>
          <w:szCs w:val="22"/>
        </w:rPr>
        <w:t>n com</w:t>
      </w:r>
      <w:r w:rsidR="00841399" w:rsidRPr="001A4A3A">
        <w:rPr>
          <w:szCs w:val="22"/>
        </w:rPr>
        <w:t>binati</w:t>
      </w:r>
      <w:r w:rsidRPr="001A4A3A">
        <w:rPr>
          <w:szCs w:val="22"/>
        </w:rPr>
        <w:t xml:space="preserve">on with </w:t>
      </w:r>
      <w:r w:rsidR="00932718">
        <w:rPr>
          <w:szCs w:val="22"/>
        </w:rPr>
        <w:t>MET or SU</w:t>
      </w:r>
      <w:r w:rsidR="00841399" w:rsidRPr="001A4A3A">
        <w:rPr>
          <w:szCs w:val="22"/>
        </w:rPr>
        <w:t>. In</w:t>
      </w:r>
      <w:r w:rsidR="00841399">
        <w:rPr>
          <w:szCs w:val="22"/>
        </w:rPr>
        <w:t xml:space="preserve"> November 2014, the PBAC recommended dapagliflozin for use in combination with insulin.</w:t>
      </w:r>
      <w:r>
        <w:rPr>
          <w:szCs w:val="22"/>
        </w:rPr>
        <w:t xml:space="preserve"> </w:t>
      </w:r>
      <w:r w:rsidR="007B5518" w:rsidRPr="007B5518">
        <w:rPr>
          <w:szCs w:val="22"/>
        </w:rPr>
        <w:t xml:space="preserve">The PBAC has not previously considered listing </w:t>
      </w:r>
      <w:r w:rsidR="007B5518">
        <w:rPr>
          <w:szCs w:val="22"/>
        </w:rPr>
        <w:t xml:space="preserve">dapagliflozin </w:t>
      </w:r>
      <w:r w:rsidR="00E21A4C">
        <w:rPr>
          <w:szCs w:val="22"/>
        </w:rPr>
        <w:t xml:space="preserve">for </w:t>
      </w:r>
      <w:r w:rsidR="007B5518">
        <w:rPr>
          <w:szCs w:val="22"/>
        </w:rPr>
        <w:t>use in combination with MET+SU.</w:t>
      </w:r>
      <w:r w:rsidR="007B5518" w:rsidRPr="007B5518">
        <w:rPr>
          <w:szCs w:val="22"/>
        </w:rPr>
        <w:t xml:space="preserve"> </w:t>
      </w:r>
    </w:p>
    <w:p w:rsidR="00122750" w:rsidRDefault="00122750" w:rsidP="004C5FCE">
      <w:pPr>
        <w:pStyle w:val="ListParagraph"/>
        <w:widowControl/>
        <w:rPr>
          <w:szCs w:val="22"/>
        </w:rPr>
      </w:pPr>
    </w:p>
    <w:p w:rsidR="00502A1D" w:rsidRDefault="00143390" w:rsidP="004C5FCE">
      <w:pPr>
        <w:pStyle w:val="ListParagraph"/>
        <w:widowControl/>
        <w:numPr>
          <w:ilvl w:val="1"/>
          <w:numId w:val="1"/>
        </w:numPr>
        <w:rPr>
          <w:szCs w:val="22"/>
        </w:rPr>
      </w:pPr>
      <w:r>
        <w:rPr>
          <w:szCs w:val="22"/>
        </w:rPr>
        <w:t>The table below</w:t>
      </w:r>
      <w:r w:rsidR="00502A1D" w:rsidRPr="009158C9">
        <w:rPr>
          <w:szCs w:val="22"/>
        </w:rPr>
        <w:t xml:space="preserve"> </w:t>
      </w:r>
      <w:r w:rsidR="009158C9" w:rsidRPr="009158C9">
        <w:rPr>
          <w:szCs w:val="22"/>
        </w:rPr>
        <w:t>summarises</w:t>
      </w:r>
      <w:r w:rsidR="00204329">
        <w:rPr>
          <w:szCs w:val="22"/>
        </w:rPr>
        <w:t xml:space="preserve"> previous PBAC considerations of </w:t>
      </w:r>
      <w:r w:rsidR="00654B02">
        <w:rPr>
          <w:szCs w:val="22"/>
        </w:rPr>
        <w:t>T2DM triple therapy</w:t>
      </w:r>
      <w:r w:rsidR="00502A1D" w:rsidRPr="009158C9">
        <w:rPr>
          <w:szCs w:val="22"/>
        </w:rPr>
        <w:t xml:space="preserve">. </w:t>
      </w:r>
    </w:p>
    <w:p w:rsidR="00D41E06" w:rsidRPr="00D41E06" w:rsidRDefault="00D41E06" w:rsidP="004C5FCE">
      <w:pPr>
        <w:pStyle w:val="ListParagraph"/>
        <w:widowControl/>
        <w:rPr>
          <w:szCs w:val="22"/>
        </w:rPr>
      </w:pPr>
    </w:p>
    <w:p w:rsidR="009158C9" w:rsidRPr="00D41E06" w:rsidRDefault="00654B02" w:rsidP="004C5FCE">
      <w:pPr>
        <w:pStyle w:val="ListParagraph"/>
        <w:keepNext/>
        <w:keepLines/>
        <w:widowControl/>
        <w:rPr>
          <w:rStyle w:val="CommentReference"/>
        </w:rPr>
      </w:pPr>
      <w:r>
        <w:rPr>
          <w:rStyle w:val="CommentReference"/>
        </w:rPr>
        <w:lastRenderedPageBreak/>
        <w:t>R</w:t>
      </w:r>
      <w:r w:rsidR="00C2454A">
        <w:rPr>
          <w:rStyle w:val="CommentReference"/>
        </w:rPr>
        <w:t xml:space="preserve">elevant </w:t>
      </w:r>
      <w:r w:rsidR="00D41E06">
        <w:rPr>
          <w:rStyle w:val="CommentReference"/>
        </w:rPr>
        <w:t>PBAC consideration</w:t>
      </w:r>
      <w:r w:rsidR="009300D1">
        <w:rPr>
          <w:rStyle w:val="CommentReference"/>
        </w:rPr>
        <w:t>s</w:t>
      </w:r>
      <w:r w:rsidR="00D41E06">
        <w:rPr>
          <w:rStyle w:val="CommentReference"/>
        </w:rPr>
        <w:t xml:space="preserve"> of triple combination therapies for T2DM</w:t>
      </w:r>
      <w:r>
        <w:rPr>
          <w:rStyle w:val="CommentReference"/>
        </w:rPr>
        <w:t xml:space="preserve"> </w:t>
      </w:r>
    </w:p>
    <w:tbl>
      <w:tblPr>
        <w:tblStyle w:val="TableGrid"/>
        <w:tblW w:w="8302" w:type="dxa"/>
        <w:tblInd w:w="737" w:type="dxa"/>
        <w:tblLayout w:type="fixed"/>
        <w:tblCellMar>
          <w:left w:w="28" w:type="dxa"/>
          <w:right w:w="28" w:type="dxa"/>
        </w:tblCellMar>
        <w:tblLook w:val="04A0" w:firstRow="1" w:lastRow="0" w:firstColumn="1" w:lastColumn="0" w:noHBand="0" w:noVBand="1"/>
      </w:tblPr>
      <w:tblGrid>
        <w:gridCol w:w="851"/>
        <w:gridCol w:w="992"/>
        <w:gridCol w:w="1559"/>
        <w:gridCol w:w="4900"/>
      </w:tblGrid>
      <w:tr w:rsidR="00502A1D" w:rsidRPr="00502A1D" w:rsidTr="0097012A">
        <w:trPr>
          <w:trHeight w:val="338"/>
          <w:tblHeader/>
        </w:trPr>
        <w:tc>
          <w:tcPr>
            <w:tcW w:w="851" w:type="dxa"/>
            <w:vAlign w:val="center"/>
          </w:tcPr>
          <w:p w:rsidR="00502A1D" w:rsidRPr="0097012A" w:rsidRDefault="00502A1D" w:rsidP="004C5FCE">
            <w:pPr>
              <w:keepNext/>
              <w:keepLines/>
              <w:widowControl/>
              <w:autoSpaceDE w:val="0"/>
              <w:autoSpaceDN w:val="0"/>
              <w:adjustRightInd w:val="0"/>
              <w:jc w:val="left"/>
              <w:rPr>
                <w:rFonts w:ascii="Arial Narrow" w:hAnsi="Arial Narrow"/>
                <w:b/>
                <w:snapToGrid/>
                <w:sz w:val="20"/>
                <w:szCs w:val="22"/>
                <w:shd w:val="clear" w:color="auto" w:fill="FFFFFF"/>
              </w:rPr>
            </w:pPr>
            <w:r w:rsidRPr="0097012A">
              <w:rPr>
                <w:rFonts w:ascii="Arial Narrow" w:hAnsi="Arial Narrow"/>
                <w:b/>
                <w:snapToGrid/>
                <w:sz w:val="20"/>
                <w:szCs w:val="22"/>
                <w:shd w:val="clear" w:color="auto" w:fill="FFFFFF"/>
              </w:rPr>
              <w:t xml:space="preserve">Meeting </w:t>
            </w:r>
          </w:p>
        </w:tc>
        <w:tc>
          <w:tcPr>
            <w:tcW w:w="992" w:type="dxa"/>
            <w:vAlign w:val="center"/>
          </w:tcPr>
          <w:p w:rsidR="00502A1D" w:rsidRPr="0097012A" w:rsidRDefault="00204329" w:rsidP="004C5FCE">
            <w:pPr>
              <w:keepNext/>
              <w:keepLines/>
              <w:widowControl/>
              <w:autoSpaceDE w:val="0"/>
              <w:autoSpaceDN w:val="0"/>
              <w:adjustRightInd w:val="0"/>
              <w:jc w:val="center"/>
              <w:rPr>
                <w:rFonts w:ascii="Arial Narrow" w:hAnsi="Arial Narrow"/>
                <w:b/>
                <w:snapToGrid/>
                <w:sz w:val="20"/>
                <w:szCs w:val="22"/>
                <w:shd w:val="clear" w:color="auto" w:fill="FFFFFF"/>
              </w:rPr>
            </w:pPr>
            <w:r w:rsidRPr="0097012A">
              <w:rPr>
                <w:rFonts w:ascii="Arial Narrow" w:hAnsi="Arial Narrow"/>
                <w:b/>
                <w:snapToGrid/>
                <w:sz w:val="20"/>
                <w:szCs w:val="22"/>
                <w:shd w:val="clear" w:color="auto" w:fill="FFFFFF"/>
              </w:rPr>
              <w:t>Item</w:t>
            </w:r>
          </w:p>
        </w:tc>
        <w:tc>
          <w:tcPr>
            <w:tcW w:w="1559" w:type="dxa"/>
            <w:vAlign w:val="center"/>
          </w:tcPr>
          <w:p w:rsidR="00502A1D" w:rsidRPr="0097012A" w:rsidRDefault="00502A1D" w:rsidP="004C5FCE">
            <w:pPr>
              <w:keepNext/>
              <w:keepLines/>
              <w:widowControl/>
              <w:autoSpaceDE w:val="0"/>
              <w:autoSpaceDN w:val="0"/>
              <w:adjustRightInd w:val="0"/>
              <w:jc w:val="center"/>
              <w:rPr>
                <w:rFonts w:ascii="Arial Narrow" w:hAnsi="Arial Narrow"/>
                <w:b/>
                <w:snapToGrid/>
                <w:sz w:val="20"/>
                <w:szCs w:val="22"/>
                <w:shd w:val="clear" w:color="auto" w:fill="FFFFFF"/>
              </w:rPr>
            </w:pPr>
            <w:r w:rsidRPr="0097012A">
              <w:rPr>
                <w:rFonts w:ascii="Arial Narrow" w:hAnsi="Arial Narrow"/>
                <w:b/>
                <w:snapToGrid/>
                <w:sz w:val="20"/>
                <w:szCs w:val="22"/>
                <w:shd w:val="clear" w:color="auto" w:fill="FFFFFF"/>
              </w:rPr>
              <w:t>Recommendation</w:t>
            </w:r>
          </w:p>
        </w:tc>
        <w:tc>
          <w:tcPr>
            <w:tcW w:w="4900" w:type="dxa"/>
            <w:vAlign w:val="center"/>
          </w:tcPr>
          <w:p w:rsidR="00502A1D" w:rsidRPr="0097012A" w:rsidRDefault="009300D1" w:rsidP="004C5FCE">
            <w:pPr>
              <w:keepNext/>
              <w:keepLines/>
              <w:widowControl/>
              <w:autoSpaceDE w:val="0"/>
              <w:autoSpaceDN w:val="0"/>
              <w:adjustRightInd w:val="0"/>
              <w:jc w:val="center"/>
              <w:rPr>
                <w:rFonts w:ascii="Arial Narrow" w:hAnsi="Arial Narrow"/>
                <w:b/>
                <w:snapToGrid/>
                <w:sz w:val="20"/>
                <w:szCs w:val="22"/>
                <w:shd w:val="clear" w:color="auto" w:fill="FFFFFF"/>
              </w:rPr>
            </w:pPr>
            <w:r w:rsidRPr="0097012A">
              <w:rPr>
                <w:rFonts w:ascii="Arial Narrow" w:hAnsi="Arial Narrow"/>
                <w:b/>
                <w:snapToGrid/>
                <w:sz w:val="20"/>
                <w:szCs w:val="22"/>
                <w:shd w:val="clear" w:color="auto" w:fill="FFFFFF"/>
              </w:rPr>
              <w:t>Basis for listing</w:t>
            </w:r>
            <w:r w:rsidR="00654B02" w:rsidRPr="0097012A">
              <w:rPr>
                <w:rFonts w:ascii="Arial Narrow" w:hAnsi="Arial Narrow"/>
                <w:b/>
                <w:snapToGrid/>
                <w:sz w:val="20"/>
                <w:szCs w:val="22"/>
                <w:shd w:val="clear" w:color="auto" w:fill="FFFFFF"/>
              </w:rPr>
              <w:t>/r</w:t>
            </w:r>
            <w:r w:rsidR="00502A1D" w:rsidRPr="0097012A">
              <w:rPr>
                <w:rFonts w:ascii="Arial Narrow" w:hAnsi="Arial Narrow"/>
                <w:b/>
                <w:snapToGrid/>
                <w:sz w:val="20"/>
                <w:szCs w:val="22"/>
                <w:shd w:val="clear" w:color="auto" w:fill="FFFFFF"/>
              </w:rPr>
              <w:t>easons</w:t>
            </w:r>
            <w:r w:rsidRPr="0097012A">
              <w:rPr>
                <w:rFonts w:ascii="Arial Narrow" w:hAnsi="Arial Narrow"/>
                <w:b/>
                <w:snapToGrid/>
                <w:sz w:val="20"/>
                <w:szCs w:val="22"/>
                <w:shd w:val="clear" w:color="auto" w:fill="FFFFFF"/>
              </w:rPr>
              <w:t xml:space="preserve"> for not recommending</w:t>
            </w:r>
          </w:p>
        </w:tc>
      </w:tr>
      <w:tr w:rsidR="00204329" w:rsidRPr="00502A1D" w:rsidTr="005C4806">
        <w:tc>
          <w:tcPr>
            <w:tcW w:w="8302" w:type="dxa"/>
            <w:gridSpan w:val="4"/>
          </w:tcPr>
          <w:p w:rsidR="00204329" w:rsidRPr="00204329" w:rsidRDefault="00204329" w:rsidP="004C5FCE">
            <w:pPr>
              <w:keepNext/>
              <w:keepLines/>
              <w:widowControl/>
              <w:jc w:val="left"/>
              <w:rPr>
                <w:rFonts w:ascii="Arial Narrow" w:hAnsi="Arial Narrow"/>
                <w:b/>
                <w:snapToGrid/>
                <w:sz w:val="20"/>
                <w:szCs w:val="22"/>
              </w:rPr>
            </w:pPr>
            <w:r w:rsidRPr="00204329">
              <w:rPr>
                <w:rFonts w:ascii="Arial Narrow" w:hAnsi="Arial Narrow"/>
                <w:b/>
                <w:snapToGrid/>
                <w:sz w:val="20"/>
                <w:szCs w:val="22"/>
              </w:rPr>
              <w:t>Triple therapy</w:t>
            </w:r>
            <w:r w:rsidR="009300D1">
              <w:rPr>
                <w:rFonts w:ascii="Arial Narrow" w:hAnsi="Arial Narrow"/>
                <w:b/>
                <w:snapToGrid/>
                <w:sz w:val="20"/>
                <w:szCs w:val="22"/>
              </w:rPr>
              <w:t xml:space="preserve"> with MET+SU</w:t>
            </w:r>
          </w:p>
        </w:tc>
      </w:tr>
      <w:tr w:rsidR="009300D1" w:rsidRPr="00502A1D" w:rsidTr="0097012A">
        <w:tc>
          <w:tcPr>
            <w:tcW w:w="851" w:type="dxa"/>
          </w:tcPr>
          <w:p w:rsidR="009300D1" w:rsidRPr="0097012A" w:rsidRDefault="009300D1"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Nov 2007</w:t>
            </w:r>
          </w:p>
        </w:tc>
        <w:tc>
          <w:tcPr>
            <w:tcW w:w="992" w:type="dxa"/>
          </w:tcPr>
          <w:p w:rsidR="009300D1" w:rsidRPr="0097012A" w:rsidRDefault="009300D1"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Pioglitazone</w:t>
            </w:r>
          </w:p>
        </w:tc>
        <w:tc>
          <w:tcPr>
            <w:tcW w:w="1559" w:type="dxa"/>
          </w:tcPr>
          <w:p w:rsidR="009300D1" w:rsidRPr="0097012A" w:rsidRDefault="009300D1" w:rsidP="004C5FCE">
            <w:pPr>
              <w:keepNext/>
              <w:keepLines/>
              <w:widowControl/>
              <w:autoSpaceDE w:val="0"/>
              <w:autoSpaceDN w:val="0"/>
              <w:adjustRightInd w:val="0"/>
              <w:jc w:val="left"/>
              <w:rPr>
                <w:rFonts w:ascii="Arial Narrow" w:hAnsi="Arial Narrow"/>
                <w:snapToGrid/>
                <w:sz w:val="20"/>
                <w:szCs w:val="22"/>
                <w:shd w:val="clear" w:color="auto" w:fill="FFFFFF"/>
              </w:rPr>
            </w:pPr>
          </w:p>
        </w:tc>
        <w:tc>
          <w:tcPr>
            <w:tcW w:w="4900" w:type="dxa"/>
          </w:tcPr>
          <w:p w:rsidR="009300D1" w:rsidRPr="00502A1D" w:rsidRDefault="009300D1" w:rsidP="004C5FCE">
            <w:pPr>
              <w:keepNext/>
              <w:keepLines/>
              <w:widowControl/>
              <w:jc w:val="left"/>
              <w:rPr>
                <w:rFonts w:ascii="Arial Narrow" w:hAnsi="Arial Narrow"/>
                <w:snapToGrid/>
                <w:sz w:val="20"/>
                <w:szCs w:val="22"/>
                <w:shd w:val="clear" w:color="auto" w:fill="FFFFFF"/>
              </w:rPr>
            </w:pPr>
            <w:r>
              <w:rPr>
                <w:rFonts w:ascii="Arial Narrow" w:hAnsi="Arial Narrow"/>
                <w:snapToGrid/>
                <w:sz w:val="20"/>
                <w:szCs w:val="22"/>
                <w:shd w:val="clear" w:color="auto" w:fill="FFFFFF"/>
              </w:rPr>
              <w:t>Cost-minimised to rosiglitazone</w:t>
            </w:r>
          </w:p>
        </w:tc>
      </w:tr>
      <w:tr w:rsidR="00204329" w:rsidRPr="00502A1D" w:rsidTr="0097012A">
        <w:tc>
          <w:tcPr>
            <w:tcW w:w="851" w:type="dxa"/>
          </w:tcPr>
          <w:p w:rsidR="00204329" w:rsidRPr="0097012A" w:rsidRDefault="009300D1"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Nov 2008</w:t>
            </w:r>
          </w:p>
        </w:tc>
        <w:tc>
          <w:tcPr>
            <w:tcW w:w="992" w:type="dxa"/>
          </w:tcPr>
          <w:p w:rsidR="00204329" w:rsidRPr="0097012A" w:rsidRDefault="009300D1"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 xml:space="preserve">Exenatide </w:t>
            </w:r>
            <w:r w:rsidR="006205D4" w:rsidRPr="0097012A">
              <w:rPr>
                <w:rFonts w:ascii="Arial Narrow" w:hAnsi="Arial Narrow"/>
                <w:snapToGrid/>
                <w:sz w:val="20"/>
                <w:szCs w:val="22"/>
                <w:shd w:val="clear" w:color="auto" w:fill="FFFFFF"/>
              </w:rPr>
              <w:t>(with MET and/or SU)</w:t>
            </w:r>
          </w:p>
        </w:tc>
        <w:tc>
          <w:tcPr>
            <w:tcW w:w="1559" w:type="dxa"/>
          </w:tcPr>
          <w:p w:rsidR="00204329" w:rsidRPr="0097012A" w:rsidRDefault="006205D4"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Recommended</w:t>
            </w:r>
          </w:p>
        </w:tc>
        <w:tc>
          <w:tcPr>
            <w:tcW w:w="4900" w:type="dxa"/>
          </w:tcPr>
          <w:p w:rsidR="009300D1" w:rsidRDefault="009300D1" w:rsidP="004C5FCE">
            <w:pPr>
              <w:keepNext/>
              <w:keepLines/>
              <w:widowControl/>
              <w:jc w:val="left"/>
              <w:rPr>
                <w:rFonts w:ascii="Arial Narrow" w:hAnsi="Arial Narrow"/>
                <w:snapToGrid/>
                <w:sz w:val="20"/>
                <w:szCs w:val="22"/>
                <w:shd w:val="clear" w:color="auto" w:fill="FFFFFF"/>
              </w:rPr>
            </w:pPr>
            <w:r>
              <w:rPr>
                <w:rFonts w:ascii="Arial Narrow" w:hAnsi="Arial Narrow"/>
                <w:snapToGrid/>
                <w:sz w:val="20"/>
                <w:szCs w:val="22"/>
                <w:shd w:val="clear" w:color="auto" w:fill="FFFFFF"/>
              </w:rPr>
              <w:t>Cost-minimised to insulin glargine</w:t>
            </w:r>
            <w:r>
              <w:t xml:space="preserve"> </w:t>
            </w:r>
            <w:r w:rsidRPr="009300D1">
              <w:rPr>
                <w:rFonts w:ascii="Arial Narrow" w:hAnsi="Arial Narrow"/>
                <w:snapToGrid/>
                <w:sz w:val="20"/>
                <w:szCs w:val="22"/>
                <w:shd w:val="clear" w:color="auto" w:fill="FFFFFF"/>
              </w:rPr>
              <w:t xml:space="preserve">taking account </w:t>
            </w:r>
            <w:r w:rsidR="00654B02">
              <w:rPr>
                <w:rFonts w:ascii="Arial Narrow" w:hAnsi="Arial Narrow"/>
                <w:snapToGrid/>
                <w:sz w:val="20"/>
                <w:szCs w:val="22"/>
                <w:shd w:val="clear" w:color="auto" w:fill="FFFFFF"/>
              </w:rPr>
              <w:t xml:space="preserve">of </w:t>
            </w:r>
            <w:r w:rsidRPr="009300D1">
              <w:rPr>
                <w:rFonts w:ascii="Arial Narrow" w:hAnsi="Arial Narrow"/>
                <w:snapToGrid/>
                <w:sz w:val="20"/>
                <w:szCs w:val="22"/>
                <w:shd w:val="clear" w:color="auto" w:fill="FFFFFF"/>
              </w:rPr>
              <w:t xml:space="preserve">the higher costs </w:t>
            </w:r>
            <w:r w:rsidR="00153C42">
              <w:rPr>
                <w:rFonts w:ascii="Arial Narrow" w:hAnsi="Arial Narrow"/>
                <w:snapToGrid/>
                <w:sz w:val="20"/>
                <w:szCs w:val="22"/>
                <w:shd w:val="clear" w:color="auto" w:fill="FFFFFF"/>
              </w:rPr>
              <w:t>of</w:t>
            </w:r>
            <w:r w:rsidRPr="009300D1">
              <w:rPr>
                <w:rFonts w:ascii="Arial Narrow" w:hAnsi="Arial Narrow"/>
                <w:snapToGrid/>
                <w:sz w:val="20"/>
                <w:szCs w:val="22"/>
                <w:shd w:val="clear" w:color="auto" w:fill="FFFFFF"/>
              </w:rPr>
              <w:t xml:space="preserve"> initiation and titration of insulin glargine.</w:t>
            </w:r>
            <w:r w:rsidR="00B034C3">
              <w:rPr>
                <w:rFonts w:ascii="Arial Narrow" w:hAnsi="Arial Narrow"/>
                <w:snapToGrid/>
                <w:sz w:val="20"/>
                <w:szCs w:val="22"/>
                <w:shd w:val="clear" w:color="auto" w:fill="FFFFFF"/>
              </w:rPr>
              <w:t xml:space="preserve"> </w:t>
            </w:r>
          </w:p>
          <w:p w:rsidR="006205D4" w:rsidRPr="00654B02" w:rsidRDefault="006205D4" w:rsidP="004C5FCE">
            <w:pPr>
              <w:keepNext/>
              <w:keepLines/>
              <w:widowControl/>
              <w:snapToGrid w:val="0"/>
              <w:jc w:val="left"/>
              <w:rPr>
                <w:rFonts w:ascii="Arial Narrow" w:hAnsi="Arial Narrow"/>
                <w:snapToGrid/>
                <w:sz w:val="20"/>
                <w:szCs w:val="22"/>
                <w:shd w:val="clear" w:color="auto" w:fill="FFFFFF"/>
              </w:rPr>
            </w:pPr>
            <w:r w:rsidRPr="00654B02">
              <w:rPr>
                <w:rFonts w:ascii="Arial Narrow" w:hAnsi="Arial Narrow"/>
                <w:snapToGrid/>
                <w:sz w:val="20"/>
                <w:szCs w:val="22"/>
                <w:shd w:val="clear" w:color="auto" w:fill="FFFFFF"/>
              </w:rPr>
              <w:t>Equi-effective doses: exenatide 9.07mcg bd and insulin glargine 24.93 IU/day when used in triple therapy with MET and SU.</w:t>
            </w:r>
          </w:p>
          <w:p w:rsidR="00204329" w:rsidRPr="00502A1D" w:rsidRDefault="006205D4" w:rsidP="004C5FCE">
            <w:pPr>
              <w:keepNext/>
              <w:keepLines/>
              <w:widowControl/>
              <w:jc w:val="left"/>
              <w:rPr>
                <w:rFonts w:ascii="Arial Narrow" w:hAnsi="Arial Narrow"/>
                <w:snapToGrid/>
                <w:sz w:val="20"/>
                <w:szCs w:val="22"/>
                <w:shd w:val="clear" w:color="auto" w:fill="FFFFFF"/>
              </w:rPr>
            </w:pPr>
            <w:r>
              <w:rPr>
                <w:rFonts w:ascii="Arial Narrow" w:hAnsi="Arial Narrow"/>
                <w:snapToGrid/>
                <w:sz w:val="20"/>
                <w:szCs w:val="22"/>
                <w:shd w:val="clear" w:color="auto" w:fill="FFFFFF"/>
              </w:rPr>
              <w:t>The 2mg once weekly formulation was recommended in Nov 2013, cost-minimised to exenatide 10mcg bd</w:t>
            </w:r>
          </w:p>
        </w:tc>
      </w:tr>
      <w:tr w:rsidR="00C2454A" w:rsidRPr="00502A1D" w:rsidTr="0097012A">
        <w:tc>
          <w:tcPr>
            <w:tcW w:w="851" w:type="dxa"/>
          </w:tcPr>
          <w:p w:rsidR="00C2454A" w:rsidRPr="0097012A" w:rsidRDefault="00C2454A"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July 2012</w:t>
            </w:r>
          </w:p>
        </w:tc>
        <w:tc>
          <w:tcPr>
            <w:tcW w:w="992" w:type="dxa"/>
          </w:tcPr>
          <w:p w:rsidR="00C2454A" w:rsidRPr="0097012A" w:rsidRDefault="00C2454A"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Linagliptin</w:t>
            </w:r>
          </w:p>
          <w:p w:rsidR="00C2454A" w:rsidRPr="0097012A" w:rsidRDefault="00C2454A" w:rsidP="004C5FCE">
            <w:pPr>
              <w:keepNext/>
              <w:keepLines/>
              <w:widowControl/>
              <w:autoSpaceDE w:val="0"/>
              <w:autoSpaceDN w:val="0"/>
              <w:adjustRightInd w:val="0"/>
              <w:jc w:val="left"/>
              <w:rPr>
                <w:rFonts w:ascii="Arial Narrow" w:hAnsi="Arial Narrow"/>
                <w:snapToGrid/>
                <w:sz w:val="20"/>
                <w:szCs w:val="22"/>
                <w:shd w:val="clear" w:color="auto" w:fill="FFFFFF"/>
              </w:rPr>
            </w:pPr>
          </w:p>
        </w:tc>
        <w:tc>
          <w:tcPr>
            <w:tcW w:w="1559" w:type="dxa"/>
          </w:tcPr>
          <w:p w:rsidR="00C2454A" w:rsidRPr="0097012A" w:rsidRDefault="00C2454A"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Not recommended</w:t>
            </w:r>
          </w:p>
        </w:tc>
        <w:tc>
          <w:tcPr>
            <w:tcW w:w="4900" w:type="dxa"/>
          </w:tcPr>
          <w:p w:rsidR="00C2454A" w:rsidRDefault="00C2454A" w:rsidP="004C5FCE">
            <w:pPr>
              <w:keepNext/>
              <w:keepLines/>
              <w:widowControl/>
              <w:jc w:val="left"/>
              <w:rPr>
                <w:rFonts w:ascii="Arial Narrow" w:hAnsi="Arial Narrow"/>
                <w:snapToGrid/>
                <w:sz w:val="20"/>
                <w:szCs w:val="22"/>
                <w:shd w:val="clear" w:color="auto" w:fill="FFFFFF"/>
              </w:rPr>
            </w:pPr>
            <w:r w:rsidRPr="002254D9">
              <w:rPr>
                <w:rFonts w:ascii="Arial Narrow" w:hAnsi="Arial Narrow"/>
                <w:snapToGrid/>
                <w:sz w:val="20"/>
                <w:szCs w:val="22"/>
              </w:rPr>
              <w:t>Insufficient evidence to accept the submission’s clinical claim that linagliptin triple therapy is non-inferior in terms of comparative effectiveness to pioglitazone triple therapy.</w:t>
            </w:r>
            <w:r>
              <w:rPr>
                <w:rFonts w:ascii="Open Sans" w:hAnsi="Open Sans"/>
                <w:color w:val="222222"/>
                <w:sz w:val="16"/>
                <w:szCs w:val="16"/>
              </w:rPr>
              <w:t> </w:t>
            </w:r>
          </w:p>
        </w:tc>
      </w:tr>
      <w:tr w:rsidR="00841399" w:rsidRPr="00502A1D" w:rsidTr="0097012A">
        <w:tc>
          <w:tcPr>
            <w:tcW w:w="851" w:type="dxa"/>
          </w:tcPr>
          <w:p w:rsidR="00841399" w:rsidRPr="0097012A" w:rsidRDefault="00ED2830"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Mar 2013</w:t>
            </w:r>
          </w:p>
        </w:tc>
        <w:tc>
          <w:tcPr>
            <w:tcW w:w="992" w:type="dxa"/>
          </w:tcPr>
          <w:p w:rsidR="00841399" w:rsidRPr="0097012A" w:rsidRDefault="00ED2830"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Liraglutide in dual/triple therapy</w:t>
            </w:r>
          </w:p>
        </w:tc>
        <w:tc>
          <w:tcPr>
            <w:tcW w:w="1559" w:type="dxa"/>
          </w:tcPr>
          <w:p w:rsidR="00841399" w:rsidRPr="0097012A" w:rsidRDefault="0030297D"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Recommended (not progressed by sponsor)</w:t>
            </w:r>
          </w:p>
        </w:tc>
        <w:tc>
          <w:tcPr>
            <w:tcW w:w="4900" w:type="dxa"/>
          </w:tcPr>
          <w:p w:rsidR="00841399" w:rsidRPr="00FD7138" w:rsidRDefault="00ED2830" w:rsidP="004C5FCE">
            <w:pPr>
              <w:keepNext/>
              <w:keepLines/>
              <w:widowControl/>
              <w:jc w:val="left"/>
              <w:rPr>
                <w:rFonts w:ascii="Arial Narrow" w:hAnsi="Arial Narrow"/>
                <w:snapToGrid/>
                <w:sz w:val="20"/>
                <w:szCs w:val="22"/>
                <w:highlight w:val="yellow"/>
                <w:shd w:val="clear" w:color="auto" w:fill="FFFFFF"/>
              </w:rPr>
            </w:pPr>
            <w:r w:rsidRPr="00FD7138">
              <w:rPr>
                <w:rFonts w:ascii="Arial Narrow" w:hAnsi="Arial Narrow"/>
                <w:snapToGrid/>
                <w:sz w:val="20"/>
                <w:szCs w:val="22"/>
                <w:shd w:val="clear" w:color="auto" w:fill="FFFFFF"/>
              </w:rPr>
              <w:t>C</w:t>
            </w:r>
            <w:r w:rsidR="00FD7138" w:rsidRPr="00FD7138">
              <w:rPr>
                <w:rFonts w:ascii="Arial Narrow" w:hAnsi="Arial Narrow"/>
                <w:snapToGrid/>
                <w:sz w:val="20"/>
                <w:szCs w:val="22"/>
                <w:shd w:val="clear" w:color="auto" w:fill="FFFFFF"/>
              </w:rPr>
              <w:t xml:space="preserve">ost-minimised to exenatide (BD). </w:t>
            </w:r>
            <w:r w:rsidRPr="00FD7138">
              <w:rPr>
                <w:rFonts w:ascii="Arial Narrow" w:hAnsi="Arial Narrow"/>
                <w:snapToGrid/>
                <w:sz w:val="20"/>
                <w:szCs w:val="22"/>
                <w:shd w:val="clear" w:color="auto" w:fill="FFFFFF"/>
              </w:rPr>
              <w:t xml:space="preserve"> The PBAC did not accept the sponsor’s claim of cost-offsets for one less needle per day (March 2013 </w:t>
            </w:r>
            <w:r w:rsidR="005C2BD2">
              <w:rPr>
                <w:rFonts w:ascii="Arial Narrow" w:hAnsi="Arial Narrow"/>
                <w:snapToGrid/>
                <w:sz w:val="20"/>
                <w:szCs w:val="22"/>
                <w:shd w:val="clear" w:color="auto" w:fill="FFFFFF"/>
              </w:rPr>
              <w:t xml:space="preserve">Public </w:t>
            </w:r>
            <w:r w:rsidR="001C7171">
              <w:rPr>
                <w:rFonts w:ascii="Arial Narrow" w:hAnsi="Arial Narrow"/>
                <w:snapToGrid/>
                <w:sz w:val="20"/>
                <w:szCs w:val="22"/>
                <w:shd w:val="clear" w:color="auto" w:fill="FFFFFF"/>
              </w:rPr>
              <w:t>Summary</w:t>
            </w:r>
            <w:r w:rsidR="005C2BD2">
              <w:rPr>
                <w:rFonts w:ascii="Arial Narrow" w:hAnsi="Arial Narrow"/>
                <w:snapToGrid/>
                <w:sz w:val="20"/>
                <w:szCs w:val="22"/>
                <w:shd w:val="clear" w:color="auto" w:fill="FFFFFF"/>
              </w:rPr>
              <w:t xml:space="preserve"> Document, Liraglutide</w:t>
            </w:r>
            <w:r w:rsidRPr="00FD7138">
              <w:rPr>
                <w:rFonts w:ascii="Arial Narrow" w:hAnsi="Arial Narrow"/>
                <w:snapToGrid/>
                <w:sz w:val="20"/>
                <w:szCs w:val="22"/>
                <w:shd w:val="clear" w:color="auto" w:fill="FFFFFF"/>
              </w:rPr>
              <w:t>).</w:t>
            </w:r>
          </w:p>
        </w:tc>
      </w:tr>
      <w:tr w:rsidR="00502A1D" w:rsidRPr="00502A1D" w:rsidTr="0097012A">
        <w:tc>
          <w:tcPr>
            <w:tcW w:w="851" w:type="dxa"/>
          </w:tcPr>
          <w:p w:rsidR="00502A1D" w:rsidRPr="0097012A" w:rsidRDefault="00502A1D"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July 2013</w:t>
            </w:r>
          </w:p>
        </w:tc>
        <w:tc>
          <w:tcPr>
            <w:tcW w:w="992" w:type="dxa"/>
          </w:tcPr>
          <w:p w:rsidR="00502A1D" w:rsidRPr="0097012A" w:rsidRDefault="00502A1D"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Vildagliptin</w:t>
            </w:r>
            <w:r w:rsidR="00785195" w:rsidRPr="0097012A">
              <w:rPr>
                <w:rFonts w:ascii="Arial Narrow" w:hAnsi="Arial Narrow"/>
                <w:snapToGrid/>
                <w:sz w:val="20"/>
                <w:szCs w:val="22"/>
                <w:shd w:val="clear" w:color="auto" w:fill="FFFFFF"/>
              </w:rPr>
              <w:t xml:space="preserve"> </w:t>
            </w:r>
          </w:p>
        </w:tc>
        <w:tc>
          <w:tcPr>
            <w:tcW w:w="1559" w:type="dxa"/>
          </w:tcPr>
          <w:p w:rsidR="00502A1D" w:rsidRPr="0097012A" w:rsidRDefault="00C2454A"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Not recommended</w:t>
            </w:r>
          </w:p>
        </w:tc>
        <w:tc>
          <w:tcPr>
            <w:tcW w:w="4900" w:type="dxa"/>
          </w:tcPr>
          <w:p w:rsidR="00502A1D" w:rsidRPr="00502A1D" w:rsidRDefault="00502A1D" w:rsidP="004C5FCE">
            <w:pPr>
              <w:keepNext/>
              <w:keepLines/>
              <w:widowControl/>
              <w:jc w:val="left"/>
              <w:rPr>
                <w:rFonts w:ascii="Arial Narrow" w:hAnsi="Arial Narrow"/>
                <w:snapToGrid/>
                <w:spacing w:val="5"/>
                <w:sz w:val="20"/>
                <w:szCs w:val="22"/>
              </w:rPr>
            </w:pPr>
            <w:r w:rsidRPr="00502A1D">
              <w:rPr>
                <w:rFonts w:ascii="Arial Narrow" w:hAnsi="Arial Narrow"/>
                <w:snapToGrid/>
                <w:sz w:val="20"/>
                <w:szCs w:val="22"/>
                <w:shd w:val="clear" w:color="auto" w:fill="FFFFFF"/>
              </w:rPr>
              <w:t xml:space="preserve">The PBAC did not accept pioglitazone as the appropriate comparator in view of concerns about adverse cardiovascular events and its diminishing use in the clinical treatment algorithm for </w:t>
            </w:r>
            <w:r w:rsidR="00286379">
              <w:rPr>
                <w:rFonts w:ascii="Arial Narrow" w:hAnsi="Arial Narrow"/>
                <w:snapToGrid/>
                <w:sz w:val="20"/>
                <w:szCs w:val="22"/>
                <w:shd w:val="clear" w:color="auto" w:fill="FFFFFF"/>
              </w:rPr>
              <w:t>T2DM</w:t>
            </w:r>
            <w:r w:rsidRPr="00502A1D">
              <w:rPr>
                <w:rFonts w:ascii="Arial Narrow" w:hAnsi="Arial Narrow"/>
                <w:snapToGrid/>
                <w:sz w:val="20"/>
                <w:szCs w:val="22"/>
                <w:shd w:val="clear" w:color="auto" w:fill="FFFFFF"/>
              </w:rPr>
              <w:t>.</w:t>
            </w:r>
          </w:p>
        </w:tc>
      </w:tr>
      <w:tr w:rsidR="00BE45FB" w:rsidRPr="00502A1D" w:rsidTr="0097012A">
        <w:tc>
          <w:tcPr>
            <w:tcW w:w="851" w:type="dxa"/>
          </w:tcPr>
          <w:p w:rsidR="00BE45FB" w:rsidRPr="0097012A" w:rsidRDefault="008F2779"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July 2014</w:t>
            </w:r>
          </w:p>
        </w:tc>
        <w:tc>
          <w:tcPr>
            <w:tcW w:w="992" w:type="dxa"/>
          </w:tcPr>
          <w:p w:rsidR="00BE45FB" w:rsidRPr="0097012A" w:rsidRDefault="008F2779"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 xml:space="preserve">Lixisenatide </w:t>
            </w:r>
          </w:p>
          <w:p w:rsidR="008F2779" w:rsidRPr="0097012A" w:rsidRDefault="00153C42"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w:t>
            </w:r>
            <w:r w:rsidR="008F2779" w:rsidRPr="0097012A">
              <w:rPr>
                <w:rFonts w:ascii="Arial Narrow" w:hAnsi="Arial Narrow"/>
                <w:snapToGrid/>
                <w:sz w:val="20"/>
                <w:szCs w:val="22"/>
                <w:shd w:val="clear" w:color="auto" w:fill="FFFFFF"/>
              </w:rPr>
              <w:t>dual therapy with MET &amp; triple therapy with MET</w:t>
            </w:r>
            <w:r w:rsidRPr="0097012A">
              <w:rPr>
                <w:rFonts w:ascii="Arial Narrow" w:hAnsi="Arial Narrow"/>
                <w:snapToGrid/>
                <w:sz w:val="20"/>
                <w:szCs w:val="22"/>
                <w:shd w:val="clear" w:color="auto" w:fill="FFFFFF"/>
              </w:rPr>
              <w:t>+</w:t>
            </w:r>
            <w:r w:rsidR="008F2779" w:rsidRPr="0097012A">
              <w:rPr>
                <w:rFonts w:ascii="Arial Narrow" w:hAnsi="Arial Narrow"/>
                <w:snapToGrid/>
                <w:sz w:val="20"/>
                <w:szCs w:val="22"/>
                <w:shd w:val="clear" w:color="auto" w:fill="FFFFFF"/>
              </w:rPr>
              <w:t>SU)</w:t>
            </w:r>
          </w:p>
        </w:tc>
        <w:tc>
          <w:tcPr>
            <w:tcW w:w="1559" w:type="dxa"/>
          </w:tcPr>
          <w:p w:rsidR="00BE45FB" w:rsidRPr="0097012A" w:rsidRDefault="008F2779" w:rsidP="004C5FCE">
            <w:pPr>
              <w:keepNext/>
              <w:keepLines/>
              <w:widowControl/>
              <w:autoSpaceDE w:val="0"/>
              <w:autoSpaceDN w:val="0"/>
              <w:adjustRightInd w:val="0"/>
              <w:jc w:val="left"/>
              <w:rPr>
                <w:rFonts w:ascii="Arial Narrow" w:hAnsi="Arial Narrow"/>
                <w:snapToGrid/>
                <w:sz w:val="20"/>
                <w:szCs w:val="22"/>
                <w:shd w:val="clear" w:color="auto" w:fill="FFFFFF"/>
              </w:rPr>
            </w:pPr>
            <w:r w:rsidRPr="0097012A">
              <w:rPr>
                <w:rFonts w:ascii="Arial Narrow" w:hAnsi="Arial Narrow"/>
                <w:snapToGrid/>
                <w:sz w:val="20"/>
                <w:szCs w:val="22"/>
                <w:shd w:val="clear" w:color="auto" w:fill="FFFFFF"/>
              </w:rPr>
              <w:t>Not recommended</w:t>
            </w:r>
          </w:p>
        </w:tc>
        <w:tc>
          <w:tcPr>
            <w:tcW w:w="4900" w:type="dxa"/>
          </w:tcPr>
          <w:p w:rsidR="004714F6" w:rsidRPr="00502A1D" w:rsidRDefault="00FD7138" w:rsidP="004C5FCE">
            <w:pPr>
              <w:keepNext/>
              <w:keepLines/>
              <w:widowControl/>
              <w:autoSpaceDE w:val="0"/>
              <w:autoSpaceDN w:val="0"/>
              <w:adjustRightInd w:val="0"/>
              <w:jc w:val="left"/>
              <w:rPr>
                <w:rFonts w:ascii="Arial Narrow" w:hAnsi="Arial Narrow"/>
                <w:snapToGrid/>
                <w:sz w:val="20"/>
                <w:szCs w:val="22"/>
                <w:shd w:val="clear" w:color="auto" w:fill="FFFFFF"/>
              </w:rPr>
            </w:pPr>
            <w:r>
              <w:rPr>
                <w:rFonts w:ascii="Arial Narrow" w:hAnsi="Arial Narrow"/>
                <w:snapToGrid/>
                <w:sz w:val="20"/>
                <w:szCs w:val="22"/>
                <w:shd w:val="clear" w:color="auto" w:fill="FFFFFF"/>
              </w:rPr>
              <w:t>C</w:t>
            </w:r>
            <w:r w:rsidR="004714F6">
              <w:rPr>
                <w:rFonts w:ascii="Arial Narrow" w:hAnsi="Arial Narrow"/>
                <w:snapToGrid/>
                <w:sz w:val="20"/>
                <w:szCs w:val="22"/>
                <w:shd w:val="clear" w:color="auto" w:fill="FFFFFF"/>
              </w:rPr>
              <w:t>ost-minim</w:t>
            </w:r>
            <w:r w:rsidR="00153C42">
              <w:rPr>
                <w:rFonts w:ascii="Arial Narrow" w:hAnsi="Arial Narrow"/>
                <w:snapToGrid/>
                <w:sz w:val="20"/>
                <w:szCs w:val="22"/>
                <w:shd w:val="clear" w:color="auto" w:fill="FFFFFF"/>
              </w:rPr>
              <w:t>is</w:t>
            </w:r>
            <w:r>
              <w:rPr>
                <w:rFonts w:ascii="Arial Narrow" w:hAnsi="Arial Narrow"/>
                <w:snapToGrid/>
                <w:sz w:val="20"/>
                <w:szCs w:val="22"/>
                <w:shd w:val="clear" w:color="auto" w:fill="FFFFFF"/>
              </w:rPr>
              <w:t>ation</w:t>
            </w:r>
            <w:r w:rsidR="004714F6">
              <w:rPr>
                <w:rFonts w:ascii="Arial Narrow" w:hAnsi="Arial Narrow"/>
                <w:snapToGrid/>
                <w:sz w:val="20"/>
                <w:szCs w:val="22"/>
                <w:shd w:val="clear" w:color="auto" w:fill="FFFFFF"/>
              </w:rPr>
              <w:t xml:space="preserve"> </w:t>
            </w:r>
            <w:r w:rsidR="00153C42">
              <w:rPr>
                <w:rFonts w:ascii="Arial Narrow" w:hAnsi="Arial Narrow"/>
                <w:snapToGrid/>
                <w:sz w:val="20"/>
                <w:szCs w:val="22"/>
                <w:shd w:val="clear" w:color="auto" w:fill="FFFFFF"/>
              </w:rPr>
              <w:t>to</w:t>
            </w:r>
            <w:r w:rsidR="004714F6">
              <w:rPr>
                <w:rFonts w:ascii="Arial Narrow" w:hAnsi="Arial Narrow"/>
                <w:snapToGrid/>
                <w:sz w:val="20"/>
                <w:szCs w:val="22"/>
                <w:shd w:val="clear" w:color="auto" w:fill="FFFFFF"/>
              </w:rPr>
              <w:t xml:space="preserve"> exenatide</w:t>
            </w:r>
            <w:r>
              <w:rPr>
                <w:rFonts w:ascii="Arial Narrow" w:hAnsi="Arial Narrow"/>
                <w:snapToGrid/>
                <w:sz w:val="20"/>
                <w:szCs w:val="22"/>
                <w:shd w:val="clear" w:color="auto" w:fill="FFFFFF"/>
              </w:rPr>
              <w:t xml:space="preserve"> was sought</w:t>
            </w:r>
            <w:r w:rsidR="004714F6">
              <w:rPr>
                <w:rFonts w:ascii="Arial Narrow" w:hAnsi="Arial Narrow"/>
                <w:snapToGrid/>
                <w:sz w:val="20"/>
                <w:szCs w:val="22"/>
                <w:shd w:val="clear" w:color="auto" w:fill="FFFFFF"/>
              </w:rPr>
              <w:t xml:space="preserve">. </w:t>
            </w:r>
            <w:r>
              <w:rPr>
                <w:rFonts w:ascii="Arial Narrow" w:hAnsi="Arial Narrow"/>
                <w:snapToGrid/>
                <w:sz w:val="20"/>
                <w:szCs w:val="22"/>
                <w:shd w:val="clear" w:color="auto" w:fill="FFFFFF"/>
              </w:rPr>
              <w:t>The PBAC considered that n</w:t>
            </w:r>
            <w:r w:rsidR="004714F6" w:rsidRPr="00982DB2">
              <w:rPr>
                <w:rFonts w:ascii="Arial Narrow" w:hAnsi="Arial Narrow"/>
                <w:snapToGrid/>
                <w:sz w:val="20"/>
                <w:szCs w:val="22"/>
                <w:shd w:val="clear" w:color="auto" w:fill="FFFFFF"/>
              </w:rPr>
              <w:t xml:space="preserve">on-inferiority to exenatide </w:t>
            </w:r>
            <w:r w:rsidR="00153C42">
              <w:rPr>
                <w:rFonts w:ascii="Arial Narrow" w:hAnsi="Arial Narrow"/>
                <w:snapToGrid/>
                <w:sz w:val="20"/>
                <w:szCs w:val="22"/>
                <w:shd w:val="clear" w:color="auto" w:fill="FFFFFF"/>
              </w:rPr>
              <w:t>was</w:t>
            </w:r>
            <w:r w:rsidR="004714F6" w:rsidRPr="00982DB2">
              <w:rPr>
                <w:rFonts w:ascii="Arial Narrow" w:hAnsi="Arial Narrow"/>
                <w:snapToGrid/>
                <w:sz w:val="20"/>
                <w:szCs w:val="22"/>
                <w:shd w:val="clear" w:color="auto" w:fill="FFFFFF"/>
              </w:rPr>
              <w:t xml:space="preserve"> not adequately established</w:t>
            </w:r>
            <w:r>
              <w:rPr>
                <w:rFonts w:ascii="Arial Narrow" w:hAnsi="Arial Narrow"/>
                <w:snapToGrid/>
                <w:sz w:val="20"/>
                <w:szCs w:val="22"/>
                <w:shd w:val="clear" w:color="auto" w:fill="FFFFFF"/>
              </w:rPr>
              <w:t xml:space="preserve">. </w:t>
            </w:r>
            <w:r w:rsidR="00701A4F">
              <w:rPr>
                <w:rFonts w:ascii="Arial Narrow" w:hAnsi="Arial Narrow"/>
                <w:snapToGrid/>
                <w:sz w:val="20"/>
                <w:szCs w:val="22"/>
                <w:shd w:val="clear" w:color="auto" w:fill="FFFFFF"/>
              </w:rPr>
              <w:t>‘</w:t>
            </w:r>
            <w:r>
              <w:rPr>
                <w:rFonts w:ascii="Arial Narrow" w:hAnsi="Arial Narrow"/>
                <w:snapToGrid/>
                <w:sz w:val="20"/>
                <w:szCs w:val="22"/>
                <w:shd w:val="clear" w:color="auto" w:fill="FFFFFF"/>
              </w:rPr>
              <w:t xml:space="preserve">The lower limit of the 95% CI (0.08%) did not include the null and so the results of the indirect comparison suggested with a high degree of certainty that lixisenatide is worse that exenatide 10mcg </w:t>
            </w:r>
            <w:r w:rsidR="001C7171">
              <w:rPr>
                <w:rFonts w:ascii="Arial Narrow" w:hAnsi="Arial Narrow"/>
                <w:snapToGrid/>
                <w:sz w:val="20"/>
                <w:szCs w:val="22"/>
                <w:shd w:val="clear" w:color="auto" w:fill="FFFFFF"/>
              </w:rPr>
              <w:t>BD at</w:t>
            </w:r>
            <w:r w:rsidR="00701A4F">
              <w:rPr>
                <w:rFonts w:ascii="Arial Narrow" w:hAnsi="Arial Narrow"/>
                <w:snapToGrid/>
                <w:sz w:val="20"/>
                <w:szCs w:val="22"/>
                <w:shd w:val="clear" w:color="auto" w:fill="FFFFFF"/>
              </w:rPr>
              <w:t xml:space="preserve"> lowering HbA1c</w:t>
            </w:r>
            <w:r>
              <w:rPr>
                <w:rFonts w:ascii="Arial Narrow" w:hAnsi="Arial Narrow"/>
                <w:snapToGrid/>
                <w:sz w:val="20"/>
                <w:szCs w:val="22"/>
                <w:shd w:val="clear" w:color="auto" w:fill="FFFFFF"/>
              </w:rPr>
              <w:t>.  Further to this, whether a MCID margin of 0.3% or 0.4% is used to determin</w:t>
            </w:r>
            <w:r w:rsidR="00701A4F">
              <w:rPr>
                <w:rFonts w:ascii="Arial Narrow" w:hAnsi="Arial Narrow"/>
                <w:snapToGrid/>
                <w:sz w:val="20"/>
                <w:szCs w:val="22"/>
                <w:shd w:val="clear" w:color="auto" w:fill="FFFFFF"/>
              </w:rPr>
              <w:t>e</w:t>
            </w:r>
            <w:r>
              <w:rPr>
                <w:rFonts w:ascii="Arial Narrow" w:hAnsi="Arial Narrow"/>
                <w:snapToGrid/>
                <w:sz w:val="20"/>
                <w:szCs w:val="22"/>
                <w:shd w:val="clear" w:color="auto" w:fill="FFFFFF"/>
              </w:rPr>
              <w:t xml:space="preserve"> if the results are clinically significant, the PBAC noted that the upper limit of the 95% CI (0.62%) suggested that lixisenatide may be clinically worse than exenatide 10mcg BD. (July 2014 Public</w:t>
            </w:r>
            <w:r w:rsidR="00701A4F">
              <w:rPr>
                <w:rFonts w:ascii="Arial Narrow" w:hAnsi="Arial Narrow"/>
                <w:snapToGrid/>
                <w:sz w:val="20"/>
                <w:szCs w:val="22"/>
                <w:shd w:val="clear" w:color="auto" w:fill="FFFFFF"/>
              </w:rPr>
              <w:t xml:space="preserve"> Summary Document, Lixisenatide Item 5.9</w:t>
            </w:r>
            <w:r w:rsidR="0097012A">
              <w:rPr>
                <w:snapToGrid/>
                <w:color w:val="000000"/>
                <w:szCs w:val="22"/>
                <w:lang w:eastAsia="en-AU"/>
              </w:rPr>
              <w:t>.</w:t>
            </w:r>
          </w:p>
        </w:tc>
      </w:tr>
    </w:tbl>
    <w:p w:rsidR="00E55BB5" w:rsidRPr="00F134F5" w:rsidRDefault="005C2BD2" w:rsidP="004C5FCE">
      <w:pPr>
        <w:pStyle w:val="ListParagraph"/>
        <w:keepNext/>
        <w:keepLines/>
        <w:widowControl/>
        <w:rPr>
          <w:rFonts w:ascii="Arial Narrow" w:hAnsi="Arial Narrow"/>
          <w:sz w:val="18"/>
          <w:szCs w:val="16"/>
        </w:rPr>
      </w:pPr>
      <w:r>
        <w:rPr>
          <w:rFonts w:ascii="Arial Narrow" w:hAnsi="Arial Narrow"/>
          <w:sz w:val="18"/>
          <w:szCs w:val="16"/>
        </w:rPr>
        <w:t>Source: c</w:t>
      </w:r>
      <w:r w:rsidR="009158C9" w:rsidRPr="00F134F5">
        <w:rPr>
          <w:rFonts w:ascii="Arial Narrow" w:hAnsi="Arial Narrow"/>
          <w:sz w:val="18"/>
          <w:szCs w:val="16"/>
        </w:rPr>
        <w:t>ompiled during evaluation</w:t>
      </w:r>
    </w:p>
    <w:p w:rsidR="009158C9" w:rsidRPr="00F134F5" w:rsidRDefault="009158C9" w:rsidP="004C5FCE">
      <w:pPr>
        <w:pStyle w:val="ListParagraph"/>
        <w:keepNext/>
        <w:keepLines/>
        <w:widowControl/>
        <w:rPr>
          <w:rFonts w:ascii="Arial Narrow" w:hAnsi="Arial Narrow"/>
          <w:sz w:val="18"/>
          <w:szCs w:val="16"/>
        </w:rPr>
      </w:pPr>
      <w:r w:rsidRPr="00F134F5">
        <w:rPr>
          <w:rFonts w:ascii="Arial Narrow" w:hAnsi="Arial Narrow"/>
          <w:sz w:val="18"/>
          <w:szCs w:val="16"/>
        </w:rPr>
        <w:t>Abbreviation: ME</w:t>
      </w:r>
      <w:r w:rsidR="00841399" w:rsidRPr="00F134F5">
        <w:rPr>
          <w:rFonts w:ascii="Arial Narrow" w:hAnsi="Arial Narrow"/>
          <w:sz w:val="18"/>
          <w:szCs w:val="16"/>
        </w:rPr>
        <w:t>T</w:t>
      </w:r>
      <w:r w:rsidRPr="00F134F5">
        <w:rPr>
          <w:rFonts w:ascii="Arial Narrow" w:hAnsi="Arial Narrow"/>
          <w:sz w:val="18"/>
          <w:szCs w:val="16"/>
        </w:rPr>
        <w:t>= metformin, SU= sulp</w:t>
      </w:r>
      <w:r w:rsidR="00942DB9" w:rsidRPr="00F134F5">
        <w:rPr>
          <w:rFonts w:ascii="Arial Narrow" w:hAnsi="Arial Narrow"/>
          <w:sz w:val="18"/>
          <w:szCs w:val="16"/>
        </w:rPr>
        <w:t>honylurea</w:t>
      </w:r>
      <w:r w:rsidRPr="00F134F5">
        <w:rPr>
          <w:rFonts w:ascii="Arial Narrow" w:hAnsi="Arial Narrow"/>
          <w:sz w:val="18"/>
          <w:szCs w:val="16"/>
        </w:rPr>
        <w:t>, FDC= fixed dose combination, XR</w:t>
      </w:r>
      <w:r w:rsidR="00841399" w:rsidRPr="00F134F5">
        <w:rPr>
          <w:rFonts w:ascii="Arial Narrow" w:hAnsi="Arial Narrow"/>
          <w:sz w:val="18"/>
          <w:szCs w:val="16"/>
        </w:rPr>
        <w:t>=</w:t>
      </w:r>
      <w:r w:rsidRPr="00F134F5">
        <w:rPr>
          <w:rFonts w:ascii="Arial Narrow" w:hAnsi="Arial Narrow"/>
          <w:sz w:val="18"/>
          <w:szCs w:val="16"/>
        </w:rPr>
        <w:t xml:space="preserve"> extended release </w:t>
      </w:r>
    </w:p>
    <w:p w:rsidR="0035497C" w:rsidRDefault="0035497C" w:rsidP="004C5FCE">
      <w:pPr>
        <w:pStyle w:val="ListParagraph"/>
        <w:widowControl/>
        <w:rPr>
          <w:rFonts w:ascii="Arial Narrow" w:hAnsi="Arial Narrow"/>
          <w:sz w:val="18"/>
          <w:szCs w:val="16"/>
        </w:rPr>
      </w:pPr>
    </w:p>
    <w:p w:rsidR="0097012A" w:rsidRPr="00F134F5" w:rsidRDefault="0097012A" w:rsidP="004C5FCE">
      <w:pPr>
        <w:pStyle w:val="ListParagraph"/>
        <w:widowControl/>
        <w:rPr>
          <w:rFonts w:ascii="Arial Narrow" w:hAnsi="Arial Narrow"/>
          <w:sz w:val="18"/>
          <w:szCs w:val="16"/>
        </w:rPr>
      </w:pPr>
    </w:p>
    <w:p w:rsidR="00B50DB8" w:rsidRPr="00407F2D" w:rsidRDefault="00B50DB8" w:rsidP="00A8769F">
      <w:pPr>
        <w:pStyle w:val="PBACheading1"/>
      </w:pPr>
      <w:bookmarkStart w:id="6" w:name="_Toc409614774"/>
      <w:r w:rsidRPr="00407F2D">
        <w:t>Clinical place for the proposed therapy</w:t>
      </w:r>
      <w:bookmarkEnd w:id="6"/>
    </w:p>
    <w:p w:rsidR="00681EA1" w:rsidRDefault="00681EA1" w:rsidP="004C5FCE">
      <w:pPr>
        <w:pStyle w:val="Header"/>
        <w:widowControl/>
      </w:pPr>
    </w:p>
    <w:p w:rsidR="00B60939" w:rsidRPr="00EF064D" w:rsidRDefault="00286379" w:rsidP="004C5FCE">
      <w:pPr>
        <w:pStyle w:val="ListParagraph"/>
        <w:widowControl/>
        <w:numPr>
          <w:ilvl w:val="1"/>
          <w:numId w:val="1"/>
        </w:numPr>
        <w:rPr>
          <w:szCs w:val="22"/>
        </w:rPr>
      </w:pPr>
      <w:r w:rsidRPr="00EF064D">
        <w:rPr>
          <w:szCs w:val="22"/>
        </w:rPr>
        <w:t>T2DM</w:t>
      </w:r>
      <w:r w:rsidR="00681EA1" w:rsidRPr="00EF064D">
        <w:rPr>
          <w:szCs w:val="22"/>
        </w:rPr>
        <w:t xml:space="preserve"> is a </w:t>
      </w:r>
      <w:r w:rsidR="00122750" w:rsidRPr="00EF064D">
        <w:rPr>
          <w:szCs w:val="22"/>
        </w:rPr>
        <w:t>chronic disease</w:t>
      </w:r>
      <w:r w:rsidR="00681EA1" w:rsidRPr="00EF064D">
        <w:rPr>
          <w:szCs w:val="22"/>
        </w:rPr>
        <w:t xml:space="preserve"> characterised by hyperglycaemia. Diet and exercise are the first steps in managing the disease, followed by the addition of metformin. When </w:t>
      </w:r>
      <w:r w:rsidR="00122750" w:rsidRPr="00EF064D">
        <w:rPr>
          <w:szCs w:val="22"/>
        </w:rPr>
        <w:t>this</w:t>
      </w:r>
      <w:r w:rsidR="00681EA1" w:rsidRPr="00EF064D">
        <w:rPr>
          <w:szCs w:val="22"/>
        </w:rPr>
        <w:t xml:space="preserve"> is inadequate in controlling blood </w:t>
      </w:r>
      <w:r w:rsidR="00681EA1" w:rsidRPr="001A4A3A">
        <w:rPr>
          <w:szCs w:val="22"/>
        </w:rPr>
        <w:t xml:space="preserve">glucose, treatment guidelines </w:t>
      </w:r>
      <w:r w:rsidR="00C678F1" w:rsidRPr="001A4A3A">
        <w:rPr>
          <w:szCs w:val="22"/>
        </w:rPr>
        <w:t xml:space="preserve">generally </w:t>
      </w:r>
      <w:r w:rsidR="00681EA1" w:rsidRPr="001A4A3A">
        <w:rPr>
          <w:szCs w:val="22"/>
        </w:rPr>
        <w:t>recommend adding a sulfonylurea</w:t>
      </w:r>
      <w:r w:rsidR="00E31EDC" w:rsidRPr="001A4A3A">
        <w:rPr>
          <w:szCs w:val="22"/>
        </w:rPr>
        <w:t xml:space="preserve"> as the standard approach. Dapagliflozin</w:t>
      </w:r>
      <w:r w:rsidR="00E31EDC" w:rsidRPr="00EF064D">
        <w:rPr>
          <w:szCs w:val="22"/>
        </w:rPr>
        <w:t xml:space="preserve"> and</w:t>
      </w:r>
      <w:r w:rsidR="00A84CFC" w:rsidRPr="00EF064D">
        <w:rPr>
          <w:szCs w:val="22"/>
        </w:rPr>
        <w:t xml:space="preserve"> DPP-4 inhibitor</w:t>
      </w:r>
      <w:r w:rsidR="00E31EDC" w:rsidRPr="00EF064D">
        <w:rPr>
          <w:szCs w:val="22"/>
        </w:rPr>
        <w:t>s</w:t>
      </w:r>
      <w:r w:rsidR="00A84CFC" w:rsidRPr="00EF064D">
        <w:rPr>
          <w:szCs w:val="22"/>
        </w:rPr>
        <w:t xml:space="preserve"> (‘gliptin</w:t>
      </w:r>
      <w:r w:rsidR="00E31EDC" w:rsidRPr="00EF064D">
        <w:rPr>
          <w:szCs w:val="22"/>
        </w:rPr>
        <w:t>s</w:t>
      </w:r>
      <w:r w:rsidR="00A84CFC" w:rsidRPr="00EF064D">
        <w:rPr>
          <w:szCs w:val="22"/>
        </w:rPr>
        <w:t>’</w:t>
      </w:r>
      <w:r w:rsidR="00E31EDC" w:rsidRPr="00EF064D">
        <w:rPr>
          <w:szCs w:val="22"/>
        </w:rPr>
        <w:t>) are now</w:t>
      </w:r>
      <w:r w:rsidR="00A84CFC" w:rsidRPr="00EF064D">
        <w:rPr>
          <w:szCs w:val="22"/>
        </w:rPr>
        <w:t xml:space="preserve"> PBS-listed in this setting.</w:t>
      </w:r>
      <w:r w:rsidR="00681EA1" w:rsidRPr="00EF064D">
        <w:rPr>
          <w:szCs w:val="22"/>
        </w:rPr>
        <w:t xml:space="preserve"> If dual therapy is unsuccessful, insulin can be added. Other options include glucagon like peptide 1 (GLP-1) receptor agonists, thiazolidinediones</w:t>
      </w:r>
      <w:r w:rsidR="00A84CFC" w:rsidRPr="00EF064D">
        <w:rPr>
          <w:szCs w:val="22"/>
        </w:rPr>
        <w:t xml:space="preserve"> (‘glitazones’) or</w:t>
      </w:r>
      <w:r w:rsidR="00681EA1" w:rsidRPr="00EF064D">
        <w:rPr>
          <w:szCs w:val="22"/>
        </w:rPr>
        <w:t xml:space="preserve"> </w:t>
      </w:r>
      <w:r w:rsidR="00A84CFC" w:rsidRPr="00EF064D">
        <w:rPr>
          <w:szCs w:val="22"/>
        </w:rPr>
        <w:t>acarbose</w:t>
      </w:r>
      <w:r w:rsidR="00681EA1" w:rsidRPr="00EF064D">
        <w:rPr>
          <w:szCs w:val="22"/>
        </w:rPr>
        <w:t>.</w:t>
      </w:r>
    </w:p>
    <w:p w:rsidR="00122750" w:rsidRPr="00B50DB8" w:rsidRDefault="00122750" w:rsidP="004C5FCE">
      <w:pPr>
        <w:pStyle w:val="ListParagraph"/>
        <w:widowControl/>
        <w:rPr>
          <w:szCs w:val="22"/>
        </w:rPr>
      </w:pPr>
    </w:p>
    <w:p w:rsidR="00FC0C3A" w:rsidRPr="00FC0C3A" w:rsidRDefault="00681EA1" w:rsidP="004C5FCE">
      <w:pPr>
        <w:pStyle w:val="ListParagraph"/>
        <w:widowControl/>
        <w:numPr>
          <w:ilvl w:val="1"/>
          <w:numId w:val="1"/>
        </w:numPr>
        <w:rPr>
          <w:i/>
          <w:szCs w:val="22"/>
        </w:rPr>
      </w:pPr>
      <w:r w:rsidRPr="004F4DB6">
        <w:rPr>
          <w:szCs w:val="22"/>
        </w:rPr>
        <w:t>The submission propose</w:t>
      </w:r>
      <w:r w:rsidR="00773A76" w:rsidRPr="004F4DB6">
        <w:rPr>
          <w:szCs w:val="22"/>
        </w:rPr>
        <w:t>d</w:t>
      </w:r>
      <w:r w:rsidRPr="004F4DB6">
        <w:rPr>
          <w:szCs w:val="22"/>
        </w:rPr>
        <w:t xml:space="preserve"> dapagliflozin</w:t>
      </w:r>
      <w:r w:rsidR="00773A76" w:rsidRPr="004F4DB6">
        <w:rPr>
          <w:szCs w:val="22"/>
        </w:rPr>
        <w:t xml:space="preserve"> triple therapy </w:t>
      </w:r>
      <w:r w:rsidR="001A4A3A" w:rsidRPr="004F4DB6">
        <w:rPr>
          <w:szCs w:val="22"/>
        </w:rPr>
        <w:t xml:space="preserve">in combination </w:t>
      </w:r>
      <w:r w:rsidR="00773A76" w:rsidRPr="004F4DB6">
        <w:rPr>
          <w:szCs w:val="22"/>
        </w:rPr>
        <w:t xml:space="preserve">with </w:t>
      </w:r>
      <w:r w:rsidR="00932718" w:rsidRPr="004F4DB6">
        <w:rPr>
          <w:szCs w:val="22"/>
        </w:rPr>
        <w:t>MET+SU</w:t>
      </w:r>
      <w:r w:rsidR="001A4A3A" w:rsidRPr="004F4DB6">
        <w:rPr>
          <w:szCs w:val="22"/>
        </w:rPr>
        <w:t xml:space="preserve"> </w:t>
      </w:r>
      <w:r w:rsidR="00773A76" w:rsidRPr="004F4DB6">
        <w:rPr>
          <w:szCs w:val="22"/>
        </w:rPr>
        <w:t>a</w:t>
      </w:r>
      <w:r w:rsidRPr="004F4DB6">
        <w:rPr>
          <w:szCs w:val="22"/>
        </w:rPr>
        <w:t>s an alternative treatment option, with a different mechanism of action, to the currently available antidiabetic agents.</w:t>
      </w:r>
      <w:r w:rsidR="004F4DB6" w:rsidRPr="004F4DB6">
        <w:rPr>
          <w:szCs w:val="22"/>
        </w:rPr>
        <w:t xml:space="preserve"> </w:t>
      </w:r>
    </w:p>
    <w:p w:rsidR="00FC0C3A" w:rsidRPr="00FC0C3A" w:rsidRDefault="00FC0C3A" w:rsidP="004C5FCE">
      <w:pPr>
        <w:pStyle w:val="ListParagraph"/>
        <w:widowControl/>
        <w:rPr>
          <w:i/>
          <w:szCs w:val="22"/>
        </w:rPr>
      </w:pPr>
    </w:p>
    <w:p w:rsidR="00096101" w:rsidRPr="00BC1D5F" w:rsidRDefault="005E4269" w:rsidP="004C5FCE">
      <w:pPr>
        <w:pStyle w:val="ListParagraph"/>
        <w:widowControl/>
        <w:numPr>
          <w:ilvl w:val="1"/>
          <w:numId w:val="1"/>
        </w:numPr>
        <w:rPr>
          <w:szCs w:val="22"/>
        </w:rPr>
      </w:pPr>
      <w:r w:rsidRPr="00BC1D5F">
        <w:rPr>
          <w:szCs w:val="22"/>
        </w:rPr>
        <w:t xml:space="preserve">The ESC </w:t>
      </w:r>
      <w:r w:rsidR="007232EE" w:rsidRPr="00BC1D5F">
        <w:rPr>
          <w:szCs w:val="22"/>
        </w:rPr>
        <w:t>noted that the following medicines are currently PBS-subsidised in triple therapy in combination with MET+SU: insulin, GLP-1 receptor agonists (</w:t>
      </w:r>
      <w:r w:rsidR="0097012A" w:rsidRPr="00BC1D5F">
        <w:rPr>
          <w:szCs w:val="22"/>
        </w:rPr>
        <w:t>e.g.</w:t>
      </w:r>
      <w:r w:rsidR="007232EE" w:rsidRPr="00BC1D5F">
        <w:rPr>
          <w:szCs w:val="22"/>
        </w:rPr>
        <w:t xml:space="preserve"> exenatide), thiazolidinediones (‘glitazones’) and acarbose. Given these options, the ESC </w:t>
      </w:r>
      <w:r w:rsidR="00286306" w:rsidRPr="00BC1D5F">
        <w:rPr>
          <w:szCs w:val="22"/>
        </w:rPr>
        <w:t xml:space="preserve">considered </w:t>
      </w:r>
      <w:r w:rsidR="00096101" w:rsidRPr="00BC1D5F">
        <w:rPr>
          <w:szCs w:val="22"/>
        </w:rPr>
        <w:t xml:space="preserve">there may be use of </w:t>
      </w:r>
      <w:r w:rsidR="00D27998" w:rsidRPr="00BC1D5F">
        <w:rPr>
          <w:szCs w:val="22"/>
        </w:rPr>
        <w:t>dapagliflozin</w:t>
      </w:r>
      <w:r w:rsidR="007232EE" w:rsidRPr="00BC1D5F">
        <w:rPr>
          <w:szCs w:val="22"/>
        </w:rPr>
        <w:t>, along with gliptins,</w:t>
      </w:r>
      <w:r w:rsidR="00D27998" w:rsidRPr="00BC1D5F">
        <w:rPr>
          <w:szCs w:val="22"/>
        </w:rPr>
        <w:t xml:space="preserve"> in triple oral </w:t>
      </w:r>
      <w:r w:rsidR="00D27998" w:rsidRPr="00BC1D5F">
        <w:rPr>
          <w:szCs w:val="22"/>
        </w:rPr>
        <w:lastRenderedPageBreak/>
        <w:t>therapy in clinical practice</w:t>
      </w:r>
      <w:r w:rsidR="007232EE" w:rsidRPr="00BC1D5F">
        <w:rPr>
          <w:szCs w:val="22"/>
        </w:rPr>
        <w:t xml:space="preserve">. </w:t>
      </w:r>
      <w:r w:rsidR="00096101" w:rsidRPr="00BC1D5F">
        <w:rPr>
          <w:szCs w:val="22"/>
        </w:rPr>
        <w:t xml:space="preserve">Such use may be occurring in the private market, or </w:t>
      </w:r>
      <w:r w:rsidR="007C0958" w:rsidRPr="00BC1D5F">
        <w:rPr>
          <w:szCs w:val="22"/>
        </w:rPr>
        <w:t>as PBS-subsidised therapy</w:t>
      </w:r>
      <w:r w:rsidR="00096101" w:rsidRPr="00BC1D5F">
        <w:rPr>
          <w:szCs w:val="22"/>
        </w:rPr>
        <w:t xml:space="preserve"> despite</w:t>
      </w:r>
      <w:r w:rsidR="00D27998" w:rsidRPr="00BC1D5F">
        <w:rPr>
          <w:szCs w:val="22"/>
        </w:rPr>
        <w:t xml:space="preserve"> being outside the restriction</w:t>
      </w:r>
      <w:r w:rsidR="00096101" w:rsidRPr="00BC1D5F">
        <w:rPr>
          <w:szCs w:val="22"/>
        </w:rPr>
        <w:t>s</w:t>
      </w:r>
      <w:r w:rsidR="00D27998" w:rsidRPr="00BC1D5F">
        <w:rPr>
          <w:szCs w:val="22"/>
        </w:rPr>
        <w:t>. The February 2013 DUSC analysis showed extensive use of gliptin + MET + SU, despite gliptins not being subsidised for use in this combination</w:t>
      </w:r>
      <w:r w:rsidR="00D5610F" w:rsidRPr="00BC1D5F">
        <w:rPr>
          <w:szCs w:val="22"/>
        </w:rPr>
        <w:t>.</w:t>
      </w:r>
    </w:p>
    <w:p w:rsidR="00BC1D5F" w:rsidRDefault="00BC1D5F" w:rsidP="004C5FCE">
      <w:pPr>
        <w:pStyle w:val="Header"/>
        <w:widowControl/>
        <w:rPr>
          <w:i/>
          <w:szCs w:val="22"/>
        </w:rPr>
      </w:pPr>
    </w:p>
    <w:p w:rsidR="00E55BB5" w:rsidRPr="00BC1D5F" w:rsidRDefault="00BC1D5F" w:rsidP="00BC1D5F">
      <w:pPr>
        <w:pStyle w:val="Header"/>
        <w:widowControl/>
        <w:tabs>
          <w:tab w:val="left" w:pos="709"/>
        </w:tabs>
        <w:rPr>
          <w:szCs w:val="22"/>
        </w:rPr>
      </w:pPr>
      <w:r>
        <w:rPr>
          <w:i/>
          <w:szCs w:val="22"/>
        </w:rPr>
        <w:tab/>
        <w:t>For more detail on PBAC’s view, see section 7 “PBAC outcome”</w:t>
      </w:r>
    </w:p>
    <w:p w:rsidR="0097012A" w:rsidRPr="004F4DB6" w:rsidRDefault="0097012A" w:rsidP="004C5FCE">
      <w:pPr>
        <w:pStyle w:val="Header"/>
        <w:widowControl/>
        <w:rPr>
          <w:szCs w:val="22"/>
        </w:rPr>
      </w:pPr>
    </w:p>
    <w:p w:rsidR="00B50DB8" w:rsidRPr="004C459B" w:rsidRDefault="00B50DB8" w:rsidP="004C459B">
      <w:pPr>
        <w:pStyle w:val="PBACheading1"/>
      </w:pPr>
      <w:r w:rsidRPr="004C459B">
        <w:t>Comparator</w:t>
      </w:r>
    </w:p>
    <w:p w:rsidR="00B60939" w:rsidRPr="00882085" w:rsidRDefault="00B60939" w:rsidP="004C5FCE">
      <w:pPr>
        <w:widowControl/>
      </w:pPr>
    </w:p>
    <w:p w:rsidR="00D20D8F" w:rsidRPr="00143390" w:rsidRDefault="003E7CBC" w:rsidP="004C5FCE">
      <w:pPr>
        <w:pStyle w:val="ListParagraph"/>
        <w:widowControl/>
        <w:numPr>
          <w:ilvl w:val="1"/>
          <w:numId w:val="1"/>
        </w:numPr>
        <w:rPr>
          <w:szCs w:val="22"/>
        </w:rPr>
      </w:pPr>
      <w:r>
        <w:t>The submission nominated i</w:t>
      </w:r>
      <w:r w:rsidR="001047F8" w:rsidRPr="009C146B">
        <w:t xml:space="preserve">nsulin glargine as the main comparator and exenatide as a secondary comparator. </w:t>
      </w:r>
    </w:p>
    <w:p w:rsidR="00143390" w:rsidRDefault="00143390" w:rsidP="00143390">
      <w:pPr>
        <w:pStyle w:val="ListParagraph"/>
        <w:widowControl/>
        <w:rPr>
          <w:i/>
        </w:rPr>
      </w:pPr>
    </w:p>
    <w:p w:rsidR="00143390" w:rsidRPr="00143390" w:rsidRDefault="00143390" w:rsidP="00143390">
      <w:pPr>
        <w:pStyle w:val="Header"/>
        <w:widowControl/>
        <w:tabs>
          <w:tab w:val="left" w:pos="709"/>
        </w:tabs>
        <w:rPr>
          <w:szCs w:val="22"/>
        </w:rPr>
      </w:pPr>
      <w:r>
        <w:rPr>
          <w:i/>
          <w:szCs w:val="22"/>
        </w:rPr>
        <w:tab/>
        <w:t>For more detail on PBAC’s view, see section 7 “PBAC outcome”</w:t>
      </w:r>
    </w:p>
    <w:p w:rsidR="00D20D8F" w:rsidRDefault="00D20D8F" w:rsidP="004C5FCE">
      <w:pPr>
        <w:pStyle w:val="ListParagraph"/>
        <w:widowControl/>
        <w:rPr>
          <w:szCs w:val="22"/>
        </w:rPr>
      </w:pPr>
    </w:p>
    <w:p w:rsidR="0097012A" w:rsidRPr="00D20D8F" w:rsidRDefault="0097012A" w:rsidP="004C5FCE">
      <w:pPr>
        <w:pStyle w:val="ListParagraph"/>
        <w:widowControl/>
        <w:rPr>
          <w:szCs w:val="22"/>
        </w:rPr>
      </w:pPr>
    </w:p>
    <w:p w:rsidR="00B50DB8" w:rsidRDefault="00BD6CF3" w:rsidP="00A8769F">
      <w:pPr>
        <w:pStyle w:val="PBACheading1"/>
      </w:pPr>
      <w:bookmarkStart w:id="7" w:name="_Toc409614775"/>
      <w:r>
        <w:t>C</w:t>
      </w:r>
      <w:r w:rsidR="00B50DB8" w:rsidRPr="00407F2D">
        <w:t>onsideration of the evidence</w:t>
      </w:r>
      <w:bookmarkEnd w:id="7"/>
    </w:p>
    <w:p w:rsidR="00BC1D5F" w:rsidRDefault="00BC1D5F" w:rsidP="00BC1D5F">
      <w:pPr>
        <w:pStyle w:val="PBACHeading10"/>
        <w:ind w:firstLine="0"/>
      </w:pPr>
    </w:p>
    <w:p w:rsidR="00BC1D5F" w:rsidRDefault="00BC1D5F" w:rsidP="00BC1D5F">
      <w:pPr>
        <w:rPr>
          <w:b/>
          <w:i/>
          <w:szCs w:val="22"/>
        </w:rPr>
      </w:pPr>
      <w:r>
        <w:rPr>
          <w:b/>
          <w:i/>
          <w:szCs w:val="22"/>
        </w:rPr>
        <w:t>Sponsor hearing</w:t>
      </w:r>
    </w:p>
    <w:p w:rsidR="00BC1D5F" w:rsidRDefault="00BC1D5F" w:rsidP="00BC1D5F">
      <w:pPr>
        <w:ind w:left="709"/>
        <w:rPr>
          <w:b/>
          <w:szCs w:val="22"/>
        </w:rPr>
      </w:pPr>
    </w:p>
    <w:p w:rsidR="00BC1D5F" w:rsidRDefault="00BC1D5F" w:rsidP="00BC1D5F">
      <w:pPr>
        <w:pStyle w:val="ListParagraph"/>
        <w:widowControl/>
        <w:numPr>
          <w:ilvl w:val="1"/>
          <w:numId w:val="10"/>
        </w:numPr>
        <w:snapToGrid w:val="0"/>
        <w:rPr>
          <w:szCs w:val="22"/>
        </w:rPr>
      </w:pPr>
      <w:r>
        <w:rPr>
          <w:szCs w:val="22"/>
        </w:rPr>
        <w:t>The</w:t>
      </w:r>
      <w:r w:rsidR="00566C81">
        <w:rPr>
          <w:szCs w:val="22"/>
        </w:rPr>
        <w:t>re was no hearing for this item</w:t>
      </w:r>
      <w:r>
        <w:rPr>
          <w:szCs w:val="22"/>
        </w:rPr>
        <w:t>.</w:t>
      </w:r>
    </w:p>
    <w:p w:rsidR="00BC1D5F" w:rsidRDefault="00BC1D5F" w:rsidP="00BC1D5F">
      <w:pPr>
        <w:pStyle w:val="ListParagraph"/>
        <w:ind w:left="709"/>
        <w:rPr>
          <w:szCs w:val="22"/>
        </w:rPr>
      </w:pPr>
    </w:p>
    <w:p w:rsidR="00BC1D5F" w:rsidRDefault="00BC1D5F" w:rsidP="00BC1D5F">
      <w:pPr>
        <w:rPr>
          <w:b/>
          <w:i/>
          <w:szCs w:val="22"/>
        </w:rPr>
      </w:pPr>
      <w:r>
        <w:rPr>
          <w:b/>
          <w:i/>
          <w:szCs w:val="22"/>
        </w:rPr>
        <w:t>Consumer comments</w:t>
      </w:r>
    </w:p>
    <w:p w:rsidR="00BC1D5F" w:rsidRDefault="00BC1D5F" w:rsidP="00BC1D5F">
      <w:pPr>
        <w:pStyle w:val="ListParagraph"/>
        <w:ind w:left="709"/>
        <w:rPr>
          <w:szCs w:val="22"/>
        </w:rPr>
      </w:pPr>
    </w:p>
    <w:p w:rsidR="00AD5885" w:rsidRPr="009F28C4" w:rsidRDefault="00AD5885" w:rsidP="00AD5885">
      <w:pPr>
        <w:pStyle w:val="ListParagraph"/>
        <w:widowControl/>
        <w:numPr>
          <w:ilvl w:val="1"/>
          <w:numId w:val="10"/>
        </w:numPr>
        <w:snapToGrid w:val="0"/>
      </w:pPr>
      <w:r w:rsidRPr="009F28C4">
        <w:rPr>
          <w:szCs w:val="22"/>
        </w:rPr>
        <w:t xml:space="preserve">The PBAC noted and welcomed the input from health care professionals (5) via the Consumer Comments facility on the PBS website. The comments described a range of benefits of treatment with dapagliflozin triple </w:t>
      </w:r>
      <w:r w:rsidR="009B3853" w:rsidRPr="009F28C4">
        <w:rPr>
          <w:szCs w:val="22"/>
        </w:rPr>
        <w:t xml:space="preserve">oral </w:t>
      </w:r>
      <w:r w:rsidRPr="009F28C4">
        <w:rPr>
          <w:szCs w:val="22"/>
        </w:rPr>
        <w:t xml:space="preserve">therapy including </w:t>
      </w:r>
      <w:r w:rsidR="009B3853" w:rsidRPr="009F28C4">
        <w:rPr>
          <w:szCs w:val="22"/>
        </w:rPr>
        <w:t>potential</w:t>
      </w:r>
      <w:r w:rsidRPr="009F28C4">
        <w:rPr>
          <w:szCs w:val="22"/>
        </w:rPr>
        <w:t xml:space="preserve"> weight loss</w:t>
      </w:r>
      <w:r w:rsidR="009B3853" w:rsidRPr="009F28C4">
        <w:rPr>
          <w:szCs w:val="22"/>
        </w:rPr>
        <w:t xml:space="preserve"> and blood pressure lowering, that it avoids the need for in</w:t>
      </w:r>
      <w:r w:rsidRPr="009F28C4">
        <w:rPr>
          <w:szCs w:val="22"/>
        </w:rPr>
        <w:t>jectable agents</w:t>
      </w:r>
      <w:r w:rsidR="009B3853" w:rsidRPr="009F28C4">
        <w:rPr>
          <w:szCs w:val="22"/>
        </w:rPr>
        <w:t xml:space="preserve"> which may be difficult for patients to commence and offers increased choice which may allow greater individualisation of treatment</w:t>
      </w:r>
      <w:r w:rsidRPr="009F28C4">
        <w:rPr>
          <w:szCs w:val="22"/>
        </w:rPr>
        <w:t xml:space="preserve">.  </w:t>
      </w:r>
    </w:p>
    <w:p w:rsidR="00AD5885" w:rsidRPr="00882085" w:rsidRDefault="00AD5885" w:rsidP="00AD5885">
      <w:pPr>
        <w:pStyle w:val="ListParagraph"/>
        <w:widowControl/>
        <w:snapToGrid w:val="0"/>
      </w:pPr>
    </w:p>
    <w:p w:rsidR="00B60939" w:rsidRPr="002C2775" w:rsidRDefault="00B60939" w:rsidP="00A8769F">
      <w:pPr>
        <w:pStyle w:val="PBACheading1"/>
        <w:numPr>
          <w:ilvl w:val="0"/>
          <w:numId w:val="0"/>
        </w:numPr>
        <w:ind w:left="720"/>
      </w:pPr>
      <w:bookmarkStart w:id="8" w:name="_Toc409614776"/>
      <w:r w:rsidRPr="002C2775">
        <w:t>Clinical trials</w:t>
      </w:r>
      <w:bookmarkEnd w:id="8"/>
    </w:p>
    <w:p w:rsidR="00B60939" w:rsidRPr="00882085" w:rsidRDefault="00B60939" w:rsidP="004C5FCE">
      <w:pPr>
        <w:widowControl/>
        <w:rPr>
          <w:szCs w:val="22"/>
        </w:rPr>
      </w:pPr>
    </w:p>
    <w:p w:rsidR="008568E8" w:rsidRDefault="00FF6B3F" w:rsidP="004C5FCE">
      <w:pPr>
        <w:pStyle w:val="ListParagraph"/>
        <w:widowControl/>
        <w:numPr>
          <w:ilvl w:val="1"/>
          <w:numId w:val="1"/>
        </w:numPr>
      </w:pPr>
      <w:r w:rsidRPr="00FF6B3F">
        <w:t xml:space="preserve">The submission </w:t>
      </w:r>
      <w:r w:rsidR="00773A76">
        <w:t>wa</w:t>
      </w:r>
      <w:r w:rsidRPr="00FF6B3F">
        <w:t xml:space="preserve">s based on </w:t>
      </w:r>
      <w:r w:rsidR="00773A76">
        <w:t>two</w:t>
      </w:r>
      <w:r w:rsidR="0035497C">
        <w:t xml:space="preserve"> indirect comparison</w:t>
      </w:r>
      <w:r w:rsidR="00773A76">
        <w:t>s comparing:</w:t>
      </w:r>
      <w:r w:rsidR="0035497C">
        <w:t xml:space="preserve"> </w:t>
      </w:r>
    </w:p>
    <w:p w:rsidR="008568E8" w:rsidRDefault="0035497C" w:rsidP="004C5FCE">
      <w:pPr>
        <w:pStyle w:val="ListParagraph"/>
        <w:widowControl/>
        <w:numPr>
          <w:ilvl w:val="0"/>
          <w:numId w:val="6"/>
        </w:numPr>
        <w:ind w:left="1134" w:hanging="283"/>
      </w:pPr>
      <w:r>
        <w:t>d</w:t>
      </w:r>
      <w:r w:rsidR="00FF6B3F" w:rsidRPr="00FF6B3F">
        <w:t xml:space="preserve">apagliflozin </w:t>
      </w:r>
      <w:r w:rsidR="00773A76">
        <w:t>and</w:t>
      </w:r>
      <w:r w:rsidR="00FF6B3F" w:rsidRPr="00FF6B3F">
        <w:t xml:space="preserve"> insulin glargine</w:t>
      </w:r>
      <w:r w:rsidR="008568E8">
        <w:t>,</w:t>
      </w:r>
      <w:r w:rsidR="00773A76">
        <w:t xml:space="preserve"> </w:t>
      </w:r>
      <w:r w:rsidR="008568E8">
        <w:t>in combination with</w:t>
      </w:r>
      <w:r w:rsidR="00773A76">
        <w:t xml:space="preserve"> MET+SU; and </w:t>
      </w:r>
    </w:p>
    <w:p w:rsidR="008568E8" w:rsidRDefault="00773A76" w:rsidP="004C5FCE">
      <w:pPr>
        <w:pStyle w:val="ListParagraph"/>
        <w:widowControl/>
        <w:numPr>
          <w:ilvl w:val="0"/>
          <w:numId w:val="6"/>
        </w:numPr>
        <w:ind w:left="1134" w:hanging="283"/>
      </w:pPr>
      <w:r>
        <w:t>dapagliflozin</w:t>
      </w:r>
      <w:r w:rsidR="00FF6B3F" w:rsidRPr="00FF6B3F">
        <w:t xml:space="preserve"> and exenatide, </w:t>
      </w:r>
      <w:r w:rsidR="008568E8">
        <w:t>in combination with MET+SU</w:t>
      </w:r>
      <w:r>
        <w:t>.</w:t>
      </w:r>
      <w:r w:rsidR="00DF4337">
        <w:t xml:space="preserve"> </w:t>
      </w:r>
    </w:p>
    <w:p w:rsidR="00FF6B3F" w:rsidRPr="00FF6B3F" w:rsidRDefault="009C146B" w:rsidP="004C5FCE">
      <w:pPr>
        <w:widowControl/>
        <w:ind w:left="851"/>
      </w:pPr>
      <w:r>
        <w:t>A</w:t>
      </w:r>
      <w:r w:rsidR="00FF7E67">
        <w:t xml:space="preserve">n </w:t>
      </w:r>
      <w:r>
        <w:t>indirect compa</w:t>
      </w:r>
      <w:r w:rsidRPr="008568E8">
        <w:rPr>
          <w:lang w:val="en-US"/>
        </w:rPr>
        <w:t xml:space="preserve">rison of dapagliflozin </w:t>
      </w:r>
      <w:r w:rsidR="008568E8">
        <w:rPr>
          <w:lang w:val="en-US"/>
        </w:rPr>
        <w:t>and</w:t>
      </w:r>
      <w:r w:rsidRPr="008568E8">
        <w:rPr>
          <w:lang w:val="en-US"/>
        </w:rPr>
        <w:t xml:space="preserve"> vildagliptin</w:t>
      </w:r>
      <w:r w:rsidR="008568E8">
        <w:rPr>
          <w:lang w:val="en-US"/>
        </w:rPr>
        <w:t>,</w:t>
      </w:r>
      <w:r w:rsidRPr="008568E8">
        <w:rPr>
          <w:lang w:val="en-US"/>
        </w:rPr>
        <w:t xml:space="preserve"> </w:t>
      </w:r>
      <w:r w:rsidR="008568E8">
        <w:t>in combination with</w:t>
      </w:r>
      <w:r w:rsidR="00FF7E67">
        <w:t xml:space="preserve"> MET+SU</w:t>
      </w:r>
      <w:r w:rsidR="008568E8">
        <w:t>,</w:t>
      </w:r>
      <w:r w:rsidR="00FF7E67" w:rsidRPr="008568E8">
        <w:rPr>
          <w:lang w:val="en-US"/>
        </w:rPr>
        <w:t xml:space="preserve"> </w:t>
      </w:r>
      <w:r w:rsidR="008A2ACA" w:rsidRPr="008568E8">
        <w:rPr>
          <w:lang w:val="en-US"/>
        </w:rPr>
        <w:t>was included in an attachment</w:t>
      </w:r>
      <w:r w:rsidR="00FF7E67" w:rsidRPr="008568E8">
        <w:rPr>
          <w:lang w:val="en-US"/>
        </w:rPr>
        <w:t xml:space="preserve"> to the submission.</w:t>
      </w:r>
    </w:p>
    <w:p w:rsidR="00862502" w:rsidRPr="00862502" w:rsidRDefault="00862502" w:rsidP="004C5FCE">
      <w:pPr>
        <w:widowControl/>
        <w:rPr>
          <w:szCs w:val="22"/>
        </w:rPr>
      </w:pPr>
    </w:p>
    <w:p w:rsidR="00FF6B3F" w:rsidRPr="00950D61" w:rsidRDefault="00862502" w:rsidP="004C5FCE">
      <w:pPr>
        <w:pStyle w:val="ListParagraph"/>
        <w:widowControl/>
        <w:numPr>
          <w:ilvl w:val="1"/>
          <w:numId w:val="1"/>
        </w:numPr>
      </w:pPr>
      <w:r w:rsidRPr="00950D61">
        <w:t xml:space="preserve">Details of the trials presented in the submission are provided </w:t>
      </w:r>
      <w:r w:rsidR="00143390">
        <w:t>below</w:t>
      </w:r>
      <w:r w:rsidRPr="00950D61">
        <w:t xml:space="preserve">.  </w:t>
      </w:r>
    </w:p>
    <w:p w:rsidR="00FF6B3F" w:rsidRDefault="00FF6B3F" w:rsidP="004C5FCE">
      <w:pPr>
        <w:pStyle w:val="ListParagraph"/>
        <w:widowControl/>
        <w:rPr>
          <w:rStyle w:val="CommentReference"/>
        </w:rPr>
      </w:pPr>
    </w:p>
    <w:p w:rsidR="00FF6B3F" w:rsidRDefault="008F120A" w:rsidP="006D26E7">
      <w:pPr>
        <w:pStyle w:val="ListParagraph"/>
        <w:keepNext/>
        <w:keepLines/>
        <w:widowControl/>
        <w:rPr>
          <w:rStyle w:val="CommentReference"/>
        </w:rPr>
      </w:pPr>
      <w:r w:rsidRPr="000812CA">
        <w:rPr>
          <w:rStyle w:val="CommentReference"/>
        </w:rPr>
        <w:lastRenderedPageBreak/>
        <w:t>Trials and associated reports presented in the submission</w:t>
      </w:r>
    </w:p>
    <w:tbl>
      <w:tblPr>
        <w:tblW w:w="4594"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995"/>
        <w:gridCol w:w="5668"/>
        <w:gridCol w:w="1682"/>
      </w:tblGrid>
      <w:tr w:rsidR="00A17220" w:rsidRPr="00BD536C" w:rsidTr="009046A3">
        <w:trPr>
          <w:tblHeader/>
        </w:trPr>
        <w:tc>
          <w:tcPr>
            <w:tcW w:w="596" w:type="pct"/>
            <w:tcBorders>
              <w:top w:val="single" w:sz="4" w:space="0" w:color="auto"/>
              <w:left w:val="single" w:sz="4" w:space="0" w:color="auto"/>
              <w:bottom w:val="single" w:sz="4" w:space="0" w:color="auto"/>
              <w:right w:val="single" w:sz="4" w:space="0" w:color="auto"/>
            </w:tcBorders>
          </w:tcPr>
          <w:p w:rsidR="00A17220" w:rsidRPr="00A17220" w:rsidRDefault="00A17220" w:rsidP="006D26E7">
            <w:pPr>
              <w:keepNext/>
              <w:keepLines/>
              <w:widowControl/>
              <w:spacing w:before="40" w:after="40"/>
              <w:jc w:val="left"/>
              <w:rPr>
                <w:rFonts w:ascii="Arial Narrow" w:hAnsi="Arial Narrow"/>
                <w:b/>
                <w:sz w:val="20"/>
              </w:rPr>
            </w:pPr>
            <w:r w:rsidRPr="00A17220">
              <w:rPr>
                <w:rFonts w:ascii="Arial Narrow" w:hAnsi="Arial Narrow"/>
                <w:b/>
                <w:sz w:val="20"/>
              </w:rPr>
              <w:t>Trial ID</w:t>
            </w:r>
          </w:p>
        </w:tc>
        <w:tc>
          <w:tcPr>
            <w:tcW w:w="3396" w:type="pct"/>
            <w:tcBorders>
              <w:top w:val="single" w:sz="4" w:space="0" w:color="auto"/>
              <w:left w:val="single" w:sz="4" w:space="0" w:color="auto"/>
              <w:bottom w:val="single" w:sz="4" w:space="0" w:color="auto"/>
              <w:right w:val="single" w:sz="4" w:space="0" w:color="auto"/>
            </w:tcBorders>
          </w:tcPr>
          <w:p w:rsidR="00A17220" w:rsidRPr="00A17220" w:rsidRDefault="00A17220" w:rsidP="006D26E7">
            <w:pPr>
              <w:keepNext/>
              <w:keepLines/>
              <w:widowControl/>
              <w:spacing w:before="40" w:after="40"/>
              <w:jc w:val="left"/>
              <w:rPr>
                <w:rFonts w:ascii="Arial Narrow" w:hAnsi="Arial Narrow"/>
                <w:b/>
                <w:sz w:val="20"/>
              </w:rPr>
            </w:pPr>
            <w:r w:rsidRPr="00A17220">
              <w:rPr>
                <w:rFonts w:ascii="Arial Narrow" w:hAnsi="Arial Narrow"/>
                <w:b/>
                <w:sz w:val="20"/>
              </w:rPr>
              <w:t>Protocol title/ Publication title</w:t>
            </w:r>
          </w:p>
        </w:tc>
        <w:tc>
          <w:tcPr>
            <w:tcW w:w="1008" w:type="pct"/>
            <w:tcBorders>
              <w:top w:val="single" w:sz="4" w:space="0" w:color="auto"/>
              <w:left w:val="single" w:sz="4" w:space="0" w:color="auto"/>
              <w:bottom w:val="single" w:sz="4" w:space="0" w:color="auto"/>
              <w:right w:val="single" w:sz="4" w:space="0" w:color="auto"/>
            </w:tcBorders>
          </w:tcPr>
          <w:p w:rsidR="00A17220" w:rsidRPr="00A17220" w:rsidRDefault="00A17220" w:rsidP="006D26E7">
            <w:pPr>
              <w:keepNext/>
              <w:keepLines/>
              <w:widowControl/>
              <w:spacing w:before="40" w:after="40"/>
              <w:jc w:val="left"/>
              <w:rPr>
                <w:rFonts w:ascii="Arial Narrow" w:hAnsi="Arial Narrow"/>
                <w:b/>
                <w:sz w:val="20"/>
              </w:rPr>
            </w:pPr>
            <w:r w:rsidRPr="00A17220">
              <w:rPr>
                <w:rFonts w:ascii="Arial Narrow" w:hAnsi="Arial Narrow"/>
                <w:b/>
                <w:sz w:val="20"/>
              </w:rPr>
              <w:t>Publication citation</w:t>
            </w:r>
          </w:p>
        </w:tc>
      </w:tr>
      <w:tr w:rsidR="00A17220" w:rsidRPr="00BD536C" w:rsidTr="00A17220">
        <w:tc>
          <w:tcPr>
            <w:tcW w:w="5000" w:type="pct"/>
            <w:gridSpan w:val="3"/>
          </w:tcPr>
          <w:p w:rsidR="00A17220" w:rsidRPr="00BD536C" w:rsidRDefault="00A17220" w:rsidP="006D26E7">
            <w:pPr>
              <w:keepNext/>
              <w:keepLines/>
              <w:widowControl/>
              <w:spacing w:before="40" w:after="40"/>
              <w:jc w:val="left"/>
              <w:rPr>
                <w:rFonts w:ascii="Arial Narrow" w:hAnsi="Arial Narrow"/>
                <w:b/>
                <w:sz w:val="20"/>
              </w:rPr>
            </w:pPr>
            <w:r w:rsidRPr="00BD536C">
              <w:rPr>
                <w:rFonts w:ascii="Arial Narrow" w:hAnsi="Arial Narrow"/>
                <w:b/>
                <w:sz w:val="20"/>
              </w:rPr>
              <w:t>Dapagliflozin vs. placebo, both in combination with metformin and a sulfonylurea</w:t>
            </w:r>
          </w:p>
        </w:tc>
      </w:tr>
      <w:tr w:rsidR="00A17220" w:rsidRPr="00BD536C" w:rsidTr="00A17220">
        <w:trPr>
          <w:trHeight w:val="1236"/>
        </w:trPr>
        <w:tc>
          <w:tcPr>
            <w:tcW w:w="596" w:type="pct"/>
            <w:vMerge w:val="restart"/>
          </w:tcPr>
          <w:p w:rsidR="00A17220" w:rsidRPr="00BD536C" w:rsidRDefault="00A17220" w:rsidP="006D26E7">
            <w:pPr>
              <w:pStyle w:val="Tableleft"/>
              <w:keepNext/>
              <w:keepLines/>
              <w:rPr>
                <w:rFonts w:ascii="Arial Narrow" w:hAnsi="Arial Narrow"/>
                <w:sz w:val="20"/>
              </w:rPr>
            </w:pPr>
            <w:r w:rsidRPr="00BD536C">
              <w:rPr>
                <w:rFonts w:ascii="Arial Narrow" w:hAnsi="Arial Narrow"/>
                <w:sz w:val="20"/>
              </w:rPr>
              <w:t>Trial CT005</w:t>
            </w:r>
          </w:p>
          <w:p w:rsidR="00A17220" w:rsidRPr="00BD536C" w:rsidRDefault="00A17220" w:rsidP="006D26E7">
            <w:pPr>
              <w:keepNext/>
              <w:keepLines/>
              <w:widowControl/>
              <w:spacing w:before="40" w:after="40"/>
              <w:jc w:val="left"/>
              <w:rPr>
                <w:rFonts w:ascii="Arial Narrow" w:hAnsi="Arial Narrow"/>
                <w:sz w:val="20"/>
              </w:rPr>
            </w:pPr>
          </w:p>
        </w:tc>
        <w:tc>
          <w:tcPr>
            <w:tcW w:w="3396" w:type="pct"/>
            <w:tcBorders>
              <w:bottom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A 24-week, multicentre, randomised, double-blind, placebo-controlled, international phase III Study with a 28-week extension period to evaluate the safety and efficacy of dapagliflozin 10mg once daily in patients with Type 2 diabetes who have inadequate glycaemic control on a background combination of metformin and sulfonylurea. Report for the 24-week short-term treatment period.</w:t>
            </w:r>
          </w:p>
        </w:tc>
        <w:tc>
          <w:tcPr>
            <w:tcW w:w="1008" w:type="pct"/>
            <w:tcBorders>
              <w:bottom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18 July 2013</w:t>
            </w:r>
          </w:p>
          <w:p w:rsidR="00A17220" w:rsidRPr="00BD536C" w:rsidRDefault="00A17220" w:rsidP="006D26E7">
            <w:pPr>
              <w:keepNext/>
              <w:keepLines/>
              <w:widowControl/>
              <w:spacing w:before="40" w:after="40"/>
              <w:jc w:val="left"/>
              <w:rPr>
                <w:rFonts w:ascii="Arial Narrow" w:hAnsi="Arial Narrow"/>
                <w:i/>
                <w:sz w:val="20"/>
              </w:rPr>
            </w:pPr>
          </w:p>
          <w:p w:rsidR="00A17220" w:rsidRPr="00BD536C" w:rsidRDefault="00A17220" w:rsidP="006D26E7">
            <w:pPr>
              <w:keepNext/>
              <w:keepLines/>
              <w:widowControl/>
              <w:spacing w:before="40" w:after="40"/>
              <w:jc w:val="left"/>
              <w:rPr>
                <w:rFonts w:ascii="Arial Narrow" w:hAnsi="Arial Narrow"/>
                <w:i/>
                <w:sz w:val="20"/>
              </w:rPr>
            </w:pPr>
          </w:p>
          <w:p w:rsidR="00A17220" w:rsidRPr="00BD536C" w:rsidRDefault="00A17220" w:rsidP="006D26E7">
            <w:pPr>
              <w:keepNext/>
              <w:keepLines/>
              <w:widowControl/>
              <w:spacing w:before="40" w:after="40"/>
              <w:jc w:val="left"/>
              <w:rPr>
                <w:rFonts w:ascii="Arial Narrow" w:hAnsi="Arial Narrow"/>
                <w:i/>
                <w:sz w:val="20"/>
              </w:rPr>
            </w:pPr>
          </w:p>
          <w:p w:rsidR="00A17220" w:rsidRPr="00BD536C" w:rsidRDefault="00A17220" w:rsidP="006D26E7">
            <w:pPr>
              <w:keepNext/>
              <w:keepLines/>
              <w:widowControl/>
              <w:spacing w:before="40" w:after="40"/>
              <w:jc w:val="left"/>
              <w:rPr>
                <w:rFonts w:ascii="Arial Narrow" w:hAnsi="Arial Narrow"/>
                <w:b/>
                <w:sz w:val="20"/>
              </w:rPr>
            </w:pPr>
          </w:p>
        </w:tc>
      </w:tr>
      <w:tr w:rsidR="00A17220" w:rsidRPr="00BD536C" w:rsidTr="00A17220">
        <w:trPr>
          <w:trHeight w:val="58"/>
        </w:trPr>
        <w:tc>
          <w:tcPr>
            <w:tcW w:w="596" w:type="pct"/>
            <w:vMerge/>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 xml:space="preserve">Grandy, </w:t>
            </w:r>
            <w:r w:rsidRPr="00BD536C">
              <w:rPr>
                <w:rFonts w:ascii="Arial Narrow" w:hAnsi="Arial Narrow"/>
                <w:sz w:val="20"/>
              </w:rPr>
              <w:t>“Weight-related quality of life and treatment satisfaction among type 2 diabetes mellitus patients treated with dapagliflozin in triple-therapy regimen.”</w:t>
            </w:r>
          </w:p>
        </w:tc>
        <w:tc>
          <w:tcPr>
            <w:tcW w:w="1008" w:type="pct"/>
            <w:tcBorders>
              <w:top w:val="nil"/>
              <w:bottom w:val="nil"/>
            </w:tcBorders>
          </w:tcPr>
          <w:p w:rsidR="00A17220" w:rsidRPr="00BD536C" w:rsidRDefault="00A17220" w:rsidP="006D26E7">
            <w:pPr>
              <w:keepNext/>
              <w:keepLines/>
              <w:widowControl/>
              <w:spacing w:before="40" w:after="40"/>
              <w:jc w:val="left"/>
              <w:rPr>
                <w:rFonts w:ascii="Arial Narrow" w:hAnsi="Arial Narrow"/>
                <w:sz w:val="20"/>
              </w:rPr>
            </w:pPr>
            <w:r w:rsidRPr="00BD536C">
              <w:rPr>
                <w:rFonts w:ascii="Arial Narrow" w:hAnsi="Arial Narrow"/>
                <w:sz w:val="20"/>
              </w:rPr>
              <w:t>Diabetes 2014 63: A204-A205</w:t>
            </w:r>
          </w:p>
        </w:tc>
      </w:tr>
      <w:tr w:rsidR="00A17220" w:rsidRPr="00BD536C" w:rsidDel="00916804" w:rsidTr="00A17220">
        <w:trPr>
          <w:trHeight w:val="193"/>
        </w:trPr>
        <w:tc>
          <w:tcPr>
            <w:tcW w:w="596" w:type="pct"/>
            <w:vMerge/>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Del="00916804"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 xml:space="preserve">Matthaei, </w:t>
            </w:r>
            <w:r w:rsidRPr="00BD536C">
              <w:rPr>
                <w:rFonts w:ascii="Arial Narrow" w:hAnsi="Arial Narrow"/>
                <w:sz w:val="20"/>
              </w:rPr>
              <w:t>“Improvement in glycaemic control and reduction in body weight over 52 weeks with dapagliflozin as add-on therapy to metformin plus sulphonylurea.”</w:t>
            </w:r>
          </w:p>
        </w:tc>
        <w:tc>
          <w:tcPr>
            <w:tcW w:w="1008" w:type="pct"/>
            <w:tcBorders>
              <w:top w:val="nil"/>
              <w:bottom w:val="nil"/>
            </w:tcBorders>
          </w:tcPr>
          <w:p w:rsidR="00A17220" w:rsidRPr="00BD536C" w:rsidDel="00916804" w:rsidRDefault="00A17220" w:rsidP="006D26E7">
            <w:pPr>
              <w:keepNext/>
              <w:keepLines/>
              <w:widowControl/>
              <w:spacing w:before="40" w:after="40"/>
              <w:jc w:val="left"/>
              <w:rPr>
                <w:rFonts w:ascii="Arial Narrow" w:hAnsi="Arial Narrow"/>
                <w:i/>
                <w:sz w:val="20"/>
              </w:rPr>
            </w:pPr>
            <w:r w:rsidRPr="00BD536C">
              <w:rPr>
                <w:rFonts w:ascii="Arial Narrow" w:hAnsi="Arial Narrow"/>
                <w:sz w:val="20"/>
              </w:rPr>
              <w:t>Diabetologia 2014a: 57(1): S347</w:t>
            </w:r>
          </w:p>
        </w:tc>
      </w:tr>
      <w:tr w:rsidR="00A17220" w:rsidRPr="00BD536C" w:rsidDel="00916804" w:rsidTr="00A17220">
        <w:trPr>
          <w:trHeight w:val="492"/>
        </w:trPr>
        <w:tc>
          <w:tcPr>
            <w:tcW w:w="596" w:type="pct"/>
            <w:vMerge/>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Del="00916804"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Matthaei</w:t>
            </w:r>
            <w:r w:rsidRPr="00BD536C">
              <w:rPr>
                <w:rFonts w:ascii="Arial Narrow" w:hAnsi="Arial Narrow"/>
                <w:sz w:val="20"/>
              </w:rPr>
              <w:t xml:space="preserve">, “Improvement in glycaemic control and reduction in body weight over 52 weeks with dapagliflozin as add-on therapy to metformin plus sulfonylurea.” </w:t>
            </w:r>
          </w:p>
        </w:tc>
        <w:tc>
          <w:tcPr>
            <w:tcW w:w="1008" w:type="pct"/>
            <w:tcBorders>
              <w:top w:val="nil"/>
              <w:bottom w:val="nil"/>
            </w:tcBorders>
          </w:tcPr>
          <w:p w:rsidR="00A17220" w:rsidRPr="00BD536C" w:rsidDel="00916804" w:rsidRDefault="00A17220" w:rsidP="006D26E7">
            <w:pPr>
              <w:keepNext/>
              <w:keepLines/>
              <w:widowControl/>
              <w:spacing w:before="40" w:after="40"/>
              <w:jc w:val="left"/>
              <w:rPr>
                <w:rFonts w:ascii="Arial Narrow" w:hAnsi="Arial Narrow"/>
                <w:b/>
                <w:sz w:val="20"/>
              </w:rPr>
            </w:pPr>
            <w:r w:rsidRPr="00BD536C">
              <w:rPr>
                <w:rFonts w:ascii="Arial Narrow" w:hAnsi="Arial Narrow"/>
                <w:sz w:val="20"/>
              </w:rPr>
              <w:t>Diabetes 2014b 63: A70-A71.</w:t>
            </w:r>
          </w:p>
        </w:tc>
      </w:tr>
      <w:tr w:rsidR="00A17220" w:rsidRPr="00BD536C" w:rsidTr="00A17220">
        <w:trPr>
          <w:trHeight w:val="223"/>
        </w:trPr>
        <w:tc>
          <w:tcPr>
            <w:tcW w:w="596" w:type="pct"/>
            <w:vMerge/>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Del="00916804"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Matthaei</w:t>
            </w:r>
            <w:r w:rsidRPr="00BD536C">
              <w:rPr>
                <w:rFonts w:ascii="Arial Narrow" w:hAnsi="Arial Narrow"/>
                <w:sz w:val="20"/>
              </w:rPr>
              <w:t xml:space="preserve">, “Dapagliflozin improves glycaemic control and reduces body weight as add-on therapy to metformin plus sulphonylurea.” </w:t>
            </w:r>
          </w:p>
        </w:tc>
        <w:tc>
          <w:tcPr>
            <w:tcW w:w="1008" w:type="pct"/>
            <w:tcBorders>
              <w:top w:val="nil"/>
              <w:bottom w:val="nil"/>
            </w:tcBorders>
          </w:tcPr>
          <w:p w:rsidR="00A17220" w:rsidRPr="00BD536C" w:rsidRDefault="00A17220" w:rsidP="006D26E7">
            <w:pPr>
              <w:keepNext/>
              <w:keepLines/>
              <w:widowControl/>
              <w:spacing w:before="40" w:after="40"/>
              <w:jc w:val="left"/>
              <w:rPr>
                <w:rFonts w:ascii="Arial Narrow" w:hAnsi="Arial Narrow"/>
                <w:sz w:val="20"/>
              </w:rPr>
            </w:pPr>
            <w:r w:rsidRPr="00BD536C">
              <w:rPr>
                <w:rFonts w:ascii="Arial Narrow" w:hAnsi="Arial Narrow"/>
                <w:sz w:val="20"/>
              </w:rPr>
              <w:t>Diabetologia 2013 56: S374-S375.</w:t>
            </w:r>
          </w:p>
        </w:tc>
      </w:tr>
      <w:tr w:rsidR="00A17220" w:rsidRPr="00BD536C" w:rsidTr="00A17220">
        <w:trPr>
          <w:trHeight w:val="670"/>
        </w:trPr>
        <w:tc>
          <w:tcPr>
            <w:tcW w:w="596" w:type="pct"/>
            <w:vMerge/>
          </w:tcPr>
          <w:p w:rsidR="00A17220" w:rsidRPr="00BD536C" w:rsidRDefault="00A17220" w:rsidP="006D26E7">
            <w:pPr>
              <w:pStyle w:val="Tableleft"/>
              <w:keepNext/>
              <w:keepLines/>
              <w:rPr>
                <w:rFonts w:ascii="Arial Narrow" w:hAnsi="Arial Narrow"/>
                <w:sz w:val="20"/>
              </w:rPr>
            </w:pPr>
          </w:p>
        </w:tc>
        <w:tc>
          <w:tcPr>
            <w:tcW w:w="3396" w:type="pct"/>
            <w:tcBorders>
              <w:top w:val="nil"/>
              <w:bottom w:val="single" w:sz="4" w:space="0" w:color="auto"/>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 xml:space="preserve">Sternhufvud, </w:t>
            </w:r>
            <w:r w:rsidRPr="00BD536C">
              <w:rPr>
                <w:rFonts w:ascii="Arial Narrow" w:hAnsi="Arial Narrow"/>
                <w:sz w:val="20"/>
              </w:rPr>
              <w:t xml:space="preserve"> “Change in quality of life (EQ-5D) among type 2 diabetes mellitus patients inadequately controlled with metformin plus sulfonylurea and treated with dapagliflozin as triple therapy regimen for 24 weeks.” </w:t>
            </w:r>
          </w:p>
        </w:tc>
        <w:tc>
          <w:tcPr>
            <w:tcW w:w="1008" w:type="pct"/>
            <w:tcBorders>
              <w:top w:val="nil"/>
              <w:bottom w:val="single" w:sz="4" w:space="0" w:color="auto"/>
            </w:tcBorders>
          </w:tcPr>
          <w:p w:rsidR="00A17220" w:rsidRPr="00BD536C" w:rsidRDefault="00A17220" w:rsidP="006D26E7">
            <w:pPr>
              <w:keepNext/>
              <w:keepLines/>
              <w:widowControl/>
              <w:spacing w:before="40" w:after="40"/>
              <w:jc w:val="left"/>
              <w:rPr>
                <w:rFonts w:ascii="Arial Narrow" w:hAnsi="Arial Narrow"/>
                <w:b/>
                <w:sz w:val="20"/>
              </w:rPr>
            </w:pPr>
            <w:r w:rsidRPr="00BD536C">
              <w:rPr>
                <w:rFonts w:ascii="Arial Narrow" w:hAnsi="Arial Narrow"/>
                <w:sz w:val="20"/>
              </w:rPr>
              <w:t>Value in Health 2014 17(3): A257.</w:t>
            </w:r>
          </w:p>
        </w:tc>
      </w:tr>
      <w:tr w:rsidR="00A17220" w:rsidRPr="00BD536C" w:rsidTr="00A17220">
        <w:trPr>
          <w:trHeight w:val="670"/>
        </w:trPr>
        <w:tc>
          <w:tcPr>
            <w:tcW w:w="596" w:type="pct"/>
          </w:tcPr>
          <w:p w:rsidR="00A17220" w:rsidRPr="00BD536C" w:rsidRDefault="00A17220" w:rsidP="006D26E7">
            <w:pPr>
              <w:pStyle w:val="Tableleft"/>
              <w:keepNext/>
              <w:keepLines/>
              <w:rPr>
                <w:rFonts w:ascii="Arial Narrow" w:hAnsi="Arial Narrow"/>
                <w:sz w:val="20"/>
              </w:rPr>
            </w:pPr>
            <w:r w:rsidRPr="00BD536C">
              <w:rPr>
                <w:rFonts w:ascii="Arial Narrow" w:hAnsi="Arial Narrow"/>
                <w:sz w:val="20"/>
              </w:rPr>
              <w:t>Russell-Jones 2009</w:t>
            </w:r>
          </w:p>
        </w:tc>
        <w:tc>
          <w:tcPr>
            <w:tcW w:w="3396" w:type="pct"/>
            <w:tcBorders>
              <w:top w:val="single" w:sz="4" w:space="0" w:color="auto"/>
              <w:bottom w:val="single" w:sz="4" w:space="0" w:color="auto"/>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bCs/>
                <w:iCs/>
                <w:sz w:val="20"/>
              </w:rPr>
              <w:t xml:space="preserve">Russell-Jones et al. “Liraglutide vs </w:t>
            </w:r>
            <w:r w:rsidRPr="00BD536C">
              <w:rPr>
                <w:rFonts w:ascii="Arial Narrow" w:hAnsi="Arial Narrow"/>
                <w:sz w:val="20"/>
              </w:rPr>
              <w:t>insulin</w:t>
            </w:r>
            <w:r w:rsidRPr="00BD536C">
              <w:rPr>
                <w:rFonts w:ascii="Arial Narrow" w:hAnsi="Arial Narrow"/>
                <w:bCs/>
                <w:iCs/>
                <w:sz w:val="20"/>
              </w:rPr>
              <w:t xml:space="preserve"> glargine and placebo in combination with metformin and sulfonylurea therapy in type 2 diabetes mellitus (LEAD-5 </w:t>
            </w:r>
            <w:r w:rsidR="001C7171">
              <w:rPr>
                <w:rFonts w:ascii="Arial Narrow" w:hAnsi="Arial Narrow"/>
                <w:bCs/>
                <w:iCs/>
                <w:sz w:val="20"/>
              </w:rPr>
              <w:t>MET</w:t>
            </w:r>
            <w:r w:rsidR="001C7171" w:rsidRPr="00BD536C">
              <w:rPr>
                <w:rFonts w:ascii="Arial Narrow" w:hAnsi="Arial Narrow"/>
                <w:bCs/>
                <w:iCs/>
                <w:sz w:val="20"/>
              </w:rPr>
              <w:t>+SU</w:t>
            </w:r>
            <w:r w:rsidRPr="00BD536C">
              <w:rPr>
                <w:rFonts w:ascii="Arial Narrow" w:hAnsi="Arial Narrow"/>
                <w:bCs/>
                <w:iCs/>
                <w:sz w:val="20"/>
              </w:rPr>
              <w:t xml:space="preserve">): A randomised controlled trial.” </w:t>
            </w:r>
          </w:p>
        </w:tc>
        <w:tc>
          <w:tcPr>
            <w:tcW w:w="1008" w:type="pct"/>
            <w:tcBorders>
              <w:top w:val="single" w:sz="4" w:space="0" w:color="auto"/>
              <w:bottom w:val="single" w:sz="4" w:space="0" w:color="auto"/>
            </w:tcBorders>
          </w:tcPr>
          <w:p w:rsidR="00A17220" w:rsidRPr="00BD536C" w:rsidRDefault="00A17220" w:rsidP="006D26E7">
            <w:pPr>
              <w:keepNext/>
              <w:keepLines/>
              <w:widowControl/>
              <w:spacing w:before="40" w:after="40"/>
              <w:jc w:val="left"/>
              <w:rPr>
                <w:rFonts w:ascii="Arial Narrow" w:hAnsi="Arial Narrow"/>
                <w:sz w:val="20"/>
              </w:rPr>
            </w:pPr>
            <w:r w:rsidRPr="00BD536C">
              <w:rPr>
                <w:rFonts w:ascii="Arial Narrow" w:hAnsi="Arial Narrow"/>
                <w:sz w:val="20"/>
              </w:rPr>
              <w:t>Diabetologia</w:t>
            </w:r>
            <w:r w:rsidRPr="00BD536C">
              <w:rPr>
                <w:rFonts w:ascii="Arial Narrow" w:hAnsi="Arial Narrow" w:cs="Arial Narrow"/>
                <w:bCs/>
                <w:iCs/>
                <w:sz w:val="20"/>
              </w:rPr>
              <w:t xml:space="preserve"> 2009 52(10): 2046-2055.</w:t>
            </w:r>
          </w:p>
        </w:tc>
      </w:tr>
      <w:tr w:rsidR="00A17220" w:rsidRPr="00BD536C" w:rsidTr="00A17220">
        <w:trPr>
          <w:trHeight w:val="670"/>
        </w:trPr>
        <w:tc>
          <w:tcPr>
            <w:tcW w:w="596" w:type="pct"/>
            <w:tcBorders>
              <w:bottom w:val="nil"/>
            </w:tcBorders>
          </w:tcPr>
          <w:p w:rsidR="00A17220" w:rsidRPr="00BD536C" w:rsidRDefault="00A17220" w:rsidP="006D26E7">
            <w:pPr>
              <w:pStyle w:val="Tableleft"/>
              <w:keepNext/>
              <w:keepLines/>
              <w:rPr>
                <w:rFonts w:ascii="Arial Narrow" w:hAnsi="Arial Narrow"/>
                <w:sz w:val="20"/>
              </w:rPr>
            </w:pPr>
            <w:r w:rsidRPr="00BD536C">
              <w:rPr>
                <w:rFonts w:ascii="Arial Narrow" w:hAnsi="Arial Narrow"/>
                <w:sz w:val="20"/>
              </w:rPr>
              <w:t>Trial 115</w:t>
            </w:r>
          </w:p>
        </w:tc>
        <w:tc>
          <w:tcPr>
            <w:tcW w:w="3396" w:type="pct"/>
            <w:tcBorders>
              <w:top w:val="single" w:sz="4" w:space="0" w:color="auto"/>
              <w:bottom w:val="nil"/>
            </w:tcBorders>
          </w:tcPr>
          <w:p w:rsidR="00A17220" w:rsidRPr="00BD536C" w:rsidRDefault="00A17220" w:rsidP="006D26E7">
            <w:pPr>
              <w:pStyle w:val="Tableleft"/>
              <w:keepNext/>
              <w:keepLines/>
              <w:ind w:left="-6"/>
              <w:jc w:val="left"/>
              <w:rPr>
                <w:rFonts w:ascii="Arial Narrow" w:hAnsi="Arial Narrow"/>
                <w:bCs/>
                <w:iCs/>
                <w:sz w:val="20"/>
              </w:rPr>
            </w:pPr>
            <w:r w:rsidRPr="00BD536C">
              <w:rPr>
                <w:rFonts w:ascii="Arial Narrow" w:hAnsi="Arial Narrow"/>
                <w:sz w:val="20"/>
              </w:rPr>
              <w:t xml:space="preserve">A Phase 3, Randomized, Double-Blind, Parallel-Group, Long-Term, Placebo-Controlled, Multicenter Study to Examine the Effect on Glucose Control (HbA1c) of Exenatide Given Twice Daily in Subjects With Type 2 Diabetes Mellitus Treated With Metformin and a Sulfonylurea. </w:t>
            </w:r>
          </w:p>
        </w:tc>
        <w:tc>
          <w:tcPr>
            <w:tcW w:w="1008" w:type="pct"/>
            <w:tcBorders>
              <w:top w:val="single" w:sz="4" w:space="0" w:color="auto"/>
              <w:bottom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27 April 2004</w:t>
            </w:r>
          </w:p>
          <w:p w:rsidR="00A17220" w:rsidRPr="00BD536C" w:rsidRDefault="00A17220" w:rsidP="006D26E7">
            <w:pPr>
              <w:keepNext/>
              <w:keepLines/>
              <w:widowControl/>
              <w:spacing w:before="40" w:after="40"/>
              <w:jc w:val="left"/>
              <w:rPr>
                <w:rFonts w:ascii="Arial Narrow" w:hAnsi="Arial Narrow"/>
                <w:sz w:val="20"/>
              </w:rPr>
            </w:pPr>
          </w:p>
        </w:tc>
      </w:tr>
      <w:tr w:rsidR="00A17220" w:rsidRPr="00BD536C" w:rsidTr="00B034C3">
        <w:trPr>
          <w:trHeight w:val="670"/>
        </w:trPr>
        <w:tc>
          <w:tcPr>
            <w:tcW w:w="596" w:type="pct"/>
            <w:tcBorders>
              <w:top w:val="nil"/>
              <w:bottom w:val="nil"/>
            </w:tcBorders>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Kendall,</w:t>
            </w:r>
            <w:r w:rsidRPr="00BD536C">
              <w:rPr>
                <w:rFonts w:ascii="Arial Narrow" w:hAnsi="Arial Narrow"/>
                <w:sz w:val="20"/>
              </w:rPr>
              <w:t xml:space="preserve"> “Effects of exenatide (exendin-4) on </w:t>
            </w:r>
            <w:r w:rsidRPr="00BD536C">
              <w:rPr>
                <w:rFonts w:ascii="Arial Narrow" w:hAnsi="Arial Narrow"/>
                <w:sz w:val="20"/>
              </w:rPr>
              <w:pgNum/>
            </w:r>
            <w:r w:rsidR="001C7171" w:rsidRPr="00BD536C">
              <w:rPr>
                <w:rFonts w:ascii="Arial Narrow" w:hAnsi="Arial Narrow"/>
                <w:sz w:val="20"/>
              </w:rPr>
              <w:t>glycaemic</w:t>
            </w:r>
            <w:r w:rsidRPr="00BD536C">
              <w:rPr>
                <w:rFonts w:ascii="Arial Narrow" w:hAnsi="Arial Narrow"/>
                <w:sz w:val="20"/>
              </w:rPr>
              <w:t xml:space="preserve"> control over 30 weeks in patients with type 2 diabetes treated with metformin and a sulfonylurea.” </w:t>
            </w:r>
          </w:p>
        </w:tc>
        <w:tc>
          <w:tcPr>
            <w:tcW w:w="1008" w:type="pct"/>
            <w:tcBorders>
              <w:top w:val="nil"/>
              <w:bottom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Diabetes Care 2005 28(5): 1083-1091.</w:t>
            </w:r>
          </w:p>
        </w:tc>
      </w:tr>
      <w:tr w:rsidR="00A17220" w:rsidRPr="00BD536C" w:rsidTr="00B034C3">
        <w:trPr>
          <w:trHeight w:val="670"/>
        </w:trPr>
        <w:tc>
          <w:tcPr>
            <w:tcW w:w="596" w:type="pct"/>
            <w:tcBorders>
              <w:top w:val="nil"/>
              <w:bottom w:val="nil"/>
            </w:tcBorders>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Blonde</w:t>
            </w:r>
            <w:r w:rsidRPr="00BD536C">
              <w:rPr>
                <w:rFonts w:ascii="Arial Narrow" w:hAnsi="Arial Narrow"/>
                <w:sz w:val="20"/>
              </w:rPr>
              <w:t xml:space="preserve">, “Interim analysis of the effects of exenatide treatment on A1C, weight and cardiovascular risk factors over 82 weeks in 314 overweight patients with type 2 diabetes.” </w:t>
            </w:r>
          </w:p>
        </w:tc>
        <w:tc>
          <w:tcPr>
            <w:tcW w:w="1008" w:type="pct"/>
            <w:tcBorders>
              <w:top w:val="nil"/>
              <w:bottom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Diabetes, Obesity and Metabolism 2006 8(4): 436-447.</w:t>
            </w:r>
          </w:p>
        </w:tc>
      </w:tr>
      <w:tr w:rsidR="00A17220" w:rsidRPr="00BD536C" w:rsidTr="00A17220">
        <w:trPr>
          <w:trHeight w:val="670"/>
        </w:trPr>
        <w:tc>
          <w:tcPr>
            <w:tcW w:w="596" w:type="pct"/>
            <w:tcBorders>
              <w:top w:val="nil"/>
              <w:bottom w:val="nil"/>
            </w:tcBorders>
          </w:tcPr>
          <w:p w:rsidR="00A17220" w:rsidRPr="00BD536C" w:rsidRDefault="00A17220" w:rsidP="006D26E7">
            <w:pPr>
              <w:pStyle w:val="Tableleft"/>
              <w:keepNext/>
              <w:keepLines/>
              <w:rPr>
                <w:rFonts w:ascii="Arial Narrow" w:hAnsi="Arial Narrow"/>
                <w:sz w:val="20"/>
              </w:rPr>
            </w:pPr>
          </w:p>
        </w:tc>
        <w:tc>
          <w:tcPr>
            <w:tcW w:w="3396" w:type="pct"/>
            <w:tcBorders>
              <w:top w:val="nil"/>
              <w:bottom w:val="nil"/>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Riddle</w:t>
            </w:r>
            <w:r w:rsidRPr="00BD536C">
              <w:rPr>
                <w:rFonts w:ascii="Arial Narrow" w:hAnsi="Arial Narrow"/>
                <w:sz w:val="20"/>
              </w:rPr>
              <w:t xml:space="preserve">, “Exenatide elicits sustained glycaemic control and progressive reduction of body weight in patients with type 2 diabetes inadequately controlled by sulphonylureas with or without metformin.” </w:t>
            </w:r>
          </w:p>
        </w:tc>
        <w:tc>
          <w:tcPr>
            <w:tcW w:w="1008" w:type="pct"/>
            <w:tcBorders>
              <w:top w:val="nil"/>
              <w:bottom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Diabetes/Metabolism Research and Reviews 2006 22(6): 483-491.</w:t>
            </w:r>
          </w:p>
        </w:tc>
      </w:tr>
      <w:tr w:rsidR="00A17220" w:rsidRPr="00BD536C" w:rsidTr="00A17220">
        <w:trPr>
          <w:trHeight w:val="670"/>
        </w:trPr>
        <w:tc>
          <w:tcPr>
            <w:tcW w:w="596" w:type="pct"/>
            <w:tcBorders>
              <w:top w:val="nil"/>
            </w:tcBorders>
          </w:tcPr>
          <w:p w:rsidR="00A17220" w:rsidRPr="00BD536C" w:rsidRDefault="00A17220" w:rsidP="006D26E7">
            <w:pPr>
              <w:pStyle w:val="Tableleft"/>
              <w:keepNext/>
              <w:keepLines/>
              <w:rPr>
                <w:rFonts w:ascii="Arial Narrow" w:hAnsi="Arial Narrow"/>
                <w:sz w:val="20"/>
              </w:rPr>
            </w:pPr>
          </w:p>
        </w:tc>
        <w:tc>
          <w:tcPr>
            <w:tcW w:w="3396" w:type="pct"/>
            <w:tcBorders>
              <w:top w:val="nil"/>
            </w:tcBorders>
          </w:tcPr>
          <w:p w:rsidR="00A17220" w:rsidRPr="00BD536C" w:rsidRDefault="00A17220" w:rsidP="006D26E7">
            <w:pPr>
              <w:pStyle w:val="Tableleft"/>
              <w:keepNext/>
              <w:keepLines/>
              <w:ind w:left="-6"/>
              <w:jc w:val="left"/>
              <w:rPr>
                <w:rFonts w:ascii="Arial Narrow" w:hAnsi="Arial Narrow"/>
                <w:sz w:val="20"/>
              </w:rPr>
            </w:pPr>
            <w:r w:rsidRPr="00BD536C">
              <w:rPr>
                <w:rFonts w:ascii="Arial Narrow" w:hAnsi="Arial Narrow"/>
                <w:noProof/>
                <w:sz w:val="20"/>
              </w:rPr>
              <w:t>Fineman,</w:t>
            </w:r>
            <w:r w:rsidRPr="00BD536C">
              <w:rPr>
                <w:rFonts w:ascii="Arial Narrow" w:hAnsi="Arial Narrow"/>
                <w:sz w:val="20"/>
              </w:rPr>
              <w:t xml:space="preserve"> “Effect on glycaemic control of exenatide (synthetic exendin-4) additive to existing metformin and/or sulfonylurea treatment in patients with type 2 diabetes.” </w:t>
            </w:r>
          </w:p>
        </w:tc>
        <w:tc>
          <w:tcPr>
            <w:tcW w:w="1008" w:type="pct"/>
            <w:tcBorders>
              <w:top w:val="nil"/>
            </w:tcBorders>
          </w:tcPr>
          <w:p w:rsidR="00A17220" w:rsidRPr="00BD536C" w:rsidRDefault="00A17220" w:rsidP="006D26E7">
            <w:pPr>
              <w:pStyle w:val="Tableleft"/>
              <w:keepNext/>
              <w:keepLines/>
              <w:jc w:val="left"/>
              <w:rPr>
                <w:rFonts w:ascii="Arial Narrow" w:hAnsi="Arial Narrow"/>
                <w:sz w:val="20"/>
              </w:rPr>
            </w:pPr>
            <w:r w:rsidRPr="00BD536C">
              <w:rPr>
                <w:rFonts w:ascii="Arial Narrow" w:hAnsi="Arial Narrow"/>
                <w:sz w:val="20"/>
              </w:rPr>
              <w:t>Diabetes Care 2003 26(8): 2370-2377.</w:t>
            </w:r>
          </w:p>
        </w:tc>
      </w:tr>
    </w:tbl>
    <w:p w:rsidR="00FF6B3F" w:rsidRPr="00D13A3E" w:rsidRDefault="00FF6B3F" w:rsidP="006D26E7">
      <w:pPr>
        <w:pStyle w:val="TableFooter"/>
        <w:keepNext/>
        <w:keepLines/>
        <w:widowControl/>
        <w:ind w:firstLine="720"/>
      </w:pPr>
      <w:r w:rsidRPr="00D13A3E">
        <w:t xml:space="preserve">Source: </w:t>
      </w:r>
      <w:r>
        <w:t>Table B.3, pB34-B35 of the submission</w:t>
      </w:r>
    </w:p>
    <w:p w:rsidR="00114D15" w:rsidRPr="00114D15" w:rsidRDefault="00114D15" w:rsidP="006D26E7">
      <w:pPr>
        <w:pStyle w:val="ListParagraph"/>
        <w:keepNext/>
        <w:keepLines/>
        <w:widowControl/>
        <w:rPr>
          <w:smallCaps/>
        </w:rPr>
      </w:pPr>
    </w:p>
    <w:p w:rsidR="005C5634" w:rsidRPr="00DA143A" w:rsidRDefault="005C5634" w:rsidP="004C5FCE">
      <w:pPr>
        <w:pStyle w:val="ListParagraph"/>
        <w:widowControl/>
        <w:numPr>
          <w:ilvl w:val="1"/>
          <w:numId w:val="1"/>
        </w:numPr>
        <w:rPr>
          <w:smallCaps/>
        </w:rPr>
      </w:pPr>
      <w:r w:rsidRPr="005C5634">
        <w:t>The submission also presented two network meta-analyses (NMA) as supportive evidence.</w:t>
      </w:r>
      <w:r>
        <w:t xml:space="preserve"> One of these was the </w:t>
      </w:r>
      <w:r w:rsidRPr="005C5634">
        <w:t>NMA of triple therapy trials included in the Post Market Review of Diabetes medicines</w:t>
      </w:r>
      <w:r>
        <w:t xml:space="preserve">. </w:t>
      </w:r>
      <w:r w:rsidRPr="00DA143A">
        <w:t xml:space="preserve">Overall, the NMAs included trials that are not applicable to dapagliflozin, the proposed PBS listing and/or the population requested in the submission. </w:t>
      </w:r>
    </w:p>
    <w:p w:rsidR="00862502" w:rsidRPr="008F120A" w:rsidRDefault="00862502" w:rsidP="004C5FCE">
      <w:pPr>
        <w:widowControl/>
        <w:rPr>
          <w:szCs w:val="22"/>
        </w:rPr>
      </w:pPr>
    </w:p>
    <w:p w:rsidR="007F1017" w:rsidRPr="00FF6B3F" w:rsidRDefault="008F120A" w:rsidP="004C5FCE">
      <w:pPr>
        <w:pStyle w:val="ListParagraph"/>
        <w:keepNext/>
        <w:keepLines/>
        <w:widowControl/>
        <w:numPr>
          <w:ilvl w:val="1"/>
          <w:numId w:val="1"/>
        </w:numPr>
        <w:rPr>
          <w:szCs w:val="22"/>
        </w:rPr>
      </w:pPr>
      <w:r w:rsidRPr="00FF6B3F">
        <w:rPr>
          <w:szCs w:val="22"/>
        </w:rPr>
        <w:t xml:space="preserve">The key features of the randomised trials are summarised </w:t>
      </w:r>
      <w:r w:rsidR="00143390">
        <w:rPr>
          <w:szCs w:val="22"/>
        </w:rPr>
        <w:t>below</w:t>
      </w:r>
      <w:r w:rsidRPr="00FF6B3F">
        <w:rPr>
          <w:szCs w:val="22"/>
        </w:rPr>
        <w:t xml:space="preserve">.  </w:t>
      </w:r>
    </w:p>
    <w:p w:rsidR="00D41E06" w:rsidRDefault="00D41E06" w:rsidP="004C5FCE">
      <w:pPr>
        <w:keepNext/>
        <w:keepLines/>
        <w:widowControl/>
        <w:ind w:firstLine="720"/>
        <w:rPr>
          <w:rStyle w:val="CommentReference"/>
        </w:rPr>
      </w:pPr>
    </w:p>
    <w:p w:rsidR="00FF6B3F" w:rsidRDefault="00FF6B3F" w:rsidP="004C5FCE">
      <w:pPr>
        <w:keepNext/>
        <w:keepLines/>
        <w:widowControl/>
        <w:ind w:firstLine="720"/>
        <w:rPr>
          <w:rStyle w:val="CommentReference"/>
        </w:rPr>
      </w:pPr>
      <w:r w:rsidRPr="00A13948">
        <w:rPr>
          <w:rStyle w:val="CommentReference"/>
        </w:rPr>
        <w:t>Key features of the included evidence – indirect comparison</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indirect comparison)"/>
      </w:tblPr>
      <w:tblGrid>
        <w:gridCol w:w="709"/>
        <w:gridCol w:w="1131"/>
        <w:gridCol w:w="1704"/>
        <w:gridCol w:w="709"/>
        <w:gridCol w:w="2409"/>
        <w:gridCol w:w="1561"/>
      </w:tblGrid>
      <w:tr w:rsidR="005F186B" w:rsidRPr="00E2771E" w:rsidTr="005F186B">
        <w:trPr>
          <w:tblHeader/>
        </w:trPr>
        <w:tc>
          <w:tcPr>
            <w:tcW w:w="431" w:type="pct"/>
            <w:shd w:val="clear" w:color="auto" w:fill="auto"/>
            <w:vAlign w:val="center"/>
          </w:tcPr>
          <w:p w:rsidR="005F186B" w:rsidRPr="00E2771E" w:rsidRDefault="005F186B" w:rsidP="004C5FCE">
            <w:pPr>
              <w:keepNext/>
              <w:keepLines/>
              <w:widowControl/>
              <w:contextualSpacing/>
              <w:jc w:val="left"/>
              <w:rPr>
                <w:rFonts w:ascii="Arial Narrow" w:hAnsi="Arial Narrow"/>
                <w:b/>
                <w:sz w:val="20"/>
                <w:szCs w:val="16"/>
                <w:lang w:val="en-US"/>
              </w:rPr>
            </w:pPr>
            <w:r w:rsidRPr="00E2771E">
              <w:rPr>
                <w:rFonts w:ascii="Arial Narrow" w:hAnsi="Arial Narrow"/>
                <w:b/>
                <w:sz w:val="20"/>
                <w:szCs w:val="16"/>
                <w:lang w:val="en-US"/>
              </w:rPr>
              <w:t>Trial</w:t>
            </w:r>
          </w:p>
        </w:tc>
        <w:tc>
          <w:tcPr>
            <w:tcW w:w="688" w:type="pct"/>
            <w:shd w:val="clear" w:color="auto" w:fill="auto"/>
            <w:vAlign w:val="center"/>
          </w:tcPr>
          <w:p w:rsidR="005F186B" w:rsidRPr="00E2771E" w:rsidRDefault="005F186B" w:rsidP="004C5FCE">
            <w:pPr>
              <w:keepNext/>
              <w:keepLines/>
              <w:widowControl/>
              <w:contextualSpacing/>
              <w:jc w:val="center"/>
              <w:rPr>
                <w:rFonts w:ascii="Arial Narrow" w:hAnsi="Arial Narrow"/>
                <w:b/>
                <w:sz w:val="20"/>
                <w:szCs w:val="16"/>
                <w:lang w:val="en-US"/>
              </w:rPr>
            </w:pPr>
            <w:r w:rsidRPr="00E2771E">
              <w:rPr>
                <w:rFonts w:ascii="Arial Narrow" w:hAnsi="Arial Narrow"/>
                <w:b/>
                <w:sz w:val="20"/>
                <w:szCs w:val="16"/>
                <w:lang w:val="en-US"/>
              </w:rPr>
              <w:t>N</w:t>
            </w:r>
          </w:p>
        </w:tc>
        <w:tc>
          <w:tcPr>
            <w:tcW w:w="1036" w:type="pct"/>
            <w:shd w:val="clear" w:color="auto" w:fill="auto"/>
            <w:vAlign w:val="center"/>
          </w:tcPr>
          <w:p w:rsidR="005F186B" w:rsidRPr="00E2771E" w:rsidRDefault="005F186B" w:rsidP="004C5FCE">
            <w:pPr>
              <w:keepNext/>
              <w:keepLines/>
              <w:widowControl/>
              <w:contextualSpacing/>
              <w:jc w:val="center"/>
              <w:rPr>
                <w:rFonts w:ascii="Arial Narrow" w:hAnsi="Arial Narrow"/>
                <w:b/>
                <w:sz w:val="20"/>
                <w:szCs w:val="16"/>
                <w:lang w:val="en-US"/>
              </w:rPr>
            </w:pPr>
            <w:r w:rsidRPr="00E2771E">
              <w:rPr>
                <w:rFonts w:ascii="Arial Narrow" w:hAnsi="Arial Narrow"/>
                <w:b/>
                <w:sz w:val="20"/>
                <w:szCs w:val="16"/>
                <w:lang w:val="en-US"/>
              </w:rPr>
              <w:t>Design/ duration</w:t>
            </w:r>
          </w:p>
        </w:tc>
        <w:tc>
          <w:tcPr>
            <w:tcW w:w="431" w:type="pct"/>
            <w:shd w:val="clear" w:color="auto" w:fill="auto"/>
            <w:vAlign w:val="center"/>
          </w:tcPr>
          <w:p w:rsidR="005F186B" w:rsidRPr="00E2771E" w:rsidRDefault="005F186B" w:rsidP="004C5FCE">
            <w:pPr>
              <w:keepNext/>
              <w:keepLines/>
              <w:widowControl/>
              <w:contextualSpacing/>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1465" w:type="pct"/>
            <w:shd w:val="clear" w:color="auto" w:fill="auto"/>
            <w:vAlign w:val="center"/>
          </w:tcPr>
          <w:p w:rsidR="005F186B" w:rsidRPr="00E2771E" w:rsidRDefault="005F186B" w:rsidP="004C5FCE">
            <w:pPr>
              <w:keepNext/>
              <w:keepLines/>
              <w:widowControl/>
              <w:contextualSpacing/>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949" w:type="pct"/>
            <w:shd w:val="clear" w:color="auto" w:fill="auto"/>
            <w:vAlign w:val="center"/>
          </w:tcPr>
          <w:p w:rsidR="005F186B" w:rsidRPr="00E2771E" w:rsidRDefault="005F186B" w:rsidP="004C5FCE">
            <w:pPr>
              <w:keepNext/>
              <w:keepLines/>
              <w:widowControl/>
              <w:contextualSpacing/>
              <w:jc w:val="center"/>
              <w:rPr>
                <w:rFonts w:ascii="Arial Narrow" w:hAnsi="Arial Narrow"/>
                <w:b/>
                <w:sz w:val="20"/>
                <w:szCs w:val="16"/>
                <w:lang w:val="en-US"/>
              </w:rPr>
            </w:pPr>
            <w:r w:rsidRPr="00E2771E">
              <w:rPr>
                <w:rFonts w:ascii="Arial Narrow" w:hAnsi="Arial Narrow"/>
                <w:b/>
                <w:sz w:val="20"/>
                <w:szCs w:val="16"/>
                <w:lang w:val="en-US"/>
              </w:rPr>
              <w:t>Outcome(s)</w:t>
            </w:r>
          </w:p>
        </w:tc>
      </w:tr>
      <w:tr w:rsidR="00FF6B3F" w:rsidRPr="00E2771E" w:rsidTr="005F186B">
        <w:tc>
          <w:tcPr>
            <w:tcW w:w="5000" w:type="pct"/>
            <w:gridSpan w:val="6"/>
            <w:shd w:val="clear" w:color="auto" w:fill="auto"/>
            <w:vAlign w:val="center"/>
          </w:tcPr>
          <w:p w:rsidR="00FF6B3F" w:rsidRPr="00E2771E" w:rsidRDefault="00FF6B3F" w:rsidP="004C5FCE">
            <w:pPr>
              <w:keepNext/>
              <w:keepLines/>
              <w:widowControl/>
              <w:contextualSpacing/>
              <w:jc w:val="left"/>
              <w:rPr>
                <w:rFonts w:ascii="Arial Narrow" w:hAnsi="Arial Narrow"/>
                <w:b/>
                <w:sz w:val="20"/>
                <w:szCs w:val="16"/>
                <w:lang w:val="en-US"/>
              </w:rPr>
            </w:pPr>
            <w:r w:rsidRPr="00E574BA">
              <w:rPr>
                <w:rFonts w:ascii="Arial Narrow" w:hAnsi="Arial Narrow"/>
                <w:b/>
                <w:sz w:val="20"/>
              </w:rPr>
              <w:t>Dapagliflozin vs placebo</w:t>
            </w:r>
          </w:p>
        </w:tc>
      </w:tr>
      <w:tr w:rsidR="005F186B" w:rsidRPr="00E2771E" w:rsidTr="005F186B">
        <w:tc>
          <w:tcPr>
            <w:tcW w:w="431" w:type="pct"/>
            <w:shd w:val="clear" w:color="auto" w:fill="auto"/>
            <w:vAlign w:val="center"/>
          </w:tcPr>
          <w:p w:rsidR="005F186B" w:rsidRPr="00E574BA" w:rsidRDefault="005F186B" w:rsidP="004C5FCE">
            <w:pPr>
              <w:pStyle w:val="TableText0"/>
              <w:keepLines/>
              <w:spacing w:before="0" w:after="0"/>
              <w:contextualSpacing/>
              <w:rPr>
                <w:rFonts w:cs="Arial"/>
                <w:b/>
              </w:rPr>
            </w:pPr>
            <w:r>
              <w:rPr>
                <w:rFonts w:cs="Arial"/>
                <w:b/>
              </w:rPr>
              <w:t>CT005</w:t>
            </w:r>
          </w:p>
          <w:p w:rsidR="005F186B" w:rsidRPr="00E2771E" w:rsidRDefault="005F186B" w:rsidP="004C5FCE">
            <w:pPr>
              <w:keepNext/>
              <w:keepLines/>
              <w:widowControl/>
              <w:contextualSpacing/>
              <w:jc w:val="left"/>
              <w:rPr>
                <w:rFonts w:ascii="Arial Narrow" w:hAnsi="Arial Narrow"/>
                <w:sz w:val="20"/>
                <w:szCs w:val="16"/>
                <w:lang w:val="en-US"/>
              </w:rPr>
            </w:pPr>
          </w:p>
        </w:tc>
        <w:tc>
          <w:tcPr>
            <w:tcW w:w="688"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218</w:t>
            </w:r>
          </w:p>
        </w:tc>
        <w:tc>
          <w:tcPr>
            <w:tcW w:w="1036"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sidRPr="00926740">
              <w:rPr>
                <w:rFonts w:ascii="Arial Narrow" w:hAnsi="Arial Narrow"/>
                <w:sz w:val="20"/>
              </w:rPr>
              <w:t>R</w:t>
            </w:r>
            <w:r>
              <w:rPr>
                <w:rFonts w:ascii="Arial Narrow" w:hAnsi="Arial Narrow"/>
                <w:sz w:val="20"/>
              </w:rPr>
              <w:t>CT, DB, MC</w:t>
            </w:r>
            <w:r w:rsidRPr="00E574BA">
              <w:rPr>
                <w:rFonts w:ascii="Arial Narrow" w:hAnsi="Arial Narrow"/>
                <w:sz w:val="20"/>
                <w:lang w:val="en-US"/>
              </w:rPr>
              <w:t xml:space="preserve"> </w:t>
            </w:r>
            <w:r w:rsidRPr="00E574BA">
              <w:rPr>
                <w:rFonts w:ascii="Arial Narrow" w:hAnsi="Arial Narrow"/>
                <w:sz w:val="20"/>
                <w:lang w:val="en-US"/>
              </w:rPr>
              <w:br/>
            </w:r>
            <w:r>
              <w:rPr>
                <w:rFonts w:ascii="Arial Narrow" w:hAnsi="Arial Narrow"/>
                <w:sz w:val="20"/>
                <w:lang w:val="en-US"/>
              </w:rPr>
              <w:t xml:space="preserve">24 wks with </w:t>
            </w:r>
            <w:r w:rsidR="004A3074">
              <w:rPr>
                <w:rFonts w:ascii="Arial Narrow" w:hAnsi="Arial Narrow"/>
                <w:sz w:val="20"/>
                <w:lang w:val="en-US"/>
              </w:rPr>
              <w:t>a 2</w:t>
            </w:r>
            <w:r w:rsidRPr="00E574BA">
              <w:rPr>
                <w:rFonts w:ascii="Arial Narrow" w:hAnsi="Arial Narrow"/>
                <w:sz w:val="20"/>
                <w:lang w:val="en-US"/>
              </w:rPr>
              <w:t>8</w:t>
            </w:r>
            <w:r>
              <w:rPr>
                <w:rFonts w:ascii="Arial Narrow" w:hAnsi="Arial Narrow"/>
                <w:sz w:val="20"/>
                <w:lang w:val="en-US"/>
              </w:rPr>
              <w:t xml:space="preserve"> wk</w:t>
            </w:r>
            <w:r w:rsidRPr="00E574BA">
              <w:rPr>
                <w:rFonts w:ascii="Arial Narrow" w:hAnsi="Arial Narrow"/>
                <w:sz w:val="20"/>
                <w:lang w:val="en-US"/>
              </w:rPr>
              <w:t xml:space="preserve"> extension</w:t>
            </w:r>
          </w:p>
        </w:tc>
        <w:tc>
          <w:tcPr>
            <w:tcW w:w="431"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sidRPr="00E2771E">
              <w:rPr>
                <w:rFonts w:ascii="Arial Narrow" w:hAnsi="Arial Narrow"/>
                <w:sz w:val="20"/>
                <w:szCs w:val="16"/>
                <w:lang w:val="en-US"/>
              </w:rPr>
              <w:t>Low</w:t>
            </w:r>
          </w:p>
        </w:tc>
        <w:tc>
          <w:tcPr>
            <w:tcW w:w="1465"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sidRPr="00E574BA">
              <w:rPr>
                <w:rFonts w:ascii="Arial Narrow" w:hAnsi="Arial Narrow"/>
                <w:sz w:val="20"/>
                <w:lang w:val="en-US"/>
              </w:rPr>
              <w:t xml:space="preserve">HbA1c </w:t>
            </w:r>
            <w:r>
              <w:rPr>
                <w:rFonts w:ascii="Arial Narrow" w:hAnsi="Arial Narrow"/>
                <w:sz w:val="20"/>
                <w:lang w:val="en-US"/>
              </w:rPr>
              <w:t>7</w:t>
            </w:r>
            <w:r w:rsidRPr="00E574BA">
              <w:rPr>
                <w:rFonts w:ascii="Arial Narrow" w:hAnsi="Arial Narrow"/>
                <w:sz w:val="20"/>
                <w:lang w:val="en-US"/>
              </w:rPr>
              <w:t xml:space="preserve">-10.5% </w:t>
            </w:r>
            <w:r w:rsidRPr="00D2185D">
              <w:rPr>
                <w:rFonts w:ascii="Arial Narrow" w:hAnsi="Arial Narrow"/>
                <w:sz w:val="20"/>
                <w:lang w:val="en-US"/>
              </w:rPr>
              <w:t xml:space="preserve">on stable </w:t>
            </w:r>
            <w:r w:rsidRPr="00D2185D">
              <w:rPr>
                <w:rFonts w:ascii="Arial Narrow" w:hAnsi="Arial Narrow"/>
                <w:sz w:val="20"/>
              </w:rPr>
              <w:t xml:space="preserve">MET </w:t>
            </w:r>
            <w:r w:rsidRPr="00D2185D">
              <w:rPr>
                <w:rFonts w:ascii="Arial Narrow" w:hAnsi="Arial Narrow"/>
                <w:sz w:val="20"/>
                <w:lang w:val="en-US"/>
              </w:rPr>
              <w:t>dose ≥1500mg/day and maxim</w:t>
            </w:r>
            <w:r>
              <w:rPr>
                <w:rFonts w:ascii="Arial Narrow" w:hAnsi="Arial Narrow"/>
                <w:sz w:val="20"/>
                <w:lang w:val="en-US"/>
              </w:rPr>
              <w:t>um tolerated</w:t>
            </w:r>
            <w:r w:rsidRPr="00D2185D">
              <w:rPr>
                <w:rFonts w:ascii="Arial Narrow" w:hAnsi="Arial Narrow"/>
                <w:sz w:val="20"/>
                <w:lang w:val="en-US"/>
              </w:rPr>
              <w:t xml:space="preserve"> dose of SU</w:t>
            </w:r>
            <w:r>
              <w:rPr>
                <w:rFonts w:ascii="Arial Narrow" w:hAnsi="Arial Narrow"/>
                <w:sz w:val="20"/>
                <w:lang w:val="en-US"/>
              </w:rPr>
              <w:t xml:space="preserve"> (at least 50% of maximum dose)</w:t>
            </w:r>
          </w:p>
        </w:tc>
        <w:tc>
          <w:tcPr>
            <w:tcW w:w="949"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lang w:val="en-US"/>
              </w:rPr>
              <w:t xml:space="preserve">HbA1c </w:t>
            </w:r>
          </w:p>
        </w:tc>
      </w:tr>
      <w:tr w:rsidR="00FF6B3F" w:rsidRPr="00E2771E" w:rsidTr="005F186B">
        <w:tc>
          <w:tcPr>
            <w:tcW w:w="5000" w:type="pct"/>
            <w:gridSpan w:val="6"/>
            <w:shd w:val="clear" w:color="auto" w:fill="auto"/>
            <w:vAlign w:val="center"/>
          </w:tcPr>
          <w:p w:rsidR="00FF6B3F" w:rsidRPr="00E2771E" w:rsidRDefault="00FF6B3F" w:rsidP="004C5FCE">
            <w:pPr>
              <w:keepNext/>
              <w:keepLines/>
              <w:widowControl/>
              <w:contextualSpacing/>
              <w:jc w:val="left"/>
              <w:rPr>
                <w:rFonts w:ascii="Arial Narrow" w:hAnsi="Arial Narrow"/>
                <w:b/>
                <w:sz w:val="20"/>
                <w:szCs w:val="16"/>
                <w:lang w:val="en-US"/>
              </w:rPr>
            </w:pPr>
            <w:r>
              <w:rPr>
                <w:rFonts w:ascii="Arial Narrow" w:hAnsi="Arial Narrow"/>
                <w:b/>
                <w:sz w:val="20"/>
              </w:rPr>
              <w:t>I</w:t>
            </w:r>
            <w:r w:rsidRPr="00E574BA">
              <w:rPr>
                <w:rFonts w:ascii="Arial Narrow" w:hAnsi="Arial Narrow"/>
                <w:b/>
                <w:sz w:val="20"/>
              </w:rPr>
              <w:t xml:space="preserve">nsulin </w:t>
            </w:r>
            <w:r>
              <w:rPr>
                <w:rFonts w:ascii="Arial Narrow" w:hAnsi="Arial Narrow"/>
                <w:b/>
                <w:sz w:val="20"/>
              </w:rPr>
              <w:t>glargine vs</w:t>
            </w:r>
            <w:r w:rsidRPr="00E574BA">
              <w:rPr>
                <w:rFonts w:ascii="Arial Narrow" w:hAnsi="Arial Narrow"/>
                <w:b/>
                <w:sz w:val="20"/>
              </w:rPr>
              <w:t xml:space="preserve"> </w:t>
            </w:r>
            <w:r>
              <w:rPr>
                <w:rFonts w:ascii="Arial Narrow" w:hAnsi="Arial Narrow"/>
                <w:b/>
                <w:sz w:val="20"/>
              </w:rPr>
              <w:t>placebo</w:t>
            </w:r>
          </w:p>
        </w:tc>
      </w:tr>
      <w:tr w:rsidR="005F186B" w:rsidRPr="00E2771E" w:rsidTr="005F186B">
        <w:tc>
          <w:tcPr>
            <w:tcW w:w="431" w:type="pct"/>
            <w:shd w:val="clear" w:color="auto" w:fill="auto"/>
            <w:vAlign w:val="center"/>
          </w:tcPr>
          <w:p w:rsidR="005F186B" w:rsidRPr="00E574BA" w:rsidRDefault="005F186B" w:rsidP="004C5FCE">
            <w:pPr>
              <w:keepNext/>
              <w:keepLines/>
              <w:widowControl/>
              <w:contextualSpacing/>
              <w:jc w:val="left"/>
              <w:rPr>
                <w:rFonts w:ascii="Arial Narrow" w:hAnsi="Arial Narrow"/>
                <w:b/>
                <w:iCs/>
                <w:sz w:val="20"/>
                <w:lang w:val="en-US"/>
              </w:rPr>
            </w:pPr>
            <w:r>
              <w:rPr>
                <w:rFonts w:ascii="Arial Narrow" w:hAnsi="Arial Narrow"/>
                <w:b/>
                <w:iCs/>
                <w:sz w:val="20"/>
                <w:lang w:val="en-US"/>
              </w:rPr>
              <w:t>Russell-Jones 2009</w:t>
            </w:r>
          </w:p>
          <w:p w:rsidR="005F186B" w:rsidRPr="00E2771E" w:rsidRDefault="005F186B" w:rsidP="004C5FCE">
            <w:pPr>
              <w:keepNext/>
              <w:keepLines/>
              <w:widowControl/>
              <w:contextualSpacing/>
              <w:jc w:val="left"/>
              <w:rPr>
                <w:rFonts w:ascii="Arial Narrow" w:hAnsi="Arial Narrow"/>
                <w:sz w:val="20"/>
                <w:szCs w:val="16"/>
                <w:lang w:val="en-US"/>
              </w:rPr>
            </w:pPr>
          </w:p>
        </w:tc>
        <w:tc>
          <w:tcPr>
            <w:tcW w:w="688" w:type="pct"/>
            <w:shd w:val="clear" w:color="auto" w:fill="auto"/>
            <w:vAlign w:val="center"/>
          </w:tcPr>
          <w:p w:rsidR="005F186B" w:rsidRDefault="005F186B" w:rsidP="004C5FCE">
            <w:pPr>
              <w:keepNext/>
              <w:keepLines/>
              <w:widowControl/>
              <w:contextualSpacing/>
              <w:jc w:val="center"/>
              <w:rPr>
                <w:rFonts w:ascii="Arial Narrow" w:hAnsi="Arial Narrow"/>
                <w:sz w:val="20"/>
                <w:lang w:val="en-US"/>
              </w:rPr>
            </w:pPr>
            <w:r>
              <w:rPr>
                <w:rFonts w:ascii="Arial Narrow" w:hAnsi="Arial Narrow"/>
                <w:sz w:val="20"/>
                <w:lang w:val="en-US"/>
              </w:rPr>
              <w:t>581</w:t>
            </w:r>
          </w:p>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lang w:val="en-US"/>
              </w:rPr>
              <w:t>(n=349 for insulin glargine and placebo arms</w:t>
            </w:r>
          </w:p>
        </w:tc>
        <w:tc>
          <w:tcPr>
            <w:tcW w:w="1036" w:type="pct"/>
            <w:shd w:val="clear" w:color="auto" w:fill="auto"/>
            <w:vAlign w:val="center"/>
          </w:tcPr>
          <w:p w:rsidR="005F186B" w:rsidRDefault="005F186B"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R, MC 26 weeks</w:t>
            </w:r>
          </w:p>
          <w:p w:rsidR="00396F25" w:rsidRPr="00E2771E" w:rsidRDefault="00396F25"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OL for insulin glargine treatment arm</w:t>
            </w:r>
          </w:p>
        </w:tc>
        <w:tc>
          <w:tcPr>
            <w:tcW w:w="431"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Low</w:t>
            </w:r>
          </w:p>
        </w:tc>
        <w:tc>
          <w:tcPr>
            <w:tcW w:w="1465"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lang w:val="en-US"/>
              </w:rPr>
              <w:t>HbA1c 7.0-10</w:t>
            </w:r>
            <w:r w:rsidRPr="00E574BA">
              <w:rPr>
                <w:rFonts w:ascii="Arial Narrow" w:hAnsi="Arial Narrow"/>
                <w:sz w:val="20"/>
                <w:lang w:val="en-US"/>
              </w:rPr>
              <w:t xml:space="preserve">% on </w:t>
            </w:r>
            <w:r>
              <w:rPr>
                <w:rFonts w:ascii="Arial Narrow" w:hAnsi="Arial Narrow"/>
                <w:sz w:val="20"/>
                <w:lang w:val="en-US"/>
              </w:rPr>
              <w:t>oral glucose-lowering drug combination therapy (95% of trial population on combination therapy).</w:t>
            </w:r>
            <w:r w:rsidRPr="00E574BA">
              <w:rPr>
                <w:rFonts w:ascii="Arial Narrow" w:hAnsi="Arial Narrow"/>
                <w:sz w:val="20"/>
                <w:lang w:val="en-US"/>
              </w:rPr>
              <w:t xml:space="preserve">  </w:t>
            </w:r>
          </w:p>
        </w:tc>
        <w:tc>
          <w:tcPr>
            <w:tcW w:w="949"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lang w:val="en-US"/>
              </w:rPr>
              <w:t>HbA1c and weight</w:t>
            </w:r>
          </w:p>
        </w:tc>
      </w:tr>
      <w:tr w:rsidR="00FF6B3F" w:rsidRPr="00E2771E" w:rsidTr="005F186B">
        <w:tc>
          <w:tcPr>
            <w:tcW w:w="5000" w:type="pct"/>
            <w:gridSpan w:val="6"/>
            <w:shd w:val="clear" w:color="auto" w:fill="auto"/>
            <w:vAlign w:val="center"/>
          </w:tcPr>
          <w:p w:rsidR="00FF6B3F" w:rsidRPr="00E2771E" w:rsidRDefault="00FF6B3F" w:rsidP="004C5FCE">
            <w:pPr>
              <w:keepNext/>
              <w:keepLines/>
              <w:widowControl/>
              <w:contextualSpacing/>
              <w:jc w:val="left"/>
              <w:rPr>
                <w:rFonts w:ascii="Arial Narrow" w:hAnsi="Arial Narrow"/>
                <w:sz w:val="20"/>
                <w:szCs w:val="16"/>
                <w:lang w:val="en-US"/>
              </w:rPr>
            </w:pPr>
            <w:r>
              <w:rPr>
                <w:rFonts w:ascii="Arial Narrow" w:hAnsi="Arial Narrow"/>
                <w:b/>
                <w:sz w:val="20"/>
              </w:rPr>
              <w:t>Exenatide vs placebo</w:t>
            </w:r>
          </w:p>
        </w:tc>
      </w:tr>
      <w:tr w:rsidR="005F186B" w:rsidRPr="00E2771E" w:rsidTr="005F186B">
        <w:tc>
          <w:tcPr>
            <w:tcW w:w="431" w:type="pct"/>
            <w:shd w:val="clear" w:color="auto" w:fill="auto"/>
            <w:vAlign w:val="center"/>
          </w:tcPr>
          <w:p w:rsidR="005F186B" w:rsidRPr="00E574BA" w:rsidRDefault="005F186B" w:rsidP="004C5FCE">
            <w:pPr>
              <w:keepNext/>
              <w:keepLines/>
              <w:widowControl/>
              <w:contextualSpacing/>
              <w:jc w:val="left"/>
              <w:rPr>
                <w:rFonts w:ascii="Arial Narrow" w:hAnsi="Arial Narrow"/>
                <w:b/>
                <w:sz w:val="20"/>
              </w:rPr>
            </w:pPr>
            <w:r>
              <w:rPr>
                <w:rFonts w:ascii="Arial Narrow" w:hAnsi="Arial Narrow"/>
                <w:b/>
                <w:sz w:val="20"/>
              </w:rPr>
              <w:t>Trial 115</w:t>
            </w:r>
          </w:p>
          <w:p w:rsidR="005F186B" w:rsidRPr="00E2771E" w:rsidRDefault="005F186B" w:rsidP="004C5FCE">
            <w:pPr>
              <w:keepNext/>
              <w:keepLines/>
              <w:widowControl/>
              <w:contextualSpacing/>
              <w:jc w:val="left"/>
              <w:rPr>
                <w:rFonts w:ascii="Arial Narrow" w:hAnsi="Arial Narrow"/>
                <w:sz w:val="20"/>
                <w:szCs w:val="16"/>
                <w:lang w:val="en-US"/>
              </w:rPr>
            </w:pPr>
          </w:p>
        </w:tc>
        <w:tc>
          <w:tcPr>
            <w:tcW w:w="688" w:type="pct"/>
            <w:shd w:val="clear" w:color="auto" w:fill="auto"/>
            <w:vAlign w:val="center"/>
          </w:tcPr>
          <w:p w:rsidR="005F186B" w:rsidRDefault="005F186B" w:rsidP="004C5FCE">
            <w:pPr>
              <w:keepNext/>
              <w:keepLines/>
              <w:widowControl/>
              <w:contextualSpacing/>
              <w:jc w:val="center"/>
              <w:rPr>
                <w:rFonts w:ascii="Arial Narrow" w:hAnsi="Arial Narrow"/>
                <w:sz w:val="20"/>
                <w:szCs w:val="16"/>
                <w:lang w:val="en-US"/>
              </w:rPr>
            </w:pPr>
            <w:r w:rsidRPr="005F186B">
              <w:rPr>
                <w:rFonts w:ascii="Arial Narrow" w:hAnsi="Arial Narrow"/>
                <w:sz w:val="20"/>
                <w:szCs w:val="16"/>
                <w:lang w:val="en-US"/>
              </w:rPr>
              <w:t>734</w:t>
            </w:r>
          </w:p>
          <w:p w:rsidR="00FF7E67" w:rsidRPr="00E2771E" w:rsidRDefault="00FF7E67"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(n=488 for exen 10mcg and placebo arms)</w:t>
            </w:r>
          </w:p>
        </w:tc>
        <w:tc>
          <w:tcPr>
            <w:tcW w:w="1036"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R, DB, MC 30 weeks</w:t>
            </w:r>
          </w:p>
        </w:tc>
        <w:tc>
          <w:tcPr>
            <w:tcW w:w="431"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szCs w:val="16"/>
                <w:lang w:val="en-US"/>
              </w:rPr>
              <w:t>Low</w:t>
            </w:r>
          </w:p>
        </w:tc>
        <w:tc>
          <w:tcPr>
            <w:tcW w:w="1465"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sidRPr="00FF6B3F">
              <w:rPr>
                <w:rFonts w:ascii="Arial Narrow" w:hAnsi="Arial Narrow"/>
                <w:sz w:val="20"/>
                <w:szCs w:val="16"/>
                <w:lang w:val="en-US"/>
              </w:rPr>
              <w:t xml:space="preserve">HbA1c 7.5-11% </w:t>
            </w:r>
            <w:r w:rsidRPr="00D2185D">
              <w:rPr>
                <w:rFonts w:ascii="Arial Narrow" w:hAnsi="Arial Narrow"/>
                <w:sz w:val="20"/>
                <w:lang w:val="en-US"/>
              </w:rPr>
              <w:t xml:space="preserve">on stable </w:t>
            </w:r>
            <w:r w:rsidRPr="00D2185D">
              <w:rPr>
                <w:rFonts w:ascii="Arial Narrow" w:hAnsi="Arial Narrow"/>
                <w:sz w:val="20"/>
              </w:rPr>
              <w:t xml:space="preserve">MET </w:t>
            </w:r>
            <w:r w:rsidRPr="00D2185D">
              <w:rPr>
                <w:rFonts w:ascii="Arial Narrow" w:hAnsi="Arial Narrow"/>
                <w:sz w:val="20"/>
                <w:lang w:val="en-US"/>
              </w:rPr>
              <w:t>dose ≥1500mg/day and maximally effective dose of SU</w:t>
            </w:r>
          </w:p>
        </w:tc>
        <w:tc>
          <w:tcPr>
            <w:tcW w:w="949" w:type="pct"/>
            <w:shd w:val="clear" w:color="auto" w:fill="auto"/>
            <w:vAlign w:val="center"/>
          </w:tcPr>
          <w:p w:rsidR="005F186B" w:rsidRPr="00E2771E" w:rsidRDefault="005F186B" w:rsidP="004C5FCE">
            <w:pPr>
              <w:keepNext/>
              <w:keepLines/>
              <w:widowControl/>
              <w:contextualSpacing/>
              <w:jc w:val="center"/>
              <w:rPr>
                <w:rFonts w:ascii="Arial Narrow" w:hAnsi="Arial Narrow"/>
                <w:sz w:val="20"/>
                <w:szCs w:val="16"/>
                <w:lang w:val="en-US"/>
              </w:rPr>
            </w:pPr>
            <w:r>
              <w:rPr>
                <w:rFonts w:ascii="Arial Narrow" w:hAnsi="Arial Narrow"/>
                <w:sz w:val="20"/>
                <w:lang w:val="en-US"/>
              </w:rPr>
              <w:t xml:space="preserve">HbA1c </w:t>
            </w:r>
          </w:p>
        </w:tc>
      </w:tr>
    </w:tbl>
    <w:p w:rsidR="00FF6B3F" w:rsidRDefault="00FF6B3F" w:rsidP="004C5FCE">
      <w:pPr>
        <w:pStyle w:val="TableFooter"/>
        <w:keepNext/>
        <w:keepLines/>
        <w:widowControl/>
        <w:ind w:firstLine="720"/>
      </w:pPr>
      <w:r>
        <w:t>Source: Compiled during the evaluation</w:t>
      </w:r>
      <w:r w:rsidRPr="009A6831">
        <w:t xml:space="preserve"> </w:t>
      </w:r>
    </w:p>
    <w:p w:rsidR="00FF6B3F" w:rsidRPr="00D13A3E" w:rsidRDefault="00FF6B3F" w:rsidP="004C5FCE">
      <w:pPr>
        <w:pStyle w:val="TableFooter"/>
        <w:keepNext/>
        <w:keepLines/>
        <w:widowControl/>
        <w:ind w:left="720"/>
      </w:pPr>
      <w:r>
        <w:t xml:space="preserve">Abbreviation: </w:t>
      </w:r>
      <w:r w:rsidRPr="009A6831">
        <w:t xml:space="preserve">DB=double blind; MC=multi-centre; OL=open label; </w:t>
      </w:r>
      <w:r w:rsidRPr="00D13A3E">
        <w:t>R=randomised</w:t>
      </w:r>
    </w:p>
    <w:p w:rsidR="007F1017" w:rsidRDefault="007F1017" w:rsidP="004C5FCE">
      <w:pPr>
        <w:widowControl/>
      </w:pPr>
    </w:p>
    <w:p w:rsidR="00132398" w:rsidRPr="00DA143A" w:rsidRDefault="00132398" w:rsidP="004C5FCE">
      <w:pPr>
        <w:pStyle w:val="ListParagraph"/>
        <w:widowControl/>
        <w:numPr>
          <w:ilvl w:val="1"/>
          <w:numId w:val="1"/>
        </w:numPr>
        <w:rPr>
          <w:szCs w:val="22"/>
        </w:rPr>
      </w:pPr>
      <w:r w:rsidRPr="00DA143A">
        <w:rPr>
          <w:szCs w:val="22"/>
        </w:rPr>
        <w:t xml:space="preserve">Differences were noted in SU doses administered within </w:t>
      </w:r>
      <w:r w:rsidR="002724FB" w:rsidRPr="00DA143A">
        <w:rPr>
          <w:szCs w:val="22"/>
        </w:rPr>
        <w:t xml:space="preserve">and between </w:t>
      </w:r>
      <w:r w:rsidRPr="00DA143A">
        <w:rPr>
          <w:szCs w:val="22"/>
        </w:rPr>
        <w:t>trials</w:t>
      </w:r>
      <w:r w:rsidR="002724FB" w:rsidRPr="00DA143A">
        <w:rPr>
          <w:szCs w:val="22"/>
        </w:rPr>
        <w:t>. H</w:t>
      </w:r>
      <w:r w:rsidRPr="00DA143A">
        <w:rPr>
          <w:szCs w:val="22"/>
        </w:rPr>
        <w:t xml:space="preserve">igher doses </w:t>
      </w:r>
      <w:r w:rsidR="002724FB" w:rsidRPr="00DA143A">
        <w:rPr>
          <w:szCs w:val="22"/>
        </w:rPr>
        <w:t xml:space="preserve">were </w:t>
      </w:r>
      <w:r w:rsidRPr="00DA143A">
        <w:rPr>
          <w:szCs w:val="22"/>
        </w:rPr>
        <w:t>administered in the placebo compared with active treatment arm</w:t>
      </w:r>
      <w:r w:rsidR="002724FB" w:rsidRPr="00DA143A">
        <w:rPr>
          <w:szCs w:val="22"/>
        </w:rPr>
        <w:t>s</w:t>
      </w:r>
      <w:r w:rsidRPr="00DA143A">
        <w:rPr>
          <w:szCs w:val="22"/>
        </w:rPr>
        <w:t xml:space="preserve"> in Trial</w:t>
      </w:r>
      <w:r w:rsidR="00324805" w:rsidRPr="00DA143A">
        <w:rPr>
          <w:szCs w:val="22"/>
        </w:rPr>
        <w:t> </w:t>
      </w:r>
      <w:r w:rsidRPr="00DA143A">
        <w:rPr>
          <w:szCs w:val="22"/>
        </w:rPr>
        <w:t>115 and Russell-Jones</w:t>
      </w:r>
      <w:r w:rsidR="002724FB" w:rsidRPr="00DA143A">
        <w:rPr>
          <w:szCs w:val="22"/>
        </w:rPr>
        <w:t xml:space="preserve"> 2009</w:t>
      </w:r>
      <w:r w:rsidRPr="00DA143A">
        <w:rPr>
          <w:szCs w:val="22"/>
        </w:rPr>
        <w:t xml:space="preserve">, but comparable doses </w:t>
      </w:r>
      <w:r w:rsidR="002724FB" w:rsidRPr="00DA143A">
        <w:rPr>
          <w:szCs w:val="22"/>
        </w:rPr>
        <w:t xml:space="preserve">were </w:t>
      </w:r>
      <w:r w:rsidRPr="00DA143A">
        <w:rPr>
          <w:szCs w:val="22"/>
        </w:rPr>
        <w:t>administered in the placebo compared with active treatment arm in CT005.</w:t>
      </w:r>
    </w:p>
    <w:p w:rsidR="00132398" w:rsidRPr="00DA143A" w:rsidRDefault="00132398" w:rsidP="004C5FCE">
      <w:pPr>
        <w:pStyle w:val="ListParagraph"/>
        <w:widowControl/>
        <w:rPr>
          <w:szCs w:val="22"/>
        </w:rPr>
      </w:pPr>
    </w:p>
    <w:p w:rsidR="00806ECF" w:rsidRPr="00DA143A" w:rsidRDefault="008568E8" w:rsidP="004C5FCE">
      <w:pPr>
        <w:pStyle w:val="ListParagraph"/>
        <w:widowControl/>
        <w:rPr>
          <w:szCs w:val="22"/>
        </w:rPr>
      </w:pPr>
      <w:r w:rsidRPr="00DA143A">
        <w:rPr>
          <w:szCs w:val="22"/>
        </w:rPr>
        <w:t xml:space="preserve">The </w:t>
      </w:r>
      <w:r w:rsidR="00F13117" w:rsidRPr="00DA143A">
        <w:rPr>
          <w:szCs w:val="22"/>
        </w:rPr>
        <w:t xml:space="preserve">trials </w:t>
      </w:r>
      <w:r w:rsidR="006E2730">
        <w:rPr>
          <w:szCs w:val="22"/>
        </w:rPr>
        <w:t>included</w:t>
      </w:r>
      <w:r w:rsidR="00F13117" w:rsidRPr="00DA143A">
        <w:rPr>
          <w:szCs w:val="22"/>
        </w:rPr>
        <w:t xml:space="preserve"> in the </w:t>
      </w:r>
      <w:r w:rsidRPr="00DA143A">
        <w:rPr>
          <w:szCs w:val="22"/>
        </w:rPr>
        <w:t>indir</w:t>
      </w:r>
      <w:r w:rsidR="009E1ACC" w:rsidRPr="00DA143A">
        <w:rPr>
          <w:szCs w:val="22"/>
        </w:rPr>
        <w:t>ect comparison</w:t>
      </w:r>
      <w:r w:rsidR="00A97475" w:rsidRPr="00DA143A">
        <w:rPr>
          <w:szCs w:val="22"/>
        </w:rPr>
        <w:t>s</w:t>
      </w:r>
      <w:r w:rsidR="009E1ACC" w:rsidRPr="00DA143A">
        <w:rPr>
          <w:szCs w:val="22"/>
        </w:rPr>
        <w:t xml:space="preserve"> </w:t>
      </w:r>
      <w:r w:rsidR="002724FB" w:rsidRPr="00DA143A">
        <w:rPr>
          <w:szCs w:val="22"/>
        </w:rPr>
        <w:t xml:space="preserve">also </w:t>
      </w:r>
      <w:r w:rsidR="00F13117" w:rsidRPr="00DA143A">
        <w:rPr>
          <w:szCs w:val="22"/>
        </w:rPr>
        <w:t xml:space="preserve">differed with respect to: </w:t>
      </w:r>
    </w:p>
    <w:p w:rsidR="00806ECF" w:rsidRPr="00DA143A" w:rsidRDefault="009E1ACC" w:rsidP="004C5FCE">
      <w:pPr>
        <w:pStyle w:val="ListParagraph"/>
        <w:widowControl/>
        <w:numPr>
          <w:ilvl w:val="0"/>
          <w:numId w:val="5"/>
        </w:numPr>
        <w:ind w:left="993" w:hanging="284"/>
        <w:rPr>
          <w:szCs w:val="22"/>
        </w:rPr>
      </w:pPr>
      <w:r w:rsidRPr="00DA143A">
        <w:rPr>
          <w:szCs w:val="22"/>
        </w:rPr>
        <w:t xml:space="preserve">MET doses </w:t>
      </w:r>
      <w:r w:rsidR="00132398" w:rsidRPr="00DA143A">
        <w:rPr>
          <w:szCs w:val="22"/>
        </w:rPr>
        <w:t>(</w:t>
      </w:r>
      <w:r w:rsidRPr="00DA143A">
        <w:rPr>
          <w:szCs w:val="22"/>
        </w:rPr>
        <w:t>due to different starting doses and dose titration protocols</w:t>
      </w:r>
      <w:r w:rsidR="00132398" w:rsidRPr="00DA143A">
        <w:rPr>
          <w:szCs w:val="22"/>
        </w:rPr>
        <w:t>)</w:t>
      </w:r>
      <w:r w:rsidR="00F13117" w:rsidRPr="00DA143A">
        <w:rPr>
          <w:szCs w:val="22"/>
        </w:rPr>
        <w:t>;</w:t>
      </w:r>
      <w:r w:rsidRPr="00DA143A">
        <w:rPr>
          <w:szCs w:val="22"/>
        </w:rPr>
        <w:t xml:space="preserve"> </w:t>
      </w:r>
    </w:p>
    <w:p w:rsidR="00B90AA3" w:rsidRPr="00DA143A" w:rsidRDefault="00B90AA3" w:rsidP="004C5FCE">
      <w:pPr>
        <w:pStyle w:val="ListParagraph"/>
        <w:widowControl/>
        <w:numPr>
          <w:ilvl w:val="0"/>
          <w:numId w:val="5"/>
        </w:numPr>
        <w:ind w:left="993" w:hanging="284"/>
        <w:rPr>
          <w:szCs w:val="22"/>
        </w:rPr>
      </w:pPr>
      <w:r w:rsidRPr="00DA143A">
        <w:rPr>
          <w:szCs w:val="22"/>
        </w:rPr>
        <w:t>baseline characteristics, especially HbA1c</w:t>
      </w:r>
      <w:r w:rsidR="00F13117" w:rsidRPr="00DA143A">
        <w:rPr>
          <w:szCs w:val="22"/>
        </w:rPr>
        <w:t>;</w:t>
      </w:r>
      <w:r w:rsidRPr="00DA143A">
        <w:rPr>
          <w:szCs w:val="22"/>
        </w:rPr>
        <w:t xml:space="preserve"> </w:t>
      </w:r>
    </w:p>
    <w:p w:rsidR="00B73813" w:rsidRPr="00DA143A" w:rsidRDefault="00B73813" w:rsidP="004C5FCE">
      <w:pPr>
        <w:pStyle w:val="ListParagraph"/>
        <w:widowControl/>
        <w:numPr>
          <w:ilvl w:val="0"/>
          <w:numId w:val="5"/>
        </w:numPr>
        <w:ind w:left="993" w:hanging="284"/>
        <w:rPr>
          <w:szCs w:val="22"/>
        </w:rPr>
      </w:pPr>
      <w:r w:rsidRPr="00DA143A">
        <w:rPr>
          <w:szCs w:val="22"/>
        </w:rPr>
        <w:t>trial duration</w:t>
      </w:r>
      <w:r w:rsidR="00F13117" w:rsidRPr="00DA143A">
        <w:rPr>
          <w:szCs w:val="22"/>
        </w:rPr>
        <w:t xml:space="preserve"> (ranging from 24-30 weeks); and</w:t>
      </w:r>
    </w:p>
    <w:p w:rsidR="00F13117" w:rsidRPr="00DA143A" w:rsidRDefault="00F13117" w:rsidP="004C5FCE">
      <w:pPr>
        <w:pStyle w:val="ListParagraph"/>
        <w:widowControl/>
        <w:numPr>
          <w:ilvl w:val="0"/>
          <w:numId w:val="5"/>
        </w:numPr>
        <w:ind w:left="993" w:hanging="284"/>
        <w:rPr>
          <w:szCs w:val="22"/>
        </w:rPr>
      </w:pPr>
      <w:r w:rsidRPr="00DA143A">
        <w:rPr>
          <w:szCs w:val="22"/>
        </w:rPr>
        <w:t xml:space="preserve">HbA1c changes from baseline </w:t>
      </w:r>
      <w:r w:rsidR="00132398" w:rsidRPr="00DA143A">
        <w:rPr>
          <w:szCs w:val="22"/>
        </w:rPr>
        <w:t xml:space="preserve">in the placebo arm </w:t>
      </w:r>
      <w:r w:rsidRPr="00DA143A">
        <w:rPr>
          <w:szCs w:val="22"/>
        </w:rPr>
        <w:t xml:space="preserve">between the three trials. </w:t>
      </w:r>
    </w:p>
    <w:p w:rsidR="00324805" w:rsidRPr="00DA143A" w:rsidRDefault="00132398" w:rsidP="004C5FCE">
      <w:pPr>
        <w:widowControl/>
        <w:ind w:left="709"/>
        <w:rPr>
          <w:szCs w:val="22"/>
        </w:rPr>
      </w:pPr>
      <w:r w:rsidRPr="00DA143A">
        <w:rPr>
          <w:szCs w:val="22"/>
        </w:rPr>
        <w:t>The differences between trials were more appare</w:t>
      </w:r>
      <w:r w:rsidR="002724FB" w:rsidRPr="00DA143A">
        <w:rPr>
          <w:szCs w:val="22"/>
        </w:rPr>
        <w:t>nt for the CT005 and 115 trials, suggesting that the trials are not exchangeable and that the indirect comparison of dapagliflozin and exenatide may not be valid.</w:t>
      </w:r>
      <w:r w:rsidRPr="00DA143A">
        <w:rPr>
          <w:szCs w:val="22"/>
        </w:rPr>
        <w:t xml:space="preserve"> </w:t>
      </w:r>
    </w:p>
    <w:p w:rsidR="00324805" w:rsidRDefault="00324805" w:rsidP="004C5FCE">
      <w:pPr>
        <w:widowControl/>
        <w:ind w:left="709"/>
        <w:rPr>
          <w:i/>
          <w:szCs w:val="22"/>
        </w:rPr>
      </w:pPr>
    </w:p>
    <w:p w:rsidR="00B24BD6" w:rsidRDefault="00132398" w:rsidP="004C5FCE">
      <w:pPr>
        <w:pStyle w:val="ListParagraph"/>
        <w:widowControl/>
        <w:numPr>
          <w:ilvl w:val="1"/>
          <w:numId w:val="1"/>
        </w:numPr>
        <w:rPr>
          <w:i/>
          <w:szCs w:val="22"/>
        </w:rPr>
      </w:pPr>
      <w:r w:rsidRPr="00B24BD6">
        <w:rPr>
          <w:szCs w:val="22"/>
        </w:rPr>
        <w:t xml:space="preserve">The submission attempted to adjust for these differences by conducting </w:t>
      </w:r>
      <w:r w:rsidR="002724FB" w:rsidRPr="00B24BD6">
        <w:rPr>
          <w:szCs w:val="22"/>
        </w:rPr>
        <w:t xml:space="preserve">two </w:t>
      </w:r>
      <w:r w:rsidRPr="00B24BD6">
        <w:rPr>
          <w:szCs w:val="22"/>
        </w:rPr>
        <w:t xml:space="preserve">sensitivity analyses using </w:t>
      </w:r>
      <w:r w:rsidR="002724FB" w:rsidRPr="00B24BD6">
        <w:rPr>
          <w:szCs w:val="22"/>
        </w:rPr>
        <w:t>alternative data from Trial 115</w:t>
      </w:r>
      <w:r w:rsidR="00B24BD6" w:rsidRPr="00B24BD6">
        <w:rPr>
          <w:szCs w:val="22"/>
        </w:rPr>
        <w:t>:</w:t>
      </w:r>
    </w:p>
    <w:p w:rsidR="00B24BD6" w:rsidRPr="00B24BD6" w:rsidRDefault="008842FA" w:rsidP="004C5FCE">
      <w:pPr>
        <w:pStyle w:val="ListParagraph"/>
        <w:widowControl/>
        <w:numPr>
          <w:ilvl w:val="0"/>
          <w:numId w:val="5"/>
        </w:numPr>
        <w:ind w:left="1134" w:hanging="425"/>
        <w:rPr>
          <w:i/>
          <w:szCs w:val="22"/>
        </w:rPr>
      </w:pPr>
      <w:r>
        <w:rPr>
          <w:szCs w:val="22"/>
        </w:rPr>
        <w:t>‘</w:t>
      </w:r>
      <w:r w:rsidR="00B24BD6">
        <w:rPr>
          <w:szCs w:val="22"/>
        </w:rPr>
        <w:t>24; ITT</w:t>
      </w:r>
      <w:r>
        <w:rPr>
          <w:szCs w:val="22"/>
        </w:rPr>
        <w:t>’</w:t>
      </w:r>
      <w:r w:rsidR="00B24BD6">
        <w:rPr>
          <w:szCs w:val="22"/>
        </w:rPr>
        <w:t xml:space="preserve">: </w:t>
      </w:r>
      <w:r w:rsidR="00B24BD6" w:rsidRPr="00B73813">
        <w:rPr>
          <w:szCs w:val="22"/>
        </w:rPr>
        <w:t xml:space="preserve">The results at 24 weeks (rather than 30 weeks) so that the duration of treatment </w:t>
      </w:r>
      <w:r w:rsidR="00B24BD6">
        <w:rPr>
          <w:szCs w:val="22"/>
        </w:rPr>
        <w:t>wa</w:t>
      </w:r>
      <w:r w:rsidR="00B24BD6" w:rsidRPr="00B73813">
        <w:rPr>
          <w:szCs w:val="22"/>
        </w:rPr>
        <w:t xml:space="preserve">s the </w:t>
      </w:r>
      <w:r w:rsidR="00B24BD6">
        <w:rPr>
          <w:szCs w:val="22"/>
        </w:rPr>
        <w:t xml:space="preserve">same as the dapagliflozin trial; and </w:t>
      </w:r>
    </w:p>
    <w:p w:rsidR="00B24BD6" w:rsidRPr="00DA143A" w:rsidRDefault="008842FA" w:rsidP="004C5FCE">
      <w:pPr>
        <w:pStyle w:val="ListParagraph"/>
        <w:widowControl/>
        <w:numPr>
          <w:ilvl w:val="0"/>
          <w:numId w:val="5"/>
        </w:numPr>
        <w:ind w:left="1134" w:hanging="425"/>
        <w:rPr>
          <w:szCs w:val="22"/>
        </w:rPr>
      </w:pPr>
      <w:r>
        <w:rPr>
          <w:szCs w:val="22"/>
        </w:rPr>
        <w:t>‘</w:t>
      </w:r>
      <w:r w:rsidR="00B24BD6">
        <w:rPr>
          <w:szCs w:val="22"/>
        </w:rPr>
        <w:t>30 Max SU</w:t>
      </w:r>
      <w:r>
        <w:rPr>
          <w:szCs w:val="22"/>
        </w:rPr>
        <w:t>’</w:t>
      </w:r>
      <w:r w:rsidR="00B24BD6">
        <w:rPr>
          <w:szCs w:val="22"/>
        </w:rPr>
        <w:t xml:space="preserve">: </w:t>
      </w:r>
      <w:r w:rsidR="00B24BD6" w:rsidRPr="005852A1">
        <w:rPr>
          <w:szCs w:val="22"/>
        </w:rPr>
        <w:t xml:space="preserve">Patients who took the maximally effective dose of sulfonylurea, </w:t>
      </w:r>
      <w:r w:rsidR="00B24BD6">
        <w:rPr>
          <w:szCs w:val="22"/>
        </w:rPr>
        <w:t xml:space="preserve">which was </w:t>
      </w:r>
      <w:r w:rsidR="00B24BD6" w:rsidRPr="005852A1">
        <w:rPr>
          <w:szCs w:val="22"/>
        </w:rPr>
        <w:t xml:space="preserve">a pre-specified subgroup in the trial. The submission </w:t>
      </w:r>
      <w:r w:rsidR="00B24BD6">
        <w:rPr>
          <w:szCs w:val="22"/>
        </w:rPr>
        <w:t>stated</w:t>
      </w:r>
      <w:r w:rsidR="00B24BD6" w:rsidRPr="005852A1">
        <w:rPr>
          <w:szCs w:val="22"/>
        </w:rPr>
        <w:t xml:space="preserve"> that the dosing of SU in the Max</w:t>
      </w:r>
      <w:r>
        <w:rPr>
          <w:szCs w:val="22"/>
        </w:rPr>
        <w:t xml:space="preserve"> SU</w:t>
      </w:r>
      <w:r w:rsidR="00B24BD6" w:rsidRPr="005852A1">
        <w:rPr>
          <w:szCs w:val="22"/>
        </w:rPr>
        <w:t xml:space="preserve"> subgroup is more reflective of Australian treatment patterns, and is similar to the mean SU dose in Trial CT005.</w:t>
      </w:r>
      <w:r w:rsidR="005C2BD2">
        <w:rPr>
          <w:i/>
          <w:szCs w:val="22"/>
        </w:rPr>
        <w:t xml:space="preserve"> </w:t>
      </w:r>
      <w:r w:rsidR="005C2BD2" w:rsidRPr="00DA143A">
        <w:rPr>
          <w:szCs w:val="22"/>
        </w:rPr>
        <w:t xml:space="preserve">However, </w:t>
      </w:r>
      <w:r w:rsidR="00B24BD6" w:rsidRPr="00DA143A">
        <w:rPr>
          <w:szCs w:val="22"/>
        </w:rPr>
        <w:t>SU dosing</w:t>
      </w:r>
      <w:r w:rsidR="005C2BD2" w:rsidRPr="00DA143A">
        <w:rPr>
          <w:szCs w:val="22"/>
        </w:rPr>
        <w:t xml:space="preserve"> variation</w:t>
      </w:r>
      <w:r w:rsidR="00B24BD6" w:rsidRPr="00DA143A">
        <w:rPr>
          <w:szCs w:val="22"/>
        </w:rPr>
        <w:t xml:space="preserve"> remained</w:t>
      </w:r>
      <w:r w:rsidR="005C2BD2" w:rsidRPr="00DA143A">
        <w:rPr>
          <w:szCs w:val="22"/>
        </w:rPr>
        <w:t xml:space="preserve"> within trial</w:t>
      </w:r>
      <w:r w:rsidR="00B24BD6" w:rsidRPr="00DA143A">
        <w:rPr>
          <w:szCs w:val="22"/>
        </w:rPr>
        <w:t>.</w:t>
      </w:r>
    </w:p>
    <w:p w:rsidR="00B24BD6" w:rsidRPr="00DA143A" w:rsidRDefault="00B24BD6" w:rsidP="004C5FCE">
      <w:pPr>
        <w:pStyle w:val="ListParagraph"/>
        <w:widowControl/>
        <w:rPr>
          <w:szCs w:val="22"/>
        </w:rPr>
      </w:pPr>
      <w:r w:rsidRPr="00DA143A">
        <w:rPr>
          <w:szCs w:val="22"/>
        </w:rPr>
        <w:t>The large differences in placebo response also remained with both these analyses. These differences impact on the interpretation of the results and may preclude a meaningful indirect comparison with exenatide.</w:t>
      </w:r>
    </w:p>
    <w:p w:rsidR="00132398" w:rsidRPr="00B24BD6" w:rsidRDefault="00132398" w:rsidP="004C5FCE">
      <w:pPr>
        <w:widowControl/>
        <w:ind w:left="709"/>
        <w:rPr>
          <w:i/>
          <w:szCs w:val="22"/>
        </w:rPr>
      </w:pPr>
    </w:p>
    <w:p w:rsidR="00C31D56" w:rsidRPr="00C31D56" w:rsidRDefault="00B90AA3" w:rsidP="004C5FCE">
      <w:pPr>
        <w:pStyle w:val="ListParagraph"/>
        <w:widowControl/>
        <w:numPr>
          <w:ilvl w:val="1"/>
          <w:numId w:val="1"/>
        </w:numPr>
        <w:rPr>
          <w:i/>
        </w:rPr>
      </w:pPr>
      <w:r w:rsidRPr="00B51629">
        <w:t>The submission use</w:t>
      </w:r>
      <w:r>
        <w:t>d</w:t>
      </w:r>
      <w:r w:rsidRPr="00B51629">
        <w:t xml:space="preserve"> a non-inferiority margin of 0.5% change in HbA1c for the indirect comparison. The PBAC</w:t>
      </w:r>
      <w:r>
        <w:t xml:space="preserve"> and international regulatory agencies </w:t>
      </w:r>
      <w:r w:rsidRPr="00B51629">
        <w:t>ha</w:t>
      </w:r>
      <w:r>
        <w:t>ve</w:t>
      </w:r>
      <w:r w:rsidRPr="00B51629">
        <w:t xml:space="preserve"> generally accepted non-inferiority margins for HbA1c </w:t>
      </w:r>
      <w:r w:rsidR="00701A4F">
        <w:t>of</w:t>
      </w:r>
      <w:r w:rsidRPr="00B51629">
        <w:t xml:space="preserve"> 0.3% </w:t>
      </w:r>
      <w:r w:rsidR="00701A4F">
        <w:t>and/or</w:t>
      </w:r>
      <w:r w:rsidRPr="00B51629">
        <w:t xml:space="preserve"> 0.4%</w:t>
      </w:r>
      <w:r>
        <w:t xml:space="preserve">. </w:t>
      </w:r>
      <w:r w:rsidRPr="00DA143A">
        <w:t xml:space="preserve">The evaluation considered that the submission’s use of a higher non-inferiority margin was not adequately </w:t>
      </w:r>
      <w:r w:rsidR="00701A4F" w:rsidRPr="00DA143A">
        <w:t>justifi</w:t>
      </w:r>
      <w:r w:rsidRPr="00DA143A">
        <w:t>ed.</w:t>
      </w:r>
    </w:p>
    <w:p w:rsidR="00C31D56" w:rsidRPr="00C31D56" w:rsidRDefault="00C31D56" w:rsidP="004C5FCE">
      <w:pPr>
        <w:pStyle w:val="ListParagraph"/>
        <w:widowControl/>
        <w:rPr>
          <w:i/>
        </w:rPr>
      </w:pPr>
    </w:p>
    <w:p w:rsidR="0005485C" w:rsidRDefault="00D17774" w:rsidP="00044F3B">
      <w:pPr>
        <w:pStyle w:val="ListParagraph"/>
        <w:widowControl/>
        <w:numPr>
          <w:ilvl w:val="1"/>
          <w:numId w:val="1"/>
        </w:numPr>
      </w:pPr>
      <w:r w:rsidRPr="00BC1D5F">
        <w:t xml:space="preserve">The ESC </w:t>
      </w:r>
      <w:r w:rsidR="00C31D56" w:rsidRPr="00BC1D5F">
        <w:t xml:space="preserve">considered that a non-inferiority margin of 0.5% change in HbA1c was not appropriate </w:t>
      </w:r>
      <w:r w:rsidR="0005485C" w:rsidRPr="00BC1D5F">
        <w:t>because changes in HbA1c of greater that 0.4% may lead to clinically important differences</w:t>
      </w:r>
      <w:r w:rsidR="00844491" w:rsidRPr="00BC1D5F">
        <w:t xml:space="preserve"> in patient outcomes</w:t>
      </w:r>
      <w:r w:rsidR="0005485C" w:rsidRPr="00BC1D5F">
        <w:t>. The ESC further</w:t>
      </w:r>
      <w:r w:rsidR="00C31D56" w:rsidRPr="00BC1D5F">
        <w:t xml:space="preserve"> noted that the PBAC has generally accepted non-inferiority margins between 0.3% and 0.4%, and has not previously accepted a non-inferiority margin of 0.5% </w:t>
      </w:r>
      <w:r w:rsidR="00325CB1" w:rsidRPr="00BC1D5F">
        <w:t xml:space="preserve">change in HbA1c </w:t>
      </w:r>
      <w:r w:rsidR="006E2730" w:rsidRPr="00BC1D5F">
        <w:t>for</w:t>
      </w:r>
      <w:r w:rsidR="00C31D56" w:rsidRPr="00BC1D5F">
        <w:t xml:space="preserve"> the primary analysis of a submission. The ESC considered that </w:t>
      </w:r>
      <w:r w:rsidR="0005485C" w:rsidRPr="00BC1D5F">
        <w:t xml:space="preserve">it may be clinically inappropriate to accept </w:t>
      </w:r>
      <w:r w:rsidR="00C31D56" w:rsidRPr="00BC1D5F">
        <w:t xml:space="preserve">a </w:t>
      </w:r>
      <w:r w:rsidRPr="00BC1D5F">
        <w:t xml:space="preserve">non-inferiority margin of </w:t>
      </w:r>
      <w:r w:rsidR="0005485C" w:rsidRPr="00BC1D5F">
        <w:t>greater than</w:t>
      </w:r>
      <w:r w:rsidR="00C705DA" w:rsidRPr="00BC1D5F">
        <w:t xml:space="preserve"> </w:t>
      </w:r>
      <w:r w:rsidRPr="00BC1D5F">
        <w:t xml:space="preserve">0.4% </w:t>
      </w:r>
      <w:r w:rsidR="00C705DA" w:rsidRPr="00BC1D5F">
        <w:t>change in HbA1c</w:t>
      </w:r>
      <w:r w:rsidR="0005485C" w:rsidRPr="00BC1D5F">
        <w:t>.</w:t>
      </w:r>
      <w:r w:rsidR="00D921F1" w:rsidRPr="00BC1D5F">
        <w:t xml:space="preserve"> The ESC noted that the heterogeneity between the trials </w:t>
      </w:r>
      <w:r w:rsidR="001941A0" w:rsidRPr="00BC1D5F">
        <w:t xml:space="preserve">used in the indirect comparison </w:t>
      </w:r>
      <w:r w:rsidR="00D921F1" w:rsidRPr="00BC1D5F">
        <w:t>would affect the precision of the estimate of change in HbA1c, but noted that it was difficult to determine the magnitude and direction of any bias.</w:t>
      </w:r>
      <w:r w:rsidR="0005485C" w:rsidRPr="00BC1D5F">
        <w:t xml:space="preserve"> </w:t>
      </w:r>
    </w:p>
    <w:p w:rsidR="00143390" w:rsidRDefault="00143390" w:rsidP="00143390">
      <w:pPr>
        <w:pStyle w:val="ListParagraph"/>
      </w:pPr>
    </w:p>
    <w:p w:rsidR="00B90AA3" w:rsidRPr="00143390" w:rsidRDefault="00143390" w:rsidP="00143390">
      <w:pPr>
        <w:pStyle w:val="PBACHeading10"/>
        <w:ind w:firstLine="0"/>
        <w:rPr>
          <w:b w:val="0"/>
          <w:i/>
        </w:rPr>
      </w:pPr>
      <w:r w:rsidRPr="00143390">
        <w:rPr>
          <w:b w:val="0"/>
          <w:i/>
        </w:rPr>
        <w:t>For more detail on PBAC’s view, see section 7 “PBAC outcome</w:t>
      </w:r>
      <w:r>
        <w:rPr>
          <w:b w:val="0"/>
          <w:i/>
        </w:rPr>
        <w:t>.</w:t>
      </w:r>
    </w:p>
    <w:p w:rsidR="00C31D56" w:rsidRPr="00DA143A" w:rsidRDefault="00C31D56" w:rsidP="004C5FCE">
      <w:pPr>
        <w:widowControl/>
        <w:rPr>
          <w:szCs w:val="22"/>
        </w:rPr>
      </w:pPr>
    </w:p>
    <w:p w:rsidR="00B60939" w:rsidRPr="002C2775" w:rsidRDefault="00B60939" w:rsidP="004C5FCE">
      <w:pPr>
        <w:pStyle w:val="Heading2"/>
        <w:keepNext/>
        <w:widowControl/>
        <w:rPr>
          <w:i/>
        </w:rPr>
      </w:pPr>
      <w:bookmarkStart w:id="9" w:name="_Toc409614777"/>
      <w:r w:rsidRPr="002C2775">
        <w:rPr>
          <w:i/>
        </w:rPr>
        <w:t>Comparative effectiveness</w:t>
      </w:r>
      <w:bookmarkEnd w:id="9"/>
    </w:p>
    <w:p w:rsidR="00B60939" w:rsidRPr="00882085" w:rsidRDefault="00B60939" w:rsidP="004C5FCE">
      <w:pPr>
        <w:keepNext/>
        <w:widowControl/>
        <w:rPr>
          <w:szCs w:val="22"/>
        </w:rPr>
      </w:pPr>
    </w:p>
    <w:p w:rsidR="00B24BD6" w:rsidRPr="00B24BD6" w:rsidRDefault="00573E76" w:rsidP="004C5FCE">
      <w:pPr>
        <w:pStyle w:val="ListParagraph"/>
        <w:keepNext/>
        <w:keepLines/>
        <w:widowControl/>
        <w:numPr>
          <w:ilvl w:val="1"/>
          <w:numId w:val="1"/>
        </w:numPr>
      </w:pPr>
      <w:r>
        <w:t>The table below</w:t>
      </w:r>
      <w:r w:rsidR="00B24BD6" w:rsidRPr="00B24BD6">
        <w:t xml:space="preserve"> presents the results of change in HbA1c in the dapagliflozin, insulin glargine and exenatide trials and the indirect comparisons between treatments.</w:t>
      </w:r>
    </w:p>
    <w:p w:rsidR="00B24BD6" w:rsidRDefault="00B24BD6" w:rsidP="004C5FCE">
      <w:pPr>
        <w:pStyle w:val="ListParagraph"/>
        <w:keepNext/>
        <w:keepLines/>
        <w:widowControl/>
        <w:rPr>
          <w:rFonts w:ascii="Arial Narrow" w:hAnsi="Arial Narrow"/>
          <w:b/>
          <w:sz w:val="20"/>
        </w:rPr>
      </w:pPr>
    </w:p>
    <w:p w:rsidR="0090259B" w:rsidRPr="0090259B" w:rsidRDefault="00F94F15" w:rsidP="004C5FCE">
      <w:pPr>
        <w:pStyle w:val="ListParagraph"/>
        <w:keepNext/>
        <w:keepLines/>
        <w:widowControl/>
        <w:rPr>
          <w:rStyle w:val="CommentReference"/>
          <w:szCs w:val="20"/>
        </w:rPr>
      </w:pPr>
      <w:r w:rsidRPr="008568E8">
        <w:rPr>
          <w:rFonts w:ascii="Arial Narrow" w:hAnsi="Arial Narrow"/>
          <w:b/>
          <w:sz w:val="20"/>
        </w:rPr>
        <w:t>M</w:t>
      </w:r>
      <w:r w:rsidR="0090259B" w:rsidRPr="008568E8">
        <w:rPr>
          <w:rFonts w:ascii="Arial Narrow" w:hAnsi="Arial Narrow"/>
          <w:b/>
          <w:sz w:val="20"/>
        </w:rPr>
        <w:t>ean change in HbA1c from baseline to week 24/26/30: dapagliflozin vs insulin glargine,</w:t>
      </w:r>
      <w:r w:rsidR="0090259B" w:rsidRPr="0090259B">
        <w:rPr>
          <w:rFonts w:ascii="Arial Narrow" w:hAnsi="Arial Narrow"/>
          <w:b/>
          <w:sz w:val="20"/>
        </w:rPr>
        <w:t xml:space="preserve"> dapagliflozin vs exenatide, as add-on therapy to metformin and sulphonylurea</w:t>
      </w:r>
    </w:p>
    <w:tbl>
      <w:tblPr>
        <w:tblW w:w="45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Pr>
      <w:tblGrid>
        <w:gridCol w:w="1134"/>
        <w:gridCol w:w="1958"/>
        <w:gridCol w:w="1022"/>
        <w:gridCol w:w="1271"/>
        <w:gridCol w:w="1273"/>
        <w:gridCol w:w="1694"/>
      </w:tblGrid>
      <w:tr w:rsidR="00E86EF5" w:rsidRPr="00FF22C9" w:rsidTr="00E86EF5">
        <w:trPr>
          <w:trHeight w:val="458"/>
        </w:trPr>
        <w:tc>
          <w:tcPr>
            <w:tcW w:w="679" w:type="pct"/>
            <w:vMerge w:val="restart"/>
            <w:vAlign w:val="center"/>
          </w:tcPr>
          <w:p w:rsidR="00E86EF5" w:rsidRPr="00FF22C9" w:rsidRDefault="00E86EF5" w:rsidP="004C5FCE">
            <w:pPr>
              <w:keepNext/>
              <w:keepLines/>
              <w:widowControl/>
              <w:contextualSpacing/>
              <w:jc w:val="left"/>
              <w:rPr>
                <w:rFonts w:ascii="Arial Narrow" w:hAnsi="Arial Narrow" w:cs="Times New Roman"/>
                <w:sz w:val="20"/>
              </w:rPr>
            </w:pPr>
            <w:r w:rsidRPr="00FF22C9">
              <w:rPr>
                <w:rFonts w:ascii="Arial Narrow" w:hAnsi="Arial Narrow" w:cs="Times New Roman"/>
                <w:b/>
                <w:sz w:val="20"/>
              </w:rPr>
              <w:t>Trial ID</w:t>
            </w:r>
          </w:p>
        </w:tc>
        <w:tc>
          <w:tcPr>
            <w:tcW w:w="1172" w:type="pct"/>
            <w:vMerge w:val="restart"/>
            <w:vAlign w:val="center"/>
          </w:tcPr>
          <w:p w:rsidR="00E86EF5" w:rsidRPr="00FF22C9" w:rsidRDefault="00E86EF5" w:rsidP="004C5FCE">
            <w:pPr>
              <w:keepNext/>
              <w:keepLines/>
              <w:widowControl/>
              <w:ind w:right="-108"/>
              <w:contextualSpacing/>
              <w:jc w:val="center"/>
              <w:rPr>
                <w:rFonts w:ascii="Arial Narrow" w:hAnsi="Arial Narrow" w:cs="Times New Roman"/>
                <w:b/>
                <w:sz w:val="20"/>
              </w:rPr>
            </w:pPr>
            <w:r w:rsidRPr="00FF22C9">
              <w:rPr>
                <w:rFonts w:ascii="Arial Narrow" w:hAnsi="Arial Narrow" w:cs="Times New Roman"/>
                <w:b/>
                <w:sz w:val="20"/>
              </w:rPr>
              <w:t>Comparison</w:t>
            </w:r>
          </w:p>
        </w:tc>
        <w:tc>
          <w:tcPr>
            <w:tcW w:w="612" w:type="pct"/>
            <w:vMerge w:val="restart"/>
            <w:vAlign w:val="center"/>
          </w:tcPr>
          <w:p w:rsidR="00E86EF5" w:rsidRPr="00591CA8" w:rsidRDefault="00E86EF5" w:rsidP="004C5FCE">
            <w:pPr>
              <w:keepNext/>
              <w:keepLines/>
              <w:widowControl/>
              <w:contextualSpacing/>
              <w:jc w:val="center"/>
              <w:rPr>
                <w:rFonts w:ascii="Arial Narrow" w:hAnsi="Arial Narrow" w:cs="Times New Roman"/>
                <w:b/>
                <w:sz w:val="20"/>
              </w:rPr>
            </w:pPr>
            <w:r w:rsidRPr="00591CA8">
              <w:rPr>
                <w:rFonts w:ascii="Arial Narrow" w:hAnsi="Arial Narrow" w:cs="Times New Roman"/>
                <w:b/>
                <w:sz w:val="20"/>
              </w:rPr>
              <w:t>Week</w:t>
            </w:r>
            <w:r>
              <w:rPr>
                <w:rFonts w:ascii="Arial Narrow" w:hAnsi="Arial Narrow" w:cs="Times New Roman"/>
                <w:b/>
                <w:sz w:val="20"/>
              </w:rPr>
              <w:t>; population</w:t>
            </w:r>
            <w:r w:rsidRPr="00591CA8">
              <w:rPr>
                <w:rFonts w:ascii="Arial Narrow" w:hAnsi="Arial Narrow" w:cs="Times New Roman"/>
                <w:b/>
                <w:sz w:val="20"/>
              </w:rPr>
              <w:t xml:space="preserve"> </w:t>
            </w:r>
          </w:p>
        </w:tc>
        <w:tc>
          <w:tcPr>
            <w:tcW w:w="1523" w:type="pct"/>
            <w:gridSpan w:val="2"/>
            <w:tcBorders>
              <w:bottom w:val="single" w:sz="4" w:space="0" w:color="auto"/>
            </w:tcBorders>
            <w:vAlign w:val="center"/>
          </w:tcPr>
          <w:p w:rsidR="00E86EF5" w:rsidRDefault="00E86EF5" w:rsidP="004C5FCE">
            <w:pPr>
              <w:keepNext/>
              <w:keepLines/>
              <w:widowControl/>
              <w:contextualSpacing/>
              <w:jc w:val="center"/>
              <w:rPr>
                <w:rFonts w:ascii="Arial Narrow" w:hAnsi="Arial Narrow"/>
                <w:b/>
                <w:sz w:val="20"/>
              </w:rPr>
            </w:pPr>
            <w:r w:rsidRPr="006C7FA0">
              <w:rPr>
                <w:rFonts w:ascii="Arial Narrow" w:hAnsi="Arial Narrow"/>
                <w:b/>
                <w:sz w:val="20"/>
              </w:rPr>
              <w:t xml:space="preserve">LS mean change from </w:t>
            </w:r>
          </w:p>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b/>
                <w:sz w:val="20"/>
              </w:rPr>
              <w:t>baseline (s.e.)</w:t>
            </w:r>
          </w:p>
        </w:tc>
        <w:tc>
          <w:tcPr>
            <w:tcW w:w="1015" w:type="pct"/>
            <w:vMerge w:val="restart"/>
            <w:vAlign w:val="center"/>
          </w:tcPr>
          <w:p w:rsidR="00E86EF5" w:rsidRPr="00FF22C9" w:rsidRDefault="00E86EF5" w:rsidP="004C5FCE">
            <w:pPr>
              <w:keepNext/>
              <w:keepLines/>
              <w:widowControl/>
              <w:contextualSpacing/>
              <w:jc w:val="center"/>
              <w:rPr>
                <w:rFonts w:ascii="Arial Narrow" w:hAnsi="Arial Narrow" w:cs="Times New Roman"/>
                <w:b/>
                <w:sz w:val="20"/>
              </w:rPr>
            </w:pPr>
            <w:r w:rsidRPr="00FF22C9">
              <w:rPr>
                <w:rFonts w:ascii="Arial Narrow" w:hAnsi="Arial Narrow" w:cs="Times New Roman"/>
                <w:b/>
                <w:sz w:val="20"/>
              </w:rPr>
              <w:t>Difference in</w:t>
            </w:r>
          </w:p>
          <w:p w:rsidR="00E86EF5" w:rsidRPr="00FF22C9" w:rsidRDefault="00E86EF5" w:rsidP="004C5FCE">
            <w:pPr>
              <w:keepNext/>
              <w:keepLines/>
              <w:widowControl/>
              <w:contextualSpacing/>
              <w:jc w:val="center"/>
              <w:rPr>
                <w:rFonts w:ascii="Arial Narrow" w:hAnsi="Arial Narrow" w:cs="Times New Roman"/>
                <w:b/>
                <w:sz w:val="20"/>
              </w:rPr>
            </w:pPr>
            <w:r w:rsidRPr="00FF22C9">
              <w:rPr>
                <w:rFonts w:ascii="Arial Narrow" w:hAnsi="Arial Narrow" w:cs="Times New Roman"/>
                <w:b/>
                <w:sz w:val="20"/>
              </w:rPr>
              <w:t>LS mean change (95% CI)</w:t>
            </w:r>
          </w:p>
        </w:tc>
      </w:tr>
      <w:tr w:rsidR="00E86EF5" w:rsidRPr="00FF22C9" w:rsidTr="00E86EF5">
        <w:trPr>
          <w:trHeight w:val="58"/>
        </w:trPr>
        <w:tc>
          <w:tcPr>
            <w:tcW w:w="679" w:type="pct"/>
            <w:vMerge/>
            <w:tcBorders>
              <w:bottom w:val="single" w:sz="4" w:space="0" w:color="auto"/>
            </w:tcBorders>
            <w:vAlign w:val="center"/>
          </w:tcPr>
          <w:p w:rsidR="00E86EF5" w:rsidRPr="00FF22C9" w:rsidRDefault="00E86EF5" w:rsidP="004C5FCE">
            <w:pPr>
              <w:keepNext/>
              <w:keepLines/>
              <w:widowControl/>
              <w:contextualSpacing/>
              <w:jc w:val="left"/>
              <w:rPr>
                <w:rFonts w:ascii="Arial Narrow" w:hAnsi="Arial Narrow" w:cs="Times New Roman"/>
                <w:b/>
                <w:sz w:val="20"/>
              </w:rPr>
            </w:pPr>
          </w:p>
        </w:tc>
        <w:tc>
          <w:tcPr>
            <w:tcW w:w="1172" w:type="pct"/>
            <w:vMerge/>
            <w:tcBorders>
              <w:bottom w:val="single" w:sz="4" w:space="0" w:color="auto"/>
            </w:tcBorders>
            <w:vAlign w:val="center"/>
          </w:tcPr>
          <w:p w:rsidR="00E86EF5" w:rsidRPr="00FF22C9" w:rsidRDefault="00E86EF5" w:rsidP="004C5FCE">
            <w:pPr>
              <w:keepNext/>
              <w:keepLines/>
              <w:widowControl/>
              <w:ind w:right="-108"/>
              <w:contextualSpacing/>
              <w:jc w:val="center"/>
              <w:rPr>
                <w:rFonts w:ascii="Arial Narrow" w:hAnsi="Arial Narrow" w:cs="Times New Roman"/>
                <w:b/>
                <w:sz w:val="20"/>
              </w:rPr>
            </w:pPr>
          </w:p>
        </w:tc>
        <w:tc>
          <w:tcPr>
            <w:tcW w:w="612" w:type="pct"/>
            <w:vMerge/>
            <w:tcBorders>
              <w:bottom w:val="single" w:sz="4" w:space="0" w:color="auto"/>
            </w:tcBorders>
            <w:vAlign w:val="center"/>
          </w:tcPr>
          <w:p w:rsidR="00E86EF5" w:rsidRPr="00FF22C9" w:rsidRDefault="00E86EF5" w:rsidP="004C5FCE">
            <w:pPr>
              <w:keepNext/>
              <w:keepLines/>
              <w:widowControl/>
              <w:ind w:right="-108"/>
              <w:contextualSpacing/>
              <w:jc w:val="center"/>
              <w:rPr>
                <w:rFonts w:ascii="Arial Narrow" w:hAnsi="Arial Narrow" w:cs="Times New Roman"/>
                <w:b/>
                <w:sz w:val="20"/>
              </w:rPr>
            </w:pPr>
          </w:p>
        </w:tc>
        <w:tc>
          <w:tcPr>
            <w:tcW w:w="761" w:type="pct"/>
            <w:tcBorders>
              <w:bottom w:val="single" w:sz="4" w:space="0" w:color="auto"/>
            </w:tcBorders>
            <w:vAlign w:val="center"/>
          </w:tcPr>
          <w:p w:rsidR="00E86EF5" w:rsidRPr="00FF22C9" w:rsidRDefault="00E86EF5" w:rsidP="004C5FCE">
            <w:pPr>
              <w:keepNext/>
              <w:keepLines/>
              <w:widowControl/>
              <w:ind w:right="-108"/>
              <w:contextualSpacing/>
              <w:jc w:val="center"/>
              <w:rPr>
                <w:rFonts w:ascii="Arial Narrow" w:hAnsi="Arial Narrow" w:cs="Times New Roman"/>
                <w:b/>
                <w:sz w:val="20"/>
              </w:rPr>
            </w:pPr>
            <w:r w:rsidRPr="00FF22C9">
              <w:rPr>
                <w:rFonts w:ascii="Arial Narrow" w:hAnsi="Arial Narrow" w:cs="Times New Roman"/>
                <w:b/>
                <w:sz w:val="20"/>
              </w:rPr>
              <w:t>Active Treatment</w:t>
            </w:r>
          </w:p>
        </w:tc>
        <w:tc>
          <w:tcPr>
            <w:tcW w:w="762" w:type="pct"/>
            <w:tcBorders>
              <w:bottom w:val="single" w:sz="4" w:space="0" w:color="auto"/>
            </w:tcBorders>
            <w:vAlign w:val="center"/>
          </w:tcPr>
          <w:p w:rsidR="00E86EF5" w:rsidRPr="00FF22C9" w:rsidRDefault="00E86EF5" w:rsidP="004C5FCE">
            <w:pPr>
              <w:keepNext/>
              <w:keepLines/>
              <w:widowControl/>
              <w:ind w:right="-108"/>
              <w:contextualSpacing/>
              <w:jc w:val="center"/>
              <w:rPr>
                <w:rFonts w:ascii="Arial Narrow" w:hAnsi="Arial Narrow" w:cs="Times New Roman"/>
                <w:b/>
                <w:sz w:val="20"/>
              </w:rPr>
            </w:pPr>
            <w:r>
              <w:rPr>
                <w:rFonts w:ascii="Arial Narrow" w:hAnsi="Arial Narrow" w:cs="Times New Roman"/>
                <w:b/>
                <w:sz w:val="20"/>
              </w:rPr>
              <w:t>Placebo</w:t>
            </w:r>
          </w:p>
        </w:tc>
        <w:tc>
          <w:tcPr>
            <w:tcW w:w="1015" w:type="pct"/>
            <w:vMerge/>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b/>
                <w:sz w:val="20"/>
              </w:rPr>
            </w:pPr>
          </w:p>
        </w:tc>
      </w:tr>
      <w:tr w:rsidR="00E86EF5" w:rsidRPr="00FF22C9" w:rsidTr="00E86EF5">
        <w:tc>
          <w:tcPr>
            <w:tcW w:w="679" w:type="pct"/>
            <w:vAlign w:val="center"/>
          </w:tcPr>
          <w:p w:rsidR="00E86EF5" w:rsidRPr="00FF22C9" w:rsidRDefault="00E86EF5" w:rsidP="004C5FCE">
            <w:pPr>
              <w:keepNext/>
              <w:keepLines/>
              <w:widowControl/>
              <w:contextualSpacing/>
              <w:jc w:val="left"/>
              <w:rPr>
                <w:rFonts w:ascii="Arial Narrow" w:hAnsi="Arial Narrow" w:cs="Times New Roman"/>
                <w:sz w:val="20"/>
              </w:rPr>
            </w:pPr>
            <w:r w:rsidRPr="00FF22C9">
              <w:rPr>
                <w:rFonts w:ascii="Arial Narrow" w:hAnsi="Arial Narrow" w:cs="Times New Roman"/>
                <w:sz w:val="20"/>
              </w:rPr>
              <w:t>Trial CT005</w:t>
            </w:r>
          </w:p>
        </w:tc>
        <w:tc>
          <w:tcPr>
            <w:tcW w:w="1172" w:type="pct"/>
            <w:vAlign w:val="center"/>
          </w:tcPr>
          <w:p w:rsidR="00E86EF5" w:rsidRPr="00FF22C9" w:rsidRDefault="00E86EF5"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Dapagliflozin vs Placebo</w:t>
            </w:r>
          </w:p>
        </w:tc>
        <w:tc>
          <w:tcPr>
            <w:tcW w:w="612" w:type="pct"/>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24; FAS</w:t>
            </w:r>
          </w:p>
        </w:tc>
        <w:tc>
          <w:tcPr>
            <w:tcW w:w="761" w:type="pct"/>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-0.86 (0.07)</w:t>
            </w:r>
          </w:p>
        </w:tc>
        <w:tc>
          <w:tcPr>
            <w:tcW w:w="762" w:type="pct"/>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-0.17 (0.07)</w:t>
            </w:r>
          </w:p>
        </w:tc>
        <w:tc>
          <w:tcPr>
            <w:tcW w:w="1015" w:type="pct"/>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-0.69 (-0.89, -0.49)</w:t>
            </w:r>
          </w:p>
        </w:tc>
      </w:tr>
      <w:tr w:rsidR="00E86EF5" w:rsidRPr="00FF22C9" w:rsidTr="00E86EF5">
        <w:tc>
          <w:tcPr>
            <w:tcW w:w="679" w:type="pct"/>
            <w:vAlign w:val="center"/>
          </w:tcPr>
          <w:p w:rsidR="00E86EF5" w:rsidRPr="00FF22C9" w:rsidRDefault="00E86EF5" w:rsidP="004C5FCE">
            <w:pPr>
              <w:keepNext/>
              <w:keepLines/>
              <w:widowControl/>
              <w:contextualSpacing/>
              <w:jc w:val="left"/>
              <w:rPr>
                <w:rFonts w:ascii="Arial Narrow" w:hAnsi="Arial Narrow" w:cs="Times New Roman"/>
                <w:sz w:val="20"/>
              </w:rPr>
            </w:pPr>
            <w:r w:rsidRPr="00FF22C9">
              <w:rPr>
                <w:rFonts w:ascii="Arial Narrow" w:hAnsi="Arial Narrow" w:cs="Times New Roman"/>
                <w:sz w:val="20"/>
              </w:rPr>
              <w:t>Russell-Jones (2009)</w:t>
            </w:r>
          </w:p>
        </w:tc>
        <w:tc>
          <w:tcPr>
            <w:tcW w:w="1172" w:type="pct"/>
            <w:vAlign w:val="center"/>
          </w:tcPr>
          <w:p w:rsidR="00E86EF5" w:rsidRPr="00FF22C9" w:rsidRDefault="00E86EF5"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Insulin glargine vs Placebo</w:t>
            </w:r>
          </w:p>
        </w:tc>
        <w:tc>
          <w:tcPr>
            <w:tcW w:w="612" w:type="pct"/>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26; ITT</w:t>
            </w:r>
          </w:p>
        </w:tc>
        <w:tc>
          <w:tcPr>
            <w:tcW w:w="761" w:type="pct"/>
            <w:vAlign w:val="center"/>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-1.09 (0.09)</w:t>
            </w:r>
          </w:p>
        </w:tc>
        <w:tc>
          <w:tcPr>
            <w:tcW w:w="762" w:type="pct"/>
            <w:vAlign w:val="center"/>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-0.24 (0.11)</w:t>
            </w:r>
          </w:p>
        </w:tc>
        <w:tc>
          <w:tcPr>
            <w:tcW w:w="1015" w:type="pct"/>
            <w:vAlign w:val="center"/>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-0.85 (-1.04, -0.66)</w:t>
            </w:r>
          </w:p>
        </w:tc>
      </w:tr>
      <w:tr w:rsidR="00E86EF5" w:rsidRPr="00FF22C9" w:rsidTr="00E86EF5">
        <w:tc>
          <w:tcPr>
            <w:tcW w:w="679" w:type="pct"/>
            <w:vMerge w:val="restart"/>
            <w:vAlign w:val="center"/>
          </w:tcPr>
          <w:p w:rsidR="00E86EF5" w:rsidRPr="00FF22C9" w:rsidRDefault="00E86EF5" w:rsidP="004C5FCE">
            <w:pPr>
              <w:keepNext/>
              <w:keepLines/>
              <w:widowControl/>
              <w:contextualSpacing/>
              <w:jc w:val="left"/>
              <w:rPr>
                <w:rFonts w:ascii="Arial Narrow" w:hAnsi="Arial Narrow" w:cs="Times New Roman"/>
                <w:sz w:val="20"/>
              </w:rPr>
            </w:pPr>
            <w:r w:rsidRPr="00FF22C9">
              <w:rPr>
                <w:rFonts w:ascii="Arial Narrow" w:hAnsi="Arial Narrow" w:cs="Times New Roman"/>
                <w:sz w:val="20"/>
              </w:rPr>
              <w:t>Trial 115</w:t>
            </w:r>
          </w:p>
        </w:tc>
        <w:tc>
          <w:tcPr>
            <w:tcW w:w="1172" w:type="pct"/>
            <w:vMerge w:val="restart"/>
            <w:vAlign w:val="center"/>
          </w:tcPr>
          <w:p w:rsidR="00E86EF5" w:rsidRPr="00FF22C9" w:rsidRDefault="00E86EF5"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Exenatide vs Placebo</w:t>
            </w:r>
          </w:p>
        </w:tc>
        <w:tc>
          <w:tcPr>
            <w:tcW w:w="612" w:type="pct"/>
            <w:tcBorders>
              <w:bottom w:val="single" w:sz="4" w:space="0" w:color="auto"/>
            </w:tcBorders>
            <w:vAlign w:val="center"/>
          </w:tcPr>
          <w:p w:rsidR="00E86EF5" w:rsidDel="00683CD4"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30; ITT</w:t>
            </w:r>
          </w:p>
        </w:tc>
        <w:tc>
          <w:tcPr>
            <w:tcW w:w="761" w:type="pct"/>
            <w:tcBorders>
              <w:bottom w:val="single" w:sz="4" w:space="0" w:color="auto"/>
            </w:tcBorders>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-0.88 (0.08)</w:t>
            </w:r>
          </w:p>
        </w:tc>
        <w:tc>
          <w:tcPr>
            <w:tcW w:w="762" w:type="pct"/>
            <w:tcBorders>
              <w:bottom w:val="single" w:sz="4" w:space="0" w:color="auto"/>
            </w:tcBorders>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0.12 (0.08)</w:t>
            </w:r>
          </w:p>
        </w:tc>
        <w:tc>
          <w:tcPr>
            <w:tcW w:w="1015" w:type="pct"/>
            <w:tcBorders>
              <w:bottom w:val="single" w:sz="4" w:space="0" w:color="auto"/>
            </w:tcBorders>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-1.00 (-1.20, -0.80)</w:t>
            </w:r>
          </w:p>
        </w:tc>
      </w:tr>
      <w:tr w:rsidR="00E86EF5" w:rsidRPr="00FF22C9" w:rsidTr="00E86EF5">
        <w:tc>
          <w:tcPr>
            <w:tcW w:w="679" w:type="pct"/>
            <w:vMerge/>
            <w:vAlign w:val="center"/>
          </w:tcPr>
          <w:p w:rsidR="00E86EF5" w:rsidRPr="00FF22C9" w:rsidRDefault="00E86EF5" w:rsidP="004C5FCE">
            <w:pPr>
              <w:keepNext/>
              <w:keepLines/>
              <w:widowControl/>
              <w:contextualSpacing/>
              <w:jc w:val="left"/>
              <w:rPr>
                <w:rFonts w:ascii="Arial Narrow" w:hAnsi="Arial Narrow" w:cs="Times New Roman"/>
                <w:sz w:val="20"/>
              </w:rPr>
            </w:pPr>
          </w:p>
        </w:tc>
        <w:tc>
          <w:tcPr>
            <w:tcW w:w="1172" w:type="pct"/>
            <w:vMerge/>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612" w:type="pct"/>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24; ITT</w:t>
            </w:r>
          </w:p>
        </w:tc>
        <w:tc>
          <w:tcPr>
            <w:tcW w:w="761" w:type="pct"/>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-1.04 (0.08)</w:t>
            </w:r>
          </w:p>
        </w:tc>
        <w:tc>
          <w:tcPr>
            <w:tcW w:w="762" w:type="pct"/>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0.06 (0.08)</w:t>
            </w:r>
          </w:p>
        </w:tc>
        <w:tc>
          <w:tcPr>
            <w:tcW w:w="1015" w:type="pct"/>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-1.10 (-1.29, 0.92)</w:t>
            </w:r>
          </w:p>
        </w:tc>
      </w:tr>
      <w:tr w:rsidR="00E86EF5" w:rsidRPr="00FF22C9" w:rsidTr="00E86EF5">
        <w:tc>
          <w:tcPr>
            <w:tcW w:w="679" w:type="pct"/>
            <w:vMerge/>
            <w:tcBorders>
              <w:bottom w:val="single" w:sz="4" w:space="0" w:color="auto"/>
            </w:tcBorders>
            <w:vAlign w:val="center"/>
          </w:tcPr>
          <w:p w:rsidR="00E86EF5" w:rsidRPr="00FF22C9" w:rsidRDefault="00E86EF5" w:rsidP="004C5FCE">
            <w:pPr>
              <w:keepNext/>
              <w:keepLines/>
              <w:widowControl/>
              <w:contextualSpacing/>
              <w:jc w:val="left"/>
              <w:rPr>
                <w:rFonts w:ascii="Arial Narrow" w:hAnsi="Arial Narrow" w:cs="Times New Roman"/>
                <w:sz w:val="20"/>
              </w:rPr>
            </w:pPr>
          </w:p>
        </w:tc>
        <w:tc>
          <w:tcPr>
            <w:tcW w:w="1172" w:type="pct"/>
            <w:vMerge/>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612" w:type="pct"/>
            <w:tcBorders>
              <w:bottom w:val="single" w:sz="4" w:space="0" w:color="auto"/>
            </w:tcBorders>
            <w:vAlign w:val="center"/>
          </w:tcPr>
          <w:p w:rsidR="00E86EF5" w:rsidRPr="00FF22C9" w:rsidRDefault="00E86EF5" w:rsidP="004C5FCE">
            <w:pPr>
              <w:keepNext/>
              <w:keepLines/>
              <w:widowControl/>
              <w:contextualSpacing/>
              <w:jc w:val="center"/>
              <w:rPr>
                <w:rFonts w:ascii="Arial Narrow" w:hAnsi="Arial Narrow" w:cs="Times New Roman"/>
                <w:sz w:val="20"/>
              </w:rPr>
            </w:pPr>
            <w:r>
              <w:rPr>
                <w:rFonts w:ascii="Arial Narrow" w:hAnsi="Arial Narrow" w:cs="Times New Roman"/>
                <w:sz w:val="20"/>
              </w:rPr>
              <w:t>30; Max SU</w:t>
            </w:r>
          </w:p>
        </w:tc>
        <w:tc>
          <w:tcPr>
            <w:tcW w:w="761" w:type="pct"/>
            <w:tcBorders>
              <w:bottom w:val="single" w:sz="4" w:space="0" w:color="auto"/>
            </w:tcBorders>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-1.05 (0.12)</w:t>
            </w:r>
          </w:p>
        </w:tc>
        <w:tc>
          <w:tcPr>
            <w:tcW w:w="762" w:type="pct"/>
            <w:tcBorders>
              <w:bottom w:val="single" w:sz="4" w:space="0" w:color="auto"/>
            </w:tcBorders>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-0.03 (0.11)</w:t>
            </w:r>
          </w:p>
        </w:tc>
        <w:tc>
          <w:tcPr>
            <w:tcW w:w="1015" w:type="pct"/>
            <w:tcBorders>
              <w:bottom w:val="single" w:sz="4" w:space="0" w:color="auto"/>
            </w:tcBorders>
            <w:vAlign w:val="bottom"/>
          </w:tcPr>
          <w:p w:rsidR="00E86EF5" w:rsidRPr="00FF22C9" w:rsidRDefault="00E86EF5" w:rsidP="004C5FCE">
            <w:pPr>
              <w:keepNext/>
              <w:keepLines/>
              <w:widowControl/>
              <w:contextualSpacing/>
              <w:jc w:val="center"/>
              <w:rPr>
                <w:rFonts w:ascii="Arial Narrow" w:hAnsi="Arial Narrow" w:cs="Times New Roman"/>
                <w:sz w:val="20"/>
              </w:rPr>
            </w:pPr>
            <w:r w:rsidRPr="006C7FA0">
              <w:rPr>
                <w:rFonts w:ascii="Arial Narrow" w:hAnsi="Arial Narrow"/>
                <w:sz w:val="20"/>
              </w:rPr>
              <w:t>-1.02 (-1.30, -0.73)</w:t>
            </w:r>
          </w:p>
        </w:tc>
      </w:tr>
      <w:tr w:rsidR="00E86EF5" w:rsidRPr="00FF22C9" w:rsidTr="00E86EF5">
        <w:tc>
          <w:tcPr>
            <w:tcW w:w="1850" w:type="pct"/>
            <w:gridSpan w:val="2"/>
            <w:tcBorders>
              <w:bottom w:val="single" w:sz="4" w:space="0" w:color="auto"/>
              <w:right w:val="nil"/>
            </w:tcBorders>
            <w:shd w:val="clear" w:color="auto" w:fill="F2F2F2" w:themeFill="background1" w:themeFillShade="F2"/>
            <w:vAlign w:val="center"/>
          </w:tcPr>
          <w:p w:rsidR="00E86EF5" w:rsidRPr="00FF22C9" w:rsidRDefault="00E86EF5" w:rsidP="004C5FCE">
            <w:pPr>
              <w:keepNext/>
              <w:keepLines/>
              <w:widowControl/>
              <w:contextualSpacing/>
              <w:jc w:val="left"/>
              <w:rPr>
                <w:rFonts w:ascii="Arial Narrow" w:hAnsi="Arial Narrow" w:cs="Times New Roman"/>
                <w:sz w:val="20"/>
              </w:rPr>
            </w:pPr>
            <w:r w:rsidRPr="00FF22C9">
              <w:rPr>
                <w:rFonts w:ascii="Arial Narrow" w:hAnsi="Arial Narrow" w:cs="Times New Roman"/>
                <w:b/>
                <w:sz w:val="20"/>
              </w:rPr>
              <w:t>Indirect comparisons</w:t>
            </w:r>
          </w:p>
        </w:tc>
        <w:tc>
          <w:tcPr>
            <w:tcW w:w="612" w:type="pct"/>
            <w:tcBorders>
              <w:left w:val="nil"/>
              <w:bottom w:val="single" w:sz="4" w:space="0" w:color="auto"/>
              <w:right w:val="nil"/>
            </w:tcBorders>
            <w:shd w:val="clear" w:color="auto" w:fill="F2F2F2" w:themeFill="background1" w:themeFillShade="F2"/>
            <w:vAlign w:val="center"/>
          </w:tcPr>
          <w:p w:rsidR="00E86EF5" w:rsidRPr="00FF22C9" w:rsidRDefault="00E86EF5" w:rsidP="004C5FCE">
            <w:pPr>
              <w:keepNext/>
              <w:keepLines/>
              <w:widowControl/>
              <w:contextualSpacing/>
              <w:jc w:val="left"/>
              <w:rPr>
                <w:rFonts w:ascii="Arial Narrow" w:hAnsi="Arial Narrow" w:cs="Times New Roman"/>
                <w:sz w:val="20"/>
              </w:rPr>
            </w:pPr>
          </w:p>
        </w:tc>
        <w:tc>
          <w:tcPr>
            <w:tcW w:w="1523" w:type="pct"/>
            <w:gridSpan w:val="2"/>
            <w:tcBorders>
              <w:left w:val="nil"/>
              <w:bottom w:val="single" w:sz="4" w:space="0" w:color="auto"/>
              <w:right w:val="nil"/>
            </w:tcBorders>
            <w:shd w:val="clear" w:color="auto" w:fill="F2F2F2" w:themeFill="background1" w:themeFillShade="F2"/>
            <w:vAlign w:val="center"/>
          </w:tcPr>
          <w:p w:rsidR="00E86EF5" w:rsidRPr="00FF22C9" w:rsidRDefault="00E86EF5" w:rsidP="004C5FCE">
            <w:pPr>
              <w:keepNext/>
              <w:keepLines/>
              <w:widowControl/>
              <w:contextualSpacing/>
              <w:jc w:val="left"/>
              <w:rPr>
                <w:rFonts w:ascii="Arial Narrow" w:hAnsi="Arial Narrow" w:cs="Times New Roman"/>
                <w:sz w:val="20"/>
              </w:rPr>
            </w:pPr>
          </w:p>
        </w:tc>
        <w:tc>
          <w:tcPr>
            <w:tcW w:w="1015" w:type="pct"/>
            <w:tcBorders>
              <w:left w:val="nil"/>
              <w:bottom w:val="single" w:sz="4" w:space="0" w:color="auto"/>
            </w:tcBorders>
            <w:shd w:val="clear" w:color="auto" w:fill="F2F2F2" w:themeFill="background1" w:themeFillShade="F2"/>
            <w:vAlign w:val="center"/>
          </w:tcPr>
          <w:p w:rsidR="00E86EF5" w:rsidRPr="00FF22C9" w:rsidRDefault="00E86EF5" w:rsidP="004C5FCE">
            <w:pPr>
              <w:keepNext/>
              <w:keepLines/>
              <w:widowControl/>
              <w:contextualSpacing/>
              <w:jc w:val="left"/>
              <w:rPr>
                <w:rFonts w:ascii="Arial Narrow" w:hAnsi="Arial Narrow" w:cs="Times New Roman"/>
                <w:sz w:val="20"/>
              </w:rPr>
            </w:pPr>
          </w:p>
        </w:tc>
      </w:tr>
      <w:tr w:rsidR="00E86EF5" w:rsidRPr="005D48CE" w:rsidTr="00E86EF5">
        <w:trPr>
          <w:trHeight w:val="203"/>
        </w:trPr>
        <w:tc>
          <w:tcPr>
            <w:tcW w:w="1850" w:type="pct"/>
            <w:gridSpan w:val="2"/>
            <w:tcBorders>
              <w:bottom w:val="single" w:sz="4" w:space="0" w:color="auto"/>
              <w:right w:val="nil"/>
            </w:tcBorders>
            <w:vAlign w:val="center"/>
          </w:tcPr>
          <w:p w:rsidR="00E86EF5" w:rsidRPr="00FF22C9" w:rsidRDefault="00E86EF5" w:rsidP="004C5FCE">
            <w:pPr>
              <w:keepNext/>
              <w:keepLines/>
              <w:widowControl/>
              <w:contextualSpacing/>
              <w:jc w:val="left"/>
              <w:rPr>
                <w:rFonts w:ascii="Arial Narrow" w:hAnsi="Arial Narrow" w:cs="Times New Roman"/>
                <w:sz w:val="20"/>
              </w:rPr>
            </w:pPr>
            <w:r w:rsidRPr="00CD0679">
              <w:rPr>
                <w:rFonts w:ascii="Arial Narrow" w:hAnsi="Arial Narrow" w:cs="Times New Roman"/>
                <w:b/>
                <w:iCs/>
                <w:sz w:val="20"/>
              </w:rPr>
              <w:t>Dapagliflozin vs Insulin glargine</w:t>
            </w:r>
            <w:r w:rsidRPr="00FF22C9">
              <w:rPr>
                <w:rFonts w:ascii="Arial Narrow" w:hAnsi="Arial Narrow" w:cs="Times New Roman"/>
                <w:sz w:val="20"/>
              </w:rPr>
              <w:t> </w:t>
            </w:r>
          </w:p>
        </w:tc>
        <w:tc>
          <w:tcPr>
            <w:tcW w:w="612" w:type="pct"/>
            <w:tcBorders>
              <w:left w:val="nil"/>
              <w:bottom w:val="single" w:sz="4" w:space="0" w:color="auto"/>
              <w:right w:val="nil"/>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1523" w:type="pct"/>
            <w:gridSpan w:val="2"/>
            <w:tcBorders>
              <w:left w:val="nil"/>
              <w:bottom w:val="single" w:sz="4" w:space="0" w:color="auto"/>
            </w:tcBorders>
            <w:vAlign w:val="center"/>
          </w:tcPr>
          <w:p w:rsidR="00E86EF5" w:rsidRPr="00FF22C9" w:rsidRDefault="00E86EF5" w:rsidP="004C5FCE">
            <w:pPr>
              <w:keepNext/>
              <w:keepLines/>
              <w:widowControl/>
              <w:contextualSpacing/>
              <w:jc w:val="right"/>
              <w:rPr>
                <w:rFonts w:ascii="Arial Narrow" w:hAnsi="Arial Narrow" w:cs="Times New Roman"/>
                <w:sz w:val="20"/>
              </w:rPr>
            </w:pPr>
            <w:r>
              <w:rPr>
                <w:rFonts w:ascii="Arial Narrow" w:hAnsi="Arial Narrow" w:cs="Times New Roman"/>
                <w:sz w:val="20"/>
              </w:rPr>
              <w:t>24/26</w:t>
            </w:r>
          </w:p>
        </w:tc>
        <w:tc>
          <w:tcPr>
            <w:tcW w:w="1015" w:type="pct"/>
            <w:tcBorders>
              <w:bottom w:val="single" w:sz="4" w:space="0" w:color="auto"/>
            </w:tcBorders>
            <w:vAlign w:val="center"/>
          </w:tcPr>
          <w:p w:rsidR="00E86EF5" w:rsidRPr="005D48CE" w:rsidRDefault="00E86EF5" w:rsidP="004C5FCE">
            <w:pPr>
              <w:keepNext/>
              <w:keepLines/>
              <w:widowControl/>
              <w:contextualSpacing/>
              <w:jc w:val="center"/>
              <w:rPr>
                <w:rFonts w:ascii="Arial Narrow" w:hAnsi="Arial Narrow" w:cs="Times New Roman"/>
                <w:sz w:val="20"/>
              </w:rPr>
            </w:pPr>
            <w:r w:rsidRPr="005D48CE">
              <w:rPr>
                <w:rFonts w:ascii="Arial Narrow" w:hAnsi="Arial Narrow"/>
                <w:sz w:val="20"/>
              </w:rPr>
              <w:t>0.16 (-0.11, 0.43)</w:t>
            </w:r>
          </w:p>
        </w:tc>
      </w:tr>
      <w:tr w:rsidR="00E86EF5" w:rsidRPr="00FF22C9" w:rsidTr="00E86EF5">
        <w:tc>
          <w:tcPr>
            <w:tcW w:w="1850" w:type="pct"/>
            <w:gridSpan w:val="2"/>
            <w:vMerge w:val="restart"/>
            <w:tcBorders>
              <w:right w:val="nil"/>
            </w:tcBorders>
            <w:vAlign w:val="center"/>
          </w:tcPr>
          <w:p w:rsidR="00E86EF5" w:rsidRPr="00FF22C9" w:rsidRDefault="00E86EF5" w:rsidP="004C5FCE">
            <w:pPr>
              <w:keepNext/>
              <w:keepLines/>
              <w:widowControl/>
              <w:contextualSpacing/>
              <w:jc w:val="left"/>
              <w:rPr>
                <w:rFonts w:ascii="Arial Narrow" w:hAnsi="Arial Narrow" w:cs="Times New Roman"/>
                <w:sz w:val="20"/>
              </w:rPr>
            </w:pPr>
            <w:r w:rsidRPr="00CD0679">
              <w:rPr>
                <w:rFonts w:ascii="Arial Narrow" w:hAnsi="Arial Narrow" w:cs="Times New Roman"/>
                <w:b/>
                <w:iCs/>
                <w:sz w:val="20"/>
              </w:rPr>
              <w:t>Dapagliflozin vs Exenatide</w:t>
            </w:r>
            <w:r w:rsidRPr="00FF22C9">
              <w:rPr>
                <w:rFonts w:ascii="Arial Narrow" w:hAnsi="Arial Narrow" w:cs="Times New Roman"/>
                <w:sz w:val="20"/>
              </w:rPr>
              <w:t> </w:t>
            </w:r>
          </w:p>
        </w:tc>
        <w:tc>
          <w:tcPr>
            <w:tcW w:w="612" w:type="pct"/>
            <w:tcBorders>
              <w:left w:val="nil"/>
              <w:bottom w:val="nil"/>
              <w:right w:val="nil"/>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1523" w:type="pct"/>
            <w:gridSpan w:val="2"/>
            <w:tcBorders>
              <w:left w:val="nil"/>
              <w:bottom w:val="nil"/>
            </w:tcBorders>
            <w:vAlign w:val="center"/>
          </w:tcPr>
          <w:p w:rsidR="00E86EF5" w:rsidRPr="00FF22C9" w:rsidRDefault="00E86EF5" w:rsidP="004C5FCE">
            <w:pPr>
              <w:keepNext/>
              <w:keepLines/>
              <w:widowControl/>
              <w:contextualSpacing/>
              <w:jc w:val="right"/>
              <w:rPr>
                <w:rFonts w:ascii="Arial Narrow" w:hAnsi="Arial Narrow" w:cs="Times New Roman"/>
                <w:sz w:val="20"/>
              </w:rPr>
            </w:pPr>
            <w:r>
              <w:rPr>
                <w:rFonts w:ascii="Arial Narrow" w:hAnsi="Arial Narrow" w:cs="Times New Roman"/>
                <w:sz w:val="20"/>
              </w:rPr>
              <w:t>24/30</w:t>
            </w:r>
          </w:p>
        </w:tc>
        <w:tc>
          <w:tcPr>
            <w:tcW w:w="1015" w:type="pct"/>
            <w:tcBorders>
              <w:bottom w:val="single" w:sz="4" w:space="0" w:color="auto"/>
            </w:tcBorders>
            <w:vAlign w:val="bottom"/>
          </w:tcPr>
          <w:p w:rsidR="00E86EF5" w:rsidRPr="0097012A" w:rsidRDefault="00E86EF5" w:rsidP="004C5FCE">
            <w:pPr>
              <w:keepNext/>
              <w:keepLines/>
              <w:widowControl/>
              <w:contextualSpacing/>
              <w:jc w:val="center"/>
              <w:rPr>
                <w:rFonts w:ascii="Arial Narrow" w:hAnsi="Arial Narrow" w:cs="Times New Roman"/>
                <w:sz w:val="20"/>
              </w:rPr>
            </w:pPr>
            <w:r w:rsidRPr="0097012A">
              <w:rPr>
                <w:rFonts w:ascii="Arial Narrow" w:hAnsi="Arial Narrow"/>
                <w:b/>
                <w:sz w:val="20"/>
              </w:rPr>
              <w:t>0.31 (0.03, 0.59)</w:t>
            </w:r>
          </w:p>
        </w:tc>
      </w:tr>
      <w:tr w:rsidR="00E86EF5" w:rsidRPr="00FF22C9" w:rsidTr="00E86EF5">
        <w:trPr>
          <w:trHeight w:val="69"/>
        </w:trPr>
        <w:tc>
          <w:tcPr>
            <w:tcW w:w="1850" w:type="pct"/>
            <w:gridSpan w:val="2"/>
            <w:vMerge/>
            <w:tcBorders>
              <w:right w:val="nil"/>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612" w:type="pct"/>
            <w:tcBorders>
              <w:top w:val="nil"/>
              <w:left w:val="nil"/>
              <w:bottom w:val="nil"/>
              <w:right w:val="nil"/>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1523" w:type="pct"/>
            <w:gridSpan w:val="2"/>
            <w:tcBorders>
              <w:top w:val="nil"/>
              <w:left w:val="nil"/>
              <w:bottom w:val="nil"/>
              <w:right w:val="single" w:sz="4" w:space="0" w:color="auto"/>
            </w:tcBorders>
            <w:vAlign w:val="center"/>
          </w:tcPr>
          <w:p w:rsidR="00E86EF5" w:rsidRPr="00FF22C9" w:rsidRDefault="00E86EF5" w:rsidP="004C5FCE">
            <w:pPr>
              <w:keepNext/>
              <w:keepLines/>
              <w:widowControl/>
              <w:contextualSpacing/>
              <w:jc w:val="right"/>
              <w:rPr>
                <w:rFonts w:ascii="Arial Narrow" w:hAnsi="Arial Narrow" w:cs="Times New Roman"/>
                <w:sz w:val="20"/>
              </w:rPr>
            </w:pPr>
            <w:r>
              <w:rPr>
                <w:rFonts w:ascii="Arial Narrow" w:hAnsi="Arial Narrow" w:cs="Times New Roman"/>
                <w:sz w:val="20"/>
              </w:rPr>
              <w:t>24/24</w:t>
            </w:r>
          </w:p>
        </w:tc>
        <w:tc>
          <w:tcPr>
            <w:tcW w:w="1015" w:type="pct"/>
            <w:tcBorders>
              <w:left w:val="single" w:sz="4" w:space="0" w:color="auto"/>
              <w:bottom w:val="single" w:sz="4" w:space="0" w:color="auto"/>
            </w:tcBorders>
            <w:vAlign w:val="bottom"/>
          </w:tcPr>
          <w:p w:rsidR="00E86EF5" w:rsidRPr="0097012A" w:rsidRDefault="00E86EF5" w:rsidP="004C5FCE">
            <w:pPr>
              <w:keepNext/>
              <w:keepLines/>
              <w:widowControl/>
              <w:contextualSpacing/>
              <w:jc w:val="center"/>
              <w:rPr>
                <w:rFonts w:ascii="Arial Narrow" w:hAnsi="Arial Narrow" w:cs="Times New Roman"/>
                <w:sz w:val="20"/>
              </w:rPr>
            </w:pPr>
            <w:r w:rsidRPr="0097012A">
              <w:rPr>
                <w:rFonts w:ascii="Arial Narrow" w:hAnsi="Arial Narrow"/>
                <w:b/>
                <w:sz w:val="20"/>
              </w:rPr>
              <w:t>0.41 (0.14, 0.68)</w:t>
            </w:r>
          </w:p>
        </w:tc>
      </w:tr>
      <w:tr w:rsidR="00E86EF5" w:rsidRPr="00FF22C9" w:rsidTr="00E86EF5">
        <w:tc>
          <w:tcPr>
            <w:tcW w:w="1850" w:type="pct"/>
            <w:gridSpan w:val="2"/>
            <w:vMerge/>
            <w:tcBorders>
              <w:bottom w:val="single" w:sz="4" w:space="0" w:color="auto"/>
              <w:right w:val="nil"/>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612" w:type="pct"/>
            <w:tcBorders>
              <w:top w:val="nil"/>
              <w:left w:val="nil"/>
              <w:bottom w:val="single" w:sz="4" w:space="0" w:color="auto"/>
              <w:right w:val="nil"/>
            </w:tcBorders>
            <w:vAlign w:val="center"/>
          </w:tcPr>
          <w:p w:rsidR="00E86EF5" w:rsidRPr="00FF22C9" w:rsidRDefault="00E86EF5" w:rsidP="004C5FCE">
            <w:pPr>
              <w:keepNext/>
              <w:keepLines/>
              <w:widowControl/>
              <w:contextualSpacing/>
              <w:jc w:val="center"/>
              <w:rPr>
                <w:rFonts w:ascii="Arial Narrow" w:hAnsi="Arial Narrow" w:cs="Times New Roman"/>
                <w:sz w:val="20"/>
              </w:rPr>
            </w:pPr>
          </w:p>
        </w:tc>
        <w:tc>
          <w:tcPr>
            <w:tcW w:w="1523" w:type="pct"/>
            <w:gridSpan w:val="2"/>
            <w:tcBorders>
              <w:top w:val="nil"/>
              <w:left w:val="nil"/>
              <w:bottom w:val="single" w:sz="4" w:space="0" w:color="auto"/>
              <w:right w:val="single" w:sz="4" w:space="0" w:color="auto"/>
            </w:tcBorders>
            <w:vAlign w:val="center"/>
          </w:tcPr>
          <w:p w:rsidR="00E86EF5" w:rsidRPr="00FF22C9" w:rsidRDefault="00E86EF5" w:rsidP="004C5FCE">
            <w:pPr>
              <w:keepNext/>
              <w:keepLines/>
              <w:widowControl/>
              <w:contextualSpacing/>
              <w:jc w:val="right"/>
              <w:rPr>
                <w:rFonts w:ascii="Arial Narrow" w:hAnsi="Arial Narrow" w:cs="Times New Roman"/>
                <w:sz w:val="20"/>
              </w:rPr>
            </w:pPr>
            <w:r>
              <w:rPr>
                <w:rFonts w:ascii="Arial Narrow" w:hAnsi="Arial Narrow" w:cs="Times New Roman"/>
                <w:sz w:val="20"/>
              </w:rPr>
              <w:t>24/30 Max SU</w:t>
            </w:r>
          </w:p>
        </w:tc>
        <w:tc>
          <w:tcPr>
            <w:tcW w:w="1015" w:type="pct"/>
            <w:tcBorders>
              <w:left w:val="single" w:sz="4" w:space="0" w:color="auto"/>
              <w:bottom w:val="single" w:sz="4" w:space="0" w:color="auto"/>
            </w:tcBorders>
            <w:vAlign w:val="bottom"/>
          </w:tcPr>
          <w:p w:rsidR="00E86EF5" w:rsidRPr="0097012A" w:rsidRDefault="00E86EF5" w:rsidP="004C5FCE">
            <w:pPr>
              <w:keepNext/>
              <w:keepLines/>
              <w:widowControl/>
              <w:contextualSpacing/>
              <w:jc w:val="center"/>
              <w:rPr>
                <w:rFonts w:ascii="Arial Narrow" w:hAnsi="Arial Narrow" w:cs="Times New Roman"/>
                <w:sz w:val="20"/>
              </w:rPr>
            </w:pPr>
            <w:r w:rsidRPr="0097012A">
              <w:rPr>
                <w:rFonts w:ascii="Arial Narrow" w:hAnsi="Arial Narrow"/>
                <w:b/>
                <w:sz w:val="20"/>
              </w:rPr>
              <w:t>0.33 (-0.02, 0.68)</w:t>
            </w:r>
          </w:p>
        </w:tc>
      </w:tr>
    </w:tbl>
    <w:p w:rsidR="0090259B" w:rsidRPr="0090259B" w:rsidRDefault="0090259B" w:rsidP="004C5FCE">
      <w:pPr>
        <w:pStyle w:val="TableFooter"/>
        <w:keepNext/>
        <w:keepLines/>
        <w:widowControl/>
        <w:ind w:firstLine="720"/>
      </w:pPr>
      <w:r w:rsidRPr="0090259B">
        <w:t>Source: Table B.24, pB97 of the submission</w:t>
      </w:r>
    </w:p>
    <w:p w:rsidR="00081C70" w:rsidRDefault="00D41E06" w:rsidP="004C5FCE">
      <w:pPr>
        <w:pStyle w:val="TableNotes4"/>
        <w:keepNext/>
        <w:tabs>
          <w:tab w:val="clear" w:pos="1134"/>
          <w:tab w:val="left" w:pos="709"/>
        </w:tabs>
        <w:ind w:left="709" w:firstLine="0"/>
        <w:rPr>
          <w:rFonts w:ascii="Arial Narrow" w:hAnsi="Arial Narrow"/>
          <w:sz w:val="18"/>
          <w:szCs w:val="20"/>
        </w:rPr>
      </w:pPr>
      <w:r>
        <w:rPr>
          <w:rFonts w:ascii="Arial Narrow" w:hAnsi="Arial Narrow"/>
          <w:sz w:val="18"/>
          <w:szCs w:val="20"/>
        </w:rPr>
        <w:t xml:space="preserve">Abbreviations: </w:t>
      </w:r>
      <w:r w:rsidR="0090259B" w:rsidRPr="0090259B">
        <w:rPr>
          <w:rFonts w:ascii="Arial Narrow" w:hAnsi="Arial Narrow"/>
          <w:sz w:val="18"/>
          <w:szCs w:val="20"/>
        </w:rPr>
        <w:t>CI, Confidence interval; FAS, Full analysis set;</w:t>
      </w:r>
      <w:r w:rsidR="00A41DA3">
        <w:rPr>
          <w:rFonts w:ascii="Arial Narrow" w:hAnsi="Arial Narrow"/>
          <w:sz w:val="18"/>
          <w:szCs w:val="20"/>
        </w:rPr>
        <w:t xml:space="preserve"> ITT, Intention to Treat,</w:t>
      </w:r>
      <w:r w:rsidR="0090259B" w:rsidRPr="0090259B">
        <w:rPr>
          <w:rFonts w:ascii="Arial Narrow" w:hAnsi="Arial Narrow"/>
          <w:sz w:val="18"/>
          <w:szCs w:val="20"/>
        </w:rPr>
        <w:t xml:space="preserve"> HbA1c, Glycosylated haemoglobin; LS, least squares; Max, maximum; PP, Per protocol; </w:t>
      </w:r>
      <w:r w:rsidR="00081C70">
        <w:rPr>
          <w:rFonts w:ascii="Arial Narrow" w:hAnsi="Arial Narrow"/>
          <w:sz w:val="18"/>
          <w:szCs w:val="20"/>
        </w:rPr>
        <w:t>SE</w:t>
      </w:r>
      <w:r w:rsidR="0090259B" w:rsidRPr="0090259B">
        <w:rPr>
          <w:rFonts w:ascii="Arial Narrow" w:hAnsi="Arial Narrow"/>
          <w:sz w:val="18"/>
          <w:szCs w:val="20"/>
        </w:rPr>
        <w:t>., standard error; SU, sulfonylurea; vs, versus; Wk, week.</w:t>
      </w:r>
    </w:p>
    <w:p w:rsidR="00081C70" w:rsidRPr="0097012A" w:rsidRDefault="00081C70" w:rsidP="004C5FCE">
      <w:pPr>
        <w:widowControl/>
        <w:ind w:firstLine="709"/>
        <w:rPr>
          <w:rFonts w:ascii="Arial Narrow" w:hAnsi="Arial Narrow" w:cs="Arial Narrow"/>
          <w:b/>
          <w:snapToGrid/>
          <w:sz w:val="18"/>
        </w:rPr>
      </w:pPr>
      <w:r w:rsidRPr="0097012A">
        <w:rPr>
          <w:rFonts w:ascii="Arial Narrow" w:hAnsi="Arial Narrow" w:cs="Arial Narrow"/>
          <w:b/>
          <w:snapToGrid/>
          <w:sz w:val="18"/>
        </w:rPr>
        <w:t xml:space="preserve">Bolded </w:t>
      </w:r>
      <w:r w:rsidR="0097012A" w:rsidRPr="0097012A">
        <w:rPr>
          <w:rFonts w:ascii="Arial Narrow" w:hAnsi="Arial Narrow" w:cs="Arial Narrow"/>
          <w:b/>
          <w:snapToGrid/>
          <w:sz w:val="18"/>
        </w:rPr>
        <w:t>figures</w:t>
      </w:r>
      <w:r w:rsidRPr="0097012A">
        <w:rPr>
          <w:rFonts w:ascii="Arial Narrow" w:hAnsi="Arial Narrow" w:cs="Arial Narrow"/>
          <w:b/>
          <w:snapToGrid/>
          <w:sz w:val="18"/>
        </w:rPr>
        <w:t xml:space="preserve"> </w:t>
      </w:r>
      <w:r w:rsidR="0097012A" w:rsidRPr="0097012A">
        <w:rPr>
          <w:rFonts w:ascii="Arial Narrow" w:hAnsi="Arial Narrow" w:cs="Arial Narrow"/>
          <w:b/>
          <w:snapToGrid/>
          <w:sz w:val="18"/>
        </w:rPr>
        <w:t xml:space="preserve">are </w:t>
      </w:r>
      <w:r w:rsidRPr="0097012A">
        <w:rPr>
          <w:rFonts w:ascii="Arial Narrow" w:hAnsi="Arial Narrow" w:cs="Arial Narrow"/>
          <w:b/>
          <w:snapToGrid/>
          <w:sz w:val="18"/>
        </w:rPr>
        <w:t>not non-inferior at the submission’s nominated non-inferiority margin of 0.5% change in HbA1c.</w:t>
      </w:r>
    </w:p>
    <w:p w:rsidR="0090259B" w:rsidRPr="002F7873" w:rsidRDefault="0090259B" w:rsidP="004C5FCE">
      <w:pPr>
        <w:widowControl/>
        <w:tabs>
          <w:tab w:val="left" w:pos="709"/>
        </w:tabs>
        <w:ind w:left="709"/>
        <w:rPr>
          <w:rStyle w:val="IntenseReference"/>
          <w:rFonts w:ascii="Arial Narrow" w:hAnsi="Arial Narrow"/>
          <w:b w:val="0"/>
          <w:bCs w:val="0"/>
          <w:i w:val="0"/>
          <w:smallCaps w:val="0"/>
          <w:color w:val="auto"/>
          <w:sz w:val="18"/>
        </w:rPr>
      </w:pPr>
    </w:p>
    <w:p w:rsidR="00CE7D03" w:rsidRDefault="002F7873" w:rsidP="004C5FCE">
      <w:pPr>
        <w:pStyle w:val="ListParagraph"/>
        <w:keepNext/>
        <w:keepLines/>
        <w:widowControl/>
        <w:numPr>
          <w:ilvl w:val="1"/>
          <w:numId w:val="1"/>
        </w:numPr>
      </w:pPr>
      <w:r>
        <w:lastRenderedPageBreak/>
        <w:t xml:space="preserve">Patients treated with dapagliflozin, insulin glargine and exenatide all achieved statistically significant reductions in HbA1c compared with placebo. </w:t>
      </w:r>
    </w:p>
    <w:p w:rsidR="00CE7D03" w:rsidRDefault="00CE7D03" w:rsidP="004C5FCE">
      <w:pPr>
        <w:pStyle w:val="ListParagraph"/>
        <w:keepNext/>
        <w:keepLines/>
        <w:widowControl/>
      </w:pPr>
    </w:p>
    <w:p w:rsidR="00CE7D03" w:rsidRPr="00DA143A" w:rsidRDefault="002F7873" w:rsidP="004C5FCE">
      <w:pPr>
        <w:pStyle w:val="ListParagraph"/>
        <w:keepNext/>
        <w:keepLines/>
        <w:widowControl/>
        <w:numPr>
          <w:ilvl w:val="1"/>
          <w:numId w:val="1"/>
        </w:numPr>
      </w:pPr>
      <w:r>
        <w:t>The indirect comparisons indicate</w:t>
      </w:r>
      <w:r w:rsidR="0070791E">
        <w:t>d</w:t>
      </w:r>
      <w:r>
        <w:t xml:space="preserve"> that the criterion for non-inferiority of dapagliflozin versus insulin glargine </w:t>
      </w:r>
      <w:r w:rsidR="003E7CBC">
        <w:t>wa</w:t>
      </w:r>
      <w:r>
        <w:t xml:space="preserve">s met when a margin of 0.5% is considered; </w:t>
      </w:r>
      <w:r w:rsidRPr="00DA143A">
        <w:t>however, non</w:t>
      </w:r>
      <w:r w:rsidR="0070791E" w:rsidRPr="00DA143A">
        <w:noBreakHyphen/>
      </w:r>
      <w:r w:rsidRPr="00DA143A">
        <w:t xml:space="preserve">inferiority </w:t>
      </w:r>
      <w:r w:rsidR="003E7CBC">
        <w:t>wa</w:t>
      </w:r>
      <w:r w:rsidRPr="00DA143A">
        <w:t xml:space="preserve">s not met at a non-inferiority margin of 0.4%. </w:t>
      </w:r>
    </w:p>
    <w:p w:rsidR="00CE7D03" w:rsidRPr="00DA143A" w:rsidRDefault="00CE7D03" w:rsidP="004C5FCE">
      <w:pPr>
        <w:pStyle w:val="ListParagraph"/>
        <w:keepNext/>
        <w:keepLines/>
        <w:widowControl/>
      </w:pPr>
    </w:p>
    <w:p w:rsidR="002F7873" w:rsidRDefault="002F7873" w:rsidP="004C5FCE">
      <w:pPr>
        <w:pStyle w:val="ListParagraph"/>
        <w:keepNext/>
        <w:keepLines/>
        <w:widowControl/>
        <w:numPr>
          <w:ilvl w:val="1"/>
          <w:numId w:val="1"/>
        </w:numPr>
      </w:pPr>
      <w:r w:rsidRPr="00080544">
        <w:t>D</w:t>
      </w:r>
      <w:r>
        <w:t>apagliflozin fail</w:t>
      </w:r>
      <w:r w:rsidR="003E7CBC">
        <w:t>ed</w:t>
      </w:r>
      <w:r>
        <w:t xml:space="preserve"> to meet the non-inferiority criterion versus exenatide when a margin </w:t>
      </w:r>
      <w:r w:rsidRPr="00325CB1">
        <w:t xml:space="preserve">of 0.5% (and 0.4%) </w:t>
      </w:r>
      <w:r w:rsidR="003E7CBC">
        <w:t>wa</w:t>
      </w:r>
      <w:r w:rsidRPr="00325CB1">
        <w:t>s considered</w:t>
      </w:r>
      <w:r>
        <w:t xml:space="preserve"> in </w:t>
      </w:r>
      <w:r w:rsidR="0070791E">
        <w:t xml:space="preserve">all three </w:t>
      </w:r>
      <w:r w:rsidR="000542B4">
        <w:t xml:space="preserve">of the </w:t>
      </w:r>
      <w:r>
        <w:t xml:space="preserve">comparisons </w:t>
      </w:r>
      <w:r w:rsidR="000542B4">
        <w:t xml:space="preserve">between dapagliflozin and exenatide that were </w:t>
      </w:r>
      <w:r w:rsidR="0070791E">
        <w:t>conducted in the submission</w:t>
      </w:r>
      <w:r>
        <w:t>:</w:t>
      </w:r>
    </w:p>
    <w:p w:rsidR="002F7873" w:rsidRDefault="002F7873" w:rsidP="004C5FCE">
      <w:pPr>
        <w:pStyle w:val="COMBody"/>
        <w:widowControl/>
        <w:numPr>
          <w:ilvl w:val="0"/>
          <w:numId w:val="7"/>
        </w:numPr>
        <w:ind w:left="993" w:hanging="284"/>
      </w:pPr>
      <w:r>
        <w:t>HbA1c measured at the end of the respective trials (24 vs 30 weeks);</w:t>
      </w:r>
    </w:p>
    <w:p w:rsidR="002F7873" w:rsidRDefault="002F7873" w:rsidP="004C5FCE">
      <w:pPr>
        <w:pStyle w:val="COMBody"/>
        <w:widowControl/>
        <w:numPr>
          <w:ilvl w:val="0"/>
          <w:numId w:val="7"/>
        </w:numPr>
        <w:ind w:left="993" w:hanging="284"/>
      </w:pPr>
      <w:r>
        <w:t>HbA1c measured at 24 weeks in both trials; or</w:t>
      </w:r>
    </w:p>
    <w:p w:rsidR="0097012A" w:rsidRDefault="002F7873" w:rsidP="004C5FCE">
      <w:pPr>
        <w:pStyle w:val="COMBody"/>
        <w:widowControl/>
        <w:numPr>
          <w:ilvl w:val="0"/>
          <w:numId w:val="7"/>
        </w:numPr>
        <w:ind w:left="993" w:hanging="284"/>
      </w:pPr>
      <w:r>
        <w:t xml:space="preserve">HbA1c measured at 24 weeks in CT005 and </w:t>
      </w:r>
      <w:r w:rsidR="008842FA">
        <w:t xml:space="preserve">measured at 30 weeks in the </w:t>
      </w:r>
      <w:r w:rsidR="008842FA" w:rsidRPr="008842FA">
        <w:t>Max</w:t>
      </w:r>
      <w:r w:rsidR="008842FA">
        <w:t> </w:t>
      </w:r>
      <w:r w:rsidRPr="008842FA">
        <w:t>SU</w:t>
      </w:r>
      <w:r>
        <w:t xml:space="preserve"> sub-group of Trial 115. </w:t>
      </w:r>
      <w:r w:rsidRPr="00746270">
        <w:rPr>
          <w:color w:val="222222"/>
          <w:shd w:val="clear" w:color="auto" w:fill="FFFFFF"/>
        </w:rPr>
        <w:t>The</w:t>
      </w:r>
      <w:r w:rsidRPr="001F09F2">
        <w:rPr>
          <w:color w:val="222222"/>
          <w:shd w:val="clear" w:color="auto" w:fill="FFFFFF"/>
        </w:rPr>
        <w:t xml:space="preserve"> submission states this is most likely due to the small number of subjects included in this analysis (109 patients in the dapagliflozin arm of CT005 and ~120 in the exenatide M</w:t>
      </w:r>
      <w:r>
        <w:rPr>
          <w:color w:val="222222"/>
          <w:shd w:val="clear" w:color="auto" w:fill="FFFFFF"/>
        </w:rPr>
        <w:t>ax</w:t>
      </w:r>
      <w:r w:rsidR="000542B4">
        <w:rPr>
          <w:color w:val="222222"/>
          <w:shd w:val="clear" w:color="auto" w:fill="FFFFFF"/>
        </w:rPr>
        <w:t xml:space="preserve"> SU </w:t>
      </w:r>
      <w:r w:rsidRPr="001F09F2">
        <w:rPr>
          <w:color w:val="222222"/>
          <w:shd w:val="clear" w:color="auto" w:fill="FFFFFF"/>
        </w:rPr>
        <w:t>group)</w:t>
      </w:r>
      <w:r>
        <w:t>.</w:t>
      </w:r>
    </w:p>
    <w:p w:rsidR="00F94F15" w:rsidRPr="0097012A" w:rsidRDefault="002F7873" w:rsidP="004C5FCE">
      <w:pPr>
        <w:pStyle w:val="COMBody"/>
        <w:widowControl/>
        <w:numPr>
          <w:ilvl w:val="0"/>
          <w:numId w:val="7"/>
        </w:numPr>
        <w:ind w:left="993" w:hanging="284"/>
      </w:pPr>
      <w:r w:rsidRPr="00DA143A">
        <w:t xml:space="preserve">Moreover, the results comparing the FAS/ITT populations at 24/30 and 24/24 of CT005 and Trial 115 </w:t>
      </w:r>
      <w:r w:rsidR="00983F2B" w:rsidRPr="00DA143A">
        <w:t>suggest</w:t>
      </w:r>
      <w:r w:rsidR="003E7CBC">
        <w:t>ed</w:t>
      </w:r>
      <w:r w:rsidR="00983F2B" w:rsidRPr="00DA143A">
        <w:t xml:space="preserve"> that dapagliflozin may be inferior to exenatide</w:t>
      </w:r>
      <w:r w:rsidRPr="00DA143A">
        <w:t>.</w:t>
      </w:r>
    </w:p>
    <w:p w:rsidR="00A14190" w:rsidRPr="00DA143A" w:rsidRDefault="00A14190" w:rsidP="004C5FCE">
      <w:pPr>
        <w:widowControl/>
        <w:ind w:left="720"/>
        <w:rPr>
          <w:rStyle w:val="CommentReference"/>
          <w:szCs w:val="20"/>
        </w:rPr>
      </w:pPr>
    </w:p>
    <w:p w:rsidR="00C07D22" w:rsidRPr="00B24BD6" w:rsidRDefault="00573E76" w:rsidP="004C5FCE">
      <w:pPr>
        <w:pStyle w:val="ListParagraph"/>
        <w:keepNext/>
        <w:keepLines/>
        <w:widowControl/>
        <w:numPr>
          <w:ilvl w:val="1"/>
          <w:numId w:val="1"/>
        </w:numPr>
      </w:pPr>
      <w:r>
        <w:t>The table below</w:t>
      </w:r>
      <w:r w:rsidR="00C07D22" w:rsidRPr="00B24BD6">
        <w:t xml:space="preserve"> presents the results of change in </w:t>
      </w:r>
      <w:r w:rsidR="00C07D22">
        <w:t>total body weight (kg)</w:t>
      </w:r>
      <w:r w:rsidR="00C07D22" w:rsidRPr="00B24BD6">
        <w:t>.</w:t>
      </w:r>
    </w:p>
    <w:p w:rsidR="00C07D22" w:rsidRDefault="00C07D22" w:rsidP="004C5FCE">
      <w:pPr>
        <w:widowControl/>
        <w:ind w:left="720"/>
        <w:rPr>
          <w:rStyle w:val="CommentReference"/>
          <w:szCs w:val="20"/>
        </w:rPr>
      </w:pPr>
    </w:p>
    <w:p w:rsidR="00C07D22" w:rsidRPr="00F851CE" w:rsidRDefault="00C07D22" w:rsidP="004C5FCE">
      <w:pPr>
        <w:keepNext/>
        <w:keepLines/>
        <w:widowControl/>
        <w:ind w:left="709"/>
        <w:rPr>
          <w:rStyle w:val="CommentReference"/>
        </w:rPr>
      </w:pPr>
      <w:r>
        <w:rPr>
          <w:rStyle w:val="CommentReference"/>
        </w:rPr>
        <w:t xml:space="preserve">Mean change </w:t>
      </w:r>
      <w:r w:rsidRPr="0001638C">
        <w:rPr>
          <w:rFonts w:ascii="Arial Narrow" w:hAnsi="Arial Narrow"/>
          <w:b/>
          <w:bCs/>
          <w:sz w:val="20"/>
          <w:szCs w:val="16"/>
        </w:rPr>
        <w:t xml:space="preserve">in </w:t>
      </w:r>
      <w:r>
        <w:rPr>
          <w:rFonts w:ascii="Arial Narrow" w:hAnsi="Arial Narrow"/>
          <w:b/>
          <w:bCs/>
          <w:sz w:val="20"/>
          <w:szCs w:val="16"/>
        </w:rPr>
        <w:t xml:space="preserve">total </w:t>
      </w:r>
      <w:r w:rsidRPr="0001638C">
        <w:rPr>
          <w:rFonts w:ascii="Arial Narrow" w:hAnsi="Arial Narrow"/>
          <w:b/>
          <w:bCs/>
          <w:sz w:val="20"/>
          <w:szCs w:val="16"/>
        </w:rPr>
        <w:t xml:space="preserve">body weight (kg) from baseline to Week 24/26/30: dapagliflozin vs insulin glargine, dapagliflozin vs exenatide, as add-on therapy to </w:t>
      </w:r>
      <w:r w:rsidR="008842FA">
        <w:rPr>
          <w:rFonts w:ascii="Arial Narrow" w:hAnsi="Arial Narrow"/>
          <w:b/>
          <w:bCs/>
          <w:sz w:val="20"/>
          <w:szCs w:val="16"/>
        </w:rPr>
        <w:t>MET+ SU</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29"/>
        <w:gridCol w:w="2031"/>
        <w:gridCol w:w="1315"/>
        <w:gridCol w:w="814"/>
        <w:gridCol w:w="392"/>
        <w:gridCol w:w="1208"/>
        <w:gridCol w:w="1656"/>
      </w:tblGrid>
      <w:tr w:rsidR="00C07D22" w:rsidRPr="00FF22C9" w:rsidTr="00C07D22">
        <w:trPr>
          <w:trHeight w:val="458"/>
        </w:trPr>
        <w:tc>
          <w:tcPr>
            <w:tcW w:w="556" w:type="pct"/>
            <w:vMerge w:val="restart"/>
            <w:vAlign w:val="center"/>
          </w:tcPr>
          <w:p w:rsidR="00C07D22" w:rsidRPr="00FF22C9" w:rsidRDefault="00C07D22" w:rsidP="004C5FCE">
            <w:pPr>
              <w:keepNext/>
              <w:keepLines/>
              <w:widowControl/>
              <w:contextualSpacing/>
              <w:jc w:val="left"/>
              <w:rPr>
                <w:rFonts w:ascii="Arial Narrow" w:hAnsi="Arial Narrow" w:cs="Times New Roman"/>
                <w:sz w:val="20"/>
              </w:rPr>
            </w:pPr>
            <w:r w:rsidRPr="00FF22C9">
              <w:rPr>
                <w:rFonts w:ascii="Arial Narrow" w:hAnsi="Arial Narrow" w:cs="Times New Roman"/>
                <w:b/>
                <w:sz w:val="20"/>
              </w:rPr>
              <w:t>Trial ID</w:t>
            </w:r>
          </w:p>
        </w:tc>
        <w:tc>
          <w:tcPr>
            <w:tcW w:w="1217" w:type="pct"/>
            <w:vMerge w:val="restart"/>
            <w:vAlign w:val="center"/>
          </w:tcPr>
          <w:p w:rsidR="00C07D22" w:rsidRPr="00FF22C9" w:rsidRDefault="00C07D22" w:rsidP="004C5FCE">
            <w:pPr>
              <w:keepNext/>
              <w:keepLines/>
              <w:widowControl/>
              <w:ind w:right="-108"/>
              <w:contextualSpacing/>
              <w:jc w:val="center"/>
              <w:rPr>
                <w:rFonts w:ascii="Arial Narrow" w:hAnsi="Arial Narrow" w:cs="Times New Roman"/>
                <w:b/>
                <w:sz w:val="20"/>
              </w:rPr>
            </w:pPr>
            <w:r w:rsidRPr="00FF22C9">
              <w:rPr>
                <w:rFonts w:ascii="Arial Narrow" w:hAnsi="Arial Narrow" w:cs="Times New Roman"/>
                <w:b/>
                <w:sz w:val="20"/>
              </w:rPr>
              <w:t>Comparison</w:t>
            </w:r>
          </w:p>
        </w:tc>
        <w:tc>
          <w:tcPr>
            <w:tcW w:w="788" w:type="pct"/>
            <w:vMerge w:val="restart"/>
            <w:vAlign w:val="center"/>
          </w:tcPr>
          <w:p w:rsidR="00C07D22" w:rsidRPr="00FF22C9" w:rsidRDefault="00C07D22" w:rsidP="004C5FCE">
            <w:pPr>
              <w:keepNext/>
              <w:keepLines/>
              <w:widowControl/>
              <w:contextualSpacing/>
              <w:jc w:val="center"/>
              <w:rPr>
                <w:rFonts w:ascii="Arial Narrow" w:hAnsi="Arial Narrow" w:cs="Times New Roman"/>
                <w:sz w:val="20"/>
              </w:rPr>
            </w:pPr>
            <w:r>
              <w:rPr>
                <w:rFonts w:ascii="Arial Narrow" w:hAnsi="Arial Narrow" w:cs="Times New Roman"/>
                <w:b/>
                <w:sz w:val="20"/>
              </w:rPr>
              <w:t>Week; population</w:t>
            </w:r>
          </w:p>
        </w:tc>
        <w:tc>
          <w:tcPr>
            <w:tcW w:w="1446" w:type="pct"/>
            <w:gridSpan w:val="3"/>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Pr>
                <w:rFonts w:ascii="Arial Narrow" w:hAnsi="Arial Narrow" w:cs="Times New Roman"/>
                <w:b/>
                <w:sz w:val="20"/>
              </w:rPr>
              <w:t>M</w:t>
            </w:r>
            <w:r w:rsidRPr="00FF22C9">
              <w:rPr>
                <w:rFonts w:ascii="Arial Narrow" w:hAnsi="Arial Narrow" w:cs="Times New Roman"/>
                <w:b/>
                <w:sz w:val="20"/>
              </w:rPr>
              <w:t xml:space="preserve">ean change </w:t>
            </w:r>
            <w:r>
              <w:rPr>
                <w:rFonts w:ascii="Arial Narrow" w:hAnsi="Arial Narrow" w:cs="Times New Roman"/>
                <w:b/>
                <w:sz w:val="20"/>
              </w:rPr>
              <w:t xml:space="preserve">in total body weight (kg) </w:t>
            </w:r>
            <w:r w:rsidRPr="00FF22C9">
              <w:rPr>
                <w:rFonts w:ascii="Arial Narrow" w:hAnsi="Arial Narrow" w:cs="Times New Roman"/>
                <w:b/>
                <w:sz w:val="20"/>
              </w:rPr>
              <w:t>from baseline (s.e.)</w:t>
            </w:r>
          </w:p>
        </w:tc>
        <w:tc>
          <w:tcPr>
            <w:tcW w:w="993" w:type="pct"/>
            <w:vMerge w:val="restart"/>
            <w:vAlign w:val="center"/>
          </w:tcPr>
          <w:p w:rsidR="00C07D22" w:rsidRPr="00FF22C9" w:rsidRDefault="00C07D22" w:rsidP="004C5FCE">
            <w:pPr>
              <w:keepNext/>
              <w:keepLines/>
              <w:widowControl/>
              <w:contextualSpacing/>
              <w:jc w:val="center"/>
              <w:rPr>
                <w:rFonts w:ascii="Arial Narrow" w:hAnsi="Arial Narrow" w:cs="Times New Roman"/>
                <w:b/>
                <w:sz w:val="20"/>
              </w:rPr>
            </w:pPr>
            <w:r w:rsidRPr="00FF22C9">
              <w:rPr>
                <w:rFonts w:ascii="Arial Narrow" w:hAnsi="Arial Narrow" w:cs="Times New Roman"/>
                <w:b/>
                <w:sz w:val="20"/>
              </w:rPr>
              <w:t>Difference in</w:t>
            </w:r>
          </w:p>
          <w:p w:rsidR="00C07D22" w:rsidRPr="00FF22C9" w:rsidRDefault="00C07D22" w:rsidP="004C5FCE">
            <w:pPr>
              <w:keepNext/>
              <w:keepLines/>
              <w:widowControl/>
              <w:contextualSpacing/>
              <w:jc w:val="center"/>
              <w:rPr>
                <w:rFonts w:ascii="Arial Narrow" w:hAnsi="Arial Narrow" w:cs="Times New Roman"/>
                <w:b/>
                <w:sz w:val="20"/>
              </w:rPr>
            </w:pPr>
            <w:r w:rsidRPr="00FF22C9">
              <w:rPr>
                <w:rFonts w:ascii="Arial Narrow" w:hAnsi="Arial Narrow" w:cs="Times New Roman"/>
                <w:b/>
                <w:sz w:val="20"/>
              </w:rPr>
              <w:t>LS mean change (95% CI)</w:t>
            </w:r>
          </w:p>
        </w:tc>
      </w:tr>
      <w:tr w:rsidR="00C07D22" w:rsidRPr="00FF22C9" w:rsidTr="00C07D22">
        <w:trPr>
          <w:trHeight w:val="58"/>
        </w:trPr>
        <w:tc>
          <w:tcPr>
            <w:tcW w:w="556" w:type="pct"/>
            <w:vMerge/>
            <w:tcBorders>
              <w:bottom w:val="single" w:sz="4" w:space="0" w:color="auto"/>
            </w:tcBorders>
            <w:vAlign w:val="center"/>
          </w:tcPr>
          <w:p w:rsidR="00C07D22" w:rsidRPr="00FF22C9" w:rsidRDefault="00C07D22" w:rsidP="004C5FCE">
            <w:pPr>
              <w:keepNext/>
              <w:keepLines/>
              <w:widowControl/>
              <w:contextualSpacing/>
              <w:jc w:val="left"/>
              <w:rPr>
                <w:rFonts w:ascii="Arial Narrow" w:hAnsi="Arial Narrow" w:cs="Times New Roman"/>
                <w:b/>
                <w:sz w:val="20"/>
              </w:rPr>
            </w:pPr>
          </w:p>
        </w:tc>
        <w:tc>
          <w:tcPr>
            <w:tcW w:w="1217" w:type="pct"/>
            <w:vMerge/>
            <w:tcBorders>
              <w:bottom w:val="single" w:sz="4" w:space="0" w:color="auto"/>
            </w:tcBorders>
            <w:vAlign w:val="center"/>
          </w:tcPr>
          <w:p w:rsidR="00C07D22" w:rsidRPr="00FF22C9" w:rsidRDefault="00C07D22" w:rsidP="004C5FCE">
            <w:pPr>
              <w:keepNext/>
              <w:keepLines/>
              <w:widowControl/>
              <w:ind w:right="-108"/>
              <w:contextualSpacing/>
              <w:jc w:val="center"/>
              <w:rPr>
                <w:rFonts w:ascii="Arial Narrow" w:hAnsi="Arial Narrow" w:cs="Times New Roman"/>
                <w:b/>
                <w:sz w:val="20"/>
              </w:rPr>
            </w:pPr>
          </w:p>
        </w:tc>
        <w:tc>
          <w:tcPr>
            <w:tcW w:w="788" w:type="pct"/>
            <w:vMerge/>
            <w:tcBorders>
              <w:bottom w:val="single" w:sz="4" w:space="0" w:color="auto"/>
            </w:tcBorders>
            <w:vAlign w:val="center"/>
          </w:tcPr>
          <w:p w:rsidR="00C07D22" w:rsidRPr="00FF22C9" w:rsidRDefault="00C07D22" w:rsidP="004C5FCE">
            <w:pPr>
              <w:keepNext/>
              <w:keepLines/>
              <w:widowControl/>
              <w:ind w:right="-108"/>
              <w:contextualSpacing/>
              <w:jc w:val="center"/>
              <w:rPr>
                <w:rFonts w:ascii="Arial Narrow" w:hAnsi="Arial Narrow" w:cs="Times New Roman"/>
                <w:b/>
                <w:sz w:val="20"/>
              </w:rPr>
            </w:pPr>
          </w:p>
        </w:tc>
        <w:tc>
          <w:tcPr>
            <w:tcW w:w="723" w:type="pct"/>
            <w:gridSpan w:val="2"/>
            <w:tcBorders>
              <w:bottom w:val="single" w:sz="4" w:space="0" w:color="auto"/>
            </w:tcBorders>
            <w:vAlign w:val="center"/>
          </w:tcPr>
          <w:p w:rsidR="00C07D22" w:rsidRPr="00FF22C9" w:rsidRDefault="00C07D22" w:rsidP="004C5FCE">
            <w:pPr>
              <w:keepNext/>
              <w:keepLines/>
              <w:widowControl/>
              <w:ind w:right="-108"/>
              <w:contextualSpacing/>
              <w:jc w:val="center"/>
              <w:rPr>
                <w:rFonts w:ascii="Arial Narrow" w:hAnsi="Arial Narrow" w:cs="Times New Roman"/>
                <w:b/>
                <w:sz w:val="20"/>
              </w:rPr>
            </w:pPr>
            <w:r w:rsidRPr="00FF22C9">
              <w:rPr>
                <w:rFonts w:ascii="Arial Narrow" w:hAnsi="Arial Narrow" w:cs="Times New Roman"/>
                <w:b/>
                <w:sz w:val="20"/>
              </w:rPr>
              <w:t>Active Treatment</w:t>
            </w:r>
          </w:p>
        </w:tc>
        <w:tc>
          <w:tcPr>
            <w:tcW w:w="724" w:type="pct"/>
            <w:tcBorders>
              <w:bottom w:val="single" w:sz="4" w:space="0" w:color="auto"/>
            </w:tcBorders>
            <w:vAlign w:val="center"/>
          </w:tcPr>
          <w:p w:rsidR="00C07D22" w:rsidRPr="00FF22C9" w:rsidRDefault="00C07D22" w:rsidP="004C5FCE">
            <w:pPr>
              <w:keepNext/>
              <w:keepLines/>
              <w:widowControl/>
              <w:ind w:right="-108"/>
              <w:contextualSpacing/>
              <w:jc w:val="center"/>
              <w:rPr>
                <w:rFonts w:ascii="Arial Narrow" w:hAnsi="Arial Narrow" w:cs="Times New Roman"/>
                <w:b/>
                <w:sz w:val="20"/>
              </w:rPr>
            </w:pPr>
            <w:r>
              <w:rPr>
                <w:rFonts w:ascii="Arial Narrow" w:hAnsi="Arial Narrow" w:cs="Times New Roman"/>
                <w:b/>
                <w:sz w:val="20"/>
              </w:rPr>
              <w:t>Placebo</w:t>
            </w:r>
          </w:p>
        </w:tc>
        <w:tc>
          <w:tcPr>
            <w:tcW w:w="993" w:type="pct"/>
            <w:vMerge/>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b/>
                <w:sz w:val="20"/>
              </w:rPr>
            </w:pPr>
          </w:p>
        </w:tc>
      </w:tr>
      <w:tr w:rsidR="00C07D22" w:rsidRPr="00FF22C9" w:rsidTr="00C07D22">
        <w:tc>
          <w:tcPr>
            <w:tcW w:w="556" w:type="pct"/>
            <w:vAlign w:val="center"/>
          </w:tcPr>
          <w:p w:rsidR="00C07D22" w:rsidRPr="00FF22C9" w:rsidRDefault="00C07D22" w:rsidP="004C5FCE">
            <w:pPr>
              <w:keepNext/>
              <w:keepLines/>
              <w:widowControl/>
              <w:contextualSpacing/>
              <w:jc w:val="left"/>
              <w:rPr>
                <w:rFonts w:ascii="Arial Narrow" w:hAnsi="Arial Narrow" w:cs="Times New Roman"/>
                <w:sz w:val="20"/>
              </w:rPr>
            </w:pPr>
            <w:r w:rsidRPr="00FF22C9">
              <w:rPr>
                <w:rFonts w:ascii="Arial Narrow" w:hAnsi="Arial Narrow" w:cs="Times New Roman"/>
                <w:sz w:val="20"/>
              </w:rPr>
              <w:t>Trial CT005</w:t>
            </w:r>
          </w:p>
        </w:tc>
        <w:tc>
          <w:tcPr>
            <w:tcW w:w="1217" w:type="pc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Dapagliflozin vs Placebo</w:t>
            </w:r>
          </w:p>
        </w:tc>
        <w:tc>
          <w:tcPr>
            <w:tcW w:w="788" w:type="pct"/>
            <w:vAlign w:val="center"/>
          </w:tcPr>
          <w:p w:rsidR="00C07D22" w:rsidRPr="00FF22C9" w:rsidRDefault="00C07D22" w:rsidP="004C5FCE">
            <w:pPr>
              <w:keepNext/>
              <w:keepLines/>
              <w:widowControl/>
              <w:contextualSpacing/>
              <w:jc w:val="center"/>
              <w:rPr>
                <w:rFonts w:ascii="Arial Narrow" w:hAnsi="Arial Narrow" w:cs="Times New Roman"/>
                <w:sz w:val="20"/>
              </w:rPr>
            </w:pPr>
            <w:r>
              <w:rPr>
                <w:rFonts w:ascii="Arial Narrow" w:hAnsi="Arial Narrow" w:cs="Times New Roman"/>
                <w:sz w:val="20"/>
              </w:rPr>
              <w:t>24, FAS</w:t>
            </w:r>
          </w:p>
        </w:tc>
        <w:tc>
          <w:tcPr>
            <w:tcW w:w="723" w:type="pct"/>
            <w:gridSpan w:val="2"/>
            <w:vAlign w:val="center"/>
          </w:tcPr>
          <w:p w:rsidR="00C07D22" w:rsidRPr="00E72586" w:rsidRDefault="00C07D22" w:rsidP="004C5FCE">
            <w:pPr>
              <w:keepNext/>
              <w:keepLines/>
              <w:widowControl/>
              <w:contextualSpacing/>
              <w:jc w:val="center"/>
              <w:rPr>
                <w:rFonts w:ascii="Arial Narrow" w:hAnsi="Arial Narrow" w:cs="Times New Roman"/>
                <w:b/>
                <w:sz w:val="20"/>
              </w:rPr>
            </w:pPr>
            <w:r w:rsidRPr="00FF22C9">
              <w:rPr>
                <w:rFonts w:ascii="Arial Narrow" w:hAnsi="Arial Narrow" w:cs="Times New Roman"/>
                <w:sz w:val="20"/>
              </w:rPr>
              <w:t>-2.65 (0.26)</w:t>
            </w:r>
          </w:p>
        </w:tc>
        <w:tc>
          <w:tcPr>
            <w:tcW w:w="724" w:type="pc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-0.58 (0.26)</w:t>
            </w:r>
          </w:p>
        </w:tc>
        <w:tc>
          <w:tcPr>
            <w:tcW w:w="993" w:type="pc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-2.07 (-2.79, -1.35)</w:t>
            </w:r>
          </w:p>
        </w:tc>
      </w:tr>
      <w:tr w:rsidR="00C07D22" w:rsidRPr="00FF22C9" w:rsidTr="00C07D22">
        <w:tc>
          <w:tcPr>
            <w:tcW w:w="556" w:type="pct"/>
            <w:vAlign w:val="center"/>
          </w:tcPr>
          <w:p w:rsidR="00C07D22" w:rsidRPr="00FF22C9" w:rsidRDefault="00C07D22" w:rsidP="004C5FCE">
            <w:pPr>
              <w:keepNext/>
              <w:keepLines/>
              <w:widowControl/>
              <w:contextualSpacing/>
              <w:jc w:val="left"/>
              <w:rPr>
                <w:rFonts w:ascii="Arial Narrow" w:hAnsi="Arial Narrow" w:cs="Times New Roman"/>
                <w:sz w:val="20"/>
              </w:rPr>
            </w:pPr>
            <w:r w:rsidRPr="00FF22C9">
              <w:rPr>
                <w:rFonts w:ascii="Arial Narrow" w:hAnsi="Arial Narrow" w:cs="Times New Roman"/>
                <w:sz w:val="20"/>
              </w:rPr>
              <w:t>Russell-Jones (2009)</w:t>
            </w:r>
          </w:p>
        </w:tc>
        <w:tc>
          <w:tcPr>
            <w:tcW w:w="1217" w:type="pc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Insulin glargine vs Placebo</w:t>
            </w:r>
          </w:p>
        </w:tc>
        <w:tc>
          <w:tcPr>
            <w:tcW w:w="788" w:type="pct"/>
            <w:vAlign w:val="center"/>
          </w:tcPr>
          <w:p w:rsidR="00C07D22" w:rsidRPr="00FF22C9" w:rsidRDefault="00C07D22" w:rsidP="004C5FCE">
            <w:pPr>
              <w:keepNext/>
              <w:keepLines/>
              <w:widowControl/>
              <w:contextualSpacing/>
              <w:jc w:val="center"/>
              <w:rPr>
                <w:rFonts w:ascii="Arial Narrow" w:hAnsi="Arial Narrow" w:cs="Times New Roman"/>
                <w:sz w:val="20"/>
              </w:rPr>
            </w:pPr>
            <w:r>
              <w:rPr>
                <w:rFonts w:ascii="Arial Narrow" w:hAnsi="Arial Narrow" w:cs="Times New Roman"/>
                <w:sz w:val="20"/>
              </w:rPr>
              <w:t>26; ITT</w:t>
            </w:r>
          </w:p>
        </w:tc>
        <w:tc>
          <w:tcPr>
            <w:tcW w:w="723" w:type="pct"/>
            <w:gridSpan w:val="2"/>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1.60 (0.33)</w:t>
            </w:r>
          </w:p>
        </w:tc>
        <w:tc>
          <w:tcPr>
            <w:tcW w:w="724" w:type="pc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-0.42 (0.39)</w:t>
            </w:r>
          </w:p>
        </w:tc>
        <w:tc>
          <w:tcPr>
            <w:tcW w:w="993" w:type="pc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2.02 (1.02, 3.02)</w:t>
            </w:r>
          </w:p>
        </w:tc>
      </w:tr>
      <w:tr w:rsidR="00C07D22" w:rsidRPr="00FF22C9" w:rsidTr="00C07D22">
        <w:trPr>
          <w:trHeight w:val="58"/>
        </w:trPr>
        <w:tc>
          <w:tcPr>
            <w:tcW w:w="556" w:type="pct"/>
            <w:vMerge w:val="restart"/>
            <w:vAlign w:val="center"/>
          </w:tcPr>
          <w:p w:rsidR="00C07D22" w:rsidRPr="00FF22C9" w:rsidRDefault="00C07D22" w:rsidP="004C5FCE">
            <w:pPr>
              <w:keepNext/>
              <w:keepLines/>
              <w:widowControl/>
              <w:contextualSpacing/>
              <w:jc w:val="left"/>
              <w:rPr>
                <w:rFonts w:ascii="Arial Narrow" w:hAnsi="Arial Narrow" w:cs="Times New Roman"/>
                <w:sz w:val="20"/>
              </w:rPr>
            </w:pPr>
            <w:r w:rsidRPr="00FF22C9">
              <w:rPr>
                <w:rFonts w:ascii="Arial Narrow" w:hAnsi="Arial Narrow" w:cs="Times New Roman"/>
                <w:sz w:val="20"/>
              </w:rPr>
              <w:t>Trial 115</w:t>
            </w:r>
          </w:p>
        </w:tc>
        <w:tc>
          <w:tcPr>
            <w:tcW w:w="1217" w:type="pct"/>
            <w:vMerge w:val="restart"/>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Exenatide vs Placebo</w:t>
            </w:r>
          </w:p>
        </w:tc>
        <w:tc>
          <w:tcPr>
            <w:tcW w:w="788" w:type="pct"/>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Pr>
                <w:rFonts w:ascii="Arial Narrow" w:hAnsi="Arial Narrow" w:cs="Times New Roman"/>
                <w:sz w:val="20"/>
              </w:rPr>
              <w:t>30; ITT</w:t>
            </w:r>
          </w:p>
        </w:tc>
        <w:tc>
          <w:tcPr>
            <w:tcW w:w="723" w:type="pct"/>
            <w:gridSpan w:val="2"/>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-1.60 (0.21)</w:t>
            </w:r>
          </w:p>
        </w:tc>
        <w:tc>
          <w:tcPr>
            <w:tcW w:w="724" w:type="pct"/>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-0.90 (0.21)</w:t>
            </w:r>
          </w:p>
        </w:tc>
        <w:tc>
          <w:tcPr>
            <w:tcW w:w="993" w:type="pct"/>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-0.70 (-1.30, -0.20)</w:t>
            </w:r>
          </w:p>
        </w:tc>
      </w:tr>
      <w:tr w:rsidR="00C07D22" w:rsidRPr="00FF22C9" w:rsidTr="00C07D22">
        <w:tc>
          <w:tcPr>
            <w:tcW w:w="556" w:type="pct"/>
            <w:vMerge/>
            <w:tcBorders>
              <w:bottom w:val="single" w:sz="4" w:space="0" w:color="auto"/>
            </w:tcBorders>
            <w:vAlign w:val="center"/>
          </w:tcPr>
          <w:p w:rsidR="00C07D22" w:rsidRPr="00FF22C9" w:rsidRDefault="00C07D22" w:rsidP="004C5FCE">
            <w:pPr>
              <w:keepNext/>
              <w:keepLines/>
              <w:widowControl/>
              <w:contextualSpacing/>
              <w:jc w:val="left"/>
              <w:rPr>
                <w:rFonts w:ascii="Arial Narrow" w:hAnsi="Arial Narrow" w:cs="Times New Roman"/>
                <w:sz w:val="20"/>
              </w:rPr>
            </w:pPr>
          </w:p>
        </w:tc>
        <w:tc>
          <w:tcPr>
            <w:tcW w:w="1217" w:type="pct"/>
            <w:vMerge/>
            <w:tcBorders>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p>
        </w:tc>
        <w:tc>
          <w:tcPr>
            <w:tcW w:w="788" w:type="pct"/>
            <w:tcBorders>
              <w:bottom w:val="single" w:sz="4" w:space="0" w:color="auto"/>
            </w:tcBorders>
            <w:vAlign w:val="center"/>
          </w:tcPr>
          <w:p w:rsidR="00C07D22" w:rsidRDefault="00C07D22" w:rsidP="004C5FCE">
            <w:pPr>
              <w:keepNext/>
              <w:keepLines/>
              <w:widowControl/>
              <w:contextualSpacing/>
              <w:jc w:val="center"/>
              <w:rPr>
                <w:rFonts w:ascii="Arial Narrow" w:hAnsi="Arial Narrow" w:cs="Times New Roman"/>
                <w:sz w:val="20"/>
              </w:rPr>
            </w:pPr>
            <w:r>
              <w:rPr>
                <w:rFonts w:ascii="Arial Narrow" w:hAnsi="Arial Narrow" w:cs="Times New Roman"/>
                <w:sz w:val="20"/>
              </w:rPr>
              <w:t>30; Max SU</w:t>
            </w:r>
          </w:p>
        </w:tc>
        <w:tc>
          <w:tcPr>
            <w:tcW w:w="723" w:type="pct"/>
            <w:gridSpan w:val="2"/>
            <w:tcBorders>
              <w:bottom w:val="single" w:sz="4" w:space="0" w:color="auto"/>
            </w:tcBorders>
            <w:shd w:val="clear" w:color="auto" w:fill="auto"/>
            <w:vAlign w:val="center"/>
          </w:tcPr>
          <w:p w:rsidR="00C07D22" w:rsidRPr="00FF22C9" w:rsidRDefault="00C07D22" w:rsidP="004C5FCE">
            <w:pPr>
              <w:keepNext/>
              <w:keepLines/>
              <w:widowControl/>
              <w:contextualSpacing/>
              <w:jc w:val="center"/>
              <w:rPr>
                <w:rFonts w:ascii="Arial Narrow" w:hAnsi="Arial Narrow" w:cs="Times New Roman"/>
                <w:sz w:val="20"/>
              </w:rPr>
            </w:pPr>
            <w:r w:rsidRPr="00027C0F">
              <w:rPr>
                <w:rFonts w:ascii="Arial Narrow" w:hAnsi="Arial Narrow" w:cs="Times New Roman"/>
                <w:sz w:val="20"/>
              </w:rPr>
              <w:t>-1.7 (0.27)</w:t>
            </w:r>
          </w:p>
        </w:tc>
        <w:tc>
          <w:tcPr>
            <w:tcW w:w="724" w:type="pct"/>
            <w:tcBorders>
              <w:bottom w:val="single" w:sz="4" w:space="0" w:color="auto"/>
            </w:tcBorders>
            <w:shd w:val="clear" w:color="auto" w:fill="auto"/>
            <w:vAlign w:val="center"/>
          </w:tcPr>
          <w:p w:rsidR="00C07D22" w:rsidRPr="00FF22C9" w:rsidRDefault="00C07D22" w:rsidP="004C5FCE">
            <w:pPr>
              <w:keepNext/>
              <w:keepLines/>
              <w:widowControl/>
              <w:contextualSpacing/>
              <w:jc w:val="center"/>
              <w:rPr>
                <w:rFonts w:ascii="Arial Narrow" w:hAnsi="Arial Narrow" w:cs="Times New Roman"/>
                <w:sz w:val="20"/>
              </w:rPr>
            </w:pPr>
            <w:r w:rsidRPr="00027C0F">
              <w:rPr>
                <w:rFonts w:ascii="Arial Narrow" w:hAnsi="Arial Narrow" w:cs="Times New Roman"/>
                <w:sz w:val="20"/>
              </w:rPr>
              <w:t>-0.8 (0.24)</w:t>
            </w:r>
          </w:p>
        </w:tc>
        <w:tc>
          <w:tcPr>
            <w:tcW w:w="993" w:type="pct"/>
            <w:tcBorders>
              <w:bottom w:val="single" w:sz="4" w:space="0" w:color="auto"/>
            </w:tcBorders>
            <w:shd w:val="clear" w:color="auto" w:fill="auto"/>
            <w:vAlign w:val="center"/>
          </w:tcPr>
          <w:p w:rsidR="00C07D22" w:rsidRPr="00FF22C9" w:rsidRDefault="00C07D22" w:rsidP="004C5FCE">
            <w:pPr>
              <w:keepNext/>
              <w:keepLines/>
              <w:widowControl/>
              <w:contextualSpacing/>
              <w:jc w:val="center"/>
              <w:rPr>
                <w:rFonts w:ascii="Arial Narrow" w:hAnsi="Arial Narrow" w:cs="Times New Roman"/>
                <w:sz w:val="20"/>
              </w:rPr>
            </w:pPr>
            <w:r w:rsidRPr="00027C0F">
              <w:rPr>
                <w:rFonts w:ascii="Arial Narrow" w:hAnsi="Arial Narrow" w:cs="Times New Roman"/>
                <w:sz w:val="20"/>
              </w:rPr>
              <w:t>-0.90 (-1.60, -0.20)</w:t>
            </w:r>
          </w:p>
        </w:tc>
      </w:tr>
      <w:tr w:rsidR="00C07D22" w:rsidRPr="00FF22C9" w:rsidTr="00C07D22">
        <w:tc>
          <w:tcPr>
            <w:tcW w:w="5000" w:type="pct"/>
            <w:gridSpan w:val="7"/>
            <w:tcBorders>
              <w:bottom w:val="single" w:sz="4" w:space="0" w:color="auto"/>
            </w:tcBorders>
            <w:shd w:val="clear" w:color="auto" w:fill="F2F2F2" w:themeFill="background1" w:themeFillShade="F2"/>
            <w:vAlign w:val="center"/>
          </w:tcPr>
          <w:p w:rsidR="00C07D22" w:rsidRPr="00FF22C9" w:rsidRDefault="00C07D22" w:rsidP="004C5FCE">
            <w:pPr>
              <w:keepNext/>
              <w:keepLines/>
              <w:widowControl/>
              <w:contextualSpacing/>
              <w:jc w:val="left"/>
              <w:rPr>
                <w:rFonts w:ascii="Arial Narrow" w:hAnsi="Arial Narrow" w:cs="Times New Roman"/>
                <w:sz w:val="20"/>
              </w:rPr>
            </w:pPr>
            <w:r w:rsidRPr="00FF22C9">
              <w:rPr>
                <w:rFonts w:ascii="Arial Narrow" w:hAnsi="Arial Narrow" w:cs="Times New Roman"/>
                <w:b/>
                <w:sz w:val="20"/>
              </w:rPr>
              <w:t>Indirect comparisons</w:t>
            </w:r>
          </w:p>
        </w:tc>
      </w:tr>
      <w:tr w:rsidR="00C07D22" w:rsidRPr="00FF22C9" w:rsidTr="00C07D22">
        <w:tc>
          <w:tcPr>
            <w:tcW w:w="1773" w:type="pct"/>
            <w:gridSpan w:val="2"/>
            <w:tcBorders>
              <w:bottom w:val="single" w:sz="4" w:space="0" w:color="auto"/>
              <w:right w:val="nil"/>
            </w:tcBorders>
          </w:tcPr>
          <w:p w:rsidR="00C07D22" w:rsidRPr="00FF22C9" w:rsidRDefault="00C07D22" w:rsidP="004C5FCE">
            <w:pPr>
              <w:keepNext/>
              <w:keepLines/>
              <w:widowControl/>
              <w:contextualSpacing/>
              <w:jc w:val="left"/>
              <w:rPr>
                <w:rFonts w:ascii="Arial Narrow" w:hAnsi="Arial Narrow" w:cs="Times New Roman"/>
                <w:sz w:val="20"/>
              </w:rPr>
            </w:pPr>
            <w:r w:rsidRPr="00CD0679">
              <w:rPr>
                <w:rFonts w:ascii="Arial Narrow" w:hAnsi="Arial Narrow" w:cs="Times New Roman"/>
                <w:b/>
                <w:iCs/>
                <w:sz w:val="20"/>
              </w:rPr>
              <w:t>Dapagliflozin vs Insulin glargine</w:t>
            </w:r>
            <w:r w:rsidRPr="00FF22C9">
              <w:rPr>
                <w:rFonts w:ascii="Arial Narrow" w:hAnsi="Arial Narrow" w:cs="Times New Roman"/>
                <w:sz w:val="20"/>
              </w:rPr>
              <w:t> </w:t>
            </w:r>
            <w:r w:rsidRPr="00FF22C9" w:rsidDel="00E72586">
              <w:rPr>
                <w:rFonts w:ascii="Arial Narrow" w:hAnsi="Arial Narrow" w:cs="Times New Roman"/>
                <w:sz w:val="20"/>
              </w:rPr>
              <w:t xml:space="preserve"> </w:t>
            </w:r>
          </w:p>
        </w:tc>
        <w:tc>
          <w:tcPr>
            <w:tcW w:w="1276" w:type="pct"/>
            <w:gridSpan w:val="2"/>
            <w:tcBorders>
              <w:left w:val="nil"/>
              <w:bottom w:val="single" w:sz="4" w:space="0" w:color="auto"/>
              <w:right w:val="nil"/>
            </w:tcBorders>
            <w:vAlign w:val="center"/>
          </w:tcPr>
          <w:p w:rsidR="00C07D22" w:rsidRPr="00FF22C9" w:rsidRDefault="00C07D22" w:rsidP="004C5FCE">
            <w:pPr>
              <w:keepNext/>
              <w:keepLines/>
              <w:widowControl/>
              <w:contextualSpacing/>
              <w:jc w:val="center"/>
              <w:rPr>
                <w:rFonts w:ascii="Arial Narrow" w:hAnsi="Arial Narrow" w:cs="Times New Roman"/>
                <w:sz w:val="20"/>
              </w:rPr>
            </w:pPr>
          </w:p>
        </w:tc>
        <w:tc>
          <w:tcPr>
            <w:tcW w:w="959" w:type="pct"/>
            <w:gridSpan w:val="2"/>
            <w:tcBorders>
              <w:left w:val="nil"/>
              <w:bottom w:val="single" w:sz="4" w:space="0" w:color="auto"/>
              <w:right w:val="single" w:sz="4" w:space="0" w:color="auto"/>
            </w:tcBorders>
            <w:vAlign w:val="center"/>
          </w:tcPr>
          <w:p w:rsidR="00C07D22" w:rsidRPr="00FF22C9" w:rsidRDefault="00C07D22" w:rsidP="004C5FCE">
            <w:pPr>
              <w:keepNext/>
              <w:keepLines/>
              <w:widowControl/>
              <w:contextualSpacing/>
              <w:jc w:val="right"/>
              <w:rPr>
                <w:rFonts w:ascii="Arial Narrow" w:hAnsi="Arial Narrow" w:cs="Times New Roman"/>
                <w:sz w:val="20"/>
              </w:rPr>
            </w:pPr>
            <w:r w:rsidRPr="00FF22C9">
              <w:rPr>
                <w:rFonts w:ascii="Arial Narrow" w:hAnsi="Arial Narrow" w:cs="Times New Roman"/>
                <w:sz w:val="20"/>
              </w:rPr>
              <w:t>Wk24/26</w:t>
            </w:r>
          </w:p>
        </w:tc>
        <w:tc>
          <w:tcPr>
            <w:tcW w:w="993" w:type="pct"/>
            <w:tcBorders>
              <w:left w:val="single" w:sz="4" w:space="0" w:color="auto"/>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-4.09 (-5.33, -2.85)</w:t>
            </w:r>
          </w:p>
        </w:tc>
      </w:tr>
      <w:tr w:rsidR="00C07D22" w:rsidRPr="00FF22C9" w:rsidTr="00C07D22">
        <w:trPr>
          <w:trHeight w:val="58"/>
        </w:trPr>
        <w:tc>
          <w:tcPr>
            <w:tcW w:w="1773" w:type="pct"/>
            <w:gridSpan w:val="2"/>
            <w:vMerge w:val="restart"/>
            <w:tcBorders>
              <w:right w:val="nil"/>
            </w:tcBorders>
            <w:vAlign w:val="center"/>
          </w:tcPr>
          <w:p w:rsidR="00C07D22" w:rsidRPr="00FF22C9" w:rsidRDefault="00C07D22" w:rsidP="004C5FCE">
            <w:pPr>
              <w:keepNext/>
              <w:keepLines/>
              <w:widowControl/>
              <w:contextualSpacing/>
              <w:jc w:val="left"/>
              <w:rPr>
                <w:rFonts w:ascii="Arial Narrow" w:hAnsi="Arial Narrow" w:cs="Times New Roman"/>
                <w:sz w:val="20"/>
              </w:rPr>
            </w:pPr>
            <w:r w:rsidRPr="00CD0679">
              <w:rPr>
                <w:rFonts w:ascii="Arial Narrow" w:hAnsi="Arial Narrow" w:cs="Times New Roman"/>
                <w:b/>
                <w:iCs/>
                <w:sz w:val="20"/>
              </w:rPr>
              <w:t>Dapagliflozin vs Exenatide</w:t>
            </w:r>
            <w:r w:rsidRPr="00FF22C9">
              <w:rPr>
                <w:rFonts w:ascii="Arial Narrow" w:hAnsi="Arial Narrow" w:cs="Times New Roman"/>
                <w:sz w:val="20"/>
              </w:rPr>
              <w:t> </w:t>
            </w:r>
            <w:r w:rsidRPr="00FF22C9" w:rsidDel="00E72586">
              <w:rPr>
                <w:rFonts w:ascii="Arial Narrow" w:hAnsi="Arial Narrow" w:cs="Times New Roman"/>
                <w:sz w:val="20"/>
              </w:rPr>
              <w:t xml:space="preserve"> </w:t>
            </w:r>
          </w:p>
        </w:tc>
        <w:tc>
          <w:tcPr>
            <w:tcW w:w="1276" w:type="pct"/>
            <w:gridSpan w:val="2"/>
            <w:tcBorders>
              <w:left w:val="nil"/>
              <w:bottom w:val="nil"/>
              <w:right w:val="nil"/>
            </w:tcBorders>
            <w:vAlign w:val="center"/>
          </w:tcPr>
          <w:p w:rsidR="00C07D22" w:rsidRPr="00FF22C9" w:rsidRDefault="00C07D22" w:rsidP="004C5FCE">
            <w:pPr>
              <w:keepNext/>
              <w:keepLines/>
              <w:widowControl/>
              <w:contextualSpacing/>
              <w:jc w:val="center"/>
              <w:rPr>
                <w:rFonts w:ascii="Arial Narrow" w:hAnsi="Arial Narrow" w:cs="Times New Roman"/>
                <w:sz w:val="20"/>
              </w:rPr>
            </w:pPr>
          </w:p>
        </w:tc>
        <w:tc>
          <w:tcPr>
            <w:tcW w:w="959" w:type="pct"/>
            <w:gridSpan w:val="2"/>
            <w:tcBorders>
              <w:left w:val="nil"/>
              <w:bottom w:val="nil"/>
              <w:right w:val="single" w:sz="4" w:space="0" w:color="auto"/>
            </w:tcBorders>
            <w:vAlign w:val="center"/>
          </w:tcPr>
          <w:p w:rsidR="00C07D22" w:rsidRPr="00FF22C9" w:rsidRDefault="00C07D22" w:rsidP="004C5FCE">
            <w:pPr>
              <w:keepNext/>
              <w:keepLines/>
              <w:widowControl/>
              <w:contextualSpacing/>
              <w:jc w:val="right"/>
              <w:rPr>
                <w:rFonts w:ascii="Arial Narrow" w:hAnsi="Arial Narrow" w:cs="Times New Roman"/>
                <w:sz w:val="20"/>
              </w:rPr>
            </w:pPr>
            <w:r w:rsidRPr="00FF22C9">
              <w:rPr>
                <w:rFonts w:ascii="Arial Narrow" w:hAnsi="Arial Narrow" w:cs="Times New Roman"/>
                <w:sz w:val="20"/>
              </w:rPr>
              <w:t>Wk24/30</w:t>
            </w:r>
          </w:p>
        </w:tc>
        <w:tc>
          <w:tcPr>
            <w:tcW w:w="993" w:type="pct"/>
            <w:tcBorders>
              <w:left w:val="single" w:sz="4" w:space="0" w:color="auto"/>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-1.37 (-2.27, -0.47)</w:t>
            </w:r>
          </w:p>
        </w:tc>
      </w:tr>
      <w:tr w:rsidR="00C07D22" w:rsidRPr="00FF22C9" w:rsidTr="00C07D22">
        <w:tc>
          <w:tcPr>
            <w:tcW w:w="1773" w:type="pct"/>
            <w:gridSpan w:val="2"/>
            <w:vMerge/>
            <w:tcBorders>
              <w:bottom w:val="single" w:sz="4" w:space="0" w:color="auto"/>
              <w:right w:val="nil"/>
            </w:tcBorders>
            <w:vAlign w:val="center"/>
          </w:tcPr>
          <w:p w:rsidR="00C07D22" w:rsidRPr="00FF22C9" w:rsidRDefault="00C07D22" w:rsidP="004C5FCE">
            <w:pPr>
              <w:keepNext/>
              <w:keepLines/>
              <w:widowControl/>
              <w:contextualSpacing/>
              <w:jc w:val="center"/>
              <w:rPr>
                <w:rFonts w:ascii="Arial Narrow" w:hAnsi="Arial Narrow" w:cs="Times New Roman"/>
                <w:sz w:val="20"/>
              </w:rPr>
            </w:pPr>
          </w:p>
        </w:tc>
        <w:tc>
          <w:tcPr>
            <w:tcW w:w="1276" w:type="pct"/>
            <w:gridSpan w:val="2"/>
            <w:tcBorders>
              <w:top w:val="nil"/>
              <w:left w:val="nil"/>
              <w:bottom w:val="single" w:sz="4" w:space="0" w:color="auto"/>
              <w:right w:val="nil"/>
            </w:tcBorders>
            <w:vAlign w:val="center"/>
          </w:tcPr>
          <w:p w:rsidR="00C07D22" w:rsidRPr="00FF22C9" w:rsidRDefault="00C07D22" w:rsidP="004C5FCE">
            <w:pPr>
              <w:keepNext/>
              <w:keepLines/>
              <w:widowControl/>
              <w:contextualSpacing/>
              <w:jc w:val="center"/>
              <w:rPr>
                <w:rFonts w:ascii="Arial Narrow" w:hAnsi="Arial Narrow" w:cs="Times New Roman"/>
                <w:sz w:val="20"/>
              </w:rPr>
            </w:pPr>
          </w:p>
        </w:tc>
        <w:tc>
          <w:tcPr>
            <w:tcW w:w="959" w:type="pct"/>
            <w:gridSpan w:val="2"/>
            <w:tcBorders>
              <w:top w:val="nil"/>
              <w:left w:val="nil"/>
              <w:bottom w:val="single" w:sz="4" w:space="0" w:color="auto"/>
              <w:right w:val="single" w:sz="4" w:space="0" w:color="auto"/>
            </w:tcBorders>
            <w:vAlign w:val="center"/>
          </w:tcPr>
          <w:p w:rsidR="00C07D22" w:rsidRPr="00FF22C9" w:rsidRDefault="00C07D22" w:rsidP="004C5FCE">
            <w:pPr>
              <w:keepNext/>
              <w:keepLines/>
              <w:widowControl/>
              <w:contextualSpacing/>
              <w:jc w:val="right"/>
              <w:rPr>
                <w:rFonts w:ascii="Arial Narrow" w:hAnsi="Arial Narrow" w:cs="Times New Roman"/>
                <w:sz w:val="20"/>
              </w:rPr>
            </w:pPr>
            <w:r w:rsidRPr="00FF22C9">
              <w:rPr>
                <w:rFonts w:ascii="Arial Narrow" w:hAnsi="Arial Narrow" w:cs="Times New Roman"/>
                <w:sz w:val="20"/>
              </w:rPr>
              <w:t>Wk 24/30 M</w:t>
            </w:r>
            <w:r>
              <w:rPr>
                <w:rFonts w:ascii="Arial Narrow" w:hAnsi="Arial Narrow" w:cs="Times New Roman"/>
                <w:sz w:val="20"/>
              </w:rPr>
              <w:t>ax</w:t>
            </w:r>
            <w:r w:rsidRPr="00FF22C9">
              <w:rPr>
                <w:rFonts w:ascii="Arial Narrow" w:hAnsi="Arial Narrow" w:cs="Times New Roman"/>
                <w:sz w:val="20"/>
              </w:rPr>
              <w:t xml:space="preserve"> SU</w:t>
            </w:r>
          </w:p>
        </w:tc>
        <w:tc>
          <w:tcPr>
            <w:tcW w:w="993" w:type="pct"/>
            <w:tcBorders>
              <w:left w:val="single" w:sz="4" w:space="0" w:color="auto"/>
              <w:bottom w:val="single" w:sz="4" w:space="0" w:color="auto"/>
            </w:tcBorders>
            <w:vAlign w:val="center"/>
          </w:tcPr>
          <w:p w:rsidR="00C07D22" w:rsidRPr="00FF22C9" w:rsidRDefault="00C07D22" w:rsidP="004C5FCE">
            <w:pPr>
              <w:keepNext/>
              <w:keepLines/>
              <w:widowControl/>
              <w:contextualSpacing/>
              <w:jc w:val="center"/>
              <w:rPr>
                <w:rFonts w:ascii="Arial Narrow" w:hAnsi="Arial Narrow" w:cs="Times New Roman"/>
                <w:sz w:val="20"/>
              </w:rPr>
            </w:pPr>
            <w:r w:rsidRPr="00FF22C9">
              <w:rPr>
                <w:rFonts w:ascii="Arial Narrow" w:hAnsi="Arial Narrow" w:cs="Times New Roman"/>
                <w:sz w:val="20"/>
              </w:rPr>
              <w:t>-1.17 (-2.18, -0.16)</w:t>
            </w:r>
          </w:p>
        </w:tc>
      </w:tr>
    </w:tbl>
    <w:p w:rsidR="00C07D22" w:rsidRPr="00B128E7" w:rsidRDefault="00C07D22" w:rsidP="004C5FCE">
      <w:pPr>
        <w:pStyle w:val="TableNotes4"/>
        <w:keepNext/>
        <w:tabs>
          <w:tab w:val="clear" w:pos="1134"/>
          <w:tab w:val="left" w:pos="709"/>
        </w:tabs>
        <w:ind w:left="709" w:firstLine="0"/>
        <w:rPr>
          <w:rFonts w:ascii="Arial Narrow" w:hAnsi="Arial Narrow"/>
          <w:sz w:val="18"/>
        </w:rPr>
      </w:pPr>
      <w:r w:rsidRPr="00B128E7">
        <w:rPr>
          <w:rFonts w:ascii="Arial Narrow" w:hAnsi="Arial Narrow"/>
          <w:sz w:val="18"/>
        </w:rPr>
        <w:t>Abbreviations: CI, Confidence interval; FAS, Full analysis set; ITT, intention to treat; LS, least squares; Max, maximum; s.e., standard error; SU, sulfonylurea; Wk, week.</w:t>
      </w:r>
    </w:p>
    <w:p w:rsidR="00C07D22" w:rsidRPr="00B128E7" w:rsidRDefault="00C07D22" w:rsidP="004C5FCE">
      <w:pPr>
        <w:pStyle w:val="TableNotes4"/>
        <w:keepNext/>
        <w:ind w:hanging="431"/>
        <w:rPr>
          <w:rFonts w:ascii="Arial Narrow" w:hAnsi="Arial Narrow"/>
          <w:sz w:val="18"/>
        </w:rPr>
      </w:pPr>
      <w:r w:rsidRPr="00B128E7">
        <w:rPr>
          <w:rFonts w:ascii="Arial Narrow" w:hAnsi="Arial Narrow"/>
          <w:sz w:val="18"/>
        </w:rPr>
        <w:t>Source: Table B.25, pB97-B98 of the submission</w:t>
      </w:r>
    </w:p>
    <w:p w:rsidR="00C07D22" w:rsidRDefault="00C07D22" w:rsidP="004C5FCE">
      <w:pPr>
        <w:widowControl/>
        <w:ind w:left="720"/>
        <w:rPr>
          <w:rStyle w:val="CommentReference"/>
          <w:szCs w:val="20"/>
        </w:rPr>
      </w:pPr>
    </w:p>
    <w:p w:rsidR="005C5634" w:rsidRDefault="005C5634" w:rsidP="004C5FCE">
      <w:pPr>
        <w:pStyle w:val="ListParagraph"/>
        <w:widowControl/>
        <w:numPr>
          <w:ilvl w:val="1"/>
          <w:numId w:val="1"/>
        </w:numPr>
        <w:rPr>
          <w:szCs w:val="22"/>
        </w:rPr>
      </w:pPr>
      <w:r w:rsidRPr="004A3074">
        <w:rPr>
          <w:szCs w:val="22"/>
        </w:rPr>
        <w:t xml:space="preserve">Treatment with dapagliflozin was associated with a statistically significant net improvement in body weight for the comparison with both insulin and exenatide. The </w:t>
      </w:r>
      <w:r w:rsidR="0066393C" w:rsidRPr="004A3074">
        <w:rPr>
          <w:szCs w:val="22"/>
        </w:rPr>
        <w:t xml:space="preserve">submission </w:t>
      </w:r>
      <w:r w:rsidR="0066393C" w:rsidRPr="00BC1D5F">
        <w:rPr>
          <w:szCs w:val="22"/>
        </w:rPr>
        <w:t>claimed that the difference was clinically meaningful for the comparison with insulin</w:t>
      </w:r>
      <w:r w:rsidRPr="00BC1D5F">
        <w:rPr>
          <w:szCs w:val="22"/>
        </w:rPr>
        <w:t xml:space="preserve"> </w:t>
      </w:r>
      <w:r w:rsidR="0066393C" w:rsidRPr="00BC1D5F">
        <w:rPr>
          <w:szCs w:val="22"/>
        </w:rPr>
        <w:t>based on</w:t>
      </w:r>
      <w:r w:rsidRPr="00BC1D5F">
        <w:rPr>
          <w:szCs w:val="22"/>
        </w:rPr>
        <w:t xml:space="preserve"> the </w:t>
      </w:r>
      <w:r w:rsidR="004A3074" w:rsidRPr="00BC1D5F">
        <w:rPr>
          <w:szCs w:val="22"/>
        </w:rPr>
        <w:t xml:space="preserve">statement in the RACGP ‘General practice management of type 2 diabetes, 2014–15’ </w:t>
      </w:r>
      <w:r w:rsidRPr="00BC1D5F">
        <w:rPr>
          <w:szCs w:val="22"/>
        </w:rPr>
        <w:t xml:space="preserve">Guidelines that weight loss of &gt;2-3kg may result in a clinically meaningful reduction in systolic blood pressure. </w:t>
      </w:r>
      <w:r w:rsidR="00213D2A">
        <w:rPr>
          <w:szCs w:val="22"/>
        </w:rPr>
        <w:t>T</w:t>
      </w:r>
      <w:r w:rsidR="0066393C" w:rsidRPr="00BC1D5F">
        <w:rPr>
          <w:szCs w:val="22"/>
        </w:rPr>
        <w:t>he PBAC has previously expressed a preference for evidence relating to changes in body weight to be from properly designed weight loss or quality of life studies.</w:t>
      </w:r>
    </w:p>
    <w:p w:rsidR="00C54890" w:rsidRDefault="00C54890" w:rsidP="00C54890">
      <w:pPr>
        <w:pStyle w:val="ListParagraph"/>
        <w:widowControl/>
        <w:rPr>
          <w:szCs w:val="22"/>
        </w:rPr>
      </w:pPr>
    </w:p>
    <w:p w:rsidR="00213D2A" w:rsidRPr="009F28C4" w:rsidRDefault="00213D2A" w:rsidP="00213D2A">
      <w:pPr>
        <w:pStyle w:val="ListParagraph"/>
        <w:widowControl/>
        <w:numPr>
          <w:ilvl w:val="1"/>
          <w:numId w:val="1"/>
        </w:numPr>
        <w:rPr>
          <w:szCs w:val="22"/>
        </w:rPr>
      </w:pPr>
      <w:r w:rsidRPr="009F28C4">
        <w:rPr>
          <w:szCs w:val="22"/>
        </w:rPr>
        <w:lastRenderedPageBreak/>
        <w:t xml:space="preserve">The evaluation had stated that, based on the evidence presented in the submission, it was unclear </w:t>
      </w:r>
      <w:r w:rsidR="00D42EE9" w:rsidRPr="009F28C4">
        <w:rPr>
          <w:szCs w:val="22"/>
        </w:rPr>
        <w:t>what proportion of weight loss wa</w:t>
      </w:r>
      <w:r w:rsidRPr="009F28C4">
        <w:rPr>
          <w:szCs w:val="22"/>
        </w:rPr>
        <w:t xml:space="preserve">s attributable to reductions in body fat versus lean body mass (including fluid loss). </w:t>
      </w:r>
      <w:r w:rsidR="003F0758" w:rsidRPr="009F28C4">
        <w:rPr>
          <w:szCs w:val="22"/>
        </w:rPr>
        <w:t>T</w:t>
      </w:r>
      <w:r w:rsidRPr="009F28C4">
        <w:rPr>
          <w:szCs w:val="22"/>
        </w:rPr>
        <w:t xml:space="preserve">he PBAC noted </w:t>
      </w:r>
      <w:r w:rsidR="003F0758" w:rsidRPr="009F28C4">
        <w:rPr>
          <w:szCs w:val="22"/>
        </w:rPr>
        <w:t xml:space="preserve">a study by </w:t>
      </w:r>
      <w:r w:rsidRPr="009F28C4">
        <w:rPr>
          <w:szCs w:val="22"/>
        </w:rPr>
        <w:t xml:space="preserve">Bolinder </w:t>
      </w:r>
      <w:r w:rsidR="00D42EE9" w:rsidRPr="009F28C4">
        <w:rPr>
          <w:szCs w:val="22"/>
        </w:rPr>
        <w:t xml:space="preserve">et al </w:t>
      </w:r>
      <w:r w:rsidRPr="009F28C4">
        <w:rPr>
          <w:szCs w:val="22"/>
        </w:rPr>
        <w:t>201</w:t>
      </w:r>
      <w:r w:rsidR="00E257F7" w:rsidRPr="009F28C4">
        <w:rPr>
          <w:szCs w:val="22"/>
        </w:rPr>
        <w:t xml:space="preserve">2, </w:t>
      </w:r>
      <w:r w:rsidR="00D42EE9" w:rsidRPr="009F28C4">
        <w:rPr>
          <w:szCs w:val="22"/>
        </w:rPr>
        <w:t>which</w:t>
      </w:r>
      <w:r w:rsidR="00E257F7" w:rsidRPr="009F28C4">
        <w:rPr>
          <w:szCs w:val="22"/>
        </w:rPr>
        <w:t xml:space="preserve"> </w:t>
      </w:r>
      <w:r w:rsidRPr="009F28C4">
        <w:rPr>
          <w:szCs w:val="22"/>
        </w:rPr>
        <w:t xml:space="preserve">showed that </w:t>
      </w:r>
      <w:r w:rsidR="00D42EE9" w:rsidRPr="009F28C4">
        <w:rPr>
          <w:szCs w:val="22"/>
        </w:rPr>
        <w:t>a significant proportion of the w</w:t>
      </w:r>
      <w:r w:rsidRPr="009F28C4">
        <w:rPr>
          <w:szCs w:val="22"/>
        </w:rPr>
        <w:t xml:space="preserve">eight loss </w:t>
      </w:r>
      <w:r w:rsidR="00E257F7" w:rsidRPr="009F28C4">
        <w:rPr>
          <w:szCs w:val="22"/>
        </w:rPr>
        <w:t>associated with</w:t>
      </w:r>
      <w:r w:rsidRPr="009F28C4">
        <w:rPr>
          <w:szCs w:val="22"/>
        </w:rPr>
        <w:t xml:space="preserve"> dapagliflozin</w:t>
      </w:r>
      <w:r w:rsidR="00D42EE9" w:rsidRPr="009F28C4">
        <w:rPr>
          <w:szCs w:val="22"/>
        </w:rPr>
        <w:t>, when used in combination with metformin (dual therapy),</w:t>
      </w:r>
      <w:r w:rsidR="00E257F7" w:rsidRPr="009F28C4">
        <w:rPr>
          <w:szCs w:val="22"/>
        </w:rPr>
        <w:t xml:space="preserve"> </w:t>
      </w:r>
      <w:r w:rsidRPr="009F28C4">
        <w:rPr>
          <w:szCs w:val="22"/>
        </w:rPr>
        <w:t xml:space="preserve">resulted from a reduction </w:t>
      </w:r>
      <w:r w:rsidR="00D42EE9" w:rsidRPr="009F28C4">
        <w:rPr>
          <w:szCs w:val="22"/>
        </w:rPr>
        <w:t>in total-body fat mass.</w:t>
      </w:r>
      <w:r w:rsidR="00D42EE9" w:rsidRPr="009F28C4">
        <w:rPr>
          <w:rStyle w:val="FootnoteReference"/>
          <w:szCs w:val="22"/>
        </w:rPr>
        <w:footnoteReference w:id="1"/>
      </w:r>
    </w:p>
    <w:p w:rsidR="00573E76" w:rsidRPr="00573E76" w:rsidRDefault="00573E76" w:rsidP="00573E76">
      <w:pPr>
        <w:pStyle w:val="ListParagraph"/>
        <w:widowControl/>
        <w:rPr>
          <w:i/>
          <w:szCs w:val="22"/>
        </w:rPr>
      </w:pPr>
    </w:p>
    <w:p w:rsidR="00573E76" w:rsidRPr="00573E76" w:rsidRDefault="00573E76" w:rsidP="00573E76">
      <w:pPr>
        <w:pStyle w:val="ListParagraph"/>
        <w:widowControl/>
        <w:rPr>
          <w:i/>
          <w:szCs w:val="22"/>
        </w:rPr>
      </w:pPr>
      <w:r w:rsidRPr="00573E76">
        <w:rPr>
          <w:i/>
          <w:szCs w:val="22"/>
        </w:rPr>
        <w:t>For more detail on PBAC’s view, see section 7 “PBAC outcome”</w:t>
      </w:r>
    </w:p>
    <w:p w:rsidR="004C743A" w:rsidRPr="00BC1D5F" w:rsidRDefault="004C743A" w:rsidP="004C5FCE">
      <w:pPr>
        <w:pStyle w:val="ListParagraph"/>
        <w:widowControl/>
        <w:rPr>
          <w:szCs w:val="22"/>
        </w:rPr>
      </w:pPr>
    </w:p>
    <w:p w:rsidR="00B60939" w:rsidRPr="002C2775" w:rsidRDefault="00B60939" w:rsidP="004C5FCE">
      <w:pPr>
        <w:pStyle w:val="Heading2"/>
        <w:widowControl/>
        <w:rPr>
          <w:i/>
        </w:rPr>
      </w:pPr>
      <w:bookmarkStart w:id="10" w:name="_Toc409614778"/>
      <w:r w:rsidRPr="002C2775">
        <w:rPr>
          <w:i/>
        </w:rPr>
        <w:t>Comparative harms</w:t>
      </w:r>
      <w:bookmarkEnd w:id="10"/>
    </w:p>
    <w:p w:rsidR="00B60939" w:rsidRPr="00882085" w:rsidRDefault="00B60939" w:rsidP="004C5FCE">
      <w:pPr>
        <w:widowControl/>
        <w:ind w:left="720" w:hanging="720"/>
        <w:rPr>
          <w:szCs w:val="22"/>
        </w:rPr>
      </w:pPr>
    </w:p>
    <w:p w:rsidR="00074B93" w:rsidRPr="00E71973" w:rsidRDefault="00AD3ECB" w:rsidP="004C5FCE">
      <w:pPr>
        <w:pStyle w:val="ListParagraph"/>
        <w:widowControl/>
        <w:numPr>
          <w:ilvl w:val="1"/>
          <w:numId w:val="1"/>
        </w:numPr>
        <w:rPr>
          <w:szCs w:val="22"/>
        </w:rPr>
      </w:pPr>
      <w:r>
        <w:t xml:space="preserve">No statistically significant differences between dapagliflozin and placebo or insulin glargine and placebo were observed in terms of the adverse events reported. A statistically significantly greater proportion of patients treated with exenatide 10mcg experienced at least one adverse event compared with placebo. </w:t>
      </w:r>
      <w:r w:rsidR="000F49CF" w:rsidRPr="000F49CF">
        <w:rPr>
          <w:szCs w:val="22"/>
        </w:rPr>
        <w:t xml:space="preserve">There was no </w:t>
      </w:r>
      <w:r w:rsidR="00756514">
        <w:rPr>
          <w:szCs w:val="22"/>
        </w:rPr>
        <w:t xml:space="preserve">statistically significant </w:t>
      </w:r>
      <w:r w:rsidR="000F49CF" w:rsidRPr="000F49CF">
        <w:rPr>
          <w:szCs w:val="22"/>
        </w:rPr>
        <w:t>difference in patients experiencing at least one significant adverse event between dapagliflozin and insulin (OR</w:t>
      </w:r>
      <w:r>
        <w:rPr>
          <w:szCs w:val="22"/>
        </w:rPr>
        <w:t>=</w:t>
      </w:r>
      <w:r w:rsidR="000F49CF" w:rsidRPr="000F49CF">
        <w:rPr>
          <w:szCs w:val="22"/>
        </w:rPr>
        <w:t xml:space="preserve">0.16: 95% CI [0.02, 1.63]) or exenatide (OR 0.21: 95% CI [0.02, 2.10]). </w:t>
      </w:r>
      <w:r w:rsidR="000F49CF" w:rsidRPr="00E71973">
        <w:rPr>
          <w:szCs w:val="22"/>
        </w:rPr>
        <w:t xml:space="preserve">However, for some of the safety outcomes </w:t>
      </w:r>
      <w:r w:rsidR="002D6797" w:rsidRPr="00E71973">
        <w:rPr>
          <w:szCs w:val="22"/>
        </w:rPr>
        <w:t>there were substantial difference</w:t>
      </w:r>
      <w:r w:rsidR="000F49CF" w:rsidRPr="00E71973">
        <w:rPr>
          <w:szCs w:val="22"/>
        </w:rPr>
        <w:t>s</w:t>
      </w:r>
      <w:r w:rsidR="002D6797" w:rsidRPr="00E71973">
        <w:rPr>
          <w:szCs w:val="22"/>
        </w:rPr>
        <w:t xml:space="preserve"> in adverse events rates between the common comparator (p</w:t>
      </w:r>
      <w:r w:rsidR="00074B93" w:rsidRPr="00E71973">
        <w:rPr>
          <w:szCs w:val="22"/>
        </w:rPr>
        <w:t>lacebo</w:t>
      </w:r>
      <w:r w:rsidR="002D6797" w:rsidRPr="00E71973">
        <w:rPr>
          <w:szCs w:val="22"/>
        </w:rPr>
        <w:t>) arms</w:t>
      </w:r>
      <w:r w:rsidR="000F49CF" w:rsidRPr="00E71973">
        <w:rPr>
          <w:szCs w:val="22"/>
        </w:rPr>
        <w:t xml:space="preserve">, </w:t>
      </w:r>
      <w:r w:rsidR="003B5E57" w:rsidRPr="00E71973">
        <w:rPr>
          <w:szCs w:val="22"/>
        </w:rPr>
        <w:t>including</w:t>
      </w:r>
      <w:r w:rsidR="000F49CF" w:rsidRPr="00E71973">
        <w:rPr>
          <w:szCs w:val="22"/>
        </w:rPr>
        <w:t xml:space="preserve"> the comparison with exenatide</w:t>
      </w:r>
      <w:r w:rsidR="00A87D4A" w:rsidRPr="00E71973">
        <w:rPr>
          <w:szCs w:val="22"/>
        </w:rPr>
        <w:t xml:space="preserve"> for the outcome of patients experiencing at least one adverse event</w:t>
      </w:r>
      <w:r w:rsidR="000F49CF" w:rsidRPr="00E71973">
        <w:rPr>
          <w:szCs w:val="22"/>
        </w:rPr>
        <w:t xml:space="preserve">. The </w:t>
      </w:r>
      <w:r w:rsidR="008906D2" w:rsidRPr="00E71973">
        <w:rPr>
          <w:szCs w:val="22"/>
        </w:rPr>
        <w:t xml:space="preserve">dapagliflozin and exenatide </w:t>
      </w:r>
      <w:r w:rsidR="000F49CF" w:rsidRPr="00E71973">
        <w:rPr>
          <w:szCs w:val="22"/>
        </w:rPr>
        <w:t xml:space="preserve">trials do not appear to be exchangeable for safety outcomes. </w:t>
      </w:r>
    </w:p>
    <w:p w:rsidR="000F49CF" w:rsidRDefault="000F49CF" w:rsidP="004C5FCE">
      <w:pPr>
        <w:pStyle w:val="ListParagraph"/>
        <w:widowControl/>
        <w:ind w:left="0"/>
      </w:pPr>
    </w:p>
    <w:p w:rsidR="00074B93" w:rsidRPr="00E71973" w:rsidRDefault="002D6797" w:rsidP="004C5FCE">
      <w:pPr>
        <w:pStyle w:val="ListParagraph"/>
        <w:widowControl/>
        <w:numPr>
          <w:ilvl w:val="1"/>
          <w:numId w:val="1"/>
        </w:numPr>
      </w:pPr>
      <w:r w:rsidRPr="002D6797">
        <w:t>There was no statistically significant difference between dapagliflozin and either insulin or exenatide in the number of patients who experienced at least one hypoglycaemic event</w:t>
      </w:r>
      <w:r>
        <w:t>.</w:t>
      </w:r>
      <w:r w:rsidRPr="002D6797">
        <w:t xml:space="preserve"> </w:t>
      </w:r>
      <w:r w:rsidR="0023079D" w:rsidRPr="0023079D">
        <w:t>The submission acknowledge</w:t>
      </w:r>
      <w:r w:rsidR="00A87D4A">
        <w:t>d</w:t>
      </w:r>
      <w:r w:rsidR="0023079D" w:rsidRPr="0023079D">
        <w:t xml:space="preserve"> that there are substantial variations in the control group event rates for hypoglycaemia between the trials (3</w:t>
      </w:r>
      <w:r w:rsidR="0023079D">
        <w:t xml:space="preserve">.7% versus 12.6% versus 16.7%). </w:t>
      </w:r>
      <w:r w:rsidRPr="00E71973">
        <w:t>This may be due to differences in SU dosing, definitions of hypoglycaemia and reporting of hypoglycaemia.</w:t>
      </w:r>
      <w:r w:rsidR="0023079D" w:rsidRPr="00E71973">
        <w:t xml:space="preserve"> T</w:t>
      </w:r>
      <w:r w:rsidRPr="00E71973">
        <w:t xml:space="preserve">he </w:t>
      </w:r>
      <w:r w:rsidR="00A87D4A" w:rsidRPr="00E71973">
        <w:t xml:space="preserve">trials do not appear to be exchangeable </w:t>
      </w:r>
      <w:r w:rsidRPr="00E71973">
        <w:t>for hypoglycaemia outcomes.</w:t>
      </w:r>
    </w:p>
    <w:p w:rsidR="0023079D" w:rsidRPr="00E71973" w:rsidRDefault="0023079D" w:rsidP="004C5FCE">
      <w:pPr>
        <w:pStyle w:val="ListParagraph"/>
        <w:widowControl/>
      </w:pPr>
    </w:p>
    <w:p w:rsidR="0023079D" w:rsidRPr="00E71973" w:rsidRDefault="00B76DF6" w:rsidP="004C5FCE">
      <w:pPr>
        <w:pStyle w:val="ListParagraph"/>
        <w:widowControl/>
        <w:numPr>
          <w:ilvl w:val="1"/>
          <w:numId w:val="1"/>
        </w:numPr>
      </w:pPr>
      <w:r w:rsidRPr="00E71973">
        <w:t xml:space="preserve">While there was no increase in rates of urinary tract infections (UTIs) with dapagliflozin compared to insulin </w:t>
      </w:r>
      <w:r w:rsidR="003B5E57" w:rsidRPr="00E71973">
        <w:t xml:space="preserve">glargine </w:t>
      </w:r>
      <w:r w:rsidRPr="00E71973">
        <w:t>or exenatide,</w:t>
      </w:r>
      <w:r w:rsidR="00074B93" w:rsidRPr="00E71973">
        <w:t xml:space="preserve"> </w:t>
      </w:r>
      <w:r w:rsidR="0023079D" w:rsidRPr="00E71973">
        <w:t>this appear</w:t>
      </w:r>
      <w:r w:rsidR="002323C8" w:rsidRPr="00E71973">
        <w:t>ed</w:t>
      </w:r>
      <w:r w:rsidR="0023079D" w:rsidRPr="00E71973">
        <w:t xml:space="preserve"> to be driven by the high rates of UTIs in the placebo arm of CT005. I</w:t>
      </w:r>
      <w:r w:rsidR="00074B93" w:rsidRPr="00E71973">
        <w:t xml:space="preserve">t is unclear why the rate of UTIs was </w:t>
      </w:r>
      <w:r w:rsidR="0023079D" w:rsidRPr="00E71973">
        <w:t xml:space="preserve">substantially </w:t>
      </w:r>
      <w:r w:rsidR="00074B93" w:rsidRPr="00E71973">
        <w:t xml:space="preserve">higher in the placebo arm of CT005 than the placebo </w:t>
      </w:r>
      <w:r w:rsidR="003B5E57" w:rsidRPr="00E71973">
        <w:t>arms of Russell</w:t>
      </w:r>
      <w:r w:rsidR="003B5E57" w:rsidRPr="00E71973">
        <w:noBreakHyphen/>
      </w:r>
      <w:r w:rsidR="0023079D" w:rsidRPr="00E71973">
        <w:t>Jones and Trial </w:t>
      </w:r>
      <w:r w:rsidR="00074B93" w:rsidRPr="00E71973">
        <w:t xml:space="preserve">115. </w:t>
      </w:r>
    </w:p>
    <w:p w:rsidR="0023079D" w:rsidRDefault="0023079D" w:rsidP="004C5FCE">
      <w:pPr>
        <w:pStyle w:val="ListParagraph"/>
        <w:widowControl/>
      </w:pPr>
    </w:p>
    <w:p w:rsidR="007F1017" w:rsidRPr="00F405C3" w:rsidRDefault="00EE4138" w:rsidP="00F405C3">
      <w:pPr>
        <w:pStyle w:val="ListParagraph"/>
        <w:widowControl/>
        <w:numPr>
          <w:ilvl w:val="1"/>
          <w:numId w:val="1"/>
        </w:numPr>
      </w:pPr>
      <w:r w:rsidRPr="0023079D">
        <w:t>Dapagliflozin</w:t>
      </w:r>
      <w:r w:rsidR="002D6797" w:rsidRPr="0023079D">
        <w:t xml:space="preserve"> was associate</w:t>
      </w:r>
      <w:r w:rsidR="0023079D">
        <w:t>d</w:t>
      </w:r>
      <w:r w:rsidR="002D6797" w:rsidRPr="0023079D">
        <w:t xml:space="preserve"> with more events suggestive of a genital infection</w:t>
      </w:r>
      <w:r w:rsidR="00054766">
        <w:t xml:space="preserve"> than placebo. T</w:t>
      </w:r>
      <w:r w:rsidR="00B37B31" w:rsidRPr="00B37B31">
        <w:t xml:space="preserve">he submission does not present an indirect comparison of the risk of genital infections between dapagliflozin and </w:t>
      </w:r>
      <w:r w:rsidR="00AE09E1">
        <w:t>insulin glargine or exenatide</w:t>
      </w:r>
      <w:r w:rsidR="00B37B31" w:rsidRPr="00B37B31">
        <w:t xml:space="preserve"> </w:t>
      </w:r>
      <w:r w:rsidR="002D6797">
        <w:t>because event r</w:t>
      </w:r>
      <w:r w:rsidR="002D6797" w:rsidRPr="002D6797">
        <w:t>ates were not reported in Russell-Jones 2009 and Trial 115</w:t>
      </w:r>
      <w:r w:rsidR="00B37B31" w:rsidRPr="00B37B31">
        <w:t>.</w:t>
      </w:r>
    </w:p>
    <w:p w:rsidR="00F405C3" w:rsidRDefault="00F405C3" w:rsidP="00F405C3">
      <w:pPr>
        <w:pStyle w:val="ListParagraph"/>
        <w:widowControl/>
        <w:rPr>
          <w:szCs w:val="22"/>
        </w:rPr>
      </w:pPr>
    </w:p>
    <w:p w:rsidR="00EC00C9" w:rsidRPr="00B50DB8" w:rsidRDefault="00EC00C9" w:rsidP="004C5FCE">
      <w:pPr>
        <w:pStyle w:val="ListParagraph"/>
        <w:widowControl/>
        <w:numPr>
          <w:ilvl w:val="1"/>
          <w:numId w:val="1"/>
        </w:numPr>
        <w:rPr>
          <w:szCs w:val="22"/>
        </w:rPr>
      </w:pPr>
      <w:r w:rsidRPr="00B50DB8">
        <w:rPr>
          <w:szCs w:val="22"/>
        </w:rPr>
        <w:t>A summary of the comparative harms for</w:t>
      </w:r>
      <w:r w:rsidR="008C1935">
        <w:rPr>
          <w:szCs w:val="22"/>
        </w:rPr>
        <w:t xml:space="preserve"> dapagliflozin</w:t>
      </w:r>
      <w:r w:rsidRPr="00B50DB8">
        <w:rPr>
          <w:szCs w:val="22"/>
        </w:rPr>
        <w:t xml:space="preserve"> versus </w:t>
      </w:r>
      <w:r w:rsidR="008C1935">
        <w:rPr>
          <w:szCs w:val="22"/>
        </w:rPr>
        <w:t>insulin glargine and exenatide</w:t>
      </w:r>
      <w:r w:rsidRPr="00B50DB8">
        <w:rPr>
          <w:szCs w:val="22"/>
        </w:rPr>
        <w:t xml:space="preserve"> is presented </w:t>
      </w:r>
      <w:r w:rsidR="00573E76">
        <w:rPr>
          <w:szCs w:val="22"/>
        </w:rPr>
        <w:t>below</w:t>
      </w:r>
      <w:r w:rsidRPr="00B50DB8">
        <w:rPr>
          <w:szCs w:val="22"/>
        </w:rPr>
        <w:t>.</w:t>
      </w:r>
      <w:r w:rsidR="00410708" w:rsidRPr="00B50DB8">
        <w:rPr>
          <w:szCs w:val="22"/>
        </w:rPr>
        <w:t xml:space="preserve"> </w:t>
      </w:r>
    </w:p>
    <w:p w:rsidR="00162913" w:rsidRDefault="00162913" w:rsidP="004C5FCE">
      <w:pPr>
        <w:widowControl/>
      </w:pPr>
    </w:p>
    <w:p w:rsidR="00D41E06" w:rsidRPr="00A578DC" w:rsidRDefault="00D41E06" w:rsidP="004C5FCE">
      <w:pPr>
        <w:keepNext/>
        <w:widowControl/>
        <w:ind w:left="720"/>
        <w:rPr>
          <w:rStyle w:val="CommentReference"/>
        </w:rPr>
      </w:pPr>
      <w:r w:rsidRPr="00A578DC">
        <w:rPr>
          <w:rStyle w:val="CommentReference"/>
        </w:rPr>
        <w:lastRenderedPageBreak/>
        <w:t xml:space="preserve">Summary of comparative harms for </w:t>
      </w:r>
      <w:r>
        <w:rPr>
          <w:rStyle w:val="CommentReference"/>
        </w:rPr>
        <w:t>dapagliflozin</w:t>
      </w:r>
      <w:r w:rsidRPr="00A578DC">
        <w:rPr>
          <w:rStyle w:val="CommentReference"/>
        </w:rPr>
        <w:t xml:space="preserve"> and </w:t>
      </w:r>
      <w:r>
        <w:rPr>
          <w:rStyle w:val="CommentReference"/>
        </w:rPr>
        <w:t>insulin glargine</w:t>
      </w:r>
      <w:r w:rsidR="004B15F7">
        <w:rPr>
          <w:rStyle w:val="CommentReference"/>
        </w:rPr>
        <w:t xml:space="preserve"> and exenatide</w:t>
      </w:r>
    </w:p>
    <w:tbl>
      <w:tblPr>
        <w:tblStyle w:val="TableGrid"/>
        <w:tblW w:w="4683" w:type="pct"/>
        <w:tblInd w:w="737" w:type="dxa"/>
        <w:tblLayout w:type="fixed"/>
        <w:tblCellMar>
          <w:left w:w="28" w:type="dxa"/>
          <w:right w:w="28" w:type="dxa"/>
        </w:tblCellMar>
        <w:tblLook w:val="04A0" w:firstRow="1" w:lastRow="0" w:firstColumn="1" w:lastColumn="0" w:noHBand="0" w:noVBand="1"/>
      </w:tblPr>
      <w:tblGrid>
        <w:gridCol w:w="1630"/>
        <w:gridCol w:w="1169"/>
        <w:gridCol w:w="1169"/>
        <w:gridCol w:w="1140"/>
        <w:gridCol w:w="521"/>
        <w:gridCol w:w="498"/>
        <w:gridCol w:w="566"/>
        <w:gridCol w:w="575"/>
        <w:gridCol w:w="1238"/>
      </w:tblGrid>
      <w:tr w:rsidR="00D41E06" w:rsidRPr="00101247" w:rsidTr="00FA514A">
        <w:tc>
          <w:tcPr>
            <w:tcW w:w="5000" w:type="pct"/>
            <w:gridSpan w:val="9"/>
            <w:tcBorders>
              <w:top w:val="double" w:sz="4" w:space="0" w:color="auto"/>
            </w:tcBorders>
          </w:tcPr>
          <w:p w:rsidR="00D41E06" w:rsidRPr="00101247" w:rsidRDefault="00D41E06" w:rsidP="004C5FCE">
            <w:pPr>
              <w:keepNext/>
              <w:widowControl/>
              <w:rPr>
                <w:rFonts w:ascii="Arial Narrow" w:hAnsi="Arial Narrow"/>
                <w:b/>
                <w:color w:val="000000"/>
                <w:sz w:val="19"/>
                <w:szCs w:val="19"/>
              </w:rPr>
            </w:pPr>
            <w:r w:rsidRPr="00101247">
              <w:rPr>
                <w:rFonts w:ascii="Arial Narrow" w:hAnsi="Arial Narrow"/>
                <w:b/>
                <w:color w:val="000000"/>
                <w:sz w:val="19"/>
                <w:szCs w:val="19"/>
              </w:rPr>
              <w:t xml:space="preserve">Harms </w:t>
            </w:r>
          </w:p>
        </w:tc>
      </w:tr>
      <w:tr w:rsidR="00101247" w:rsidRPr="00101247" w:rsidTr="00F405C3">
        <w:trPr>
          <w:trHeight w:val="70"/>
        </w:trPr>
        <w:tc>
          <w:tcPr>
            <w:tcW w:w="958" w:type="pct"/>
            <w:vMerge w:val="restart"/>
            <w:shd w:val="clear" w:color="auto" w:fill="auto"/>
            <w:vAlign w:val="center"/>
          </w:tcPr>
          <w:p w:rsidR="00101247" w:rsidRPr="00101247" w:rsidRDefault="00101247" w:rsidP="004C5FCE">
            <w:pPr>
              <w:keepNext/>
              <w:widowControl/>
              <w:rPr>
                <w:rFonts w:ascii="Arial Narrow" w:hAnsi="Arial Narrow"/>
                <w:b/>
                <w:color w:val="000000"/>
                <w:sz w:val="19"/>
                <w:szCs w:val="19"/>
              </w:rPr>
            </w:pPr>
          </w:p>
        </w:tc>
        <w:tc>
          <w:tcPr>
            <w:tcW w:w="687" w:type="pct"/>
            <w:vMerge w:val="restart"/>
            <w:vAlign w:val="center"/>
          </w:tcPr>
          <w:p w:rsidR="00101247" w:rsidRDefault="00101247" w:rsidP="004C5FCE">
            <w:pPr>
              <w:keepNext/>
              <w:widowControl/>
              <w:jc w:val="center"/>
              <w:rPr>
                <w:rFonts w:ascii="Arial Narrow" w:hAnsi="Arial Narrow"/>
                <w:b/>
                <w:color w:val="000000"/>
                <w:sz w:val="19"/>
                <w:szCs w:val="19"/>
              </w:rPr>
            </w:pPr>
            <w:r>
              <w:rPr>
                <w:rFonts w:ascii="Arial Narrow" w:hAnsi="Arial Narrow"/>
                <w:b/>
                <w:color w:val="000000"/>
                <w:sz w:val="19"/>
                <w:szCs w:val="19"/>
              </w:rPr>
              <w:t xml:space="preserve">Active </w:t>
            </w:r>
            <w:r w:rsidR="008E627E">
              <w:rPr>
                <w:rFonts w:ascii="Arial Narrow" w:hAnsi="Arial Narrow"/>
                <w:b/>
                <w:color w:val="000000"/>
                <w:sz w:val="19"/>
                <w:szCs w:val="19"/>
              </w:rPr>
              <w:t>Tx</w:t>
            </w:r>
          </w:p>
          <w:p w:rsidR="00101247" w:rsidRPr="00101247" w:rsidRDefault="00101247" w:rsidP="004C5FCE">
            <w:pPr>
              <w:keepNext/>
              <w:widowControl/>
              <w:jc w:val="center"/>
              <w:rPr>
                <w:rFonts w:ascii="Arial Narrow" w:hAnsi="Arial Narrow"/>
                <w:b/>
                <w:color w:val="000000"/>
                <w:sz w:val="19"/>
                <w:szCs w:val="19"/>
              </w:rPr>
            </w:pPr>
            <w:r>
              <w:rPr>
                <w:rFonts w:ascii="Arial Narrow" w:hAnsi="Arial Narrow"/>
                <w:b/>
                <w:color w:val="000000"/>
                <w:sz w:val="19"/>
                <w:szCs w:val="19"/>
              </w:rPr>
              <w:t>n/N (%)</w:t>
            </w:r>
          </w:p>
        </w:tc>
        <w:tc>
          <w:tcPr>
            <w:tcW w:w="687" w:type="pct"/>
            <w:vMerge w:val="restar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PBO</w:t>
            </w:r>
          </w:p>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n/N (%)</w:t>
            </w:r>
          </w:p>
        </w:tc>
        <w:tc>
          <w:tcPr>
            <w:tcW w:w="670" w:type="pct"/>
            <w:vMerge w:val="restar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RR</w:t>
            </w:r>
          </w:p>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(95% CI)</w:t>
            </w:r>
          </w:p>
        </w:tc>
        <w:tc>
          <w:tcPr>
            <w:tcW w:w="1270" w:type="pct"/>
            <w:gridSpan w:val="4"/>
          </w:tcPr>
          <w:p w:rsidR="00101247" w:rsidRPr="00101247" w:rsidRDefault="00210669" w:rsidP="004C5FCE">
            <w:pPr>
              <w:keepNext/>
              <w:widowControl/>
              <w:jc w:val="center"/>
              <w:rPr>
                <w:rFonts w:ascii="Arial Narrow" w:hAnsi="Arial Narrow"/>
                <w:b/>
                <w:color w:val="000000"/>
                <w:sz w:val="19"/>
                <w:szCs w:val="19"/>
              </w:rPr>
            </w:pPr>
            <w:r>
              <w:rPr>
                <w:rFonts w:ascii="Arial Narrow" w:hAnsi="Arial Narrow"/>
                <w:b/>
                <w:color w:val="000000"/>
                <w:sz w:val="19"/>
                <w:szCs w:val="19"/>
              </w:rPr>
              <w:t>Event rate/100 patients</w:t>
            </w:r>
          </w:p>
        </w:tc>
        <w:tc>
          <w:tcPr>
            <w:tcW w:w="728" w:type="pct"/>
            <w:vMerge w:val="restar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RD</w:t>
            </w:r>
          </w:p>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(95% CI)</w:t>
            </w:r>
          </w:p>
        </w:tc>
      </w:tr>
      <w:tr w:rsidR="00101247" w:rsidRPr="00101247" w:rsidTr="00F405C3">
        <w:trPr>
          <w:trHeight w:val="390"/>
        </w:trPr>
        <w:tc>
          <w:tcPr>
            <w:tcW w:w="958" w:type="pct"/>
            <w:vMerge/>
            <w:shd w:val="clear" w:color="auto" w:fill="auto"/>
            <w:vAlign w:val="center"/>
          </w:tcPr>
          <w:p w:rsidR="00101247" w:rsidRPr="00101247" w:rsidRDefault="00101247" w:rsidP="004C5FCE">
            <w:pPr>
              <w:keepNext/>
              <w:widowControl/>
              <w:rPr>
                <w:rFonts w:ascii="Arial Narrow" w:hAnsi="Arial Narrow"/>
                <w:b/>
                <w:color w:val="000000"/>
                <w:sz w:val="19"/>
                <w:szCs w:val="19"/>
              </w:rPr>
            </w:pPr>
          </w:p>
        </w:tc>
        <w:tc>
          <w:tcPr>
            <w:tcW w:w="687" w:type="pct"/>
            <w:vMerge/>
            <w:vAlign w:val="center"/>
          </w:tcPr>
          <w:p w:rsidR="00101247" w:rsidRPr="00101247" w:rsidRDefault="00101247" w:rsidP="004C5FCE">
            <w:pPr>
              <w:keepNext/>
              <w:widowControl/>
              <w:jc w:val="center"/>
              <w:rPr>
                <w:rFonts w:ascii="Arial Narrow" w:hAnsi="Arial Narrow"/>
                <w:b/>
                <w:color w:val="000000"/>
                <w:sz w:val="19"/>
                <w:szCs w:val="19"/>
              </w:rPr>
            </w:pPr>
          </w:p>
        </w:tc>
        <w:tc>
          <w:tcPr>
            <w:tcW w:w="687" w:type="pct"/>
            <w:vMerge/>
          </w:tcPr>
          <w:p w:rsidR="00101247" w:rsidRPr="00101247" w:rsidRDefault="00101247" w:rsidP="004C5FCE">
            <w:pPr>
              <w:keepNext/>
              <w:widowControl/>
              <w:jc w:val="center"/>
              <w:rPr>
                <w:rFonts w:ascii="Arial Narrow" w:hAnsi="Arial Narrow"/>
                <w:b/>
                <w:color w:val="000000"/>
                <w:sz w:val="19"/>
                <w:szCs w:val="19"/>
              </w:rPr>
            </w:pPr>
          </w:p>
        </w:tc>
        <w:tc>
          <w:tcPr>
            <w:tcW w:w="670" w:type="pct"/>
            <w:vMerge/>
            <w:vAlign w:val="center"/>
          </w:tcPr>
          <w:p w:rsidR="00101247" w:rsidRPr="00101247" w:rsidRDefault="00101247" w:rsidP="004C5FCE">
            <w:pPr>
              <w:keepNext/>
              <w:widowControl/>
              <w:jc w:val="center"/>
              <w:rPr>
                <w:rFonts w:ascii="Arial Narrow" w:hAnsi="Arial Narrow"/>
                <w:b/>
                <w:color w:val="000000"/>
                <w:sz w:val="19"/>
                <w:szCs w:val="19"/>
              </w:rPr>
            </w:pPr>
          </w:p>
        </w:tc>
        <w:tc>
          <w:tcPr>
            <w:tcW w:w="306" w:type="pc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DAPA</w:t>
            </w:r>
          </w:p>
        </w:tc>
        <w:tc>
          <w:tcPr>
            <w:tcW w:w="293" w:type="pc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I</w:t>
            </w:r>
            <w:r w:rsidR="00BC10EE">
              <w:rPr>
                <w:rFonts w:ascii="Arial Narrow" w:hAnsi="Arial Narrow"/>
                <w:b/>
                <w:color w:val="000000"/>
                <w:sz w:val="19"/>
                <w:szCs w:val="19"/>
              </w:rPr>
              <w:t>nsu-in</w:t>
            </w:r>
          </w:p>
        </w:tc>
        <w:tc>
          <w:tcPr>
            <w:tcW w:w="333" w:type="pc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EXE</w:t>
            </w:r>
          </w:p>
        </w:tc>
        <w:tc>
          <w:tcPr>
            <w:tcW w:w="338" w:type="pct"/>
            <w:vAlign w:val="center"/>
          </w:tcPr>
          <w:p w:rsidR="00101247" w:rsidRPr="00101247" w:rsidRDefault="00101247" w:rsidP="004C5FCE">
            <w:pPr>
              <w:keepNext/>
              <w:widowControl/>
              <w:jc w:val="center"/>
              <w:rPr>
                <w:rFonts w:ascii="Arial Narrow" w:hAnsi="Arial Narrow"/>
                <w:b/>
                <w:color w:val="000000"/>
                <w:sz w:val="19"/>
                <w:szCs w:val="19"/>
              </w:rPr>
            </w:pPr>
            <w:r w:rsidRPr="00101247">
              <w:rPr>
                <w:rFonts w:ascii="Arial Narrow" w:hAnsi="Arial Narrow"/>
                <w:b/>
                <w:color w:val="000000"/>
                <w:sz w:val="19"/>
                <w:szCs w:val="19"/>
              </w:rPr>
              <w:t>PBO</w:t>
            </w:r>
          </w:p>
        </w:tc>
        <w:tc>
          <w:tcPr>
            <w:tcW w:w="728" w:type="pct"/>
            <w:vMerge/>
            <w:vAlign w:val="center"/>
          </w:tcPr>
          <w:p w:rsidR="00101247" w:rsidRPr="00101247" w:rsidRDefault="00101247" w:rsidP="004C5FCE">
            <w:pPr>
              <w:keepNext/>
              <w:widowControl/>
              <w:jc w:val="center"/>
              <w:rPr>
                <w:rFonts w:ascii="Arial Narrow" w:hAnsi="Arial Narrow"/>
                <w:b/>
                <w:color w:val="000000"/>
                <w:sz w:val="19"/>
                <w:szCs w:val="19"/>
              </w:rPr>
            </w:pPr>
          </w:p>
        </w:tc>
      </w:tr>
      <w:tr w:rsidR="00D41E06" w:rsidRPr="00101247" w:rsidTr="00FA514A">
        <w:tc>
          <w:tcPr>
            <w:tcW w:w="5000" w:type="pct"/>
            <w:gridSpan w:val="9"/>
          </w:tcPr>
          <w:p w:rsidR="00D41E06" w:rsidRPr="00101247" w:rsidRDefault="00D41E06" w:rsidP="004C5FCE">
            <w:pPr>
              <w:keepNext/>
              <w:widowControl/>
              <w:rPr>
                <w:rFonts w:ascii="Arial Narrow" w:hAnsi="Arial Narrow"/>
                <w:color w:val="000000"/>
                <w:sz w:val="19"/>
                <w:szCs w:val="19"/>
                <w:highlight w:val="yellow"/>
              </w:rPr>
            </w:pPr>
            <w:r w:rsidRPr="00101247">
              <w:rPr>
                <w:rFonts w:ascii="Arial Narrow" w:hAnsi="Arial Narrow"/>
                <w:b/>
                <w:color w:val="000000"/>
                <w:sz w:val="19"/>
                <w:szCs w:val="19"/>
              </w:rPr>
              <w:t xml:space="preserve">Adverse event </w:t>
            </w:r>
            <w:r w:rsidR="00730877" w:rsidRPr="00101247">
              <w:rPr>
                <w:rFonts w:ascii="Arial Narrow" w:hAnsi="Arial Narrow"/>
                <w:b/>
                <w:color w:val="000000"/>
                <w:sz w:val="19"/>
                <w:szCs w:val="19"/>
              </w:rPr>
              <w:t>(at least one): indirect comparison</w:t>
            </w:r>
          </w:p>
        </w:tc>
      </w:tr>
      <w:tr w:rsidR="00101247" w:rsidRPr="00101247" w:rsidTr="00F405C3">
        <w:tc>
          <w:tcPr>
            <w:tcW w:w="958" w:type="pct"/>
            <w:shd w:val="clear" w:color="auto" w:fill="auto"/>
            <w:vAlign w:val="center"/>
          </w:tcPr>
          <w:p w:rsidR="00101247" w:rsidRPr="002B20CF" w:rsidRDefault="00101247" w:rsidP="004C5FCE">
            <w:pPr>
              <w:keepNext/>
              <w:widowControl/>
              <w:rPr>
                <w:rFonts w:ascii="Arial Narrow" w:hAnsi="Arial Narrow"/>
                <w:color w:val="000000"/>
                <w:sz w:val="19"/>
                <w:szCs w:val="19"/>
                <w:highlight w:val="yellow"/>
                <w:vertAlign w:val="superscript"/>
              </w:rPr>
            </w:pPr>
            <w:r w:rsidRPr="00101247">
              <w:rPr>
                <w:rFonts w:ascii="Arial Narrow" w:hAnsi="Arial Narrow"/>
                <w:sz w:val="19"/>
                <w:szCs w:val="19"/>
              </w:rPr>
              <w:t>Trial CT005</w:t>
            </w:r>
            <w:r>
              <w:rPr>
                <w:rFonts w:ascii="Arial Narrow" w:hAnsi="Arial Narrow"/>
                <w:sz w:val="19"/>
                <w:szCs w:val="19"/>
              </w:rPr>
              <w:t xml:space="preserve">: </w:t>
            </w:r>
            <w:r w:rsidRPr="008E627E">
              <w:rPr>
                <w:rFonts w:ascii="Arial Narrow" w:hAnsi="Arial Narrow"/>
                <w:b/>
                <w:sz w:val="19"/>
                <w:szCs w:val="19"/>
              </w:rPr>
              <w:t>DAPA</w:t>
            </w:r>
            <w:r w:rsidR="002B20CF">
              <w:rPr>
                <w:rFonts w:ascii="Arial Narrow" w:hAnsi="Arial Narrow"/>
                <w:sz w:val="19"/>
                <w:szCs w:val="19"/>
                <w:vertAlign w:val="superscript"/>
              </w:rPr>
              <w:t>b</w:t>
            </w:r>
          </w:p>
        </w:tc>
        <w:tc>
          <w:tcPr>
            <w:tcW w:w="687" w:type="pct"/>
            <w:vAlign w:val="center"/>
          </w:tcPr>
          <w:p w:rsidR="00101247" w:rsidRDefault="00101247"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53</w:t>
            </w:r>
            <w:r w:rsidRPr="002B20CF">
              <w:rPr>
                <w:rFonts w:ascii="Arial Narrow" w:hAnsi="Arial Narrow"/>
                <w:color w:val="000000"/>
                <w:sz w:val="19"/>
                <w:szCs w:val="19"/>
              </w:rPr>
              <w:t>/109</w:t>
            </w:r>
            <w:r w:rsidR="002B20CF" w:rsidRPr="002B20CF">
              <w:rPr>
                <w:rFonts w:ascii="Arial Narrow" w:hAnsi="Arial Narrow"/>
                <w:color w:val="000000"/>
                <w:sz w:val="19"/>
                <w:szCs w:val="19"/>
                <w:vertAlign w:val="superscript"/>
              </w:rPr>
              <w:t>b</w:t>
            </w:r>
            <w:r w:rsidRPr="00101247">
              <w:rPr>
                <w:rFonts w:ascii="Arial Narrow" w:hAnsi="Arial Narrow"/>
                <w:color w:val="000000"/>
                <w:sz w:val="19"/>
                <w:szCs w:val="19"/>
              </w:rPr>
              <w:t xml:space="preserve"> </w:t>
            </w:r>
          </w:p>
          <w:p w:rsidR="00101247" w:rsidRPr="00101247" w:rsidRDefault="00101247"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(48.6%)</w:t>
            </w:r>
          </w:p>
        </w:tc>
        <w:tc>
          <w:tcPr>
            <w:tcW w:w="687"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56/109</w:t>
            </w:r>
            <w:r w:rsidR="002B20CF">
              <w:rPr>
                <w:rFonts w:ascii="Arial Narrow" w:hAnsi="Arial Narrow"/>
                <w:color w:val="000000"/>
                <w:sz w:val="19"/>
                <w:szCs w:val="19"/>
                <w:vertAlign w:val="superscript"/>
              </w:rPr>
              <w:t>b</w:t>
            </w:r>
            <w:r>
              <w:rPr>
                <w:rFonts w:ascii="Arial Narrow" w:hAnsi="Arial Narrow"/>
                <w:color w:val="000000"/>
                <w:sz w:val="19"/>
                <w:szCs w:val="19"/>
              </w:rPr>
              <w:t xml:space="preserve"> </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(51.4%)</w:t>
            </w:r>
          </w:p>
        </w:tc>
        <w:tc>
          <w:tcPr>
            <w:tcW w:w="670"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0.95</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(0.73, 1.23)</w:t>
            </w:r>
          </w:p>
        </w:tc>
        <w:tc>
          <w:tcPr>
            <w:tcW w:w="306"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49</w:t>
            </w:r>
          </w:p>
        </w:tc>
        <w:tc>
          <w:tcPr>
            <w:tcW w:w="293"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3"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8"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51</w:t>
            </w:r>
          </w:p>
        </w:tc>
        <w:tc>
          <w:tcPr>
            <w:tcW w:w="728"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-2.8%</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(-16.0%, 10.5%)</w:t>
            </w:r>
          </w:p>
        </w:tc>
      </w:tr>
      <w:tr w:rsidR="00101247" w:rsidRPr="00101247" w:rsidTr="00F405C3">
        <w:trPr>
          <w:trHeight w:val="531"/>
        </w:trPr>
        <w:tc>
          <w:tcPr>
            <w:tcW w:w="958" w:type="pct"/>
            <w:shd w:val="clear" w:color="auto" w:fill="auto"/>
            <w:vAlign w:val="center"/>
          </w:tcPr>
          <w:p w:rsidR="00101247" w:rsidRDefault="00101247" w:rsidP="004C5FCE">
            <w:pPr>
              <w:keepNext/>
              <w:widowControl/>
              <w:rPr>
                <w:rFonts w:ascii="Arial Narrow" w:hAnsi="Arial Narrow"/>
                <w:sz w:val="19"/>
                <w:szCs w:val="19"/>
              </w:rPr>
            </w:pPr>
            <w:r w:rsidRPr="00101247">
              <w:rPr>
                <w:rFonts w:ascii="Arial Narrow" w:hAnsi="Arial Narrow"/>
                <w:sz w:val="19"/>
                <w:szCs w:val="19"/>
              </w:rPr>
              <w:t>Russell-Jones (2009)</w:t>
            </w:r>
          </w:p>
          <w:p w:rsidR="008E627E" w:rsidRPr="008E627E" w:rsidRDefault="008E627E" w:rsidP="004C5FCE">
            <w:pPr>
              <w:keepNext/>
              <w:widowControl/>
              <w:rPr>
                <w:rFonts w:ascii="Arial Narrow" w:hAnsi="Arial Narrow"/>
                <w:b/>
                <w:color w:val="000000"/>
                <w:sz w:val="19"/>
                <w:szCs w:val="19"/>
                <w:highlight w:val="yellow"/>
              </w:rPr>
            </w:pPr>
            <w:r>
              <w:rPr>
                <w:rFonts w:ascii="Arial Narrow" w:hAnsi="Arial Narrow"/>
                <w:b/>
                <w:sz w:val="19"/>
                <w:szCs w:val="19"/>
              </w:rPr>
              <w:t>insulin</w:t>
            </w:r>
          </w:p>
        </w:tc>
        <w:tc>
          <w:tcPr>
            <w:tcW w:w="687"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127/232 </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(54.7%)</w:t>
            </w:r>
          </w:p>
        </w:tc>
        <w:tc>
          <w:tcPr>
            <w:tcW w:w="687"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64/114 </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(56.1%)</w:t>
            </w:r>
          </w:p>
        </w:tc>
        <w:tc>
          <w:tcPr>
            <w:tcW w:w="670"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0.9</w:t>
            </w:r>
            <w:r w:rsidR="00BF5E33">
              <w:rPr>
                <w:rFonts w:ascii="Arial Narrow" w:hAnsi="Arial Narrow"/>
                <w:color w:val="000000"/>
                <w:sz w:val="19"/>
                <w:szCs w:val="19"/>
              </w:rPr>
              <w:t>8</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w:t>
            </w:r>
            <w:r w:rsidR="00BF5E33">
              <w:rPr>
                <w:rFonts w:ascii="Arial Narrow" w:hAnsi="Arial Narrow"/>
                <w:color w:val="000000"/>
                <w:sz w:val="19"/>
                <w:szCs w:val="19"/>
              </w:rPr>
              <w:t>8</w:t>
            </w:r>
            <w:r>
              <w:rPr>
                <w:rFonts w:ascii="Arial Narrow" w:hAnsi="Arial Narrow"/>
                <w:color w:val="000000"/>
                <w:sz w:val="19"/>
                <w:szCs w:val="19"/>
              </w:rPr>
              <w:t>0, 1.</w:t>
            </w:r>
            <w:r w:rsidR="00BF5E33">
              <w:rPr>
                <w:rFonts w:ascii="Arial Narrow" w:hAnsi="Arial Narrow"/>
                <w:color w:val="000000"/>
                <w:sz w:val="19"/>
                <w:szCs w:val="19"/>
              </w:rPr>
              <w:t>19</w:t>
            </w:r>
            <w:r>
              <w:rPr>
                <w:rFonts w:ascii="Arial Narrow" w:hAnsi="Arial Narrow"/>
                <w:color w:val="000000"/>
                <w:sz w:val="19"/>
                <w:szCs w:val="19"/>
              </w:rPr>
              <w:t>)</w:t>
            </w:r>
          </w:p>
        </w:tc>
        <w:tc>
          <w:tcPr>
            <w:tcW w:w="306"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293"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55</w:t>
            </w:r>
          </w:p>
        </w:tc>
        <w:tc>
          <w:tcPr>
            <w:tcW w:w="333"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8"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56</w:t>
            </w:r>
          </w:p>
        </w:tc>
        <w:tc>
          <w:tcPr>
            <w:tcW w:w="728"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-1.4%</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(-12.5%, 9.7%)</w:t>
            </w:r>
          </w:p>
        </w:tc>
      </w:tr>
      <w:tr w:rsidR="00101247" w:rsidRPr="00083A92" w:rsidTr="00F405C3">
        <w:tc>
          <w:tcPr>
            <w:tcW w:w="958" w:type="pct"/>
            <w:shd w:val="clear" w:color="auto" w:fill="auto"/>
            <w:vAlign w:val="center"/>
          </w:tcPr>
          <w:p w:rsidR="00101247" w:rsidRPr="008E627E" w:rsidRDefault="00101247" w:rsidP="004C5FCE">
            <w:pPr>
              <w:keepNext/>
              <w:widowControl/>
              <w:rPr>
                <w:rFonts w:ascii="Arial Narrow" w:hAnsi="Arial Narrow"/>
                <w:b/>
                <w:color w:val="000000"/>
                <w:sz w:val="19"/>
                <w:szCs w:val="19"/>
                <w:highlight w:val="yellow"/>
              </w:rPr>
            </w:pPr>
            <w:r w:rsidRPr="00101247">
              <w:rPr>
                <w:rFonts w:ascii="Arial Narrow" w:hAnsi="Arial Narrow"/>
                <w:sz w:val="19"/>
                <w:szCs w:val="19"/>
              </w:rPr>
              <w:t>Trial 115</w:t>
            </w:r>
            <w:r w:rsidR="008E627E">
              <w:rPr>
                <w:rFonts w:ascii="Arial Narrow" w:hAnsi="Arial Narrow"/>
                <w:sz w:val="19"/>
                <w:szCs w:val="19"/>
              </w:rPr>
              <w:t xml:space="preserve"> </w:t>
            </w:r>
            <w:r w:rsidR="008E627E">
              <w:rPr>
                <w:rFonts w:ascii="Arial Narrow" w:hAnsi="Arial Narrow"/>
                <w:b/>
                <w:sz w:val="19"/>
                <w:szCs w:val="19"/>
              </w:rPr>
              <w:t>EXE</w:t>
            </w:r>
          </w:p>
        </w:tc>
        <w:tc>
          <w:tcPr>
            <w:tcW w:w="687"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224/241 </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(92.9%)</w:t>
            </w:r>
          </w:p>
        </w:tc>
        <w:tc>
          <w:tcPr>
            <w:tcW w:w="687" w:type="pct"/>
            <w:vAlign w:val="center"/>
          </w:tcPr>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203/247 (82.2%)</w:t>
            </w:r>
          </w:p>
        </w:tc>
        <w:tc>
          <w:tcPr>
            <w:tcW w:w="670" w:type="pct"/>
            <w:vAlign w:val="center"/>
          </w:tcPr>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 xml:space="preserve">1.13 </w:t>
            </w:r>
          </w:p>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(1.06, 1.21)</w:t>
            </w:r>
          </w:p>
        </w:tc>
        <w:tc>
          <w:tcPr>
            <w:tcW w:w="306" w:type="pct"/>
            <w:vAlign w:val="center"/>
          </w:tcPr>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w:t>
            </w:r>
          </w:p>
        </w:tc>
        <w:tc>
          <w:tcPr>
            <w:tcW w:w="293" w:type="pct"/>
            <w:vAlign w:val="center"/>
          </w:tcPr>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w:t>
            </w:r>
          </w:p>
        </w:tc>
        <w:tc>
          <w:tcPr>
            <w:tcW w:w="333" w:type="pct"/>
            <w:vAlign w:val="center"/>
          </w:tcPr>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93</w:t>
            </w:r>
          </w:p>
        </w:tc>
        <w:tc>
          <w:tcPr>
            <w:tcW w:w="338" w:type="pct"/>
            <w:vAlign w:val="center"/>
          </w:tcPr>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82</w:t>
            </w:r>
          </w:p>
        </w:tc>
        <w:tc>
          <w:tcPr>
            <w:tcW w:w="728" w:type="pct"/>
            <w:vAlign w:val="center"/>
          </w:tcPr>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10.8%</w:t>
            </w:r>
          </w:p>
          <w:p w:rsidR="00101247" w:rsidRPr="00C706A8" w:rsidRDefault="00101247" w:rsidP="004C5FCE">
            <w:pPr>
              <w:keepNext/>
              <w:widowControl/>
              <w:jc w:val="center"/>
              <w:rPr>
                <w:rFonts w:ascii="Arial Narrow" w:hAnsi="Arial Narrow"/>
                <w:color w:val="000000"/>
                <w:sz w:val="19"/>
                <w:szCs w:val="19"/>
              </w:rPr>
            </w:pPr>
            <w:r w:rsidRPr="00C706A8">
              <w:rPr>
                <w:rFonts w:ascii="Arial Narrow" w:hAnsi="Arial Narrow"/>
                <w:color w:val="000000"/>
                <w:sz w:val="19"/>
                <w:szCs w:val="19"/>
              </w:rPr>
              <w:t>(5.0%, 16.5%)</w:t>
            </w:r>
          </w:p>
        </w:tc>
      </w:tr>
      <w:tr w:rsidR="00730877" w:rsidRPr="00101247" w:rsidTr="00F405C3">
        <w:tc>
          <w:tcPr>
            <w:tcW w:w="2332" w:type="pct"/>
            <w:gridSpan w:val="3"/>
            <w:shd w:val="clear" w:color="auto" w:fill="auto"/>
            <w:vAlign w:val="center"/>
          </w:tcPr>
          <w:p w:rsidR="00730877" w:rsidRPr="00101247" w:rsidRDefault="00730877" w:rsidP="004C5FCE">
            <w:pPr>
              <w:keepNext/>
              <w:widowControl/>
              <w:jc w:val="left"/>
              <w:rPr>
                <w:rFonts w:ascii="Arial Narrow" w:hAnsi="Arial Narrow"/>
                <w:color w:val="000000"/>
                <w:sz w:val="19"/>
                <w:szCs w:val="19"/>
              </w:rPr>
            </w:pPr>
            <w:r w:rsidRPr="00101247">
              <w:rPr>
                <w:rFonts w:ascii="Arial Narrow" w:hAnsi="Arial Narrow"/>
                <w:color w:val="000000"/>
                <w:sz w:val="19"/>
                <w:szCs w:val="19"/>
              </w:rPr>
              <w:t>Indirect comparison: DAPA vs I</w:t>
            </w:r>
            <w:r w:rsidR="000252B0">
              <w:rPr>
                <w:rFonts w:ascii="Arial Narrow" w:hAnsi="Arial Narrow"/>
                <w:color w:val="000000"/>
                <w:sz w:val="19"/>
                <w:szCs w:val="19"/>
              </w:rPr>
              <w:t>nsulin glargine</w:t>
            </w:r>
          </w:p>
        </w:tc>
        <w:tc>
          <w:tcPr>
            <w:tcW w:w="670" w:type="pct"/>
            <w:vAlign w:val="center"/>
          </w:tcPr>
          <w:p w:rsidR="0073087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0.97</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(0.70, 1.35)</w:t>
            </w:r>
          </w:p>
        </w:tc>
        <w:tc>
          <w:tcPr>
            <w:tcW w:w="1270" w:type="pct"/>
            <w:gridSpan w:val="4"/>
            <w:vAlign w:val="center"/>
          </w:tcPr>
          <w:p w:rsidR="00730877" w:rsidRPr="00101247" w:rsidRDefault="00730877"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w:t>
            </w:r>
          </w:p>
        </w:tc>
        <w:tc>
          <w:tcPr>
            <w:tcW w:w="728" w:type="pct"/>
            <w:vAlign w:val="center"/>
          </w:tcPr>
          <w:p w:rsidR="0073087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-1.4%</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(-18.7%, 16.0%)</w:t>
            </w:r>
          </w:p>
        </w:tc>
      </w:tr>
      <w:tr w:rsidR="00101247" w:rsidRPr="00101247" w:rsidTr="00F405C3">
        <w:tc>
          <w:tcPr>
            <w:tcW w:w="2332" w:type="pct"/>
            <w:gridSpan w:val="3"/>
            <w:shd w:val="clear" w:color="auto" w:fill="auto"/>
            <w:vAlign w:val="center"/>
          </w:tcPr>
          <w:p w:rsidR="00101247" w:rsidRPr="00101247" w:rsidRDefault="00101247" w:rsidP="004C5FCE">
            <w:pPr>
              <w:keepNext/>
              <w:widowControl/>
              <w:jc w:val="left"/>
              <w:rPr>
                <w:rFonts w:ascii="Arial Narrow" w:hAnsi="Arial Narrow"/>
                <w:color w:val="000000"/>
                <w:sz w:val="19"/>
                <w:szCs w:val="19"/>
              </w:rPr>
            </w:pPr>
            <w:r w:rsidRPr="00101247">
              <w:rPr>
                <w:rFonts w:ascii="Arial Narrow" w:hAnsi="Arial Narrow"/>
                <w:color w:val="000000"/>
                <w:sz w:val="19"/>
                <w:szCs w:val="19"/>
              </w:rPr>
              <w:t>Indirect comparison: DAPA vs EXE</w:t>
            </w:r>
          </w:p>
        </w:tc>
        <w:tc>
          <w:tcPr>
            <w:tcW w:w="670"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0.84</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(0.64, 1.10)</w:t>
            </w:r>
          </w:p>
        </w:tc>
        <w:tc>
          <w:tcPr>
            <w:tcW w:w="1270" w:type="pct"/>
            <w:gridSpan w:val="4"/>
            <w:vAlign w:val="center"/>
          </w:tcPr>
          <w:p w:rsidR="00101247" w:rsidRPr="00101247" w:rsidRDefault="00101247"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w:t>
            </w:r>
          </w:p>
        </w:tc>
        <w:tc>
          <w:tcPr>
            <w:tcW w:w="728" w:type="pct"/>
            <w:vAlign w:val="center"/>
          </w:tcPr>
          <w:p w:rsid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-13.5%</w:t>
            </w:r>
          </w:p>
          <w:p w:rsidR="00101247" w:rsidRPr="00101247" w:rsidRDefault="00101247" w:rsidP="004C5FCE">
            <w:pPr>
              <w:keepNext/>
              <w:widowControl/>
              <w:jc w:val="center"/>
              <w:rPr>
                <w:rFonts w:ascii="Arial Narrow" w:hAnsi="Arial Narrow"/>
                <w:color w:val="000000"/>
                <w:sz w:val="19"/>
                <w:szCs w:val="19"/>
              </w:rPr>
            </w:pPr>
            <w:r>
              <w:rPr>
                <w:rFonts w:ascii="Arial Narrow" w:hAnsi="Arial Narrow"/>
                <w:color w:val="000000"/>
                <w:sz w:val="19"/>
                <w:szCs w:val="19"/>
              </w:rPr>
              <w:t>(-28.0%, 1.0%)</w:t>
            </w:r>
          </w:p>
        </w:tc>
      </w:tr>
      <w:tr w:rsidR="00A14F7D" w:rsidRPr="00101247" w:rsidTr="001740F4">
        <w:tc>
          <w:tcPr>
            <w:tcW w:w="5000" w:type="pct"/>
            <w:gridSpan w:val="9"/>
          </w:tcPr>
          <w:p w:rsidR="00A14F7D" w:rsidRPr="00101247" w:rsidRDefault="001740F4" w:rsidP="004C5FCE">
            <w:pPr>
              <w:keepNext/>
              <w:widowControl/>
              <w:rPr>
                <w:rFonts w:ascii="Arial Narrow" w:hAnsi="Arial Narrow"/>
                <w:color w:val="000000"/>
                <w:sz w:val="19"/>
                <w:szCs w:val="19"/>
                <w:highlight w:val="yellow"/>
              </w:rPr>
            </w:pPr>
            <w:r>
              <w:rPr>
                <w:rFonts w:ascii="Arial Narrow" w:hAnsi="Arial Narrow"/>
                <w:b/>
                <w:color w:val="000000"/>
                <w:sz w:val="19"/>
                <w:szCs w:val="19"/>
              </w:rPr>
              <w:t>S</w:t>
            </w:r>
            <w:r w:rsidR="00A14F7D">
              <w:rPr>
                <w:rFonts w:ascii="Arial Narrow" w:hAnsi="Arial Narrow"/>
                <w:b/>
                <w:color w:val="000000"/>
                <w:sz w:val="19"/>
                <w:szCs w:val="19"/>
              </w:rPr>
              <w:t>ignificant a</w:t>
            </w:r>
            <w:r w:rsidR="00A14F7D" w:rsidRPr="00101247">
              <w:rPr>
                <w:rFonts w:ascii="Arial Narrow" w:hAnsi="Arial Narrow"/>
                <w:b/>
                <w:color w:val="000000"/>
                <w:sz w:val="19"/>
                <w:szCs w:val="19"/>
              </w:rPr>
              <w:t>dverse event</w:t>
            </w:r>
            <w:r>
              <w:rPr>
                <w:rFonts w:ascii="Arial Narrow" w:hAnsi="Arial Narrow"/>
                <w:b/>
                <w:color w:val="000000"/>
                <w:sz w:val="19"/>
                <w:szCs w:val="19"/>
              </w:rPr>
              <w:t xml:space="preserve"> (at least one)</w:t>
            </w:r>
            <w:r w:rsidR="00A14F7D" w:rsidRPr="00101247">
              <w:rPr>
                <w:rFonts w:ascii="Arial Narrow" w:hAnsi="Arial Narrow"/>
                <w:b/>
                <w:color w:val="000000"/>
                <w:sz w:val="19"/>
                <w:szCs w:val="19"/>
              </w:rPr>
              <w:t>: indirect comparison</w:t>
            </w:r>
          </w:p>
        </w:tc>
      </w:tr>
      <w:tr w:rsidR="00A14F7D" w:rsidRPr="00101247" w:rsidTr="00F405C3">
        <w:tc>
          <w:tcPr>
            <w:tcW w:w="958" w:type="pct"/>
            <w:shd w:val="clear" w:color="auto" w:fill="auto"/>
            <w:vAlign w:val="center"/>
          </w:tcPr>
          <w:p w:rsidR="00A14F7D" w:rsidRPr="00515BE5" w:rsidRDefault="00A14F7D" w:rsidP="004C5FCE">
            <w:pPr>
              <w:keepNext/>
              <w:widowControl/>
              <w:rPr>
                <w:rFonts w:ascii="Arial Narrow" w:hAnsi="Arial Narrow"/>
                <w:color w:val="000000"/>
                <w:sz w:val="19"/>
                <w:szCs w:val="19"/>
                <w:highlight w:val="yellow"/>
                <w:vertAlign w:val="superscript"/>
              </w:rPr>
            </w:pPr>
            <w:r w:rsidRPr="00101247">
              <w:rPr>
                <w:rFonts w:ascii="Arial Narrow" w:hAnsi="Arial Narrow"/>
                <w:sz w:val="19"/>
                <w:szCs w:val="19"/>
              </w:rPr>
              <w:t>Trial CT005</w:t>
            </w:r>
            <w:r>
              <w:rPr>
                <w:rFonts w:ascii="Arial Narrow" w:hAnsi="Arial Narrow"/>
                <w:sz w:val="19"/>
                <w:szCs w:val="19"/>
              </w:rPr>
              <w:t xml:space="preserve">: </w:t>
            </w:r>
            <w:r w:rsidRPr="008E627E">
              <w:rPr>
                <w:rFonts w:ascii="Arial Narrow" w:hAnsi="Arial Narrow"/>
                <w:b/>
                <w:sz w:val="19"/>
                <w:szCs w:val="19"/>
              </w:rPr>
              <w:t>DAPA</w:t>
            </w:r>
            <w:r>
              <w:rPr>
                <w:rFonts w:ascii="Arial Narrow" w:hAnsi="Arial Narrow"/>
                <w:sz w:val="19"/>
                <w:szCs w:val="19"/>
                <w:vertAlign w:val="superscript"/>
              </w:rPr>
              <w:t>b</w:t>
            </w:r>
          </w:p>
        </w:tc>
        <w:tc>
          <w:tcPr>
            <w:tcW w:w="687" w:type="pct"/>
            <w:vAlign w:val="center"/>
          </w:tcPr>
          <w:p w:rsidR="00A14F7D" w:rsidRDefault="00A14F7D" w:rsidP="004C5FCE">
            <w:pPr>
              <w:keepNext/>
              <w:widowControl/>
              <w:jc w:val="center"/>
              <w:rPr>
                <w:rFonts w:ascii="Arial Narrow" w:hAnsi="Arial Narrow"/>
                <w:color w:val="000000"/>
                <w:sz w:val="19"/>
                <w:szCs w:val="19"/>
              </w:rPr>
            </w:pPr>
            <w:r w:rsidRPr="002B20CF">
              <w:rPr>
                <w:rFonts w:ascii="Arial Narrow" w:hAnsi="Arial Narrow"/>
                <w:color w:val="000000"/>
                <w:sz w:val="19"/>
                <w:szCs w:val="19"/>
              </w:rPr>
              <w:t>1/109</w:t>
            </w:r>
            <w:r w:rsidRPr="00101247">
              <w:rPr>
                <w:rFonts w:ascii="Arial Narrow" w:hAnsi="Arial Narrow"/>
                <w:color w:val="000000"/>
                <w:sz w:val="19"/>
                <w:szCs w:val="19"/>
              </w:rPr>
              <w:t xml:space="preserve"> </w:t>
            </w:r>
          </w:p>
          <w:p w:rsidR="00A14F7D" w:rsidRPr="00101247" w:rsidRDefault="00A14F7D"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w:t>
            </w:r>
            <w:r>
              <w:rPr>
                <w:rFonts w:ascii="Arial Narrow" w:hAnsi="Arial Narrow"/>
                <w:color w:val="000000"/>
                <w:sz w:val="19"/>
                <w:szCs w:val="19"/>
              </w:rPr>
              <w:t>0.9</w:t>
            </w:r>
            <w:r w:rsidRPr="00101247">
              <w:rPr>
                <w:rFonts w:ascii="Arial Narrow" w:hAnsi="Arial Narrow"/>
                <w:color w:val="000000"/>
                <w:sz w:val="19"/>
                <w:szCs w:val="19"/>
              </w:rPr>
              <w:t>%)</w:t>
            </w:r>
          </w:p>
        </w:tc>
        <w:tc>
          <w:tcPr>
            <w:tcW w:w="687"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6/109 </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(5.5%)</w:t>
            </w:r>
          </w:p>
        </w:tc>
        <w:tc>
          <w:tcPr>
            <w:tcW w:w="670"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0.17</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(0.02, 1.36)</w:t>
            </w:r>
          </w:p>
        </w:tc>
        <w:tc>
          <w:tcPr>
            <w:tcW w:w="306"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1</w:t>
            </w:r>
          </w:p>
        </w:tc>
        <w:tc>
          <w:tcPr>
            <w:tcW w:w="293"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3"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8"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6</w:t>
            </w:r>
          </w:p>
        </w:tc>
        <w:tc>
          <w:tcPr>
            <w:tcW w:w="728" w:type="pct"/>
            <w:vAlign w:val="center"/>
          </w:tcPr>
          <w:p w:rsidR="00A14F7D" w:rsidRPr="003129DB" w:rsidRDefault="00A14F7D" w:rsidP="004C5FCE">
            <w:pPr>
              <w:keepNext/>
              <w:widowControl/>
              <w:jc w:val="center"/>
              <w:rPr>
                <w:rFonts w:ascii="Arial Narrow" w:hAnsi="Arial Narrow"/>
                <w:color w:val="000000"/>
                <w:sz w:val="19"/>
                <w:szCs w:val="19"/>
              </w:rPr>
            </w:pPr>
            <w:r w:rsidRPr="003129DB">
              <w:rPr>
                <w:rFonts w:ascii="Arial Narrow" w:hAnsi="Arial Narrow"/>
                <w:color w:val="000000"/>
                <w:sz w:val="19"/>
                <w:szCs w:val="19"/>
              </w:rPr>
              <w:t>-4.6%</w:t>
            </w:r>
          </w:p>
          <w:p w:rsidR="00A14F7D" w:rsidRPr="00101247" w:rsidRDefault="00A14F7D" w:rsidP="004C5FCE">
            <w:pPr>
              <w:keepNext/>
              <w:widowControl/>
              <w:jc w:val="center"/>
              <w:rPr>
                <w:rFonts w:ascii="Arial Narrow" w:hAnsi="Arial Narrow"/>
                <w:color w:val="000000"/>
                <w:sz w:val="19"/>
                <w:szCs w:val="19"/>
              </w:rPr>
            </w:pPr>
            <w:r w:rsidRPr="003129DB">
              <w:rPr>
                <w:rFonts w:ascii="Arial Narrow" w:hAnsi="Arial Narrow"/>
                <w:color w:val="000000"/>
                <w:sz w:val="19"/>
                <w:szCs w:val="19"/>
              </w:rPr>
              <w:t>(-9.2%, 0.1%)</w:t>
            </w:r>
          </w:p>
        </w:tc>
      </w:tr>
      <w:tr w:rsidR="00A14F7D" w:rsidRPr="00101247" w:rsidTr="00F405C3">
        <w:trPr>
          <w:trHeight w:val="531"/>
        </w:trPr>
        <w:tc>
          <w:tcPr>
            <w:tcW w:w="958" w:type="pct"/>
            <w:shd w:val="clear" w:color="auto" w:fill="auto"/>
            <w:vAlign w:val="center"/>
          </w:tcPr>
          <w:p w:rsidR="00A14F7D" w:rsidRDefault="00A14F7D" w:rsidP="004C5FCE">
            <w:pPr>
              <w:keepNext/>
              <w:widowControl/>
              <w:rPr>
                <w:rFonts w:ascii="Arial Narrow" w:hAnsi="Arial Narrow"/>
                <w:sz w:val="19"/>
                <w:szCs w:val="19"/>
              </w:rPr>
            </w:pPr>
            <w:r w:rsidRPr="00101247">
              <w:rPr>
                <w:rFonts w:ascii="Arial Narrow" w:hAnsi="Arial Narrow"/>
                <w:sz w:val="19"/>
                <w:szCs w:val="19"/>
              </w:rPr>
              <w:t>Russell-Jones (2009)</w:t>
            </w:r>
          </w:p>
          <w:p w:rsidR="008E627E" w:rsidRPr="008E627E" w:rsidRDefault="008E627E" w:rsidP="004C5FCE">
            <w:pPr>
              <w:keepNext/>
              <w:widowControl/>
              <w:rPr>
                <w:rFonts w:ascii="Arial Narrow" w:hAnsi="Arial Narrow"/>
                <w:b/>
                <w:color w:val="000000"/>
                <w:sz w:val="19"/>
                <w:szCs w:val="19"/>
                <w:highlight w:val="yellow"/>
              </w:rPr>
            </w:pPr>
            <w:r>
              <w:rPr>
                <w:rFonts w:ascii="Arial Narrow" w:hAnsi="Arial Narrow"/>
                <w:b/>
                <w:sz w:val="19"/>
                <w:szCs w:val="19"/>
              </w:rPr>
              <w:t>insulin</w:t>
            </w:r>
          </w:p>
        </w:tc>
        <w:tc>
          <w:tcPr>
            <w:tcW w:w="687"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16/232 </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(6.9%)</w:t>
            </w:r>
          </w:p>
        </w:tc>
        <w:tc>
          <w:tcPr>
            <w:tcW w:w="687"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8/114 </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(7.0%)</w:t>
            </w:r>
          </w:p>
        </w:tc>
        <w:tc>
          <w:tcPr>
            <w:tcW w:w="670"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0.98</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(0.43, 2.23)</w:t>
            </w:r>
          </w:p>
        </w:tc>
        <w:tc>
          <w:tcPr>
            <w:tcW w:w="306"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293"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7</w:t>
            </w:r>
          </w:p>
        </w:tc>
        <w:tc>
          <w:tcPr>
            <w:tcW w:w="333"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8"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7</w:t>
            </w:r>
          </w:p>
        </w:tc>
        <w:tc>
          <w:tcPr>
            <w:tcW w:w="728"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-0.1%</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(-5.8%, 5.6%)</w:t>
            </w:r>
          </w:p>
        </w:tc>
      </w:tr>
      <w:tr w:rsidR="00A14F7D" w:rsidRPr="00101247" w:rsidTr="00F405C3">
        <w:tc>
          <w:tcPr>
            <w:tcW w:w="958" w:type="pct"/>
            <w:shd w:val="clear" w:color="auto" w:fill="auto"/>
            <w:vAlign w:val="center"/>
          </w:tcPr>
          <w:p w:rsidR="00A14F7D" w:rsidRPr="008E627E" w:rsidRDefault="00A14F7D" w:rsidP="004C5FCE">
            <w:pPr>
              <w:keepNext/>
              <w:widowControl/>
              <w:rPr>
                <w:rFonts w:ascii="Arial Narrow" w:hAnsi="Arial Narrow"/>
                <w:b/>
                <w:color w:val="000000"/>
                <w:sz w:val="19"/>
                <w:szCs w:val="19"/>
                <w:highlight w:val="yellow"/>
              </w:rPr>
            </w:pPr>
            <w:r w:rsidRPr="00101247">
              <w:rPr>
                <w:rFonts w:ascii="Arial Narrow" w:hAnsi="Arial Narrow"/>
                <w:sz w:val="19"/>
                <w:szCs w:val="19"/>
              </w:rPr>
              <w:t>Trial 115</w:t>
            </w:r>
            <w:r w:rsidR="008E627E">
              <w:rPr>
                <w:rFonts w:ascii="Arial Narrow" w:hAnsi="Arial Narrow"/>
                <w:sz w:val="19"/>
                <w:szCs w:val="19"/>
              </w:rPr>
              <w:t xml:space="preserve"> </w:t>
            </w:r>
            <w:r w:rsidR="008E627E">
              <w:rPr>
                <w:rFonts w:ascii="Arial Narrow" w:hAnsi="Arial Narrow"/>
                <w:b/>
                <w:sz w:val="19"/>
                <w:szCs w:val="19"/>
              </w:rPr>
              <w:t>EXE</w:t>
            </w:r>
          </w:p>
        </w:tc>
        <w:tc>
          <w:tcPr>
            <w:tcW w:w="687"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11/241 </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(4.6%)</w:t>
            </w:r>
          </w:p>
        </w:tc>
        <w:tc>
          <w:tcPr>
            <w:tcW w:w="687" w:type="pct"/>
            <w:vAlign w:val="center"/>
          </w:tcPr>
          <w:p w:rsidR="008E627E"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 xml:space="preserve">15/247 </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(6.1%)</w:t>
            </w:r>
          </w:p>
        </w:tc>
        <w:tc>
          <w:tcPr>
            <w:tcW w:w="670"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0.75</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(0.35, 1.60)</w:t>
            </w:r>
          </w:p>
        </w:tc>
        <w:tc>
          <w:tcPr>
            <w:tcW w:w="306"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293"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w:t>
            </w:r>
          </w:p>
        </w:tc>
        <w:tc>
          <w:tcPr>
            <w:tcW w:w="333"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5</w:t>
            </w:r>
          </w:p>
        </w:tc>
        <w:tc>
          <w:tcPr>
            <w:tcW w:w="338" w:type="pct"/>
            <w:vAlign w:val="center"/>
          </w:tcPr>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6</w:t>
            </w:r>
          </w:p>
        </w:tc>
        <w:tc>
          <w:tcPr>
            <w:tcW w:w="728"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-1.5%</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(-5.5%, 2.5%)</w:t>
            </w:r>
          </w:p>
        </w:tc>
      </w:tr>
      <w:tr w:rsidR="00A14F7D" w:rsidRPr="00101247" w:rsidTr="00F405C3">
        <w:tc>
          <w:tcPr>
            <w:tcW w:w="2332" w:type="pct"/>
            <w:gridSpan w:val="3"/>
            <w:shd w:val="clear" w:color="auto" w:fill="auto"/>
            <w:vAlign w:val="center"/>
          </w:tcPr>
          <w:p w:rsidR="00A14F7D" w:rsidRPr="00101247" w:rsidRDefault="00A14F7D" w:rsidP="004C5FCE">
            <w:pPr>
              <w:keepNext/>
              <w:widowControl/>
              <w:jc w:val="left"/>
              <w:rPr>
                <w:rFonts w:ascii="Arial Narrow" w:hAnsi="Arial Narrow"/>
                <w:color w:val="000000"/>
                <w:sz w:val="19"/>
                <w:szCs w:val="19"/>
              </w:rPr>
            </w:pPr>
            <w:r w:rsidRPr="00101247">
              <w:rPr>
                <w:rFonts w:ascii="Arial Narrow" w:hAnsi="Arial Narrow"/>
                <w:color w:val="000000"/>
                <w:sz w:val="19"/>
                <w:szCs w:val="19"/>
              </w:rPr>
              <w:t>Indirect comparison: DAPA vs I</w:t>
            </w:r>
            <w:r>
              <w:rPr>
                <w:rFonts w:ascii="Arial Narrow" w:hAnsi="Arial Narrow"/>
                <w:color w:val="000000"/>
                <w:sz w:val="19"/>
                <w:szCs w:val="19"/>
              </w:rPr>
              <w:t>nsulin</w:t>
            </w:r>
          </w:p>
        </w:tc>
        <w:tc>
          <w:tcPr>
            <w:tcW w:w="670"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0.17</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(0.02, 1.62)</w:t>
            </w:r>
          </w:p>
        </w:tc>
        <w:tc>
          <w:tcPr>
            <w:tcW w:w="1270" w:type="pct"/>
            <w:gridSpan w:val="4"/>
            <w:vAlign w:val="center"/>
          </w:tcPr>
          <w:p w:rsidR="00A14F7D" w:rsidRPr="00101247" w:rsidRDefault="00A14F7D"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w:t>
            </w:r>
          </w:p>
        </w:tc>
        <w:tc>
          <w:tcPr>
            <w:tcW w:w="728"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-4.5%</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(-11.8.%, 2.9%)</w:t>
            </w:r>
          </w:p>
        </w:tc>
      </w:tr>
      <w:tr w:rsidR="00A14F7D" w:rsidRPr="00101247" w:rsidTr="00F405C3">
        <w:tc>
          <w:tcPr>
            <w:tcW w:w="2332" w:type="pct"/>
            <w:gridSpan w:val="3"/>
            <w:shd w:val="clear" w:color="auto" w:fill="auto"/>
            <w:vAlign w:val="center"/>
          </w:tcPr>
          <w:p w:rsidR="00A14F7D" w:rsidRPr="00101247" w:rsidRDefault="00A14F7D" w:rsidP="004C5FCE">
            <w:pPr>
              <w:keepNext/>
              <w:widowControl/>
              <w:jc w:val="left"/>
              <w:rPr>
                <w:rFonts w:ascii="Arial Narrow" w:hAnsi="Arial Narrow"/>
                <w:color w:val="000000"/>
                <w:sz w:val="19"/>
                <w:szCs w:val="19"/>
              </w:rPr>
            </w:pPr>
            <w:r w:rsidRPr="00101247">
              <w:rPr>
                <w:rFonts w:ascii="Arial Narrow" w:hAnsi="Arial Narrow"/>
                <w:color w:val="000000"/>
                <w:sz w:val="19"/>
                <w:szCs w:val="19"/>
              </w:rPr>
              <w:t>Indirect comparison: DAPA vs EXE</w:t>
            </w:r>
          </w:p>
        </w:tc>
        <w:tc>
          <w:tcPr>
            <w:tcW w:w="670"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0.22</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(0.02, 2.07)</w:t>
            </w:r>
          </w:p>
        </w:tc>
        <w:tc>
          <w:tcPr>
            <w:tcW w:w="1270" w:type="pct"/>
            <w:gridSpan w:val="4"/>
            <w:vAlign w:val="center"/>
          </w:tcPr>
          <w:p w:rsidR="00A14F7D" w:rsidRPr="00101247" w:rsidRDefault="00A14F7D" w:rsidP="004C5FCE">
            <w:pPr>
              <w:keepNext/>
              <w:widowControl/>
              <w:jc w:val="center"/>
              <w:rPr>
                <w:rFonts w:ascii="Arial Narrow" w:hAnsi="Arial Narrow"/>
                <w:color w:val="000000"/>
                <w:sz w:val="19"/>
                <w:szCs w:val="19"/>
              </w:rPr>
            </w:pPr>
            <w:r w:rsidRPr="00101247">
              <w:rPr>
                <w:rFonts w:ascii="Arial Narrow" w:hAnsi="Arial Narrow"/>
                <w:color w:val="000000"/>
                <w:sz w:val="19"/>
                <w:szCs w:val="19"/>
              </w:rPr>
              <w:t>-</w:t>
            </w:r>
          </w:p>
        </w:tc>
        <w:tc>
          <w:tcPr>
            <w:tcW w:w="728" w:type="pct"/>
            <w:vAlign w:val="center"/>
          </w:tcPr>
          <w:p w:rsidR="00A14F7D"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-3.1%</w:t>
            </w:r>
          </w:p>
          <w:p w:rsidR="00A14F7D" w:rsidRPr="00101247" w:rsidRDefault="00A14F7D" w:rsidP="004C5FCE">
            <w:pPr>
              <w:keepNext/>
              <w:widowControl/>
              <w:jc w:val="center"/>
              <w:rPr>
                <w:rFonts w:ascii="Arial Narrow" w:hAnsi="Arial Narrow"/>
                <w:color w:val="000000"/>
                <w:sz w:val="19"/>
                <w:szCs w:val="19"/>
              </w:rPr>
            </w:pPr>
            <w:r>
              <w:rPr>
                <w:rFonts w:ascii="Arial Narrow" w:hAnsi="Arial Narrow"/>
                <w:color w:val="000000"/>
                <w:sz w:val="19"/>
                <w:szCs w:val="19"/>
              </w:rPr>
              <w:t>(-9.2%, 3.0%)</w:t>
            </w:r>
          </w:p>
        </w:tc>
      </w:tr>
    </w:tbl>
    <w:p w:rsidR="00D41E06" w:rsidRPr="0072416F" w:rsidRDefault="00D41E06" w:rsidP="004C5FCE">
      <w:pPr>
        <w:pStyle w:val="TableFooter"/>
        <w:keepNext/>
        <w:widowControl/>
        <w:tabs>
          <w:tab w:val="left" w:pos="709"/>
        </w:tabs>
        <w:ind w:left="709" w:firstLine="11"/>
      </w:pPr>
      <w:r w:rsidRPr="0072416F">
        <w:t>Abbreviations:</w:t>
      </w:r>
      <w:r w:rsidR="008E627E">
        <w:tab/>
      </w:r>
      <w:r w:rsidR="00FA514A">
        <w:t xml:space="preserve"> </w:t>
      </w:r>
      <w:r w:rsidR="008E627E">
        <w:t xml:space="preserve">Tx = treatment; </w:t>
      </w:r>
      <w:r w:rsidR="00FA514A">
        <w:t>DAPA = dapagliflozin; EXE = exenatide;</w:t>
      </w:r>
      <w:r w:rsidRPr="0072416F">
        <w:t xml:space="preserve"> </w:t>
      </w:r>
      <w:r w:rsidR="00FA514A">
        <w:t xml:space="preserve">ITT = intention to treat; LS = least squares; </w:t>
      </w:r>
      <w:r w:rsidRPr="0072416F">
        <w:t>PBO = placebo; RD = risk difference; RR = risk ratio</w:t>
      </w:r>
      <w:r>
        <w:t>; SE = standard error;</w:t>
      </w:r>
      <w:r w:rsidR="00054766">
        <w:t xml:space="preserve"> FAS = Full Analysis Set.</w:t>
      </w:r>
      <w:r w:rsidR="00515BE5" w:rsidRPr="00515BE5">
        <w:t xml:space="preserve"> CI, confidence interval; n, number with event; Max, maximum; N, number in group; SU, sulfonylurea; vs, versus; Wk, week.</w:t>
      </w:r>
    </w:p>
    <w:p w:rsidR="00515BE5" w:rsidRPr="00515BE5" w:rsidRDefault="00515BE5" w:rsidP="004C5FCE">
      <w:pPr>
        <w:pStyle w:val="TableFooter"/>
        <w:widowControl/>
        <w:tabs>
          <w:tab w:val="left" w:pos="993"/>
        </w:tabs>
        <w:ind w:left="720"/>
      </w:pPr>
      <w:r>
        <w:rPr>
          <w:vertAlign w:val="superscript"/>
        </w:rPr>
        <w:t>b</w:t>
      </w:r>
      <w:r w:rsidR="008E627E">
        <w:rPr>
          <w:vertAlign w:val="superscript"/>
        </w:rPr>
        <w:tab/>
      </w:r>
      <w:r w:rsidR="002B20CF">
        <w:t>Safety Analysis Set</w:t>
      </w:r>
      <w:r>
        <w:t xml:space="preserve"> was used for safety outcomes of CT005.</w:t>
      </w:r>
    </w:p>
    <w:p w:rsidR="00D41E06" w:rsidRDefault="00D41E06" w:rsidP="004C5FCE">
      <w:pPr>
        <w:pStyle w:val="TableFooter"/>
        <w:widowControl/>
        <w:ind w:firstLine="720"/>
      </w:pPr>
      <w:r w:rsidRPr="00AC5505">
        <w:t xml:space="preserve">Source: </w:t>
      </w:r>
      <w:r w:rsidR="00AC5505" w:rsidRPr="00AC5505">
        <w:t>Table B.23, B.24 and B.33, pB91-B105</w:t>
      </w:r>
      <w:r w:rsidRPr="00AC5505">
        <w:t xml:space="preserve"> of the submission</w:t>
      </w:r>
    </w:p>
    <w:p w:rsidR="009B7D73" w:rsidRDefault="009B7D73" w:rsidP="004C5FCE">
      <w:pPr>
        <w:pStyle w:val="ListParagraph"/>
        <w:widowControl/>
        <w:ind w:left="993"/>
      </w:pPr>
    </w:p>
    <w:p w:rsidR="00573E76" w:rsidRPr="00573E76" w:rsidRDefault="00573E76" w:rsidP="00573E76">
      <w:pPr>
        <w:pStyle w:val="ListParagraph"/>
        <w:widowControl/>
        <w:rPr>
          <w:i/>
          <w:szCs w:val="22"/>
        </w:rPr>
      </w:pPr>
      <w:r w:rsidRPr="00573E76">
        <w:rPr>
          <w:i/>
          <w:szCs w:val="22"/>
        </w:rPr>
        <w:t>For more detail on PBAC’s view, see section 7 “PBAC outcome”</w:t>
      </w:r>
    </w:p>
    <w:p w:rsidR="00573E76" w:rsidRPr="00F353FD" w:rsidRDefault="00573E76" w:rsidP="004C5FCE">
      <w:pPr>
        <w:pStyle w:val="ListParagraph"/>
        <w:widowControl/>
        <w:ind w:left="993"/>
      </w:pPr>
    </w:p>
    <w:p w:rsidR="00B60939" w:rsidRPr="002C2775" w:rsidRDefault="00B60939" w:rsidP="004C5FCE">
      <w:pPr>
        <w:pStyle w:val="Heading2"/>
        <w:keepNext/>
        <w:widowControl/>
        <w:rPr>
          <w:i/>
        </w:rPr>
      </w:pPr>
      <w:bookmarkStart w:id="11" w:name="_Toc409614780"/>
      <w:r w:rsidRPr="002C2775">
        <w:rPr>
          <w:i/>
        </w:rPr>
        <w:t>Clinical claim</w:t>
      </w:r>
      <w:bookmarkEnd w:id="11"/>
    </w:p>
    <w:p w:rsidR="00B60939" w:rsidRPr="00882085" w:rsidRDefault="00B60939" w:rsidP="004C5FCE">
      <w:pPr>
        <w:keepNext/>
        <w:widowControl/>
        <w:ind w:left="720" w:hanging="720"/>
        <w:rPr>
          <w:szCs w:val="22"/>
        </w:rPr>
      </w:pPr>
    </w:p>
    <w:p w:rsidR="00325CB1" w:rsidRPr="00325CB1" w:rsidRDefault="001562F6" w:rsidP="004C5FCE">
      <w:pPr>
        <w:pStyle w:val="ListParagraph"/>
        <w:widowControl/>
        <w:numPr>
          <w:ilvl w:val="1"/>
          <w:numId w:val="1"/>
        </w:numPr>
        <w:rPr>
          <w:i/>
          <w:szCs w:val="22"/>
        </w:rPr>
      </w:pPr>
      <w:r w:rsidRPr="001562F6">
        <w:rPr>
          <w:szCs w:val="22"/>
        </w:rPr>
        <w:t>The submission described</w:t>
      </w:r>
      <w:r w:rsidR="0022676E" w:rsidRPr="001562F6">
        <w:rPr>
          <w:szCs w:val="22"/>
        </w:rPr>
        <w:t xml:space="preserve"> dapagliflozin 10mg/day, in combination with MET+SU, as non</w:t>
      </w:r>
      <w:r w:rsidR="003B5E57" w:rsidRPr="001562F6">
        <w:rPr>
          <w:szCs w:val="22"/>
        </w:rPr>
        <w:noBreakHyphen/>
      </w:r>
      <w:r w:rsidR="0022676E" w:rsidRPr="001562F6">
        <w:rPr>
          <w:szCs w:val="22"/>
        </w:rPr>
        <w:t xml:space="preserve">inferior to both insulin glargine 24 IU/day and exenatide 10mcg BD in terms of comparative efficacy relating to glycaemic control, as measured by HbA1c. The </w:t>
      </w:r>
      <w:r w:rsidR="0006535D">
        <w:rPr>
          <w:szCs w:val="22"/>
        </w:rPr>
        <w:t xml:space="preserve">evaluation considered that the </w:t>
      </w:r>
      <w:r w:rsidR="0022676E" w:rsidRPr="001562F6">
        <w:rPr>
          <w:szCs w:val="22"/>
        </w:rPr>
        <w:t>claim with respect to the comparative efficacy of dapagliflozin and insulin glargine is only supported when considering a non-inferiority margin of 0.5% for change in HbA1c. Non-inferiority of dapagliflozin compared with insulin glargine is not supported when considering a margin of 0.4%; and non-inferiority of dapagliflozin and exenatide is not supported when considering a non-inferiority margin of 0.4 or 0.5%</w:t>
      </w:r>
      <w:r w:rsidR="00983F2B" w:rsidRPr="001562F6">
        <w:rPr>
          <w:szCs w:val="22"/>
        </w:rPr>
        <w:t xml:space="preserve"> </w:t>
      </w:r>
      <w:r w:rsidR="00983F2B" w:rsidRPr="00E71973">
        <w:t xml:space="preserve">and in fact, there are indications that dapagliflozin may be </w:t>
      </w:r>
      <w:r w:rsidR="00983F2B" w:rsidRPr="00EE4138">
        <w:t>inferior</w:t>
      </w:r>
      <w:r w:rsidR="00983F2B" w:rsidRPr="00E71973">
        <w:t xml:space="preserve"> to exenatide</w:t>
      </w:r>
      <w:r w:rsidR="0022676E" w:rsidRPr="001562F6">
        <w:rPr>
          <w:szCs w:val="22"/>
        </w:rPr>
        <w:t>. The</w:t>
      </w:r>
      <w:r w:rsidR="00C520E4">
        <w:rPr>
          <w:szCs w:val="22"/>
        </w:rPr>
        <w:t xml:space="preserve"> evaluation also noted the</w:t>
      </w:r>
      <w:r w:rsidR="0022676E" w:rsidRPr="001562F6">
        <w:rPr>
          <w:szCs w:val="22"/>
        </w:rPr>
        <w:t>re was significant heterogeneity between the trials, particularly in the trials comparing dapagliflozin and exenatide to placebo, as demonstrated by the large variation in placebo responses; thus this indirect comparison may not be valid.</w:t>
      </w:r>
      <w:r w:rsidR="00F35292" w:rsidRPr="001562F6">
        <w:rPr>
          <w:szCs w:val="22"/>
        </w:rPr>
        <w:t xml:space="preserve"> </w:t>
      </w:r>
    </w:p>
    <w:p w:rsidR="00325CB1" w:rsidRDefault="00325CB1" w:rsidP="004C5FCE">
      <w:pPr>
        <w:pStyle w:val="ListParagraph"/>
        <w:widowControl/>
        <w:rPr>
          <w:i/>
          <w:szCs w:val="22"/>
        </w:rPr>
      </w:pPr>
    </w:p>
    <w:p w:rsidR="00583B45" w:rsidRPr="00BC1D5F" w:rsidRDefault="005E4269" w:rsidP="00593405">
      <w:pPr>
        <w:pStyle w:val="ListParagraph"/>
        <w:widowControl/>
        <w:numPr>
          <w:ilvl w:val="1"/>
          <w:numId w:val="1"/>
        </w:numPr>
        <w:rPr>
          <w:szCs w:val="22"/>
        </w:rPr>
      </w:pPr>
      <w:r w:rsidRPr="00BC1D5F">
        <w:rPr>
          <w:szCs w:val="22"/>
        </w:rPr>
        <w:t xml:space="preserve">The ESC considered that the </w:t>
      </w:r>
      <w:r w:rsidR="00096101" w:rsidRPr="00BC1D5F">
        <w:rPr>
          <w:szCs w:val="22"/>
        </w:rPr>
        <w:t xml:space="preserve">submission’s claim of </w:t>
      </w:r>
      <w:r w:rsidRPr="00BC1D5F">
        <w:rPr>
          <w:szCs w:val="22"/>
        </w:rPr>
        <w:t xml:space="preserve">non-inferiority against insulin glargine </w:t>
      </w:r>
      <w:r w:rsidR="00583B45" w:rsidRPr="00BC1D5F">
        <w:rPr>
          <w:szCs w:val="22"/>
        </w:rPr>
        <w:t xml:space="preserve">may be </w:t>
      </w:r>
      <w:r w:rsidRPr="00BC1D5F">
        <w:rPr>
          <w:szCs w:val="22"/>
        </w:rPr>
        <w:t>reasonable</w:t>
      </w:r>
      <w:r w:rsidR="007C0958" w:rsidRPr="00BC1D5F">
        <w:rPr>
          <w:szCs w:val="22"/>
        </w:rPr>
        <w:t>. While the non-inferiority criterion of 0.4% change in HbA1c was not met, the analysis approached non-inferiority (</w:t>
      </w:r>
      <w:r w:rsidRPr="00BC1D5F">
        <w:rPr>
          <w:szCs w:val="22"/>
        </w:rPr>
        <w:t xml:space="preserve">upper </w:t>
      </w:r>
      <w:r w:rsidR="006E3E96" w:rsidRPr="00BC1D5F">
        <w:rPr>
          <w:szCs w:val="22"/>
        </w:rPr>
        <w:t xml:space="preserve">bound of the </w:t>
      </w:r>
      <w:r w:rsidRPr="00BC1D5F">
        <w:rPr>
          <w:szCs w:val="22"/>
        </w:rPr>
        <w:t xml:space="preserve">95% </w:t>
      </w:r>
      <w:r w:rsidRPr="00BC1D5F">
        <w:rPr>
          <w:szCs w:val="22"/>
        </w:rPr>
        <w:lastRenderedPageBreak/>
        <w:t xml:space="preserve">CI </w:t>
      </w:r>
      <w:r w:rsidR="007C0958" w:rsidRPr="00BC1D5F">
        <w:rPr>
          <w:szCs w:val="22"/>
        </w:rPr>
        <w:t xml:space="preserve">was </w:t>
      </w:r>
      <w:r w:rsidRPr="00BC1D5F">
        <w:rPr>
          <w:szCs w:val="22"/>
        </w:rPr>
        <w:t xml:space="preserve">0.43%). </w:t>
      </w:r>
      <w:r w:rsidR="007C0958" w:rsidRPr="00BC1D5F">
        <w:rPr>
          <w:szCs w:val="22"/>
        </w:rPr>
        <w:t>This ESC considered that</w:t>
      </w:r>
      <w:r w:rsidR="00593405" w:rsidRPr="00BC1D5F">
        <w:rPr>
          <w:szCs w:val="22"/>
        </w:rPr>
        <w:t xml:space="preserve"> </w:t>
      </w:r>
      <w:r w:rsidR="00D921F1" w:rsidRPr="00BC1D5F">
        <w:rPr>
          <w:szCs w:val="22"/>
        </w:rPr>
        <w:t>changes in HbA1c of greater that 0.4% may lead to clinically important differences in patient outcomes</w:t>
      </w:r>
      <w:r w:rsidR="00593405" w:rsidRPr="00BC1D5F">
        <w:rPr>
          <w:szCs w:val="22"/>
        </w:rPr>
        <w:t xml:space="preserve">, and noted that it was difficult to determine the magnitude and direction of any bias inherent in the indirect comparison. However, the ESC acknowledged </w:t>
      </w:r>
      <w:r w:rsidR="007C0958" w:rsidRPr="00BC1D5F">
        <w:rPr>
          <w:szCs w:val="22"/>
        </w:rPr>
        <w:t>the clinical need for an oral regimen in triple therapy.</w:t>
      </w:r>
    </w:p>
    <w:p w:rsidR="00583B45" w:rsidRPr="00BC1D5F" w:rsidRDefault="00583B45" w:rsidP="004C5FCE">
      <w:pPr>
        <w:widowControl/>
        <w:rPr>
          <w:szCs w:val="22"/>
        </w:rPr>
      </w:pPr>
    </w:p>
    <w:p w:rsidR="00325CB1" w:rsidRPr="00BC1D5F" w:rsidRDefault="00583B45" w:rsidP="004C5FCE">
      <w:pPr>
        <w:pStyle w:val="ListParagraph"/>
        <w:widowControl/>
        <w:numPr>
          <w:ilvl w:val="1"/>
          <w:numId w:val="1"/>
        </w:numPr>
        <w:rPr>
          <w:szCs w:val="22"/>
        </w:rPr>
      </w:pPr>
      <w:r w:rsidRPr="00BC1D5F">
        <w:rPr>
          <w:szCs w:val="22"/>
        </w:rPr>
        <w:t>H</w:t>
      </w:r>
      <w:r w:rsidR="005E4269" w:rsidRPr="00BC1D5F">
        <w:rPr>
          <w:szCs w:val="22"/>
        </w:rPr>
        <w:t xml:space="preserve">owever, </w:t>
      </w:r>
      <w:r w:rsidR="007925E7" w:rsidRPr="00BC1D5F">
        <w:rPr>
          <w:szCs w:val="22"/>
        </w:rPr>
        <w:t>the ESC</w:t>
      </w:r>
      <w:r w:rsidR="001562F6" w:rsidRPr="00BC1D5F">
        <w:rPr>
          <w:szCs w:val="22"/>
        </w:rPr>
        <w:t xml:space="preserve"> considered that </w:t>
      </w:r>
      <w:r w:rsidRPr="00BC1D5F">
        <w:rPr>
          <w:szCs w:val="22"/>
        </w:rPr>
        <w:t xml:space="preserve">the submission’s claim of non-inferiority against </w:t>
      </w:r>
      <w:r w:rsidR="001562F6" w:rsidRPr="00BC1D5F">
        <w:rPr>
          <w:szCs w:val="22"/>
        </w:rPr>
        <w:t xml:space="preserve">exenatide </w:t>
      </w:r>
      <w:r w:rsidRPr="00BC1D5F">
        <w:rPr>
          <w:szCs w:val="22"/>
        </w:rPr>
        <w:t>was not adequately supported</w:t>
      </w:r>
      <w:r w:rsidR="007C0958" w:rsidRPr="00BC1D5F">
        <w:rPr>
          <w:szCs w:val="22"/>
        </w:rPr>
        <w:t>. T</w:t>
      </w:r>
      <w:r w:rsidR="006E3E96" w:rsidRPr="00BC1D5F">
        <w:rPr>
          <w:szCs w:val="22"/>
        </w:rPr>
        <w:t xml:space="preserve">he non-inferiority criterion of 0.4% change in HbA1c was not met </w:t>
      </w:r>
      <w:r w:rsidR="007C0958" w:rsidRPr="00BC1D5F">
        <w:rPr>
          <w:szCs w:val="22"/>
        </w:rPr>
        <w:t xml:space="preserve">for any of the analyses presented. For the primary analysis (FAS/ITT population at 24/30 weeks) </w:t>
      </w:r>
      <w:r w:rsidR="006E3E96" w:rsidRPr="00BC1D5F">
        <w:rPr>
          <w:szCs w:val="22"/>
        </w:rPr>
        <w:t xml:space="preserve">the upper bound of the 95% CI </w:t>
      </w:r>
      <w:r w:rsidR="007C0958" w:rsidRPr="00BC1D5F">
        <w:rPr>
          <w:szCs w:val="22"/>
        </w:rPr>
        <w:t xml:space="preserve">was 0.59 </w:t>
      </w:r>
      <w:r w:rsidR="006E3E96" w:rsidRPr="00BC1D5F">
        <w:rPr>
          <w:szCs w:val="22"/>
        </w:rPr>
        <w:t>[mean difference in HbA1c: 0.31% (95% CI: 0.03, 0.59</w:t>
      </w:r>
      <w:r w:rsidR="007C0958" w:rsidRPr="00BC1D5F">
        <w:rPr>
          <w:szCs w:val="22"/>
        </w:rPr>
        <w:t xml:space="preserve">)]. </w:t>
      </w:r>
      <w:r w:rsidR="00FA3370" w:rsidRPr="00BC1D5F">
        <w:rPr>
          <w:szCs w:val="22"/>
        </w:rPr>
        <w:t>Moreover, results from the two of the three analyses presented against exenatide (i.e. the analyses comparing the FAS/ITT populations at 24/30 and 24/24 of CT005 and Trial 115) suggest that dapagliflozin may be inferior to exenatide</w:t>
      </w:r>
      <w:r w:rsidR="006E3E96" w:rsidRPr="00BC1D5F">
        <w:rPr>
          <w:szCs w:val="22"/>
        </w:rPr>
        <w:t xml:space="preserve"> because the 95% CI does not include null.</w:t>
      </w:r>
    </w:p>
    <w:p w:rsidR="007C0958" w:rsidRDefault="007C0958" w:rsidP="004C5FCE">
      <w:pPr>
        <w:widowControl/>
        <w:ind w:left="720"/>
        <w:rPr>
          <w:szCs w:val="22"/>
        </w:rPr>
      </w:pPr>
    </w:p>
    <w:p w:rsidR="0022676E" w:rsidRDefault="0022676E" w:rsidP="004C5FCE">
      <w:pPr>
        <w:pStyle w:val="ListParagraph"/>
        <w:widowControl/>
        <w:numPr>
          <w:ilvl w:val="1"/>
          <w:numId w:val="1"/>
        </w:numPr>
        <w:rPr>
          <w:szCs w:val="22"/>
        </w:rPr>
      </w:pPr>
      <w:r w:rsidRPr="0022676E">
        <w:rPr>
          <w:szCs w:val="22"/>
        </w:rPr>
        <w:t>The submission describe</w:t>
      </w:r>
      <w:r w:rsidR="006E3E96">
        <w:rPr>
          <w:szCs w:val="22"/>
        </w:rPr>
        <w:t>d</w:t>
      </w:r>
      <w:r w:rsidRPr="0022676E">
        <w:rPr>
          <w:szCs w:val="22"/>
        </w:rPr>
        <w:t xml:space="preserve"> dapagliflozin 10mg/day, in combination with MET+SU, as having a different safety profile to both insulin glargine 24 IU/day and exenatide 10mcg BD, but </w:t>
      </w:r>
      <w:r w:rsidR="00D541BA">
        <w:rPr>
          <w:szCs w:val="22"/>
        </w:rPr>
        <w:t>a</w:t>
      </w:r>
      <w:r w:rsidRPr="0022676E">
        <w:rPr>
          <w:szCs w:val="22"/>
        </w:rPr>
        <w:t xml:space="preserve">s non-inferior with respect to comparative safety as measured by the occurrence of hypoglycaemic events, </w:t>
      </w:r>
      <w:r w:rsidR="003B5E57">
        <w:rPr>
          <w:szCs w:val="22"/>
        </w:rPr>
        <w:t>adverse events, significant adverse events</w:t>
      </w:r>
      <w:r w:rsidRPr="0022676E">
        <w:rPr>
          <w:szCs w:val="22"/>
        </w:rPr>
        <w:t xml:space="preserve"> and discontinuations due to </w:t>
      </w:r>
      <w:r w:rsidR="003B5E57">
        <w:rPr>
          <w:szCs w:val="22"/>
        </w:rPr>
        <w:t>adverse events</w:t>
      </w:r>
      <w:r w:rsidRPr="0022676E">
        <w:rPr>
          <w:szCs w:val="22"/>
        </w:rPr>
        <w:t xml:space="preserve">. </w:t>
      </w:r>
      <w:r w:rsidRPr="00E71973">
        <w:rPr>
          <w:szCs w:val="22"/>
        </w:rPr>
        <w:t xml:space="preserve">The </w:t>
      </w:r>
      <w:r w:rsidR="00C520E4">
        <w:rPr>
          <w:szCs w:val="22"/>
        </w:rPr>
        <w:t xml:space="preserve">evaluation considered that the </w:t>
      </w:r>
      <w:r w:rsidRPr="00E71973">
        <w:rPr>
          <w:szCs w:val="22"/>
        </w:rPr>
        <w:t xml:space="preserve">claim with respect to the comparative safety of dapagliflozin and insulin glargine is </w:t>
      </w:r>
      <w:r w:rsidR="003D2B13" w:rsidRPr="00E71973">
        <w:rPr>
          <w:szCs w:val="22"/>
        </w:rPr>
        <w:t xml:space="preserve">reasonably well </w:t>
      </w:r>
      <w:r w:rsidRPr="00E71973">
        <w:rPr>
          <w:szCs w:val="22"/>
        </w:rPr>
        <w:t>supported by the data presented in the submission</w:t>
      </w:r>
      <w:r w:rsidR="003D2B13" w:rsidRPr="00E71973">
        <w:rPr>
          <w:szCs w:val="22"/>
        </w:rPr>
        <w:t xml:space="preserve"> for some of the safety outcomes</w:t>
      </w:r>
      <w:r w:rsidRPr="00E71973">
        <w:rPr>
          <w:szCs w:val="22"/>
        </w:rPr>
        <w:t xml:space="preserve">. The dapagliflozin and exenatide results for adverse events are not comparable given the large differences in the placebo arms of CT005 and Trial 115, and </w:t>
      </w:r>
      <w:r w:rsidR="007C0958">
        <w:rPr>
          <w:szCs w:val="22"/>
        </w:rPr>
        <w:t xml:space="preserve">the </w:t>
      </w:r>
      <w:r w:rsidRPr="00E71973">
        <w:rPr>
          <w:szCs w:val="22"/>
        </w:rPr>
        <w:t xml:space="preserve">lack of exchangeability in terms of </w:t>
      </w:r>
      <w:r w:rsidR="003B5E57" w:rsidRPr="00E71973">
        <w:rPr>
          <w:szCs w:val="22"/>
        </w:rPr>
        <w:t>adverse event</w:t>
      </w:r>
      <w:r w:rsidRPr="00E71973">
        <w:rPr>
          <w:szCs w:val="22"/>
        </w:rPr>
        <w:t xml:space="preserve"> reporting between the two trials. Rates of hypoglycaemia are particularly difficult to compare</w:t>
      </w:r>
      <w:r w:rsidR="00DD56BE" w:rsidRPr="00E71973">
        <w:rPr>
          <w:szCs w:val="22"/>
        </w:rPr>
        <w:t xml:space="preserve"> between dapagliflozin and both </w:t>
      </w:r>
      <w:r w:rsidR="003B5E57" w:rsidRPr="00E71973">
        <w:rPr>
          <w:szCs w:val="22"/>
        </w:rPr>
        <w:t xml:space="preserve">insulin glargine and </w:t>
      </w:r>
      <w:r w:rsidR="00DD56BE" w:rsidRPr="00E71973">
        <w:rPr>
          <w:szCs w:val="22"/>
        </w:rPr>
        <w:t>exenatide</w:t>
      </w:r>
      <w:r w:rsidRPr="00E71973">
        <w:rPr>
          <w:szCs w:val="22"/>
        </w:rPr>
        <w:t xml:space="preserve">. </w:t>
      </w:r>
    </w:p>
    <w:p w:rsidR="00AD5885" w:rsidRPr="009F28C4" w:rsidRDefault="00AD5885" w:rsidP="00AD5885">
      <w:pPr>
        <w:pStyle w:val="ListParagraph"/>
        <w:rPr>
          <w:szCs w:val="22"/>
        </w:rPr>
      </w:pPr>
    </w:p>
    <w:p w:rsidR="00AD5885" w:rsidRPr="009F28C4" w:rsidRDefault="00AD5885" w:rsidP="004C5FCE">
      <w:pPr>
        <w:pStyle w:val="ListParagraph"/>
        <w:widowControl/>
        <w:numPr>
          <w:ilvl w:val="1"/>
          <w:numId w:val="1"/>
        </w:numPr>
        <w:rPr>
          <w:szCs w:val="22"/>
        </w:rPr>
      </w:pPr>
      <w:r w:rsidRPr="009F28C4">
        <w:rPr>
          <w:szCs w:val="22"/>
        </w:rPr>
        <w:t xml:space="preserve">The PBAC considered </w:t>
      </w:r>
      <w:r w:rsidR="00A16A8D" w:rsidRPr="009F28C4">
        <w:rPr>
          <w:szCs w:val="22"/>
        </w:rPr>
        <w:t xml:space="preserve">that the claim of non-inferior comparative effectiveness to insulin glargine </w:t>
      </w:r>
      <w:r w:rsidR="0006535D" w:rsidRPr="009F28C4">
        <w:rPr>
          <w:szCs w:val="22"/>
        </w:rPr>
        <w:t>wa</w:t>
      </w:r>
      <w:r w:rsidR="00A16A8D" w:rsidRPr="009F28C4">
        <w:rPr>
          <w:szCs w:val="22"/>
        </w:rPr>
        <w:t>s reasonable.</w:t>
      </w:r>
    </w:p>
    <w:p w:rsidR="00A16A8D" w:rsidRPr="009F28C4" w:rsidRDefault="00A16A8D" w:rsidP="00A16A8D">
      <w:pPr>
        <w:pStyle w:val="ListParagraph"/>
        <w:rPr>
          <w:szCs w:val="22"/>
        </w:rPr>
      </w:pPr>
    </w:p>
    <w:p w:rsidR="00A16A8D" w:rsidRPr="009F28C4" w:rsidRDefault="00A16A8D" w:rsidP="004C5FCE">
      <w:pPr>
        <w:pStyle w:val="ListParagraph"/>
        <w:widowControl/>
        <w:numPr>
          <w:ilvl w:val="1"/>
          <w:numId w:val="1"/>
        </w:numPr>
        <w:rPr>
          <w:szCs w:val="22"/>
        </w:rPr>
      </w:pPr>
      <w:r w:rsidRPr="009F28C4">
        <w:rPr>
          <w:szCs w:val="22"/>
        </w:rPr>
        <w:t xml:space="preserve">The PBAC </w:t>
      </w:r>
      <w:r w:rsidR="005F2A33" w:rsidRPr="009F28C4">
        <w:rPr>
          <w:szCs w:val="22"/>
        </w:rPr>
        <w:t xml:space="preserve">accepted that dapagliflozin has a different safety profile to insulin glargine and </w:t>
      </w:r>
      <w:r w:rsidRPr="009F28C4">
        <w:rPr>
          <w:szCs w:val="22"/>
        </w:rPr>
        <w:t xml:space="preserve">considered </w:t>
      </w:r>
      <w:r w:rsidR="0006535D" w:rsidRPr="009F28C4">
        <w:rPr>
          <w:szCs w:val="22"/>
        </w:rPr>
        <w:t xml:space="preserve">that </w:t>
      </w:r>
      <w:r w:rsidRPr="009F28C4">
        <w:rPr>
          <w:szCs w:val="22"/>
        </w:rPr>
        <w:t>the claim of non-inferior comparative safety</w:t>
      </w:r>
      <w:r w:rsidR="00A665C4" w:rsidRPr="009F28C4">
        <w:rPr>
          <w:szCs w:val="22"/>
        </w:rPr>
        <w:t xml:space="preserve"> </w:t>
      </w:r>
      <w:r w:rsidR="0006535D" w:rsidRPr="009F28C4">
        <w:rPr>
          <w:szCs w:val="22"/>
        </w:rPr>
        <w:t>was</w:t>
      </w:r>
      <w:r w:rsidR="005F2A33" w:rsidRPr="009F28C4">
        <w:rPr>
          <w:szCs w:val="22"/>
        </w:rPr>
        <w:t xml:space="preserve"> </w:t>
      </w:r>
      <w:r w:rsidRPr="009F28C4">
        <w:rPr>
          <w:szCs w:val="22"/>
        </w:rPr>
        <w:t xml:space="preserve">reasonable. </w:t>
      </w:r>
    </w:p>
    <w:p w:rsidR="00A16A8D" w:rsidRPr="009F28C4" w:rsidRDefault="00A16A8D" w:rsidP="00A16A8D">
      <w:pPr>
        <w:pStyle w:val="ListParagraph"/>
        <w:rPr>
          <w:szCs w:val="22"/>
        </w:rPr>
      </w:pPr>
    </w:p>
    <w:p w:rsidR="00A16A8D" w:rsidRPr="009F28C4" w:rsidRDefault="0006535D" w:rsidP="0006535D">
      <w:pPr>
        <w:pStyle w:val="ListParagraph"/>
        <w:widowControl/>
        <w:numPr>
          <w:ilvl w:val="1"/>
          <w:numId w:val="1"/>
        </w:numPr>
        <w:rPr>
          <w:szCs w:val="22"/>
        </w:rPr>
      </w:pPr>
      <w:r w:rsidRPr="009F28C4">
        <w:rPr>
          <w:szCs w:val="22"/>
        </w:rPr>
        <w:t xml:space="preserve">The PBAC </w:t>
      </w:r>
      <w:r w:rsidR="003E7CBC" w:rsidRPr="009F28C4">
        <w:rPr>
          <w:szCs w:val="22"/>
        </w:rPr>
        <w:t xml:space="preserve">did not accept </w:t>
      </w:r>
      <w:r w:rsidRPr="009F28C4">
        <w:rPr>
          <w:szCs w:val="22"/>
        </w:rPr>
        <w:t xml:space="preserve">the claim of non-inferior comparative effectiveness </w:t>
      </w:r>
      <w:r w:rsidR="00C520E4" w:rsidRPr="009F28C4">
        <w:rPr>
          <w:szCs w:val="22"/>
        </w:rPr>
        <w:t xml:space="preserve">and safety </w:t>
      </w:r>
      <w:r w:rsidRPr="009F28C4">
        <w:rPr>
          <w:szCs w:val="22"/>
        </w:rPr>
        <w:t xml:space="preserve">to exenatide. </w:t>
      </w:r>
    </w:p>
    <w:p w:rsidR="00E31C6A" w:rsidRDefault="00E31C6A" w:rsidP="004C5FCE">
      <w:pPr>
        <w:pStyle w:val="ListParagraph"/>
        <w:widowControl/>
        <w:rPr>
          <w:szCs w:val="22"/>
        </w:rPr>
      </w:pPr>
    </w:p>
    <w:p w:rsidR="00573E76" w:rsidRPr="00573E76" w:rsidRDefault="00573E76" w:rsidP="00573E76">
      <w:pPr>
        <w:pStyle w:val="ListParagraph"/>
        <w:widowControl/>
        <w:rPr>
          <w:i/>
          <w:szCs w:val="22"/>
        </w:rPr>
      </w:pPr>
      <w:r w:rsidRPr="00573E76">
        <w:rPr>
          <w:i/>
          <w:szCs w:val="22"/>
        </w:rPr>
        <w:t xml:space="preserve">For more detail on PBAC’s view, see section </w:t>
      </w:r>
      <w:r w:rsidR="008E2E4A">
        <w:rPr>
          <w:i/>
          <w:szCs w:val="22"/>
        </w:rPr>
        <w:t>7</w:t>
      </w:r>
      <w:r w:rsidRPr="00573E76">
        <w:rPr>
          <w:i/>
          <w:szCs w:val="22"/>
        </w:rPr>
        <w:t xml:space="preserve"> “PBAC outcome”</w:t>
      </w:r>
    </w:p>
    <w:p w:rsidR="00573E76" w:rsidRDefault="00573E76"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Default="00A8769F" w:rsidP="004C5FCE">
      <w:pPr>
        <w:pStyle w:val="ListParagraph"/>
        <w:widowControl/>
        <w:rPr>
          <w:szCs w:val="22"/>
        </w:rPr>
      </w:pPr>
    </w:p>
    <w:p w:rsidR="00A8769F" w:rsidRPr="002B20CF" w:rsidRDefault="00A8769F" w:rsidP="004C5FCE">
      <w:pPr>
        <w:pStyle w:val="ListParagraph"/>
        <w:widowControl/>
        <w:rPr>
          <w:szCs w:val="22"/>
        </w:rPr>
      </w:pPr>
    </w:p>
    <w:p w:rsidR="00B60939" w:rsidRPr="002C2775" w:rsidRDefault="00B60939" w:rsidP="008E2E4A">
      <w:pPr>
        <w:pStyle w:val="PBACheading1"/>
        <w:numPr>
          <w:ilvl w:val="0"/>
          <w:numId w:val="0"/>
        </w:numPr>
        <w:ind w:left="720"/>
      </w:pPr>
      <w:bookmarkStart w:id="12" w:name="_Toc409614781"/>
      <w:r w:rsidRPr="002C2775">
        <w:lastRenderedPageBreak/>
        <w:t>Economic analysis</w:t>
      </w:r>
      <w:bookmarkEnd w:id="12"/>
      <w:r w:rsidR="00491B3A" w:rsidRPr="002C2775">
        <w:t xml:space="preserve"> </w:t>
      </w:r>
    </w:p>
    <w:p w:rsidR="00B60939" w:rsidRPr="00882085" w:rsidRDefault="00B60939" w:rsidP="004C5FCE">
      <w:pPr>
        <w:keepNext/>
        <w:keepLines/>
        <w:widowControl/>
        <w:ind w:left="720" w:hanging="720"/>
        <w:rPr>
          <w:szCs w:val="22"/>
        </w:rPr>
      </w:pPr>
    </w:p>
    <w:p w:rsidR="003E7CBC" w:rsidRDefault="00D41E06" w:rsidP="0065644B">
      <w:pPr>
        <w:pStyle w:val="ListParagraph"/>
        <w:keepNext/>
        <w:keepLines/>
        <w:widowControl/>
        <w:numPr>
          <w:ilvl w:val="1"/>
          <w:numId w:val="1"/>
        </w:numPr>
      </w:pPr>
      <w:r w:rsidRPr="00EA5674">
        <w:t>The submission</w:t>
      </w:r>
      <w:r>
        <w:t xml:space="preserve"> present</w:t>
      </w:r>
      <w:r w:rsidR="00BC3586">
        <w:t>ed</w:t>
      </w:r>
      <w:r>
        <w:t xml:space="preserve"> </w:t>
      </w:r>
      <w:r w:rsidR="00BC3586">
        <w:t>a</w:t>
      </w:r>
      <w:r w:rsidR="004C3BC2">
        <w:t xml:space="preserve"> cost-</w:t>
      </w:r>
      <w:r>
        <w:t>analysis</w:t>
      </w:r>
      <w:r w:rsidR="00BC3586">
        <w:t xml:space="preserve"> versus insulin glargine and exenatide </w:t>
      </w:r>
      <w:r w:rsidR="00BC3586" w:rsidRPr="00BC3586">
        <w:t>including drug acquisition costs and costs of healthcare resource consumption</w:t>
      </w:r>
      <w:r>
        <w:t xml:space="preserve">. The equi-effective doses </w:t>
      </w:r>
      <w:r w:rsidR="00BC3586">
        <w:t>we</w:t>
      </w:r>
      <w:r>
        <w:t xml:space="preserve">re estimated as dapagliflozin 10mg </w:t>
      </w:r>
      <w:r w:rsidR="00BC3586">
        <w:t xml:space="preserve">(oral) </w:t>
      </w:r>
      <w:r>
        <w:t xml:space="preserve">and exenatide 20mcg </w:t>
      </w:r>
      <w:r w:rsidR="00BC3586">
        <w:t>(</w:t>
      </w:r>
      <w:r>
        <w:t>subcutaneous</w:t>
      </w:r>
      <w:r w:rsidR="00BC3586">
        <w:t>)</w:t>
      </w:r>
      <w:r>
        <w:t xml:space="preserve"> and insulin glargine 24 </w:t>
      </w:r>
      <w:r w:rsidR="00002544">
        <w:t>IU/day</w:t>
      </w:r>
      <w:r w:rsidR="00BC3586" w:rsidRPr="00BC3586">
        <w:t xml:space="preserve"> (subcutaneous)</w:t>
      </w:r>
      <w:r>
        <w:t xml:space="preserve">. </w:t>
      </w:r>
      <w:r w:rsidRPr="00E71973">
        <w:t>The equi</w:t>
      </w:r>
      <w:r w:rsidR="003B5E57" w:rsidRPr="00E71973">
        <w:noBreakHyphen/>
      </w:r>
      <w:r w:rsidRPr="00E71973">
        <w:t xml:space="preserve">effective doses </w:t>
      </w:r>
      <w:r w:rsidR="00BC3586" w:rsidRPr="00E71973">
        <w:t>we</w:t>
      </w:r>
      <w:r w:rsidRPr="00E71973">
        <w:t>re derived from a</w:t>
      </w:r>
      <w:r w:rsidR="004B4653" w:rsidRPr="00E71973">
        <w:t>n</w:t>
      </w:r>
      <w:r w:rsidRPr="00E71973">
        <w:t xml:space="preserve"> indirect comparison using trials that are not </w:t>
      </w:r>
      <w:r w:rsidR="004B4653" w:rsidRPr="00E71973">
        <w:t>exchangeable</w:t>
      </w:r>
      <w:r w:rsidR="0088085D" w:rsidRPr="00E71973">
        <w:t>, particularly for the exenatide comparison</w:t>
      </w:r>
      <w:r w:rsidRPr="00E71973">
        <w:t>.</w:t>
      </w:r>
      <w:r w:rsidR="00143390">
        <w:t xml:space="preserve"> The ESC considered the equi-effective doses based on trial data to be reasonable </w:t>
      </w:r>
      <w:r w:rsidR="003E7CBC">
        <w:t xml:space="preserve">for the comparison with insulin, but not for </w:t>
      </w:r>
      <w:r w:rsidR="00950006">
        <w:t>exenatide</w:t>
      </w:r>
      <w:r w:rsidR="003E7CBC">
        <w:t>.</w:t>
      </w:r>
    </w:p>
    <w:p w:rsidR="00143390" w:rsidRDefault="003E7CBC" w:rsidP="00143390">
      <w:pPr>
        <w:pStyle w:val="ListParagraph"/>
        <w:keepNext/>
        <w:keepLines/>
        <w:widowControl/>
      </w:pPr>
      <w:r w:rsidDel="003E7CBC">
        <w:t xml:space="preserve"> </w:t>
      </w:r>
    </w:p>
    <w:p w:rsidR="00143390" w:rsidRDefault="00143390" w:rsidP="00143390">
      <w:pPr>
        <w:pStyle w:val="ListParagraph"/>
        <w:keepNext/>
        <w:keepLines/>
        <w:widowControl/>
        <w:numPr>
          <w:ilvl w:val="1"/>
          <w:numId w:val="1"/>
        </w:numPr>
      </w:pPr>
      <w:r>
        <w:t xml:space="preserve">The evaluation </w:t>
      </w:r>
      <w:r w:rsidR="00C520E4">
        <w:t xml:space="preserve">considered </w:t>
      </w:r>
      <w:r>
        <w:t xml:space="preserve">that it may be more appropriate to conduct the cost-minimisation analysis against insulin glargine only, given that non-inferiority has not been adequately demonstrated for the comparison with exenatide. </w:t>
      </w:r>
    </w:p>
    <w:p w:rsidR="00D41E06" w:rsidRPr="00143390" w:rsidRDefault="00D41E06" w:rsidP="00143390">
      <w:pPr>
        <w:pStyle w:val="ListParagraph"/>
        <w:keepNext/>
        <w:keepLines/>
        <w:widowControl/>
      </w:pPr>
    </w:p>
    <w:p w:rsidR="00D41E06" w:rsidRPr="002857E9" w:rsidRDefault="004C3BC2" w:rsidP="004C5FCE">
      <w:pPr>
        <w:pStyle w:val="ListParagraph"/>
        <w:widowControl/>
        <w:numPr>
          <w:ilvl w:val="1"/>
          <w:numId w:val="1"/>
        </w:numPr>
      </w:pPr>
      <w:r>
        <w:rPr>
          <w:szCs w:val="22"/>
        </w:rPr>
        <w:t>The cost-</w:t>
      </w:r>
      <w:r w:rsidR="00D41E06">
        <w:rPr>
          <w:szCs w:val="22"/>
        </w:rPr>
        <w:t>analysis derive</w:t>
      </w:r>
      <w:r w:rsidR="00BC3586">
        <w:rPr>
          <w:szCs w:val="22"/>
        </w:rPr>
        <w:t>d</w:t>
      </w:r>
      <w:r w:rsidR="00D41E06">
        <w:rPr>
          <w:szCs w:val="22"/>
        </w:rPr>
        <w:t xml:space="preserve"> the requested price of </w:t>
      </w:r>
      <w:r w:rsidR="00D41E06" w:rsidRPr="002857E9">
        <w:t>dapagliflozin from the</w:t>
      </w:r>
      <w:r w:rsidR="00D41E06">
        <w:t xml:space="preserve"> following avoided</w:t>
      </w:r>
      <w:r w:rsidR="00D41E06" w:rsidRPr="002857E9">
        <w:t xml:space="preserve"> costs</w:t>
      </w:r>
      <w:r w:rsidR="00D41E06">
        <w:t>:</w:t>
      </w:r>
    </w:p>
    <w:p w:rsidR="00D41E06" w:rsidRPr="00751B60" w:rsidRDefault="00BC3586" w:rsidP="004C5FCE">
      <w:pPr>
        <w:pStyle w:val="ListParagraph"/>
        <w:keepNext/>
        <w:keepLines/>
        <w:widowControl/>
        <w:numPr>
          <w:ilvl w:val="0"/>
          <w:numId w:val="3"/>
        </w:numPr>
        <w:ind w:left="1134" w:hanging="425"/>
        <w:rPr>
          <w:i/>
        </w:rPr>
      </w:pPr>
      <w:r>
        <w:t>drug costs -</w:t>
      </w:r>
      <w:r w:rsidR="00D41E06">
        <w:t xml:space="preserve"> insulin glargine or exenatide</w:t>
      </w:r>
      <w:r w:rsidR="00D41E06" w:rsidRPr="002857E9">
        <w:t>;</w:t>
      </w:r>
      <w:r w:rsidR="001562F6">
        <w:t xml:space="preserve"> </w:t>
      </w:r>
    </w:p>
    <w:p w:rsidR="00D41E06" w:rsidRPr="002857E9" w:rsidRDefault="00D41E06" w:rsidP="004C5FCE">
      <w:pPr>
        <w:pStyle w:val="ListParagraph"/>
        <w:keepNext/>
        <w:keepLines/>
        <w:widowControl/>
        <w:numPr>
          <w:ilvl w:val="0"/>
          <w:numId w:val="3"/>
        </w:numPr>
        <w:ind w:left="1134" w:hanging="425"/>
      </w:pPr>
      <w:r w:rsidRPr="002857E9">
        <w:t>cost of test strips, needles</w:t>
      </w:r>
      <w:r>
        <w:t>, GP and endocrinologist consultations</w:t>
      </w:r>
      <w:r w:rsidRPr="002857E9">
        <w:t xml:space="preserve"> and diabetes educator visits associated with </w:t>
      </w:r>
      <w:r>
        <w:t>insulin or exenatide</w:t>
      </w:r>
      <w:r w:rsidRPr="002857E9">
        <w:t xml:space="preserve">; </w:t>
      </w:r>
      <w:r>
        <w:t>and</w:t>
      </w:r>
    </w:p>
    <w:p w:rsidR="00D41E06" w:rsidRDefault="00D41E06" w:rsidP="004C5FCE">
      <w:pPr>
        <w:pStyle w:val="ListParagraph"/>
        <w:keepNext/>
        <w:keepLines/>
        <w:widowControl/>
        <w:numPr>
          <w:ilvl w:val="0"/>
          <w:numId w:val="3"/>
        </w:numPr>
        <w:ind w:left="1134" w:hanging="425"/>
      </w:pPr>
      <w:r w:rsidRPr="002857E9">
        <w:t>cost of reduced use of antihypertensive medicines</w:t>
      </w:r>
      <w:r>
        <w:t xml:space="preserve"> compared with treatment with insulin glargine.</w:t>
      </w:r>
    </w:p>
    <w:p w:rsidR="00735319" w:rsidRDefault="00735319" w:rsidP="004C5FCE">
      <w:pPr>
        <w:widowControl/>
      </w:pPr>
    </w:p>
    <w:p w:rsidR="006326F0" w:rsidRDefault="006326F0" w:rsidP="004C5FCE">
      <w:pPr>
        <w:pStyle w:val="ListParagraph"/>
        <w:widowControl/>
        <w:rPr>
          <w:rStyle w:val="CommentReference"/>
        </w:rPr>
      </w:pPr>
    </w:p>
    <w:p w:rsidR="006326F0" w:rsidRDefault="004C3BC2" w:rsidP="004C5FCE">
      <w:pPr>
        <w:keepNext/>
        <w:widowControl/>
        <w:ind w:left="709"/>
        <w:rPr>
          <w:rStyle w:val="CommentReference"/>
        </w:rPr>
      </w:pPr>
      <w:r>
        <w:rPr>
          <w:rStyle w:val="CommentReference"/>
        </w:rPr>
        <w:t>Cost-</w:t>
      </w:r>
      <w:r w:rsidR="006326F0">
        <w:rPr>
          <w:rStyle w:val="CommentReference"/>
        </w:rPr>
        <w:t>analysis</w:t>
      </w:r>
      <w:r w:rsidR="00A1612F">
        <w:rPr>
          <w:rStyle w:val="CommentReference"/>
        </w:rPr>
        <w:t xml:space="preserve">: derived price for dapagliflozin based on avoided costs associated with treatment with insulin glargine and exenatide </w:t>
      </w:r>
    </w:p>
    <w:tbl>
      <w:tblPr>
        <w:tblStyle w:val="TableGrid"/>
        <w:tblW w:w="0" w:type="auto"/>
        <w:tblInd w:w="780" w:type="dxa"/>
        <w:tblLayout w:type="fixed"/>
        <w:tblLook w:val="04A0" w:firstRow="1" w:lastRow="0" w:firstColumn="1" w:lastColumn="0" w:noHBand="0" w:noVBand="1"/>
      </w:tblPr>
      <w:tblGrid>
        <w:gridCol w:w="3156"/>
        <w:gridCol w:w="1768"/>
        <w:gridCol w:w="1769"/>
        <w:gridCol w:w="1769"/>
      </w:tblGrid>
      <w:tr w:rsidR="008071A5" w:rsidRPr="006326F0" w:rsidTr="009620A7">
        <w:tc>
          <w:tcPr>
            <w:tcW w:w="3156" w:type="dxa"/>
          </w:tcPr>
          <w:p w:rsidR="006326F0" w:rsidRPr="006326F0" w:rsidRDefault="006326F0" w:rsidP="004C5FCE">
            <w:pPr>
              <w:keepNext/>
              <w:widowControl/>
              <w:jc w:val="left"/>
              <w:rPr>
                <w:rFonts w:ascii="Arial Narrow" w:hAnsi="Arial Narrow"/>
                <w:b/>
                <w:sz w:val="20"/>
              </w:rPr>
            </w:pPr>
            <w:r w:rsidRPr="006326F0">
              <w:rPr>
                <w:rFonts w:ascii="Arial Narrow" w:hAnsi="Arial Narrow"/>
                <w:b/>
                <w:sz w:val="20"/>
              </w:rPr>
              <w:t>Description</w:t>
            </w:r>
          </w:p>
        </w:tc>
        <w:tc>
          <w:tcPr>
            <w:tcW w:w="1768" w:type="dxa"/>
          </w:tcPr>
          <w:p w:rsidR="006326F0" w:rsidRPr="006326F0" w:rsidRDefault="006326F0" w:rsidP="004C5FCE">
            <w:pPr>
              <w:keepNext/>
              <w:widowControl/>
              <w:jc w:val="center"/>
              <w:rPr>
                <w:rFonts w:ascii="Arial Narrow" w:hAnsi="Arial Narrow"/>
                <w:b/>
                <w:sz w:val="20"/>
              </w:rPr>
            </w:pPr>
            <w:r w:rsidRPr="006326F0">
              <w:rPr>
                <w:rFonts w:ascii="Arial Narrow" w:hAnsi="Arial Narrow"/>
                <w:b/>
                <w:sz w:val="20"/>
              </w:rPr>
              <w:t>Dapagliflozin</w:t>
            </w:r>
          </w:p>
        </w:tc>
        <w:tc>
          <w:tcPr>
            <w:tcW w:w="1769" w:type="dxa"/>
          </w:tcPr>
          <w:p w:rsidR="006326F0" w:rsidRPr="006326F0" w:rsidRDefault="006326F0" w:rsidP="004C5FCE">
            <w:pPr>
              <w:keepNext/>
              <w:widowControl/>
              <w:jc w:val="center"/>
              <w:rPr>
                <w:rFonts w:ascii="Arial Narrow" w:hAnsi="Arial Narrow"/>
                <w:b/>
                <w:sz w:val="20"/>
              </w:rPr>
            </w:pPr>
            <w:r w:rsidRPr="006326F0">
              <w:rPr>
                <w:rFonts w:ascii="Arial Narrow" w:hAnsi="Arial Narrow"/>
                <w:b/>
                <w:sz w:val="20"/>
              </w:rPr>
              <w:t>Insulin glargine</w:t>
            </w:r>
          </w:p>
        </w:tc>
        <w:tc>
          <w:tcPr>
            <w:tcW w:w="1769" w:type="dxa"/>
          </w:tcPr>
          <w:p w:rsidR="006326F0" w:rsidRPr="006326F0" w:rsidRDefault="006326F0" w:rsidP="004C5FCE">
            <w:pPr>
              <w:keepNext/>
              <w:widowControl/>
              <w:jc w:val="center"/>
              <w:rPr>
                <w:rFonts w:ascii="Arial Narrow" w:hAnsi="Arial Narrow"/>
                <w:b/>
                <w:sz w:val="20"/>
              </w:rPr>
            </w:pPr>
            <w:r w:rsidRPr="006326F0">
              <w:rPr>
                <w:rFonts w:ascii="Arial Narrow" w:hAnsi="Arial Narrow"/>
                <w:b/>
                <w:sz w:val="20"/>
              </w:rPr>
              <w:t>Exenatide</w:t>
            </w:r>
          </w:p>
        </w:tc>
      </w:tr>
      <w:tr w:rsidR="008071A5"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hAnsi="Arial Narrow"/>
                <w:sz w:val="20"/>
              </w:rPr>
              <w:t>Drug cost</w:t>
            </w:r>
          </w:p>
        </w:tc>
        <w:tc>
          <w:tcPr>
            <w:tcW w:w="1768" w:type="dxa"/>
          </w:tcPr>
          <w:p w:rsidR="006326F0" w:rsidRPr="006326F0" w:rsidRDefault="006326F0" w:rsidP="004C5FCE">
            <w:pPr>
              <w:keepNext/>
              <w:widowControl/>
              <w:jc w:val="center"/>
              <w:rPr>
                <w:rFonts w:ascii="Arial Narrow" w:hAnsi="Arial Narrow"/>
                <w:sz w:val="20"/>
              </w:rPr>
            </w:pPr>
            <w:r>
              <w:rPr>
                <w:rFonts w:ascii="Arial Narrow" w:hAnsi="Arial Narrow"/>
                <w:sz w:val="20"/>
              </w:rPr>
              <w:t>-</w:t>
            </w:r>
          </w:p>
        </w:tc>
        <w:tc>
          <w:tcPr>
            <w:tcW w:w="1769" w:type="dxa"/>
          </w:tcPr>
          <w:p w:rsidR="006326F0" w:rsidRPr="006326F0" w:rsidRDefault="006326F0" w:rsidP="004C5FCE">
            <w:pPr>
              <w:keepNext/>
              <w:widowControl/>
              <w:jc w:val="center"/>
              <w:rPr>
                <w:rFonts w:ascii="Arial Narrow" w:hAnsi="Arial Narrow"/>
                <w:sz w:val="20"/>
              </w:rPr>
            </w:pPr>
            <w:r>
              <w:rPr>
                <w:rFonts w:ascii="Arial Narrow" w:hAnsi="Arial Narrow"/>
                <w:sz w:val="20"/>
              </w:rPr>
              <w:t>$338.68</w:t>
            </w:r>
          </w:p>
        </w:tc>
        <w:tc>
          <w:tcPr>
            <w:tcW w:w="1769" w:type="dxa"/>
          </w:tcPr>
          <w:p w:rsidR="006326F0" w:rsidRPr="006326F0" w:rsidRDefault="0098564F" w:rsidP="004C5FCE">
            <w:pPr>
              <w:keepNext/>
              <w:widowControl/>
              <w:jc w:val="center"/>
              <w:rPr>
                <w:rFonts w:ascii="Arial Narrow" w:hAnsi="Arial Narrow"/>
                <w:sz w:val="20"/>
              </w:rPr>
            </w:pPr>
            <w:r>
              <w:rPr>
                <w:rFonts w:ascii="Arial Narrow" w:hAnsi="Arial Narrow"/>
                <w:sz w:val="20"/>
              </w:rPr>
              <w:t>$1,160.94</w:t>
            </w:r>
          </w:p>
        </w:tc>
      </w:tr>
      <w:tr w:rsidR="006326F0" w:rsidRPr="006326F0" w:rsidTr="009620A7">
        <w:tc>
          <w:tcPr>
            <w:tcW w:w="8462" w:type="dxa"/>
            <w:gridSpan w:val="4"/>
          </w:tcPr>
          <w:p w:rsidR="006326F0" w:rsidRPr="008E626E" w:rsidRDefault="006326F0" w:rsidP="004C5FCE">
            <w:pPr>
              <w:keepNext/>
              <w:widowControl/>
              <w:jc w:val="left"/>
              <w:rPr>
                <w:rFonts w:ascii="Arial Narrow" w:hAnsi="Arial Narrow"/>
                <w:i/>
                <w:sz w:val="20"/>
              </w:rPr>
            </w:pPr>
            <w:r w:rsidRPr="008E626E">
              <w:rPr>
                <w:rFonts w:ascii="Arial Narrow" w:hAnsi="Arial Narrow"/>
                <w:i/>
                <w:sz w:val="20"/>
              </w:rPr>
              <w:t>Treatment initiation</w:t>
            </w:r>
          </w:p>
        </w:tc>
      </w:tr>
      <w:tr w:rsidR="008071A5"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eastAsia="SimSun" w:hAnsi="Arial Narrow" w:cs="Times New Roman"/>
                <w:bCs/>
                <w:snapToGrid/>
                <w:sz w:val="20"/>
                <w:lang w:eastAsia="zh-CN"/>
              </w:rPr>
              <w:t>GP consultations</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r w:rsidR="007430E3">
              <w:rPr>
                <w:rFonts w:ascii="Arial Narrow" w:hAnsi="Arial Narrow"/>
                <w:noProof/>
                <w:color w:val="000000"/>
                <w:sz w:val="20"/>
                <w:highlight w:val="black"/>
              </w:rPr>
              <w:t>'''''''''''''''</w:t>
            </w:r>
            <w:r>
              <w:rPr>
                <w:rFonts w:ascii="Arial Narrow" w:hAnsi="Arial Narrow"/>
                <w:sz w:val="20"/>
              </w:rPr>
              <w:t xml:space="preserve"> (1/year)</w:t>
            </w:r>
          </w:p>
        </w:tc>
        <w:tc>
          <w:tcPr>
            <w:tcW w:w="1769"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$37.05 (1/year)</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$37.05 (1/year)</w:t>
            </w:r>
          </w:p>
        </w:tc>
      </w:tr>
      <w:tr w:rsidR="008071A5"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eastAsia="SimSun" w:hAnsi="Arial Narrow" w:cs="Times New Roman"/>
                <w:bCs/>
                <w:snapToGrid/>
                <w:sz w:val="20"/>
                <w:lang w:eastAsia="zh-CN"/>
              </w:rPr>
              <w:t>Endocrinologist consultations</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r w:rsidR="007430E3">
              <w:rPr>
                <w:rFonts w:ascii="Arial Narrow" w:hAnsi="Arial Narrow"/>
                <w:noProof/>
                <w:color w:val="000000"/>
                <w:sz w:val="20"/>
                <w:highlight w:val="black"/>
              </w:rPr>
              <w:t>''''''''''</w:t>
            </w:r>
            <w:r>
              <w:rPr>
                <w:rFonts w:ascii="Arial Narrow" w:hAnsi="Arial Narrow"/>
                <w:sz w:val="20"/>
              </w:rPr>
              <w:t xml:space="preserve"> (0/year)</w:t>
            </w:r>
          </w:p>
        </w:tc>
        <w:tc>
          <w:tcPr>
            <w:tcW w:w="1769"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$85.55 (1/year)</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$0.00 (0/year)</w:t>
            </w:r>
          </w:p>
        </w:tc>
      </w:tr>
      <w:tr w:rsidR="008071A5"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eastAsia="SimSun" w:hAnsi="Arial Narrow" w:cs="Times New Roman"/>
                <w:bCs/>
                <w:snapToGrid/>
                <w:sz w:val="20"/>
                <w:lang w:eastAsia="zh-CN"/>
              </w:rPr>
              <w:t>Diabetes educator visits</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r w:rsidR="007430E3">
              <w:rPr>
                <w:rFonts w:ascii="Arial Narrow" w:hAnsi="Arial Narrow"/>
                <w:noProof/>
                <w:color w:val="000000"/>
                <w:sz w:val="20"/>
                <w:highlight w:val="black"/>
              </w:rPr>
              <w:t>''''''''''</w:t>
            </w:r>
            <w:r>
              <w:rPr>
                <w:rFonts w:ascii="Arial Narrow" w:hAnsi="Arial Narrow"/>
                <w:sz w:val="20"/>
              </w:rPr>
              <w:t xml:space="preserve"> (0/year)</w:t>
            </w:r>
          </w:p>
        </w:tc>
        <w:tc>
          <w:tcPr>
            <w:tcW w:w="1769"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$86.35 (1/year)</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$86.35 (1/year)</w:t>
            </w:r>
          </w:p>
        </w:tc>
      </w:tr>
      <w:tr w:rsidR="006326F0" w:rsidRPr="006326F0" w:rsidTr="009620A7">
        <w:tc>
          <w:tcPr>
            <w:tcW w:w="8462" w:type="dxa"/>
            <w:gridSpan w:val="4"/>
          </w:tcPr>
          <w:p w:rsidR="006326F0" w:rsidRPr="008E626E" w:rsidRDefault="006326F0" w:rsidP="004C5FCE">
            <w:pPr>
              <w:keepNext/>
              <w:widowControl/>
              <w:jc w:val="left"/>
              <w:rPr>
                <w:rFonts w:ascii="Arial Narrow" w:hAnsi="Arial Narrow"/>
                <w:i/>
                <w:sz w:val="20"/>
              </w:rPr>
            </w:pPr>
            <w:r w:rsidRPr="008E626E">
              <w:rPr>
                <w:rFonts w:ascii="Arial Narrow" w:hAnsi="Arial Narrow"/>
                <w:i/>
                <w:sz w:val="20"/>
              </w:rPr>
              <w:t>Treatment titration to stabilisation</w:t>
            </w:r>
          </w:p>
        </w:tc>
      </w:tr>
      <w:tr w:rsidR="006326F0"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eastAsia="SimSun" w:hAnsi="Arial Narrow" w:cs="Times New Roman"/>
                <w:bCs/>
                <w:snapToGrid/>
                <w:sz w:val="20"/>
                <w:lang w:eastAsia="zh-CN"/>
              </w:rPr>
              <w:t>GP consultations</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r w:rsidR="007430E3">
              <w:rPr>
                <w:rFonts w:ascii="Arial Narrow" w:hAnsi="Arial Narrow"/>
                <w:noProof/>
                <w:color w:val="000000"/>
                <w:sz w:val="20"/>
                <w:highlight w:val="black"/>
              </w:rPr>
              <w:t>''''''''''''''</w:t>
            </w:r>
            <w:r>
              <w:rPr>
                <w:rFonts w:ascii="Arial Narrow" w:hAnsi="Arial Narrow"/>
                <w:sz w:val="20"/>
              </w:rPr>
              <w:t xml:space="preserve"> (1/year)</w:t>
            </w:r>
          </w:p>
        </w:tc>
        <w:tc>
          <w:tcPr>
            <w:tcW w:w="1769"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$0.00 (0/year)</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$37.05 (1/year)</w:t>
            </w:r>
          </w:p>
        </w:tc>
      </w:tr>
      <w:tr w:rsidR="006326F0"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eastAsia="SimSun" w:hAnsi="Arial Narrow" w:cs="Times New Roman"/>
                <w:bCs/>
                <w:snapToGrid/>
                <w:sz w:val="20"/>
                <w:lang w:eastAsia="zh-CN"/>
              </w:rPr>
              <w:t>Diabetes educator visits</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r w:rsidR="007430E3">
              <w:rPr>
                <w:rFonts w:ascii="Arial Narrow" w:hAnsi="Arial Narrow"/>
                <w:noProof/>
                <w:color w:val="000000"/>
                <w:sz w:val="20"/>
                <w:highlight w:val="black"/>
              </w:rPr>
              <w:t>''''''''''</w:t>
            </w:r>
            <w:r>
              <w:rPr>
                <w:rFonts w:ascii="Arial Narrow" w:hAnsi="Arial Narrow"/>
                <w:sz w:val="20"/>
              </w:rPr>
              <w:t xml:space="preserve"> (0/year)</w:t>
            </w:r>
          </w:p>
        </w:tc>
        <w:tc>
          <w:tcPr>
            <w:tcW w:w="1769"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$253.20 (4/year)</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$0.00 (0/year)</w:t>
            </w:r>
          </w:p>
        </w:tc>
      </w:tr>
      <w:tr w:rsidR="006326F0" w:rsidRPr="006326F0" w:rsidTr="009620A7">
        <w:tc>
          <w:tcPr>
            <w:tcW w:w="3156" w:type="dxa"/>
          </w:tcPr>
          <w:p w:rsidR="006326F0" w:rsidRPr="006326F0" w:rsidRDefault="006326F0" w:rsidP="004C5FCE">
            <w:pPr>
              <w:keepNext/>
              <w:widowControl/>
              <w:jc w:val="left"/>
              <w:rPr>
                <w:rFonts w:ascii="Arial Narrow" w:hAnsi="Arial Narrow"/>
                <w:sz w:val="20"/>
              </w:rPr>
            </w:pPr>
            <w:r w:rsidRPr="003B287D">
              <w:rPr>
                <w:rFonts w:ascii="Arial Narrow" w:eastAsia="SimSun" w:hAnsi="Arial Narrow" w:cs="Times New Roman"/>
                <w:bCs/>
                <w:snapToGrid/>
                <w:sz w:val="20"/>
                <w:lang w:eastAsia="zh-CN"/>
              </w:rPr>
              <w:t>Blood glucose monitoring</w:t>
            </w:r>
            <w:r>
              <w:rPr>
                <w:rFonts w:ascii="Arial Narrow" w:eastAsia="SimSun" w:hAnsi="Arial Narrow" w:cs="Times New Roman"/>
                <w:bCs/>
                <w:snapToGrid/>
                <w:sz w:val="20"/>
                <w:lang w:eastAsia="zh-CN"/>
              </w:rPr>
              <w:t xml:space="preserve"> (glucose indicator </w:t>
            </w:r>
            <w:r w:rsidR="00F54920">
              <w:rPr>
                <w:rFonts w:ascii="Arial Narrow" w:eastAsia="SimSun" w:hAnsi="Arial Narrow" w:cs="Times New Roman"/>
                <w:bCs/>
                <w:snapToGrid/>
                <w:sz w:val="20"/>
                <w:lang w:eastAsia="zh-CN"/>
              </w:rPr>
              <w:t xml:space="preserve">test </w:t>
            </w:r>
            <w:r>
              <w:rPr>
                <w:rFonts w:ascii="Arial Narrow" w:eastAsia="SimSun" w:hAnsi="Arial Narrow" w:cs="Times New Roman"/>
                <w:bCs/>
                <w:snapToGrid/>
                <w:sz w:val="20"/>
                <w:lang w:eastAsia="zh-CN"/>
              </w:rPr>
              <w:t>strip)</w:t>
            </w:r>
            <w:r w:rsidRPr="0056133A">
              <w:rPr>
                <w:rFonts w:ascii="Arial Narrow" w:eastAsia="SimSun" w:hAnsi="Arial Narrow" w:cs="Times New Roman"/>
                <w:bCs/>
                <w:snapToGrid/>
                <w:sz w:val="20"/>
                <w:vertAlign w:val="superscript"/>
                <w:lang w:eastAsia="zh-CN"/>
              </w:rPr>
              <w:t xml:space="preserve"> </w:t>
            </w:r>
          </w:p>
        </w:tc>
        <w:tc>
          <w:tcPr>
            <w:tcW w:w="1768" w:type="dxa"/>
            <w:vAlign w:val="center"/>
          </w:tcPr>
          <w:p w:rsidR="006326F0" w:rsidRPr="00B6071B" w:rsidRDefault="006326F0" w:rsidP="004C5FCE">
            <w:pPr>
              <w:keepNext/>
              <w:widowControl/>
              <w:jc w:val="center"/>
              <w:rPr>
                <w:rFonts w:ascii="Arial Narrow" w:hAnsi="Arial Narrow"/>
                <w:sz w:val="20"/>
              </w:rPr>
            </w:pPr>
            <w:r w:rsidRPr="00B6071B">
              <w:rPr>
                <w:rFonts w:ascii="Arial Narrow" w:hAnsi="Arial Narrow"/>
                <w:i/>
                <w:sz w:val="20"/>
              </w:rPr>
              <w:t>$</w:t>
            </w:r>
            <w:r w:rsidR="007430E3">
              <w:rPr>
                <w:rFonts w:ascii="Arial Narrow" w:hAnsi="Arial Narrow"/>
                <w:i/>
                <w:noProof/>
                <w:color w:val="000000"/>
                <w:sz w:val="20"/>
                <w:highlight w:val="black"/>
              </w:rPr>
              <w:t>'''''''''''''''''</w:t>
            </w:r>
            <w:r w:rsidRPr="00B6071B">
              <w:rPr>
                <w:rFonts w:ascii="Arial Narrow" w:hAnsi="Arial Narrow"/>
                <w:sz w:val="20"/>
              </w:rPr>
              <w:t xml:space="preserve"> (1/day)</w:t>
            </w:r>
          </w:p>
        </w:tc>
        <w:tc>
          <w:tcPr>
            <w:tcW w:w="1769" w:type="dxa"/>
            <w:vAlign w:val="center"/>
          </w:tcPr>
          <w:p w:rsidR="006326F0" w:rsidRPr="00B6071B" w:rsidRDefault="006326F0" w:rsidP="004C5FCE">
            <w:pPr>
              <w:keepNext/>
              <w:widowControl/>
              <w:jc w:val="center"/>
              <w:rPr>
                <w:rFonts w:ascii="Arial Narrow" w:hAnsi="Arial Narrow"/>
                <w:sz w:val="20"/>
              </w:rPr>
            </w:pPr>
            <w:r w:rsidRPr="00B6071B">
              <w:rPr>
                <w:rFonts w:ascii="Arial Narrow" w:hAnsi="Arial Narrow"/>
                <w:i/>
                <w:sz w:val="20"/>
              </w:rPr>
              <w:t>$</w:t>
            </w:r>
            <w:r w:rsidR="00B6071B" w:rsidRPr="00B6071B">
              <w:rPr>
                <w:rFonts w:ascii="Arial Narrow" w:hAnsi="Arial Narrow"/>
                <w:i/>
                <w:sz w:val="20"/>
              </w:rPr>
              <w:t>297.19</w:t>
            </w:r>
            <w:r w:rsidRPr="00B6071B">
              <w:rPr>
                <w:rFonts w:ascii="Arial Narrow" w:hAnsi="Arial Narrow"/>
                <w:sz w:val="20"/>
              </w:rPr>
              <w:t xml:space="preserve"> (2/day)</w:t>
            </w:r>
          </w:p>
        </w:tc>
        <w:tc>
          <w:tcPr>
            <w:tcW w:w="1769" w:type="dxa"/>
            <w:vAlign w:val="center"/>
          </w:tcPr>
          <w:p w:rsidR="006326F0" w:rsidRPr="00B6071B" w:rsidRDefault="0098564F" w:rsidP="004C5FCE">
            <w:pPr>
              <w:keepNext/>
              <w:widowControl/>
              <w:jc w:val="center"/>
              <w:rPr>
                <w:rFonts w:ascii="Arial Narrow" w:hAnsi="Arial Narrow"/>
                <w:sz w:val="20"/>
              </w:rPr>
            </w:pPr>
            <w:r w:rsidRPr="00B6071B">
              <w:rPr>
                <w:rFonts w:ascii="Arial Narrow" w:hAnsi="Arial Narrow"/>
                <w:i/>
                <w:sz w:val="20"/>
              </w:rPr>
              <w:t>$</w:t>
            </w:r>
            <w:r w:rsidR="00B6071B" w:rsidRPr="00B6071B">
              <w:rPr>
                <w:rFonts w:ascii="Arial Narrow" w:hAnsi="Arial Narrow"/>
                <w:i/>
                <w:sz w:val="20"/>
              </w:rPr>
              <w:t>148.60</w:t>
            </w:r>
            <w:r w:rsidRPr="00B6071B">
              <w:rPr>
                <w:rFonts w:ascii="Arial Narrow" w:hAnsi="Arial Narrow"/>
                <w:sz w:val="20"/>
              </w:rPr>
              <w:t xml:space="preserve"> (1/day)</w:t>
            </w:r>
          </w:p>
        </w:tc>
      </w:tr>
      <w:tr w:rsidR="006326F0"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eastAsia="SimSun" w:hAnsi="Arial Narrow" w:cs="Times New Roman"/>
                <w:bCs/>
                <w:snapToGrid/>
                <w:sz w:val="20"/>
                <w:lang w:eastAsia="zh-CN"/>
              </w:rPr>
              <w:t>Needles for insulin pen</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r w:rsidR="007430E3">
              <w:rPr>
                <w:rFonts w:ascii="Arial Narrow" w:hAnsi="Arial Narrow"/>
                <w:noProof/>
                <w:color w:val="000000"/>
                <w:sz w:val="20"/>
                <w:highlight w:val="black"/>
              </w:rPr>
              <w:t>''''''''''</w:t>
            </w:r>
            <w:r>
              <w:rPr>
                <w:rFonts w:ascii="Arial Narrow" w:hAnsi="Arial Narrow"/>
                <w:sz w:val="20"/>
              </w:rPr>
              <w:t xml:space="preserve"> (0/day)</w:t>
            </w:r>
          </w:p>
        </w:tc>
        <w:tc>
          <w:tcPr>
            <w:tcW w:w="1769"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$47.45 (1/day)</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$94.90 (2/day)</w:t>
            </w:r>
          </w:p>
        </w:tc>
      </w:tr>
      <w:tr w:rsidR="006326F0"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hAnsi="Arial Narrow"/>
                <w:sz w:val="20"/>
              </w:rPr>
              <w:t>Reduced use of antihypertensive medicines with dapagliflozin compared with insulin</w:t>
            </w:r>
          </w:p>
        </w:tc>
        <w:tc>
          <w:tcPr>
            <w:tcW w:w="1768" w:type="dxa"/>
            <w:vAlign w:val="center"/>
          </w:tcPr>
          <w:p w:rsidR="006326F0" w:rsidRPr="006326F0" w:rsidRDefault="006326F0" w:rsidP="004C5FCE">
            <w:pPr>
              <w:keepNext/>
              <w:widowControl/>
              <w:jc w:val="center"/>
              <w:rPr>
                <w:rFonts w:ascii="Arial Narrow" w:hAnsi="Arial Narrow"/>
                <w:sz w:val="20"/>
              </w:rPr>
            </w:pPr>
            <w:r>
              <w:rPr>
                <w:rFonts w:ascii="Arial Narrow" w:hAnsi="Arial Narrow"/>
                <w:sz w:val="20"/>
              </w:rPr>
              <w:t>-</w:t>
            </w:r>
          </w:p>
        </w:tc>
        <w:tc>
          <w:tcPr>
            <w:tcW w:w="1769" w:type="dxa"/>
            <w:vAlign w:val="center"/>
          </w:tcPr>
          <w:p w:rsidR="006326F0" w:rsidRPr="00D4165E" w:rsidRDefault="006326F0" w:rsidP="004C5FCE">
            <w:pPr>
              <w:keepNext/>
              <w:widowControl/>
              <w:jc w:val="center"/>
              <w:rPr>
                <w:rFonts w:ascii="Arial Narrow" w:hAnsi="Arial Narrow"/>
                <w:i/>
                <w:sz w:val="20"/>
              </w:rPr>
            </w:pPr>
            <w:r w:rsidRPr="00D4165E">
              <w:rPr>
                <w:rFonts w:ascii="Arial Narrow" w:hAnsi="Arial Narrow"/>
                <w:i/>
                <w:sz w:val="20"/>
              </w:rPr>
              <w:t>$</w:t>
            </w:r>
            <w:r w:rsidR="00D4165E" w:rsidRPr="00D4165E">
              <w:rPr>
                <w:rFonts w:ascii="Arial Narrow" w:hAnsi="Arial Narrow"/>
                <w:i/>
                <w:sz w:val="20"/>
              </w:rPr>
              <w:t>0</w:t>
            </w:r>
            <w:r w:rsidR="00E45713">
              <w:rPr>
                <w:rFonts w:ascii="Arial Narrow" w:hAnsi="Arial Narrow"/>
                <w:i/>
                <w:sz w:val="20"/>
              </w:rPr>
              <w:t>.00</w:t>
            </w:r>
          </w:p>
        </w:tc>
        <w:tc>
          <w:tcPr>
            <w:tcW w:w="1769" w:type="dxa"/>
            <w:vAlign w:val="center"/>
          </w:tcPr>
          <w:p w:rsidR="006326F0" w:rsidRPr="006326F0" w:rsidRDefault="0098564F" w:rsidP="004C5FCE">
            <w:pPr>
              <w:keepNext/>
              <w:widowControl/>
              <w:jc w:val="center"/>
              <w:rPr>
                <w:rFonts w:ascii="Arial Narrow" w:hAnsi="Arial Narrow"/>
                <w:sz w:val="20"/>
              </w:rPr>
            </w:pPr>
            <w:r>
              <w:rPr>
                <w:rFonts w:ascii="Arial Narrow" w:hAnsi="Arial Narrow"/>
                <w:sz w:val="20"/>
              </w:rPr>
              <w:t>-</w:t>
            </w:r>
          </w:p>
        </w:tc>
      </w:tr>
      <w:tr w:rsidR="0098564F" w:rsidRPr="006326F0" w:rsidTr="009620A7">
        <w:tc>
          <w:tcPr>
            <w:tcW w:w="8462" w:type="dxa"/>
            <w:gridSpan w:val="4"/>
          </w:tcPr>
          <w:p w:rsidR="0098564F" w:rsidRPr="0098564F" w:rsidRDefault="0098564F" w:rsidP="004C5FCE">
            <w:pPr>
              <w:keepNext/>
              <w:widowControl/>
              <w:jc w:val="left"/>
              <w:rPr>
                <w:rFonts w:ascii="Arial Narrow" w:hAnsi="Arial Narrow"/>
                <w:b/>
                <w:sz w:val="20"/>
              </w:rPr>
            </w:pPr>
            <w:r w:rsidRPr="0098564F">
              <w:rPr>
                <w:rFonts w:ascii="Arial Narrow" w:hAnsi="Arial Narrow"/>
                <w:b/>
                <w:sz w:val="20"/>
              </w:rPr>
              <w:t>Deri</w:t>
            </w:r>
            <w:r w:rsidR="00D90887">
              <w:rPr>
                <w:rFonts w:ascii="Arial Narrow" w:hAnsi="Arial Narrow"/>
                <w:b/>
                <w:sz w:val="20"/>
              </w:rPr>
              <w:t>ved price for dapagliflozin, 10</w:t>
            </w:r>
            <w:r w:rsidRPr="0098564F">
              <w:rPr>
                <w:rFonts w:ascii="Arial Narrow" w:hAnsi="Arial Narrow"/>
                <w:b/>
                <w:sz w:val="20"/>
              </w:rPr>
              <w:t>mg, 28</w:t>
            </w:r>
          </w:p>
        </w:tc>
      </w:tr>
      <w:tr w:rsidR="006326F0" w:rsidRPr="006326F0" w:rsidTr="009620A7">
        <w:tc>
          <w:tcPr>
            <w:tcW w:w="3156" w:type="dxa"/>
          </w:tcPr>
          <w:p w:rsidR="006326F0" w:rsidRPr="0098564F" w:rsidRDefault="006326F0" w:rsidP="004C5FCE">
            <w:pPr>
              <w:keepNext/>
              <w:widowControl/>
              <w:jc w:val="left"/>
              <w:rPr>
                <w:rFonts w:ascii="Arial Narrow" w:hAnsi="Arial Narrow"/>
                <w:sz w:val="20"/>
              </w:rPr>
            </w:pPr>
            <w:r w:rsidRPr="0098564F">
              <w:rPr>
                <w:rFonts w:ascii="Arial Narrow" w:hAnsi="Arial Narrow"/>
                <w:sz w:val="20"/>
              </w:rPr>
              <w:t>Total cost of treatment</w:t>
            </w:r>
          </w:p>
        </w:tc>
        <w:tc>
          <w:tcPr>
            <w:tcW w:w="1768" w:type="dxa"/>
            <w:vAlign w:val="center"/>
          </w:tcPr>
          <w:p w:rsidR="006326F0" w:rsidRPr="00B6071B" w:rsidRDefault="00983EB2" w:rsidP="004C5FCE">
            <w:pPr>
              <w:keepNext/>
              <w:widowControl/>
              <w:jc w:val="center"/>
              <w:rPr>
                <w:rFonts w:ascii="Arial Narrow" w:hAnsi="Arial Narrow"/>
                <w:i/>
                <w:sz w:val="20"/>
              </w:rPr>
            </w:pPr>
            <w:r w:rsidRPr="00B6071B">
              <w:rPr>
                <w:rFonts w:ascii="Arial Narrow" w:hAnsi="Arial Narrow"/>
                <w:i/>
                <w:sz w:val="20"/>
              </w:rPr>
              <w:t>$</w:t>
            </w:r>
            <w:r w:rsidR="007430E3">
              <w:rPr>
                <w:rFonts w:ascii="Arial Narrow" w:hAnsi="Arial Narrow"/>
                <w:i/>
                <w:noProof/>
                <w:color w:val="000000"/>
                <w:sz w:val="20"/>
                <w:highlight w:val="black"/>
              </w:rPr>
              <w:t>'''''''''''''''''</w:t>
            </w:r>
          </w:p>
        </w:tc>
        <w:tc>
          <w:tcPr>
            <w:tcW w:w="1769" w:type="dxa"/>
            <w:vAlign w:val="center"/>
          </w:tcPr>
          <w:p w:rsidR="006326F0" w:rsidRPr="00B6071B" w:rsidRDefault="00983EB2" w:rsidP="004C5FCE">
            <w:pPr>
              <w:keepNext/>
              <w:widowControl/>
              <w:jc w:val="center"/>
              <w:rPr>
                <w:rFonts w:ascii="Arial Narrow" w:hAnsi="Arial Narrow"/>
                <w:i/>
                <w:sz w:val="20"/>
                <w:highlight w:val="yellow"/>
              </w:rPr>
            </w:pPr>
            <w:r w:rsidRPr="00B6071B">
              <w:rPr>
                <w:rFonts w:ascii="Arial Narrow" w:hAnsi="Arial Narrow"/>
                <w:i/>
                <w:sz w:val="20"/>
              </w:rPr>
              <w:t>$</w:t>
            </w:r>
            <w:r w:rsidR="00B6071B" w:rsidRPr="00B6071B">
              <w:rPr>
                <w:rFonts w:ascii="Arial Narrow" w:hAnsi="Arial Narrow"/>
                <w:i/>
                <w:sz w:val="20"/>
              </w:rPr>
              <w:t>1,145.47</w:t>
            </w:r>
          </w:p>
        </w:tc>
        <w:tc>
          <w:tcPr>
            <w:tcW w:w="1769" w:type="dxa"/>
            <w:vAlign w:val="center"/>
          </w:tcPr>
          <w:p w:rsidR="006326F0" w:rsidRPr="00B6071B" w:rsidRDefault="00983EB2" w:rsidP="004C5FCE">
            <w:pPr>
              <w:keepNext/>
              <w:widowControl/>
              <w:jc w:val="center"/>
              <w:rPr>
                <w:rFonts w:ascii="Arial Narrow" w:hAnsi="Arial Narrow"/>
                <w:i/>
                <w:sz w:val="20"/>
                <w:highlight w:val="yellow"/>
              </w:rPr>
            </w:pPr>
            <w:r w:rsidRPr="00B6071B">
              <w:rPr>
                <w:rFonts w:ascii="Arial Narrow" w:hAnsi="Arial Narrow"/>
                <w:i/>
                <w:sz w:val="20"/>
              </w:rPr>
              <w:t>$1,</w:t>
            </w:r>
            <w:r w:rsidR="00B6071B" w:rsidRPr="00B6071B">
              <w:rPr>
                <w:rFonts w:ascii="Arial Narrow" w:hAnsi="Arial Narrow"/>
                <w:i/>
                <w:sz w:val="20"/>
              </w:rPr>
              <w:t>564.89</w:t>
            </w:r>
          </w:p>
        </w:tc>
      </w:tr>
      <w:tr w:rsidR="0098564F" w:rsidRPr="006326F0" w:rsidTr="009620A7">
        <w:tc>
          <w:tcPr>
            <w:tcW w:w="3156" w:type="dxa"/>
          </w:tcPr>
          <w:p w:rsidR="0098564F" w:rsidRPr="0098564F" w:rsidRDefault="0098564F" w:rsidP="004C5FCE">
            <w:pPr>
              <w:keepNext/>
              <w:widowControl/>
              <w:jc w:val="left"/>
              <w:rPr>
                <w:rFonts w:ascii="Arial Narrow" w:hAnsi="Arial Narrow"/>
                <w:sz w:val="20"/>
              </w:rPr>
            </w:pPr>
            <w:r w:rsidRPr="0098564F">
              <w:rPr>
                <w:rFonts w:ascii="Arial Narrow" w:hAnsi="Arial Narrow"/>
                <w:sz w:val="20"/>
              </w:rPr>
              <w:t>Incremental cost (compared with dapagliflozin)</w:t>
            </w:r>
          </w:p>
        </w:tc>
        <w:tc>
          <w:tcPr>
            <w:tcW w:w="1768" w:type="dxa"/>
            <w:vAlign w:val="center"/>
          </w:tcPr>
          <w:p w:rsidR="0098564F" w:rsidRPr="00A1612F" w:rsidRDefault="0098564F" w:rsidP="004C5FCE">
            <w:pPr>
              <w:keepNext/>
              <w:widowControl/>
              <w:jc w:val="center"/>
              <w:rPr>
                <w:rFonts w:ascii="Arial Narrow" w:hAnsi="Arial Narrow"/>
                <w:sz w:val="20"/>
              </w:rPr>
            </w:pPr>
            <w:r w:rsidRPr="00A1612F">
              <w:rPr>
                <w:rFonts w:ascii="Arial Narrow" w:hAnsi="Arial Narrow"/>
                <w:sz w:val="20"/>
              </w:rPr>
              <w:t>-</w:t>
            </w:r>
          </w:p>
        </w:tc>
        <w:tc>
          <w:tcPr>
            <w:tcW w:w="1769" w:type="dxa"/>
            <w:vAlign w:val="center"/>
          </w:tcPr>
          <w:p w:rsidR="0098564F" w:rsidRPr="00B6071B" w:rsidRDefault="00983EB2" w:rsidP="004C5FCE">
            <w:pPr>
              <w:keepNext/>
              <w:widowControl/>
              <w:jc w:val="center"/>
              <w:rPr>
                <w:rFonts w:ascii="Arial Narrow" w:hAnsi="Arial Narrow"/>
                <w:i/>
                <w:sz w:val="20"/>
                <w:highlight w:val="yellow"/>
              </w:rPr>
            </w:pPr>
            <w:r w:rsidRPr="00B6071B">
              <w:rPr>
                <w:rFonts w:ascii="Arial Narrow" w:hAnsi="Arial Narrow"/>
                <w:i/>
                <w:sz w:val="20"/>
              </w:rPr>
              <w:t>$</w:t>
            </w:r>
            <w:r w:rsidR="00B6071B" w:rsidRPr="00B6071B">
              <w:rPr>
                <w:rFonts w:ascii="Arial Narrow" w:hAnsi="Arial Narrow"/>
                <w:i/>
                <w:sz w:val="20"/>
              </w:rPr>
              <w:t>922.78</w:t>
            </w:r>
          </w:p>
        </w:tc>
        <w:tc>
          <w:tcPr>
            <w:tcW w:w="1769" w:type="dxa"/>
            <w:vAlign w:val="center"/>
          </w:tcPr>
          <w:p w:rsidR="0098564F" w:rsidRPr="00A1612F" w:rsidRDefault="0098564F" w:rsidP="004C5FCE">
            <w:pPr>
              <w:keepNext/>
              <w:widowControl/>
              <w:jc w:val="center"/>
              <w:rPr>
                <w:rFonts w:ascii="Arial Narrow" w:hAnsi="Arial Narrow"/>
                <w:sz w:val="20"/>
                <w:highlight w:val="yellow"/>
              </w:rPr>
            </w:pPr>
            <w:r w:rsidRPr="00A1612F">
              <w:rPr>
                <w:rFonts w:ascii="Arial Narrow" w:hAnsi="Arial Narrow"/>
                <w:sz w:val="20"/>
              </w:rPr>
              <w:t>$1342.19</w:t>
            </w:r>
          </w:p>
        </w:tc>
      </w:tr>
      <w:tr w:rsidR="006326F0" w:rsidRPr="006326F0" w:rsidTr="009620A7">
        <w:tc>
          <w:tcPr>
            <w:tcW w:w="3156" w:type="dxa"/>
          </w:tcPr>
          <w:p w:rsidR="006326F0" w:rsidRPr="006326F0" w:rsidRDefault="006326F0" w:rsidP="004C5FCE">
            <w:pPr>
              <w:keepNext/>
              <w:widowControl/>
              <w:jc w:val="left"/>
              <w:rPr>
                <w:rFonts w:ascii="Arial Narrow" w:hAnsi="Arial Narrow"/>
                <w:sz w:val="20"/>
              </w:rPr>
            </w:pPr>
            <w:r>
              <w:rPr>
                <w:rFonts w:ascii="Arial Narrow" w:hAnsi="Arial Narrow"/>
                <w:sz w:val="20"/>
              </w:rPr>
              <w:t>Derived price for dapagliflozin (DPMQ)</w:t>
            </w:r>
          </w:p>
        </w:tc>
        <w:tc>
          <w:tcPr>
            <w:tcW w:w="1768" w:type="dxa"/>
            <w:vAlign w:val="center"/>
          </w:tcPr>
          <w:p w:rsidR="006326F0" w:rsidRPr="00A1612F" w:rsidRDefault="0098564F" w:rsidP="004C5FCE">
            <w:pPr>
              <w:keepNext/>
              <w:widowControl/>
              <w:jc w:val="center"/>
              <w:rPr>
                <w:rFonts w:ascii="Arial Narrow" w:hAnsi="Arial Narrow"/>
                <w:sz w:val="20"/>
              </w:rPr>
            </w:pPr>
            <w:r w:rsidRPr="00A1612F">
              <w:rPr>
                <w:rFonts w:ascii="Arial Narrow" w:hAnsi="Arial Narrow"/>
                <w:sz w:val="20"/>
              </w:rPr>
              <w:t>-</w:t>
            </w:r>
          </w:p>
        </w:tc>
        <w:tc>
          <w:tcPr>
            <w:tcW w:w="1769" w:type="dxa"/>
            <w:vAlign w:val="center"/>
          </w:tcPr>
          <w:p w:rsidR="006326F0" w:rsidRPr="00B6071B" w:rsidRDefault="006326F0" w:rsidP="004C5FCE">
            <w:pPr>
              <w:keepNext/>
              <w:widowControl/>
              <w:jc w:val="center"/>
              <w:rPr>
                <w:rFonts w:ascii="Arial Narrow" w:hAnsi="Arial Narrow"/>
                <w:i/>
                <w:sz w:val="20"/>
              </w:rPr>
            </w:pPr>
            <w:r w:rsidRPr="00B6071B">
              <w:rPr>
                <w:rFonts w:ascii="Arial Narrow" w:hAnsi="Arial Narrow"/>
                <w:i/>
                <w:sz w:val="20"/>
              </w:rPr>
              <w:t>$</w:t>
            </w:r>
            <w:r w:rsidR="00B6071B" w:rsidRPr="00B6071B">
              <w:rPr>
                <w:rFonts w:ascii="Arial Narrow" w:hAnsi="Arial Narrow"/>
                <w:i/>
                <w:sz w:val="20"/>
              </w:rPr>
              <w:t>70.74</w:t>
            </w:r>
          </w:p>
        </w:tc>
        <w:tc>
          <w:tcPr>
            <w:tcW w:w="1769" w:type="dxa"/>
            <w:vAlign w:val="center"/>
          </w:tcPr>
          <w:p w:rsidR="006326F0" w:rsidRPr="00A1612F" w:rsidRDefault="0098564F" w:rsidP="004C5FCE">
            <w:pPr>
              <w:keepNext/>
              <w:widowControl/>
              <w:jc w:val="center"/>
              <w:rPr>
                <w:rFonts w:ascii="Arial Narrow" w:hAnsi="Arial Narrow"/>
                <w:sz w:val="20"/>
              </w:rPr>
            </w:pPr>
            <w:r w:rsidRPr="00A1612F">
              <w:rPr>
                <w:rFonts w:ascii="Arial Narrow" w:hAnsi="Arial Narrow"/>
                <w:sz w:val="20"/>
              </w:rPr>
              <w:t>$102.89</w:t>
            </w:r>
          </w:p>
        </w:tc>
      </w:tr>
      <w:tr w:rsidR="006326F0" w:rsidRPr="006326F0" w:rsidTr="009620A7">
        <w:tc>
          <w:tcPr>
            <w:tcW w:w="3156" w:type="dxa"/>
          </w:tcPr>
          <w:p w:rsidR="006326F0" w:rsidRPr="0098564F" w:rsidRDefault="006326F0" w:rsidP="004C5FCE">
            <w:pPr>
              <w:keepNext/>
              <w:widowControl/>
              <w:jc w:val="left"/>
              <w:rPr>
                <w:rFonts w:ascii="Arial Narrow" w:hAnsi="Arial Narrow"/>
                <w:b/>
                <w:sz w:val="20"/>
              </w:rPr>
            </w:pPr>
            <w:r w:rsidRPr="0098564F">
              <w:rPr>
                <w:rFonts w:ascii="Arial Narrow" w:hAnsi="Arial Narrow"/>
                <w:b/>
                <w:sz w:val="20"/>
              </w:rPr>
              <w:t>Weight</w:t>
            </w:r>
            <w:r w:rsidR="0098564F" w:rsidRPr="0098564F">
              <w:rPr>
                <w:rFonts w:ascii="Arial Narrow" w:hAnsi="Arial Narrow"/>
                <w:b/>
                <w:sz w:val="20"/>
              </w:rPr>
              <w:t xml:space="preserve">ed price </w:t>
            </w:r>
            <w:r w:rsidR="002E34F4">
              <w:rPr>
                <w:rFonts w:ascii="Arial Narrow" w:hAnsi="Arial Narrow"/>
                <w:b/>
                <w:sz w:val="20"/>
              </w:rPr>
              <w:t xml:space="preserve">(and weightings) </w:t>
            </w:r>
            <w:r w:rsidR="0098564F" w:rsidRPr="0098564F">
              <w:rPr>
                <w:rFonts w:ascii="Arial Narrow" w:hAnsi="Arial Narrow"/>
                <w:b/>
                <w:sz w:val="20"/>
              </w:rPr>
              <w:t>for dapagliflozin (DPMQ)</w:t>
            </w:r>
          </w:p>
        </w:tc>
        <w:tc>
          <w:tcPr>
            <w:tcW w:w="1768" w:type="dxa"/>
            <w:vAlign w:val="center"/>
          </w:tcPr>
          <w:p w:rsidR="006326F0" w:rsidRPr="006326F0" w:rsidRDefault="00B6071B" w:rsidP="004C5FCE">
            <w:pPr>
              <w:keepNext/>
              <w:widowControl/>
              <w:jc w:val="center"/>
              <w:rPr>
                <w:rFonts w:ascii="Arial Narrow" w:hAnsi="Arial Narrow"/>
                <w:sz w:val="20"/>
              </w:rPr>
            </w:pPr>
            <w:r w:rsidRPr="00B6071B">
              <w:rPr>
                <w:rFonts w:ascii="Arial Narrow" w:hAnsi="Arial Narrow"/>
                <w:i/>
                <w:sz w:val="20"/>
              </w:rPr>
              <w:t>$</w:t>
            </w:r>
            <w:r w:rsidR="007430E3">
              <w:rPr>
                <w:rFonts w:ascii="Arial Narrow" w:hAnsi="Arial Narrow"/>
                <w:i/>
                <w:noProof/>
                <w:color w:val="000000"/>
                <w:sz w:val="20"/>
                <w:highlight w:val="black"/>
              </w:rPr>
              <w:t>''''''''''''</w:t>
            </w:r>
          </w:p>
        </w:tc>
        <w:tc>
          <w:tcPr>
            <w:tcW w:w="1769" w:type="dxa"/>
            <w:vAlign w:val="center"/>
          </w:tcPr>
          <w:p w:rsidR="006326F0" w:rsidRPr="006326F0" w:rsidRDefault="002E34F4" w:rsidP="004C5FCE">
            <w:pPr>
              <w:keepNext/>
              <w:widowControl/>
              <w:jc w:val="center"/>
              <w:rPr>
                <w:rFonts w:ascii="Arial Narrow" w:hAnsi="Arial Narrow"/>
                <w:sz w:val="20"/>
              </w:rPr>
            </w:pPr>
            <w:r>
              <w:rPr>
                <w:rFonts w:ascii="Arial Narrow" w:hAnsi="Arial Narrow"/>
                <w:sz w:val="20"/>
              </w:rPr>
              <w:t>(75.8%)</w:t>
            </w:r>
          </w:p>
        </w:tc>
        <w:tc>
          <w:tcPr>
            <w:tcW w:w="1769" w:type="dxa"/>
            <w:vAlign w:val="center"/>
          </w:tcPr>
          <w:p w:rsidR="006326F0" w:rsidRPr="006326F0" w:rsidRDefault="002E34F4" w:rsidP="004C5FCE">
            <w:pPr>
              <w:keepNext/>
              <w:widowControl/>
              <w:jc w:val="center"/>
              <w:rPr>
                <w:rFonts w:ascii="Arial Narrow" w:hAnsi="Arial Narrow"/>
                <w:sz w:val="20"/>
              </w:rPr>
            </w:pPr>
            <w:r>
              <w:rPr>
                <w:rFonts w:ascii="Arial Narrow" w:hAnsi="Arial Narrow"/>
                <w:sz w:val="20"/>
              </w:rPr>
              <w:t>(24.2%)</w:t>
            </w:r>
          </w:p>
        </w:tc>
      </w:tr>
    </w:tbl>
    <w:p w:rsidR="00A1612F" w:rsidRDefault="00A1612F" w:rsidP="004C5FCE">
      <w:pPr>
        <w:pStyle w:val="TableFooter"/>
        <w:widowControl/>
        <w:ind w:firstLine="720"/>
        <w:rPr>
          <w:szCs w:val="18"/>
        </w:rPr>
      </w:pPr>
      <w:r w:rsidRPr="0087284A">
        <w:rPr>
          <w:szCs w:val="18"/>
        </w:rPr>
        <w:t>Source: compiled during the evaluation</w:t>
      </w:r>
    </w:p>
    <w:p w:rsidR="00D4165E" w:rsidRPr="00D4165E" w:rsidRDefault="00D4165E" w:rsidP="004C5FCE">
      <w:pPr>
        <w:pStyle w:val="TableFooter"/>
        <w:widowControl/>
        <w:ind w:firstLine="720"/>
        <w:rPr>
          <w:i/>
          <w:szCs w:val="18"/>
        </w:rPr>
      </w:pPr>
      <w:r w:rsidRPr="00D4165E">
        <w:rPr>
          <w:i/>
          <w:szCs w:val="18"/>
        </w:rPr>
        <w:t xml:space="preserve">Figures in </w:t>
      </w:r>
      <w:r w:rsidR="004C3BC2">
        <w:rPr>
          <w:i/>
          <w:szCs w:val="18"/>
        </w:rPr>
        <w:t>italics are changes to the cost-</w:t>
      </w:r>
      <w:r w:rsidRPr="00D4165E">
        <w:rPr>
          <w:i/>
          <w:szCs w:val="18"/>
        </w:rPr>
        <w:t>analysis</w:t>
      </w:r>
      <w:r w:rsidR="00E45713">
        <w:rPr>
          <w:i/>
          <w:szCs w:val="18"/>
        </w:rPr>
        <w:t xml:space="preserve"> agreed to</w:t>
      </w:r>
      <w:r w:rsidRPr="00D4165E">
        <w:rPr>
          <w:i/>
          <w:szCs w:val="18"/>
        </w:rPr>
        <w:t xml:space="preserve"> in the PSCR.</w:t>
      </w:r>
    </w:p>
    <w:p w:rsidR="002221B8" w:rsidRPr="002221B8" w:rsidRDefault="002221B8" w:rsidP="004C5FCE">
      <w:pPr>
        <w:pStyle w:val="TableFooter"/>
        <w:widowControl/>
        <w:ind w:firstLine="720"/>
        <w:rPr>
          <w:sz w:val="22"/>
          <w:szCs w:val="22"/>
        </w:rPr>
      </w:pPr>
    </w:p>
    <w:p w:rsidR="00D41E06" w:rsidRPr="00E71973" w:rsidRDefault="004C3BC2" w:rsidP="004C5FCE">
      <w:pPr>
        <w:pStyle w:val="ListParagraph"/>
        <w:widowControl/>
        <w:numPr>
          <w:ilvl w:val="1"/>
          <w:numId w:val="1"/>
        </w:numPr>
        <w:rPr>
          <w:szCs w:val="22"/>
        </w:rPr>
      </w:pPr>
      <w:r>
        <w:rPr>
          <w:szCs w:val="22"/>
        </w:rPr>
        <w:t>The cost-</w:t>
      </w:r>
      <w:r w:rsidR="00330528">
        <w:rPr>
          <w:szCs w:val="22"/>
        </w:rPr>
        <w:t>analysis did not include any i</w:t>
      </w:r>
      <w:r w:rsidR="00D41E06">
        <w:rPr>
          <w:szCs w:val="22"/>
        </w:rPr>
        <w:t>ncremental cost</w:t>
      </w:r>
      <w:r w:rsidR="00330528">
        <w:rPr>
          <w:szCs w:val="22"/>
        </w:rPr>
        <w:t xml:space="preserve"> for</w:t>
      </w:r>
      <w:r w:rsidR="00D41E06">
        <w:rPr>
          <w:szCs w:val="22"/>
        </w:rPr>
        <w:t xml:space="preserve"> </w:t>
      </w:r>
      <w:r w:rsidR="00945F36">
        <w:rPr>
          <w:szCs w:val="22"/>
        </w:rPr>
        <w:t xml:space="preserve">monitoring and </w:t>
      </w:r>
      <w:r w:rsidR="00D41E06">
        <w:rPr>
          <w:szCs w:val="22"/>
        </w:rPr>
        <w:t xml:space="preserve">managing genital and urinary tract infections </w:t>
      </w:r>
      <w:r w:rsidR="00945F36">
        <w:rPr>
          <w:szCs w:val="22"/>
        </w:rPr>
        <w:t xml:space="preserve">(UTIs) </w:t>
      </w:r>
      <w:r w:rsidR="00D41E06">
        <w:rPr>
          <w:szCs w:val="22"/>
        </w:rPr>
        <w:t xml:space="preserve">due to treatment with dapagliflozin. </w:t>
      </w:r>
      <w:r w:rsidR="009620A7" w:rsidRPr="00E71973">
        <w:rPr>
          <w:szCs w:val="22"/>
        </w:rPr>
        <w:t xml:space="preserve">These </w:t>
      </w:r>
      <w:r w:rsidR="009620A7" w:rsidRPr="00E71973">
        <w:rPr>
          <w:szCs w:val="22"/>
        </w:rPr>
        <w:lastRenderedPageBreak/>
        <w:t>costs were included for the listing of dapagliflozin use in dual therapy with MET or SU; and t</w:t>
      </w:r>
      <w:r w:rsidR="00D41E06" w:rsidRPr="00E71973">
        <w:rPr>
          <w:szCs w:val="22"/>
        </w:rPr>
        <w:t xml:space="preserve">he PBAC recently considered that these additional costs should be considered for dapagliflozin </w:t>
      </w:r>
      <w:r w:rsidR="000252B0" w:rsidRPr="00E71973">
        <w:rPr>
          <w:szCs w:val="22"/>
        </w:rPr>
        <w:t xml:space="preserve">in combination with insulin </w:t>
      </w:r>
      <w:r w:rsidR="0097012A">
        <w:rPr>
          <w:szCs w:val="22"/>
        </w:rPr>
        <w:t>versus up</w:t>
      </w:r>
      <w:r w:rsidR="0097012A">
        <w:rPr>
          <w:szCs w:val="22"/>
        </w:rPr>
        <w:noBreakHyphen/>
      </w:r>
      <w:r w:rsidR="00D41E06" w:rsidRPr="00E71973">
        <w:rPr>
          <w:szCs w:val="22"/>
        </w:rPr>
        <w:t>titrated insulin (November 2014 PBAC Minutes, dapagliflozin).</w:t>
      </w:r>
    </w:p>
    <w:p w:rsidR="00330528" w:rsidRPr="00E71973" w:rsidRDefault="00330528" w:rsidP="004C5FCE">
      <w:pPr>
        <w:pStyle w:val="ListParagraph"/>
        <w:widowControl/>
        <w:rPr>
          <w:szCs w:val="22"/>
        </w:rPr>
      </w:pPr>
    </w:p>
    <w:p w:rsidR="00330528" w:rsidRPr="00E71973" w:rsidRDefault="00C520E4" w:rsidP="004C5FCE">
      <w:pPr>
        <w:pStyle w:val="ListParagraph"/>
        <w:widowControl/>
        <w:numPr>
          <w:ilvl w:val="1"/>
          <w:numId w:val="1"/>
        </w:numPr>
        <w:rPr>
          <w:szCs w:val="22"/>
        </w:rPr>
      </w:pPr>
      <w:r>
        <w:rPr>
          <w:szCs w:val="22"/>
        </w:rPr>
        <w:t>The evaluation considered that f</w:t>
      </w:r>
      <w:r w:rsidR="00330528" w:rsidRPr="00E71973">
        <w:rPr>
          <w:szCs w:val="22"/>
        </w:rPr>
        <w:t>or the comparison with insulin</w:t>
      </w:r>
      <w:r w:rsidR="009620A7" w:rsidRPr="00E71973">
        <w:rPr>
          <w:szCs w:val="22"/>
        </w:rPr>
        <w:t xml:space="preserve"> glargine</w:t>
      </w:r>
      <w:r w:rsidR="00330528" w:rsidRPr="00E71973">
        <w:rPr>
          <w:szCs w:val="22"/>
        </w:rPr>
        <w:t>, the claimed cost</w:t>
      </w:r>
      <w:r w:rsidR="004C3BC2">
        <w:rPr>
          <w:szCs w:val="22"/>
        </w:rPr>
        <w:t>-</w:t>
      </w:r>
      <w:r w:rsidR="00330528" w:rsidRPr="00E71973">
        <w:rPr>
          <w:szCs w:val="22"/>
        </w:rPr>
        <w:t xml:space="preserve">offsets </w:t>
      </w:r>
      <w:r w:rsidR="009620A7" w:rsidRPr="00E71973">
        <w:rPr>
          <w:szCs w:val="22"/>
        </w:rPr>
        <w:t>are likely overestimates</w:t>
      </w:r>
      <w:r w:rsidR="00330528" w:rsidRPr="00E71973">
        <w:rPr>
          <w:szCs w:val="22"/>
        </w:rPr>
        <w:t>:</w:t>
      </w:r>
    </w:p>
    <w:p w:rsidR="00330528" w:rsidRPr="0097012A" w:rsidRDefault="00330528" w:rsidP="004C5FCE">
      <w:pPr>
        <w:pStyle w:val="COMBody"/>
        <w:widowControl/>
        <w:numPr>
          <w:ilvl w:val="0"/>
          <w:numId w:val="7"/>
        </w:numPr>
        <w:ind w:left="993" w:hanging="284"/>
      </w:pPr>
      <w:r w:rsidRPr="0097012A">
        <w:t xml:space="preserve">The assumption that </w:t>
      </w:r>
      <w:r w:rsidR="00CA2934" w:rsidRPr="0097012A">
        <w:t xml:space="preserve">treatment with </w:t>
      </w:r>
      <w:r w:rsidRPr="0097012A">
        <w:t>insulin requires</w:t>
      </w:r>
      <w:r w:rsidR="00CA2934" w:rsidRPr="0097012A">
        <w:t xml:space="preserve"> referral to an endocrinologist, and five additional diabetes educator visits </w:t>
      </w:r>
      <w:r w:rsidR="009C449A">
        <w:t xml:space="preserve">per year </w:t>
      </w:r>
      <w:r w:rsidRPr="0097012A">
        <w:t>was inadequately justified</w:t>
      </w:r>
      <w:r w:rsidR="003378E4" w:rsidRPr="0097012A">
        <w:t>.</w:t>
      </w:r>
    </w:p>
    <w:p w:rsidR="00CA2934" w:rsidRPr="00C520E4" w:rsidRDefault="00CA2934" w:rsidP="004C5FCE">
      <w:pPr>
        <w:pStyle w:val="COMBody"/>
        <w:widowControl/>
        <w:numPr>
          <w:ilvl w:val="0"/>
          <w:numId w:val="7"/>
        </w:numPr>
        <w:ind w:left="993" w:hanging="284"/>
      </w:pPr>
      <w:r w:rsidRPr="00E71973">
        <w:t xml:space="preserve">The assumed 50% reduction in antihypertensive medicine doses was based on </w:t>
      </w:r>
      <w:r w:rsidR="003B5E57" w:rsidRPr="00E71973">
        <w:t>blood pressure</w:t>
      </w:r>
      <w:r w:rsidRPr="00E71973">
        <w:t xml:space="preserve"> reductions observed in the indirect comparison</w:t>
      </w:r>
      <w:r w:rsidR="000F53D6" w:rsidRPr="00E71973">
        <w:t xml:space="preserve"> and </w:t>
      </w:r>
      <w:r w:rsidR="003B5E57" w:rsidRPr="00E71973">
        <w:t>a meta</w:t>
      </w:r>
      <w:r w:rsidR="003B5E57" w:rsidRPr="00E71973">
        <w:noBreakHyphen/>
      </w:r>
      <w:r w:rsidRPr="00E71973">
        <w:t>analysis of</w:t>
      </w:r>
      <w:r w:rsidR="000F53D6" w:rsidRPr="00E71973">
        <w:t xml:space="preserve"> the effect of</w:t>
      </w:r>
      <w:r w:rsidRPr="00E71973">
        <w:t xml:space="preserve"> </w:t>
      </w:r>
      <w:r w:rsidR="000F53D6" w:rsidRPr="00E71973">
        <w:t xml:space="preserve">using lower dose </w:t>
      </w:r>
      <w:r w:rsidRPr="00E71973">
        <w:t xml:space="preserve">combination antihypertensive regimens that does not support the proposed dose reductions. </w:t>
      </w:r>
      <w:r w:rsidRPr="0097012A">
        <w:t xml:space="preserve">The </w:t>
      </w:r>
      <w:r w:rsidR="000F53D6" w:rsidRPr="0097012A">
        <w:t>same methodology was used in the November 2014 submission for dapagliflozin with insulin</w:t>
      </w:r>
      <w:r w:rsidR="009A3716" w:rsidRPr="0097012A">
        <w:t>. However, following the ESC advice, the sponsor agreed to the removal of this offset</w:t>
      </w:r>
      <w:r w:rsidR="000F53D6" w:rsidRPr="0097012A">
        <w:t xml:space="preserve"> </w:t>
      </w:r>
      <w:r w:rsidRPr="0097012A">
        <w:t>(November 2014 PBAC Minutes, dapagliflozin).</w:t>
      </w:r>
      <w:r w:rsidR="003378E4" w:rsidRPr="0097012A">
        <w:t xml:space="preserve"> </w:t>
      </w:r>
      <w:r w:rsidR="003378E4" w:rsidRPr="00C520E4">
        <w:t>The PSCR (p4) accepted the removal of this cost-offset from the pricing derivation.</w:t>
      </w:r>
    </w:p>
    <w:p w:rsidR="009F7686" w:rsidRPr="0097012A" w:rsidRDefault="008A7ED3" w:rsidP="004C5FCE">
      <w:pPr>
        <w:pStyle w:val="COMBody"/>
        <w:widowControl/>
        <w:numPr>
          <w:ilvl w:val="0"/>
          <w:numId w:val="7"/>
        </w:numPr>
        <w:ind w:left="993" w:hanging="284"/>
      </w:pPr>
      <w:r w:rsidRPr="0097012A">
        <w:t xml:space="preserve">The unit price for glucose test strips was based on the PBS listed price (of $53.50 per 100 strips), however, around 90% of patients obtain glucose testing strips through the National Diabetes Services Scheme (NDSS) (http://www.pbs.gov.au/info/reviews/diabetes-stage-one-report, Table 1). According to the NDSS, the price of </w:t>
      </w:r>
      <w:r w:rsidR="003B5E57" w:rsidRPr="0097012A">
        <w:t xml:space="preserve">a </w:t>
      </w:r>
      <w:r w:rsidRPr="0097012A">
        <w:t>100 pack of strips is $39.29 (including patient co</w:t>
      </w:r>
      <w:r w:rsidRPr="0097012A">
        <w:noBreakHyphen/>
        <w:t xml:space="preserve">payment). </w:t>
      </w:r>
      <w:r w:rsidR="003378E4" w:rsidRPr="00573E76">
        <w:t>The PSCR (p4) agreed to weight the costs of test strips between PBS and NDSS use.</w:t>
      </w:r>
    </w:p>
    <w:p w:rsidR="009F7686" w:rsidRPr="00FF2593" w:rsidRDefault="009F7686" w:rsidP="004C5FCE">
      <w:pPr>
        <w:widowControl/>
        <w:rPr>
          <w:i/>
          <w:szCs w:val="22"/>
        </w:rPr>
      </w:pPr>
    </w:p>
    <w:p w:rsidR="00330528" w:rsidRPr="00BC1D5F" w:rsidRDefault="007E7BA8" w:rsidP="004C5FCE">
      <w:pPr>
        <w:pStyle w:val="ListParagraph"/>
        <w:widowControl/>
        <w:numPr>
          <w:ilvl w:val="1"/>
          <w:numId w:val="1"/>
        </w:numPr>
        <w:rPr>
          <w:szCs w:val="22"/>
        </w:rPr>
      </w:pPr>
      <w:r w:rsidRPr="00E71973">
        <w:rPr>
          <w:szCs w:val="22"/>
        </w:rPr>
        <w:t xml:space="preserve">For the comparison with exenatide, the </w:t>
      </w:r>
      <w:r w:rsidR="00C520E4">
        <w:rPr>
          <w:szCs w:val="22"/>
        </w:rPr>
        <w:t xml:space="preserve">evaluation considered the </w:t>
      </w:r>
      <w:r w:rsidRPr="00E71973">
        <w:rPr>
          <w:szCs w:val="22"/>
        </w:rPr>
        <w:t xml:space="preserve">requested price of dapagliflozin </w:t>
      </w:r>
      <w:r w:rsidR="00407EB4" w:rsidRPr="00E71973">
        <w:rPr>
          <w:szCs w:val="22"/>
        </w:rPr>
        <w:t>may be</w:t>
      </w:r>
      <w:r w:rsidRPr="00E71973">
        <w:rPr>
          <w:szCs w:val="22"/>
        </w:rPr>
        <w:t xml:space="preserve"> inadequately justified because</w:t>
      </w:r>
      <w:r w:rsidR="00407EB4" w:rsidRPr="00E71973">
        <w:rPr>
          <w:szCs w:val="22"/>
        </w:rPr>
        <w:t xml:space="preserve"> non-inferiority ha</w:t>
      </w:r>
      <w:r w:rsidR="000252B0" w:rsidRPr="00E71973">
        <w:rPr>
          <w:szCs w:val="22"/>
        </w:rPr>
        <w:t>d</w:t>
      </w:r>
      <w:r w:rsidR="00407EB4" w:rsidRPr="00E71973">
        <w:rPr>
          <w:szCs w:val="22"/>
        </w:rPr>
        <w:t xml:space="preserve"> not been adequately demonstrated. The evaluation considered that it may be more </w:t>
      </w:r>
      <w:r w:rsidR="004C3BC2">
        <w:rPr>
          <w:szCs w:val="22"/>
        </w:rPr>
        <w:t>appropriate to conduct the cost-</w:t>
      </w:r>
      <w:r w:rsidR="00407EB4" w:rsidRPr="00E71973">
        <w:rPr>
          <w:szCs w:val="22"/>
        </w:rPr>
        <w:t xml:space="preserve">analysis against insulin glargine only. </w:t>
      </w:r>
      <w:r w:rsidR="001C571B" w:rsidRPr="00BC1D5F">
        <w:rPr>
          <w:szCs w:val="22"/>
        </w:rPr>
        <w:t xml:space="preserve">The ESC considered this reasonable. </w:t>
      </w:r>
    </w:p>
    <w:p w:rsidR="008728E6" w:rsidRPr="00BC1D5F" w:rsidRDefault="008728E6" w:rsidP="005473B3">
      <w:pPr>
        <w:pStyle w:val="ListParagraph"/>
        <w:widowControl/>
        <w:rPr>
          <w:szCs w:val="22"/>
        </w:rPr>
      </w:pPr>
    </w:p>
    <w:p w:rsidR="008728E6" w:rsidRPr="005473B3" w:rsidRDefault="008728E6" w:rsidP="005473B3">
      <w:pPr>
        <w:pStyle w:val="ListParagraph"/>
        <w:widowControl/>
        <w:numPr>
          <w:ilvl w:val="1"/>
          <w:numId w:val="1"/>
        </w:numPr>
        <w:rPr>
          <w:szCs w:val="22"/>
        </w:rPr>
      </w:pPr>
      <w:r w:rsidRPr="00573E76">
        <w:rPr>
          <w:szCs w:val="22"/>
        </w:rPr>
        <w:t xml:space="preserve">As </w:t>
      </w:r>
      <w:r w:rsidRPr="005473B3">
        <w:rPr>
          <w:szCs w:val="22"/>
        </w:rPr>
        <w:t>the ESC did not agree with the non-inferiority claim to exenatide, the ESC did not provide advice to the PBAC on cost</w:t>
      </w:r>
      <w:r w:rsidR="004C3BC2" w:rsidRPr="005473B3">
        <w:rPr>
          <w:szCs w:val="22"/>
        </w:rPr>
        <w:t>-</w:t>
      </w:r>
      <w:r w:rsidRPr="005473B3">
        <w:rPr>
          <w:szCs w:val="22"/>
        </w:rPr>
        <w:t>offsets for dapagliflozin versus exenatide.</w:t>
      </w:r>
      <w:r w:rsidR="00435BF9" w:rsidRPr="005473B3">
        <w:rPr>
          <w:szCs w:val="22"/>
        </w:rPr>
        <w:t xml:space="preserve"> </w:t>
      </w:r>
    </w:p>
    <w:p w:rsidR="005473B3" w:rsidRDefault="005473B3" w:rsidP="005473B3">
      <w:pPr>
        <w:pStyle w:val="ListParagraph"/>
        <w:widowControl/>
        <w:rPr>
          <w:szCs w:val="22"/>
        </w:rPr>
      </w:pPr>
    </w:p>
    <w:p w:rsidR="008728E6" w:rsidRDefault="008728E6" w:rsidP="004C5FCE">
      <w:pPr>
        <w:pStyle w:val="ListParagraph"/>
        <w:widowControl/>
        <w:numPr>
          <w:ilvl w:val="1"/>
          <w:numId w:val="1"/>
        </w:numPr>
        <w:rPr>
          <w:szCs w:val="22"/>
        </w:rPr>
      </w:pPr>
      <w:r w:rsidRPr="005473B3">
        <w:rPr>
          <w:szCs w:val="22"/>
        </w:rPr>
        <w:t xml:space="preserve">The ESC noted that the submission based its non-insulin offset calculations on the initial year of treatment and then assumed that the same non-insulin offsets achieved in the first year of therapy will be reproduced in every year of therapy. This </w:t>
      </w:r>
      <w:r w:rsidR="0006535D" w:rsidRPr="005473B3">
        <w:rPr>
          <w:szCs w:val="22"/>
        </w:rPr>
        <w:t xml:space="preserve">was </w:t>
      </w:r>
      <w:r w:rsidR="00C73E0E" w:rsidRPr="005473B3">
        <w:rPr>
          <w:szCs w:val="22"/>
        </w:rPr>
        <w:t xml:space="preserve">not considered to be </w:t>
      </w:r>
      <w:r w:rsidRPr="005473B3">
        <w:rPr>
          <w:szCs w:val="22"/>
        </w:rPr>
        <w:t>an appropriate assumption for the costs that are</w:t>
      </w:r>
      <w:r w:rsidRPr="00BC1D5F">
        <w:rPr>
          <w:szCs w:val="22"/>
        </w:rPr>
        <w:t xml:space="preserve"> avoided on initiation of treatment, and may also not be an appropriate assumption for some of the offsets that are avoided in the stabilization phase of treatment. The established method of dealing with this issue is to pro rata “one-off” costs over a period of treatment, usually </w:t>
      </w:r>
      <w:r w:rsidR="00303E0C" w:rsidRPr="00BC1D5F">
        <w:rPr>
          <w:szCs w:val="22"/>
        </w:rPr>
        <w:t xml:space="preserve">a number of </w:t>
      </w:r>
      <w:r w:rsidRPr="00BC1D5F">
        <w:rPr>
          <w:szCs w:val="22"/>
        </w:rPr>
        <w:t>years for chronic therapies.</w:t>
      </w:r>
      <w:r w:rsidR="00143390">
        <w:rPr>
          <w:szCs w:val="22"/>
        </w:rPr>
        <w:t xml:space="preserve"> </w:t>
      </w:r>
    </w:p>
    <w:p w:rsidR="00143390" w:rsidRPr="00D53FBD" w:rsidRDefault="00143390" w:rsidP="00D53FBD">
      <w:pPr>
        <w:pStyle w:val="ListParagraph"/>
        <w:rPr>
          <w:szCs w:val="22"/>
        </w:rPr>
      </w:pPr>
    </w:p>
    <w:p w:rsidR="005C77FA" w:rsidRPr="005C77FA" w:rsidRDefault="005C77FA" w:rsidP="005C77FA">
      <w:pPr>
        <w:pStyle w:val="ListParagraph"/>
        <w:widowControl/>
        <w:rPr>
          <w:i/>
          <w:szCs w:val="22"/>
        </w:rPr>
      </w:pPr>
      <w:r w:rsidRPr="00573E76">
        <w:rPr>
          <w:i/>
          <w:szCs w:val="22"/>
        </w:rPr>
        <w:t>For more detail on PBAC’s view, see section 7 “PBAC outcome”</w:t>
      </w:r>
    </w:p>
    <w:p w:rsidR="00D41E06" w:rsidRPr="00E71973" w:rsidRDefault="00D41E06" w:rsidP="004C5FCE">
      <w:pPr>
        <w:widowControl/>
        <w:rPr>
          <w:szCs w:val="22"/>
        </w:rPr>
      </w:pPr>
    </w:p>
    <w:p w:rsidR="00D41E06" w:rsidRPr="002C2775" w:rsidRDefault="00D41E06" w:rsidP="004C5FCE">
      <w:pPr>
        <w:pStyle w:val="Heading2"/>
        <w:keepNext/>
        <w:widowControl/>
        <w:rPr>
          <w:i/>
          <w:szCs w:val="22"/>
        </w:rPr>
      </w:pPr>
      <w:bookmarkStart w:id="13" w:name="_Toc409614782"/>
      <w:r w:rsidRPr="002C2775">
        <w:rPr>
          <w:i/>
        </w:rPr>
        <w:t>Dru</w:t>
      </w:r>
      <w:r>
        <w:rPr>
          <w:i/>
        </w:rPr>
        <w:t>g cost/patient/year: $</w:t>
      </w:r>
      <w:r w:rsidR="007430E3">
        <w:rPr>
          <w:i/>
          <w:noProof/>
          <w:color w:val="000000"/>
          <w:highlight w:val="black"/>
        </w:rPr>
        <w:t>''''''''''''</w:t>
      </w:r>
      <w:r w:rsidRPr="002C2775">
        <w:rPr>
          <w:i/>
        </w:rPr>
        <w:t>.</w:t>
      </w:r>
      <w:bookmarkEnd w:id="13"/>
    </w:p>
    <w:p w:rsidR="00D41E06" w:rsidRPr="00C25D9C" w:rsidRDefault="00D41E06" w:rsidP="004C5FCE">
      <w:pPr>
        <w:keepNext/>
        <w:widowControl/>
        <w:rPr>
          <w:szCs w:val="22"/>
        </w:rPr>
      </w:pPr>
    </w:p>
    <w:p w:rsidR="004C3BC2" w:rsidRDefault="00D41E06" w:rsidP="004C5FCE">
      <w:pPr>
        <w:pStyle w:val="ListParagraph"/>
        <w:widowControl/>
        <w:numPr>
          <w:ilvl w:val="1"/>
          <w:numId w:val="1"/>
        </w:numPr>
        <w:rPr>
          <w:szCs w:val="22"/>
        </w:rPr>
      </w:pPr>
      <w:r w:rsidRPr="004E6EE0">
        <w:rPr>
          <w:szCs w:val="22"/>
        </w:rPr>
        <w:t>At the requested DPMQ of $</w:t>
      </w:r>
      <w:r w:rsidR="007430E3">
        <w:rPr>
          <w:noProof/>
          <w:color w:val="000000"/>
          <w:szCs w:val="22"/>
          <w:highlight w:val="black"/>
        </w:rPr>
        <w:t>''''''''''''</w:t>
      </w:r>
      <w:r w:rsidRPr="004E6EE0">
        <w:rPr>
          <w:szCs w:val="22"/>
        </w:rPr>
        <w:t xml:space="preserve"> for a 28 tablet pack of dapagliflozin, the drug cost per patient per year for dapagliflozin is $</w:t>
      </w:r>
      <w:r w:rsidR="007430E3">
        <w:rPr>
          <w:noProof/>
          <w:color w:val="000000"/>
          <w:szCs w:val="22"/>
          <w:highlight w:val="black"/>
        </w:rPr>
        <w:t>'''''''''''''''</w:t>
      </w:r>
      <w:r w:rsidRPr="004E6EE0">
        <w:rPr>
          <w:szCs w:val="22"/>
        </w:rPr>
        <w:t xml:space="preserve"> (assuming 13.04 packs per year).</w:t>
      </w:r>
      <w:r w:rsidR="00ED28D0" w:rsidRPr="004E6EE0">
        <w:rPr>
          <w:szCs w:val="22"/>
        </w:rPr>
        <w:t xml:space="preserve"> </w:t>
      </w:r>
    </w:p>
    <w:p w:rsidR="004C3BC2" w:rsidRDefault="004C3BC2" w:rsidP="004C5FCE">
      <w:pPr>
        <w:pStyle w:val="ListParagraph"/>
        <w:widowControl/>
        <w:rPr>
          <w:szCs w:val="22"/>
        </w:rPr>
      </w:pPr>
    </w:p>
    <w:p w:rsidR="00A6225F" w:rsidRPr="00AD5885" w:rsidRDefault="00ED28D0" w:rsidP="004C5FCE">
      <w:pPr>
        <w:pStyle w:val="ListParagraph"/>
        <w:widowControl/>
        <w:numPr>
          <w:ilvl w:val="1"/>
          <w:numId w:val="1"/>
        </w:numPr>
        <w:rPr>
          <w:szCs w:val="22"/>
        </w:rPr>
      </w:pPr>
      <w:r w:rsidRPr="00AD5885">
        <w:rPr>
          <w:szCs w:val="22"/>
        </w:rPr>
        <w:lastRenderedPageBreak/>
        <w:t xml:space="preserve">The </w:t>
      </w:r>
      <w:r w:rsidR="00F958DF" w:rsidRPr="00AD5885">
        <w:rPr>
          <w:szCs w:val="22"/>
        </w:rPr>
        <w:t xml:space="preserve">PSCR stated that </w:t>
      </w:r>
      <w:r w:rsidR="009F6524" w:rsidRPr="00AD5885">
        <w:rPr>
          <w:szCs w:val="22"/>
        </w:rPr>
        <w:t xml:space="preserve">if dapagliflozin is listed for use in combination with MET+SU, it is “expected to have three PBS indications (dual therapy, triple therapy and add-on to insulin) </w:t>
      </w:r>
      <w:r w:rsidR="007430E3">
        <w:rPr>
          <w:noProof/>
          <w:color w:val="000000"/>
          <w:szCs w:val="22"/>
          <w:highlight w:val="black"/>
        </w:rPr>
        <w:t>''''' ''''''' '''''''''''''''''' ''''''''''' '''''''''''''''''''''''''''''''''''''''''' '''''''''''' ''''' '''''''''''''''''' '''''''''''''''''' ''''' ''''''''''''''''''''</w:t>
      </w:r>
      <w:r w:rsidR="009F6524" w:rsidRPr="00AD5885">
        <w:rPr>
          <w:szCs w:val="22"/>
        </w:rPr>
        <w:t xml:space="preserve"> </w:t>
      </w:r>
    </w:p>
    <w:p w:rsidR="004C3BC2" w:rsidRPr="004C3BC2" w:rsidRDefault="004C3BC2" w:rsidP="004C5FCE">
      <w:pPr>
        <w:pStyle w:val="ListParagraph"/>
        <w:widowControl/>
        <w:rPr>
          <w:szCs w:val="22"/>
        </w:rPr>
      </w:pPr>
    </w:p>
    <w:p w:rsidR="00D41E06" w:rsidRPr="00AD5885" w:rsidRDefault="00A6225F" w:rsidP="004C5FCE">
      <w:pPr>
        <w:pStyle w:val="ListParagraph"/>
        <w:widowControl/>
        <w:numPr>
          <w:ilvl w:val="1"/>
          <w:numId w:val="1"/>
        </w:numPr>
        <w:rPr>
          <w:szCs w:val="22"/>
        </w:rPr>
      </w:pPr>
      <w:r w:rsidRPr="00AD5885">
        <w:rPr>
          <w:szCs w:val="22"/>
        </w:rPr>
        <w:t xml:space="preserve">The ESC noted that it was not intuitive to have differential pricing between the dual therapy and triple therapy indications because if a patient’s HbA1c is not adequately controlled on metformin plus dapagliflozin and a sulfonylurea is added,  then the Commonwealth price for the dapagliflozin would increase from the dual therapy price to the triple therapy price. </w:t>
      </w:r>
    </w:p>
    <w:p w:rsidR="00F958DF" w:rsidRPr="00F958DF" w:rsidRDefault="00F958DF" w:rsidP="004C5FCE">
      <w:pPr>
        <w:pStyle w:val="ListParagraph"/>
        <w:widowControl/>
        <w:rPr>
          <w:szCs w:val="22"/>
        </w:rPr>
      </w:pPr>
      <w:bookmarkStart w:id="14" w:name="_Toc409614783"/>
    </w:p>
    <w:p w:rsidR="00D41E06" w:rsidRPr="002C2775" w:rsidRDefault="00D41E06" w:rsidP="004C5FCE">
      <w:pPr>
        <w:pStyle w:val="Heading2"/>
        <w:widowControl/>
        <w:rPr>
          <w:i/>
        </w:rPr>
      </w:pPr>
      <w:r w:rsidRPr="002C2775">
        <w:rPr>
          <w:i/>
        </w:rPr>
        <w:t>Estimated PBS usage &amp; financial implications</w:t>
      </w:r>
      <w:bookmarkEnd w:id="14"/>
    </w:p>
    <w:p w:rsidR="00D41E06" w:rsidRPr="00882085" w:rsidRDefault="00D41E06" w:rsidP="004C5FCE">
      <w:pPr>
        <w:widowControl/>
        <w:ind w:left="720" w:hanging="720"/>
        <w:rPr>
          <w:b/>
          <w:i/>
          <w:szCs w:val="22"/>
        </w:rPr>
      </w:pPr>
    </w:p>
    <w:p w:rsidR="00D41E06" w:rsidRDefault="00D41E06" w:rsidP="004C5FCE">
      <w:pPr>
        <w:pStyle w:val="ListParagraph"/>
        <w:widowControl/>
        <w:numPr>
          <w:ilvl w:val="1"/>
          <w:numId w:val="1"/>
        </w:numPr>
        <w:rPr>
          <w:szCs w:val="22"/>
        </w:rPr>
      </w:pPr>
      <w:r w:rsidRPr="00BC2B77">
        <w:rPr>
          <w:szCs w:val="22"/>
        </w:rPr>
        <w:t xml:space="preserve">This submission </w:t>
      </w:r>
      <w:r w:rsidR="00E71973">
        <w:rPr>
          <w:szCs w:val="22"/>
        </w:rPr>
        <w:t>was not</w:t>
      </w:r>
      <w:r w:rsidRPr="00BC2B77">
        <w:rPr>
          <w:szCs w:val="22"/>
        </w:rPr>
        <w:t xml:space="preserve"> considered by DUSC. The submission present</w:t>
      </w:r>
      <w:r w:rsidR="007F1E52">
        <w:rPr>
          <w:szCs w:val="22"/>
        </w:rPr>
        <w:t>ed</w:t>
      </w:r>
      <w:r w:rsidRPr="00BC2B77">
        <w:rPr>
          <w:szCs w:val="22"/>
        </w:rPr>
        <w:t xml:space="preserve"> a market share approach, with estimates of use based on the assumption that current</w:t>
      </w:r>
      <w:r>
        <w:rPr>
          <w:szCs w:val="22"/>
        </w:rPr>
        <w:t xml:space="preserve"> trends </w:t>
      </w:r>
      <w:r w:rsidR="005C77FA">
        <w:rPr>
          <w:szCs w:val="22"/>
        </w:rPr>
        <w:t>of</w:t>
      </w:r>
      <w:r>
        <w:rPr>
          <w:szCs w:val="22"/>
        </w:rPr>
        <w:t xml:space="preserve"> use of</w:t>
      </w:r>
      <w:r w:rsidRPr="00BC2B77">
        <w:rPr>
          <w:szCs w:val="22"/>
        </w:rPr>
        <w:t xml:space="preserve"> triple therapy agents will continue in line with current trends.</w:t>
      </w:r>
      <w:r>
        <w:rPr>
          <w:szCs w:val="22"/>
        </w:rPr>
        <w:t xml:space="preserve"> </w:t>
      </w:r>
      <w:r w:rsidRPr="00DE0E13">
        <w:rPr>
          <w:szCs w:val="22"/>
        </w:rPr>
        <w:t>The submission distinguishe</w:t>
      </w:r>
      <w:r w:rsidR="00CB03C9">
        <w:rPr>
          <w:szCs w:val="22"/>
        </w:rPr>
        <w:t>d</w:t>
      </w:r>
      <w:r w:rsidRPr="00DE0E13">
        <w:rPr>
          <w:szCs w:val="22"/>
        </w:rPr>
        <w:t xml:space="preserve"> between not expecting the listing of dapagliflozin to grow the total triple therapy market versus the listing growing the “reimbursed market”. </w:t>
      </w:r>
      <w:r w:rsidRPr="00E71973">
        <w:rPr>
          <w:szCs w:val="22"/>
        </w:rPr>
        <w:t>For the purposes of estimating the net cost to the PBS, however, the requested listing of dapagliflozin is expected to increase the current triple therapy market.</w:t>
      </w:r>
    </w:p>
    <w:p w:rsidR="006B7753" w:rsidRDefault="006B7753" w:rsidP="004C5FCE">
      <w:pPr>
        <w:pStyle w:val="ListParagraph"/>
        <w:widowControl/>
        <w:rPr>
          <w:szCs w:val="22"/>
        </w:rPr>
      </w:pPr>
    </w:p>
    <w:p w:rsidR="006B7753" w:rsidRPr="00BC1D5F" w:rsidRDefault="00FA2B6F" w:rsidP="004C5FCE">
      <w:pPr>
        <w:pStyle w:val="ListParagraph"/>
        <w:widowControl/>
        <w:numPr>
          <w:ilvl w:val="1"/>
          <w:numId w:val="1"/>
        </w:numPr>
        <w:rPr>
          <w:szCs w:val="22"/>
        </w:rPr>
      </w:pPr>
      <w:r w:rsidRPr="00BC1D5F">
        <w:rPr>
          <w:szCs w:val="22"/>
        </w:rPr>
        <w:t>The ESC noted that the PSCR accepted the removal of the use of anti</w:t>
      </w:r>
      <w:r w:rsidR="0097012A" w:rsidRPr="00BC1D5F">
        <w:rPr>
          <w:szCs w:val="22"/>
        </w:rPr>
        <w:noBreakHyphen/>
      </w:r>
      <w:r w:rsidRPr="00BC1D5F">
        <w:rPr>
          <w:szCs w:val="22"/>
        </w:rPr>
        <w:t>hypertensives from the cost</w:t>
      </w:r>
      <w:r w:rsidR="004C3BC2" w:rsidRPr="00BC1D5F">
        <w:rPr>
          <w:szCs w:val="22"/>
        </w:rPr>
        <w:t>-</w:t>
      </w:r>
      <w:r w:rsidRPr="00BC1D5F">
        <w:rPr>
          <w:szCs w:val="22"/>
        </w:rPr>
        <w:t>offset analysis and agreed to a weighted cost of blood glucose test strips. The ESC noted that these changes will slightly alter the estimated financial implications</w:t>
      </w:r>
      <w:r w:rsidR="007920A6" w:rsidRPr="00BC1D5F">
        <w:rPr>
          <w:szCs w:val="22"/>
        </w:rPr>
        <w:t>.</w:t>
      </w:r>
    </w:p>
    <w:p w:rsidR="00D41E06" w:rsidRPr="00E71973" w:rsidRDefault="00D41E06" w:rsidP="004C5FCE">
      <w:pPr>
        <w:keepNext/>
        <w:widowControl/>
        <w:ind w:firstLine="709"/>
        <w:rPr>
          <w:rStyle w:val="CommentReference"/>
        </w:rPr>
      </w:pPr>
    </w:p>
    <w:p w:rsidR="00D41E06" w:rsidRDefault="00D41E06" w:rsidP="004C5FCE">
      <w:pPr>
        <w:keepNext/>
        <w:widowControl/>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D41E06" w:rsidRPr="004E2ADC" w:rsidTr="00D41E06">
        <w:trPr>
          <w:tblHeader/>
        </w:trPr>
        <w:tc>
          <w:tcPr>
            <w:tcW w:w="1359" w:type="pct"/>
            <w:shd w:val="clear" w:color="auto" w:fill="auto"/>
            <w:vAlign w:val="center"/>
          </w:tcPr>
          <w:p w:rsidR="00D41E06" w:rsidRPr="004E2ADC" w:rsidRDefault="00D41E06" w:rsidP="004C5FCE">
            <w:pPr>
              <w:keepNext/>
              <w:widowControl/>
              <w:tabs>
                <w:tab w:val="left" w:pos="142"/>
              </w:tabs>
              <w:jc w:val="left"/>
              <w:rPr>
                <w:rFonts w:ascii="Arial Narrow" w:hAnsi="Arial Narrow"/>
                <w:b/>
                <w:sz w:val="20"/>
              </w:rPr>
            </w:pPr>
          </w:p>
        </w:tc>
        <w:tc>
          <w:tcPr>
            <w:tcW w:w="679" w:type="pct"/>
            <w:shd w:val="clear" w:color="auto" w:fill="auto"/>
            <w:vAlign w:val="center"/>
          </w:tcPr>
          <w:p w:rsidR="00D41E06" w:rsidRPr="004E2ADC" w:rsidRDefault="00D41E06" w:rsidP="004C5FCE">
            <w:pPr>
              <w:keepNext/>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D41E06" w:rsidRPr="004E2ADC" w:rsidRDefault="00D41E06" w:rsidP="004C5FCE">
            <w:pPr>
              <w:keepNext/>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D41E06" w:rsidRPr="004E2ADC" w:rsidRDefault="00D41E06" w:rsidP="004C5FCE">
            <w:pPr>
              <w:keepNext/>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D41E06" w:rsidRPr="004E2ADC" w:rsidRDefault="00D41E06" w:rsidP="004C5FCE">
            <w:pPr>
              <w:keepNext/>
              <w:widowControl/>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D41E06" w:rsidRPr="004E2ADC" w:rsidRDefault="00D41E06" w:rsidP="004C5FCE">
            <w:pPr>
              <w:keepNext/>
              <w:widowControl/>
              <w:jc w:val="center"/>
              <w:rPr>
                <w:rFonts w:ascii="Arial Narrow" w:hAnsi="Arial Narrow"/>
                <w:b/>
                <w:sz w:val="20"/>
              </w:rPr>
            </w:pPr>
            <w:r w:rsidRPr="004E2ADC">
              <w:rPr>
                <w:rFonts w:ascii="Arial Narrow" w:hAnsi="Arial Narrow"/>
                <w:b/>
                <w:sz w:val="20"/>
              </w:rPr>
              <w:t>Year 5</w:t>
            </w:r>
          </w:p>
        </w:tc>
      </w:tr>
      <w:tr w:rsidR="00D41E06" w:rsidRPr="004E2ADC" w:rsidTr="00D41E06">
        <w:tc>
          <w:tcPr>
            <w:tcW w:w="5000" w:type="pct"/>
            <w:gridSpan w:val="6"/>
            <w:shd w:val="clear" w:color="auto" w:fill="auto"/>
            <w:vAlign w:val="center"/>
          </w:tcPr>
          <w:p w:rsidR="00D41E06" w:rsidRPr="004E2ADC" w:rsidRDefault="00D41E06" w:rsidP="004C5FCE">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D41E06" w:rsidRPr="004E2ADC" w:rsidTr="00D41E06">
        <w:tc>
          <w:tcPr>
            <w:tcW w:w="1359" w:type="pct"/>
            <w:shd w:val="clear" w:color="auto" w:fill="auto"/>
            <w:vAlign w:val="center"/>
          </w:tcPr>
          <w:p w:rsidR="00D41E06" w:rsidRPr="004E2ADC" w:rsidRDefault="00D41E06" w:rsidP="004C5FCE">
            <w:pPr>
              <w:keepNext/>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41E06" w:rsidRPr="004E2ADC" w:rsidTr="00D41E06">
        <w:tc>
          <w:tcPr>
            <w:tcW w:w="1359" w:type="pct"/>
            <w:shd w:val="clear" w:color="auto" w:fill="auto"/>
            <w:vAlign w:val="center"/>
          </w:tcPr>
          <w:p w:rsidR="00D41E06" w:rsidRPr="004E2ADC" w:rsidRDefault="00D41E06" w:rsidP="004C5FCE">
            <w:pPr>
              <w:keepNext/>
              <w:widowControl/>
              <w:tabs>
                <w:tab w:val="left" w:pos="142"/>
              </w:tabs>
              <w:jc w:val="left"/>
              <w:rPr>
                <w:rFonts w:ascii="Arial Narrow" w:hAnsi="Arial Narrow"/>
                <w:sz w:val="20"/>
              </w:rPr>
            </w:pPr>
            <w:r w:rsidRPr="00621F7F">
              <w:rPr>
                <w:rFonts w:ascii="Arial Narrow" w:hAnsi="Arial Narrow"/>
                <w:sz w:val="20"/>
              </w:rPr>
              <w:t>Market share</w:t>
            </w:r>
          </w:p>
        </w:tc>
        <w:tc>
          <w:tcPr>
            <w:tcW w:w="679"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41E06" w:rsidRPr="004E2ADC" w:rsidTr="00D41E06">
        <w:tc>
          <w:tcPr>
            <w:tcW w:w="1359" w:type="pct"/>
            <w:shd w:val="clear" w:color="auto" w:fill="auto"/>
            <w:vAlign w:val="center"/>
          </w:tcPr>
          <w:p w:rsidR="00D41E06" w:rsidRPr="004E2ADC" w:rsidRDefault="002721A1" w:rsidP="004C5FCE">
            <w:pPr>
              <w:keepNext/>
              <w:widowControl/>
              <w:tabs>
                <w:tab w:val="left" w:pos="142"/>
              </w:tabs>
              <w:jc w:val="left"/>
              <w:rPr>
                <w:rFonts w:ascii="Arial Narrow" w:hAnsi="Arial Narrow"/>
                <w:sz w:val="20"/>
              </w:rPr>
            </w:pPr>
            <w:r>
              <w:rPr>
                <w:rFonts w:ascii="Arial Narrow" w:hAnsi="Arial Narrow"/>
                <w:sz w:val="20"/>
              </w:rPr>
              <w:t>Packs</w:t>
            </w:r>
            <w:r w:rsidR="00D41E06" w:rsidRPr="004E2ADC">
              <w:rPr>
                <w:rFonts w:ascii="Arial Narrow" w:hAnsi="Arial Narrow"/>
                <w:sz w:val="20"/>
                <w:vertAlign w:val="superscript"/>
              </w:rPr>
              <w:t>a</w:t>
            </w:r>
          </w:p>
        </w:tc>
        <w:tc>
          <w:tcPr>
            <w:tcW w:w="679"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D41E06" w:rsidRPr="007430E3" w:rsidRDefault="007430E3" w:rsidP="004C5FC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D41E06" w:rsidRPr="004E2ADC" w:rsidTr="00D41E06">
        <w:tc>
          <w:tcPr>
            <w:tcW w:w="5000" w:type="pct"/>
            <w:gridSpan w:val="6"/>
            <w:shd w:val="clear" w:color="auto" w:fill="auto"/>
            <w:vAlign w:val="center"/>
          </w:tcPr>
          <w:p w:rsidR="00D41E06" w:rsidRPr="004E2ADC" w:rsidRDefault="00D41E06" w:rsidP="004C5FCE">
            <w:pPr>
              <w:keepNext/>
              <w:widowControl/>
              <w:jc w:val="left"/>
              <w:rPr>
                <w:rFonts w:ascii="Arial Narrow" w:hAnsi="Arial Narrow"/>
                <w:b/>
                <w:bCs/>
                <w:color w:val="000000"/>
                <w:sz w:val="20"/>
              </w:rPr>
            </w:pPr>
            <w:r w:rsidRPr="004E2ADC">
              <w:rPr>
                <w:rFonts w:ascii="Arial Narrow" w:hAnsi="Arial Narrow"/>
                <w:b/>
                <w:bCs/>
                <w:color w:val="000000"/>
                <w:sz w:val="20"/>
              </w:rPr>
              <w:t>Estimated net cost to PBS/RPBS</w:t>
            </w:r>
            <w:r>
              <w:rPr>
                <w:rFonts w:ascii="Arial Narrow" w:hAnsi="Arial Narrow"/>
                <w:b/>
                <w:bCs/>
                <w:color w:val="000000"/>
                <w:sz w:val="20"/>
              </w:rPr>
              <w:t>/government</w:t>
            </w:r>
          </w:p>
        </w:tc>
      </w:tr>
      <w:tr w:rsidR="00D41E06" w:rsidRPr="004E2ADC" w:rsidTr="00D41E06">
        <w:tc>
          <w:tcPr>
            <w:tcW w:w="1359" w:type="pct"/>
            <w:shd w:val="clear" w:color="auto" w:fill="auto"/>
            <w:vAlign w:val="center"/>
          </w:tcPr>
          <w:p w:rsidR="00D41E06" w:rsidRPr="004E2ADC" w:rsidRDefault="00D41E06" w:rsidP="004C5FCE">
            <w:pPr>
              <w:keepNext/>
              <w:widowControl/>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893CE1">
              <w:rPr>
                <w:rFonts w:ascii="Arial Narrow" w:hAnsi="Arial Narrow"/>
                <w:color w:val="000000"/>
                <w:sz w:val="20"/>
              </w:rPr>
              <w:t>$</w:t>
            </w:r>
            <w:r w:rsidR="007430E3">
              <w:rPr>
                <w:rFonts w:ascii="Arial Narrow" w:hAnsi="Arial Narrow"/>
                <w:noProof/>
                <w:color w:val="000000"/>
                <w:sz w:val="20"/>
                <w:highlight w:val="black"/>
              </w:rPr>
              <w:t>''''''''''''''''''''''''</w:t>
            </w:r>
          </w:p>
        </w:tc>
        <w:tc>
          <w:tcPr>
            <w:tcW w:w="679"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893CE1">
              <w:rPr>
                <w:rFonts w:ascii="Arial Narrow" w:hAnsi="Arial Narrow"/>
                <w:color w:val="000000"/>
                <w:sz w:val="20"/>
              </w:rPr>
              <w:t>$</w:t>
            </w:r>
            <w:r w:rsidR="007430E3">
              <w:rPr>
                <w:rFonts w:ascii="Arial Narrow" w:hAnsi="Arial Narrow"/>
                <w:noProof/>
                <w:color w:val="000000"/>
                <w:sz w:val="20"/>
                <w:highlight w:val="black"/>
              </w:rPr>
              <w:t>'''''''''''''''''''''''</w:t>
            </w:r>
          </w:p>
        </w:tc>
        <w:tc>
          <w:tcPr>
            <w:tcW w:w="764"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893CE1">
              <w:rPr>
                <w:rFonts w:ascii="Arial Narrow" w:hAnsi="Arial Narrow"/>
                <w:color w:val="000000"/>
                <w:sz w:val="20"/>
              </w:rPr>
              <w:t>$</w:t>
            </w:r>
            <w:r w:rsidR="007430E3">
              <w:rPr>
                <w:rFonts w:ascii="Arial Narrow" w:hAnsi="Arial Narrow"/>
                <w:noProof/>
                <w:color w:val="000000"/>
                <w:sz w:val="20"/>
                <w:highlight w:val="black"/>
              </w:rPr>
              <w:t>''''''''''''''''''''''''</w:t>
            </w:r>
          </w:p>
        </w:tc>
        <w:tc>
          <w:tcPr>
            <w:tcW w:w="764"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893CE1">
              <w:rPr>
                <w:rFonts w:ascii="Arial Narrow" w:hAnsi="Arial Narrow"/>
                <w:color w:val="000000"/>
                <w:sz w:val="20"/>
              </w:rPr>
              <w:t>$</w:t>
            </w:r>
            <w:r w:rsidR="007430E3">
              <w:rPr>
                <w:rFonts w:ascii="Arial Narrow" w:hAnsi="Arial Narrow"/>
                <w:noProof/>
                <w:color w:val="000000"/>
                <w:sz w:val="20"/>
                <w:highlight w:val="black"/>
              </w:rPr>
              <w:t>''''''''''''''''''''''''</w:t>
            </w:r>
          </w:p>
        </w:tc>
        <w:tc>
          <w:tcPr>
            <w:tcW w:w="755"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893CE1">
              <w:rPr>
                <w:rFonts w:ascii="Arial Narrow" w:hAnsi="Arial Narrow"/>
                <w:color w:val="000000"/>
                <w:sz w:val="20"/>
              </w:rPr>
              <w:t>$</w:t>
            </w:r>
            <w:r w:rsidR="007430E3">
              <w:rPr>
                <w:rFonts w:ascii="Arial Narrow" w:hAnsi="Arial Narrow"/>
                <w:noProof/>
                <w:color w:val="000000"/>
                <w:sz w:val="20"/>
                <w:highlight w:val="black"/>
              </w:rPr>
              <w:t>'''''''''''''''''''''''''''''</w:t>
            </w:r>
          </w:p>
        </w:tc>
      </w:tr>
      <w:tr w:rsidR="00D41E06" w:rsidRPr="004E2ADC" w:rsidTr="00D41E06">
        <w:tc>
          <w:tcPr>
            <w:tcW w:w="1359" w:type="pct"/>
            <w:shd w:val="clear" w:color="auto" w:fill="auto"/>
            <w:vAlign w:val="center"/>
          </w:tcPr>
          <w:p w:rsidR="00D41E06" w:rsidRPr="004E2ADC" w:rsidRDefault="00D41E06" w:rsidP="004C5FCE">
            <w:pPr>
              <w:keepNext/>
              <w:widowControl/>
              <w:tabs>
                <w:tab w:val="left" w:pos="142"/>
              </w:tabs>
              <w:jc w:val="left"/>
              <w:rPr>
                <w:rFonts w:ascii="Arial Narrow" w:hAnsi="Arial Narrow"/>
                <w:sz w:val="20"/>
              </w:rPr>
            </w:pPr>
            <w:r w:rsidRPr="00AB14E3">
              <w:rPr>
                <w:rFonts w:ascii="Arial Narrow" w:hAnsi="Arial Narrow"/>
                <w:sz w:val="20"/>
              </w:rPr>
              <w:t xml:space="preserve">Net non-drug </w:t>
            </w:r>
            <w:r>
              <w:rPr>
                <w:rFonts w:ascii="Arial Narrow" w:hAnsi="Arial Narrow"/>
                <w:sz w:val="20"/>
              </w:rPr>
              <w:t xml:space="preserve">and antihypertensive medicine </w:t>
            </w:r>
            <w:r w:rsidRPr="00AB14E3">
              <w:rPr>
                <w:rFonts w:ascii="Arial Narrow" w:hAnsi="Arial Narrow"/>
                <w:sz w:val="20"/>
              </w:rPr>
              <w:t>cost</w:t>
            </w:r>
            <w:r>
              <w:rPr>
                <w:rFonts w:ascii="Arial Narrow" w:hAnsi="Arial Narrow"/>
                <w:sz w:val="19"/>
                <w:szCs w:val="19"/>
                <w:vertAlign w:val="superscript"/>
              </w:rPr>
              <w:t>b</w:t>
            </w:r>
          </w:p>
        </w:tc>
        <w:tc>
          <w:tcPr>
            <w:tcW w:w="679" w:type="pct"/>
            <w:shd w:val="clear" w:color="auto" w:fill="auto"/>
            <w:vAlign w:val="center"/>
          </w:tcPr>
          <w:p w:rsidR="00D41E06" w:rsidRPr="0072244B" w:rsidRDefault="007430E3" w:rsidP="004C5FCE">
            <w:pPr>
              <w:keepNext/>
              <w:widowControl/>
              <w:jc w:val="center"/>
              <w:rPr>
                <w:rFonts w:ascii="Arial Narrow" w:hAnsi="Arial Narrow"/>
                <w:bCs/>
                <w:color w:val="000000"/>
                <w:sz w:val="20"/>
                <w:highlight w:val="yellow"/>
              </w:rPr>
            </w:pPr>
            <w:r>
              <w:rPr>
                <w:rFonts w:ascii="Arial Narrow" w:hAnsi="Arial Narrow"/>
                <w:noProof/>
                <w:color w:val="000000"/>
                <w:sz w:val="20"/>
                <w:highlight w:val="black"/>
              </w:rPr>
              <w:t>''</w:t>
            </w:r>
            <w:r w:rsidR="00D41E06" w:rsidRPr="00AB14E3">
              <w:rPr>
                <w:rFonts w:ascii="Arial Narrow" w:hAnsi="Arial Narrow"/>
                <w:color w:val="000000"/>
                <w:sz w:val="20"/>
              </w:rPr>
              <w:t>$</w:t>
            </w:r>
            <w:r>
              <w:rPr>
                <w:rFonts w:ascii="Arial Narrow" w:hAnsi="Arial Narrow"/>
                <w:noProof/>
                <w:color w:val="000000"/>
                <w:sz w:val="20"/>
                <w:highlight w:val="black"/>
              </w:rPr>
              <w:t>''''''''''''''''''''''</w:t>
            </w:r>
          </w:p>
        </w:tc>
        <w:tc>
          <w:tcPr>
            <w:tcW w:w="679" w:type="pct"/>
            <w:shd w:val="clear" w:color="auto" w:fill="auto"/>
            <w:vAlign w:val="center"/>
          </w:tcPr>
          <w:p w:rsidR="00D41E06" w:rsidRPr="0072244B" w:rsidRDefault="007430E3" w:rsidP="004C5FCE">
            <w:pPr>
              <w:keepNext/>
              <w:widowControl/>
              <w:jc w:val="center"/>
              <w:rPr>
                <w:rFonts w:ascii="Arial Narrow" w:hAnsi="Arial Narrow"/>
                <w:bCs/>
                <w:color w:val="000000"/>
                <w:sz w:val="20"/>
                <w:highlight w:val="yellow"/>
              </w:rPr>
            </w:pPr>
            <w:r>
              <w:rPr>
                <w:rFonts w:ascii="Arial Narrow" w:hAnsi="Arial Narrow"/>
                <w:noProof/>
                <w:color w:val="000000"/>
                <w:sz w:val="20"/>
                <w:highlight w:val="black"/>
              </w:rPr>
              <w:t>'''</w:t>
            </w:r>
            <w:r w:rsidR="00D41E06" w:rsidRPr="00AB14E3">
              <w:rPr>
                <w:rFonts w:ascii="Arial Narrow" w:hAnsi="Arial Narrow"/>
                <w:color w:val="000000"/>
                <w:sz w:val="20"/>
              </w:rPr>
              <w:t>$</w:t>
            </w:r>
            <w:r>
              <w:rPr>
                <w:rFonts w:ascii="Arial Narrow" w:hAnsi="Arial Narrow"/>
                <w:noProof/>
                <w:color w:val="000000"/>
                <w:sz w:val="20"/>
                <w:highlight w:val="black"/>
              </w:rPr>
              <w:t>'''''''''''''''''''''''</w:t>
            </w:r>
          </w:p>
        </w:tc>
        <w:tc>
          <w:tcPr>
            <w:tcW w:w="764" w:type="pct"/>
            <w:shd w:val="clear" w:color="auto" w:fill="auto"/>
            <w:vAlign w:val="center"/>
          </w:tcPr>
          <w:p w:rsidR="00D41E06" w:rsidRPr="0072244B" w:rsidRDefault="007430E3" w:rsidP="004C5FCE">
            <w:pPr>
              <w:keepNext/>
              <w:widowControl/>
              <w:jc w:val="center"/>
              <w:rPr>
                <w:rFonts w:ascii="Arial Narrow" w:hAnsi="Arial Narrow"/>
                <w:bCs/>
                <w:color w:val="000000"/>
                <w:sz w:val="20"/>
                <w:highlight w:val="yellow"/>
              </w:rPr>
            </w:pPr>
            <w:r>
              <w:rPr>
                <w:rFonts w:ascii="Arial Narrow" w:hAnsi="Arial Narrow"/>
                <w:noProof/>
                <w:color w:val="000000"/>
                <w:sz w:val="20"/>
                <w:highlight w:val="black"/>
              </w:rPr>
              <w:t>''</w:t>
            </w:r>
            <w:r w:rsidR="00D41E06" w:rsidRPr="00AB14E3">
              <w:rPr>
                <w:rFonts w:ascii="Arial Narrow" w:hAnsi="Arial Narrow"/>
                <w:color w:val="000000"/>
                <w:sz w:val="20"/>
              </w:rPr>
              <w:t>$</w:t>
            </w:r>
            <w:r>
              <w:rPr>
                <w:rFonts w:ascii="Arial Narrow" w:hAnsi="Arial Narrow"/>
                <w:noProof/>
                <w:color w:val="000000"/>
                <w:sz w:val="20"/>
                <w:highlight w:val="black"/>
              </w:rPr>
              <w:t>''''''''''''''''''''''''</w:t>
            </w:r>
          </w:p>
        </w:tc>
        <w:tc>
          <w:tcPr>
            <w:tcW w:w="764"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AB14E3">
              <w:rPr>
                <w:rFonts w:ascii="Arial Narrow" w:hAnsi="Arial Narrow"/>
                <w:color w:val="000000"/>
                <w:sz w:val="20"/>
              </w:rPr>
              <w:t>-$</w:t>
            </w:r>
            <w:r w:rsidR="007430E3">
              <w:rPr>
                <w:rFonts w:ascii="Arial Narrow" w:hAnsi="Arial Narrow"/>
                <w:noProof/>
                <w:color w:val="000000"/>
                <w:sz w:val="20"/>
                <w:highlight w:val="black"/>
              </w:rPr>
              <w:t>''''''''''''''''''''''''''</w:t>
            </w:r>
          </w:p>
        </w:tc>
        <w:tc>
          <w:tcPr>
            <w:tcW w:w="755" w:type="pct"/>
            <w:shd w:val="clear" w:color="auto" w:fill="auto"/>
            <w:vAlign w:val="center"/>
          </w:tcPr>
          <w:p w:rsidR="00D41E06" w:rsidRPr="0072244B" w:rsidRDefault="00D41E06" w:rsidP="004C5FCE">
            <w:pPr>
              <w:keepNext/>
              <w:widowControl/>
              <w:jc w:val="center"/>
              <w:rPr>
                <w:rFonts w:ascii="Arial Narrow" w:hAnsi="Arial Narrow"/>
                <w:bCs/>
                <w:color w:val="000000"/>
                <w:sz w:val="20"/>
                <w:highlight w:val="yellow"/>
              </w:rPr>
            </w:pPr>
            <w:r w:rsidRPr="00AB14E3">
              <w:rPr>
                <w:rFonts w:ascii="Arial Narrow" w:hAnsi="Arial Narrow"/>
                <w:color w:val="000000"/>
                <w:sz w:val="20"/>
              </w:rPr>
              <w:t>-$</w:t>
            </w:r>
            <w:r w:rsidR="007430E3">
              <w:rPr>
                <w:rFonts w:ascii="Arial Narrow" w:hAnsi="Arial Narrow"/>
                <w:noProof/>
                <w:color w:val="000000"/>
                <w:sz w:val="20"/>
                <w:highlight w:val="black"/>
              </w:rPr>
              <w:t>'''''''''''''''''''''''''''</w:t>
            </w:r>
          </w:p>
        </w:tc>
      </w:tr>
      <w:tr w:rsidR="00D41E06" w:rsidRPr="004E2ADC" w:rsidTr="00D41E06">
        <w:tc>
          <w:tcPr>
            <w:tcW w:w="5000" w:type="pct"/>
            <w:gridSpan w:val="6"/>
            <w:shd w:val="clear" w:color="auto" w:fill="auto"/>
            <w:vAlign w:val="center"/>
          </w:tcPr>
          <w:p w:rsidR="00D41E06" w:rsidRPr="004E2ADC" w:rsidRDefault="00D41E06" w:rsidP="004C5FCE">
            <w:pPr>
              <w:keepNext/>
              <w:widowControl/>
              <w:jc w:val="left"/>
              <w:rPr>
                <w:rFonts w:ascii="Arial Narrow" w:hAnsi="Arial Narrow"/>
                <w:b/>
                <w:color w:val="000000"/>
                <w:sz w:val="20"/>
              </w:rPr>
            </w:pPr>
            <w:r w:rsidRPr="004E2ADC">
              <w:rPr>
                <w:rFonts w:ascii="Arial Narrow" w:hAnsi="Arial Narrow"/>
                <w:b/>
                <w:color w:val="000000"/>
                <w:sz w:val="20"/>
              </w:rPr>
              <w:t>Estimated total net cost</w:t>
            </w:r>
          </w:p>
        </w:tc>
      </w:tr>
      <w:tr w:rsidR="00D41E06" w:rsidRPr="004E2ADC" w:rsidTr="00D41E06">
        <w:tc>
          <w:tcPr>
            <w:tcW w:w="1359" w:type="pct"/>
            <w:shd w:val="clear" w:color="auto" w:fill="auto"/>
            <w:vAlign w:val="center"/>
          </w:tcPr>
          <w:p w:rsidR="00D41E06" w:rsidRPr="00145540" w:rsidRDefault="00D41E06" w:rsidP="004C5FCE">
            <w:pPr>
              <w:keepNext/>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w:t>
            </w:r>
            <w:r>
              <w:rPr>
                <w:rFonts w:ascii="Arial Narrow" w:hAnsi="Arial Narrow"/>
                <w:b/>
                <w:bCs/>
                <w:color w:val="000000"/>
                <w:sz w:val="20"/>
              </w:rPr>
              <w:t xml:space="preserve"> government</w:t>
            </w:r>
          </w:p>
        </w:tc>
        <w:tc>
          <w:tcPr>
            <w:tcW w:w="679" w:type="pct"/>
            <w:shd w:val="clear" w:color="auto" w:fill="auto"/>
            <w:vAlign w:val="center"/>
          </w:tcPr>
          <w:p w:rsidR="00D41E06" w:rsidRPr="004E2ADC" w:rsidRDefault="007430E3" w:rsidP="004C5FCE">
            <w:pPr>
              <w:keepNext/>
              <w:widowControl/>
              <w:jc w:val="center"/>
              <w:rPr>
                <w:rFonts w:ascii="Arial Narrow" w:hAnsi="Arial Narrow"/>
                <w:color w:val="000000"/>
                <w:sz w:val="20"/>
              </w:rPr>
            </w:pPr>
            <w:r>
              <w:rPr>
                <w:rFonts w:ascii="Arial Narrow" w:hAnsi="Arial Narrow"/>
                <w:b/>
                <w:bCs/>
                <w:noProof/>
                <w:color w:val="000000"/>
                <w:sz w:val="20"/>
                <w:highlight w:val="black"/>
              </w:rPr>
              <w:t>''</w:t>
            </w:r>
            <w:r w:rsidR="00D41E06" w:rsidRPr="008C2D15">
              <w:rPr>
                <w:rFonts w:ascii="Arial Narrow" w:hAnsi="Arial Narrow"/>
                <w:b/>
                <w:bCs/>
                <w:color w:val="000000"/>
                <w:sz w:val="20"/>
              </w:rPr>
              <w:t>$</w:t>
            </w:r>
            <w:r>
              <w:rPr>
                <w:rFonts w:ascii="Arial Narrow" w:hAnsi="Arial Narrow"/>
                <w:b/>
                <w:bCs/>
                <w:noProof/>
                <w:color w:val="000000"/>
                <w:sz w:val="20"/>
                <w:highlight w:val="black"/>
              </w:rPr>
              <w:t>'''''''''''''''''</w:t>
            </w:r>
            <w:r w:rsidR="00FA2B6F">
              <w:rPr>
                <w:rFonts w:ascii="Arial Narrow" w:hAnsi="Arial Narrow"/>
                <w:b/>
                <w:bCs/>
                <w:color w:val="000000"/>
                <w:sz w:val="20"/>
              </w:rPr>
              <w:t>*</w:t>
            </w:r>
          </w:p>
        </w:tc>
        <w:tc>
          <w:tcPr>
            <w:tcW w:w="679" w:type="pct"/>
            <w:shd w:val="clear" w:color="auto" w:fill="auto"/>
            <w:vAlign w:val="center"/>
          </w:tcPr>
          <w:p w:rsidR="00D41E06" w:rsidRPr="004E2ADC" w:rsidRDefault="007430E3" w:rsidP="004C5FCE">
            <w:pPr>
              <w:keepNext/>
              <w:widowControl/>
              <w:jc w:val="center"/>
              <w:rPr>
                <w:rFonts w:ascii="Arial Narrow" w:hAnsi="Arial Narrow"/>
                <w:color w:val="000000"/>
                <w:sz w:val="20"/>
              </w:rPr>
            </w:pPr>
            <w:r>
              <w:rPr>
                <w:rFonts w:ascii="Arial Narrow" w:hAnsi="Arial Narrow"/>
                <w:b/>
                <w:bCs/>
                <w:noProof/>
                <w:color w:val="000000"/>
                <w:sz w:val="20"/>
                <w:highlight w:val="black"/>
              </w:rPr>
              <w:t>''</w:t>
            </w:r>
            <w:r w:rsidR="00D41E06" w:rsidRPr="008C2D15">
              <w:rPr>
                <w:rFonts w:ascii="Arial Narrow" w:hAnsi="Arial Narrow"/>
                <w:b/>
                <w:bCs/>
                <w:color w:val="000000"/>
                <w:sz w:val="20"/>
              </w:rPr>
              <w:t>$</w:t>
            </w:r>
            <w:r>
              <w:rPr>
                <w:rFonts w:ascii="Arial Narrow" w:hAnsi="Arial Narrow"/>
                <w:b/>
                <w:bCs/>
                <w:noProof/>
                <w:color w:val="000000"/>
                <w:sz w:val="20"/>
                <w:highlight w:val="black"/>
              </w:rPr>
              <w:t>''''''''''''''</w:t>
            </w:r>
            <w:r w:rsidR="00FA2B6F">
              <w:rPr>
                <w:rFonts w:ascii="Arial Narrow" w:hAnsi="Arial Narrow"/>
                <w:b/>
                <w:bCs/>
                <w:color w:val="000000"/>
                <w:sz w:val="20"/>
              </w:rPr>
              <w:t>*</w:t>
            </w:r>
          </w:p>
        </w:tc>
        <w:tc>
          <w:tcPr>
            <w:tcW w:w="764" w:type="pct"/>
            <w:shd w:val="clear" w:color="auto" w:fill="auto"/>
            <w:vAlign w:val="center"/>
          </w:tcPr>
          <w:p w:rsidR="00D41E06" w:rsidRPr="004E2ADC" w:rsidRDefault="007430E3" w:rsidP="004C5FCE">
            <w:pPr>
              <w:keepNext/>
              <w:widowControl/>
              <w:jc w:val="center"/>
              <w:rPr>
                <w:rFonts w:ascii="Arial Narrow" w:hAnsi="Arial Narrow"/>
                <w:color w:val="000000"/>
                <w:sz w:val="20"/>
              </w:rPr>
            </w:pPr>
            <w:r>
              <w:rPr>
                <w:rFonts w:ascii="Arial Narrow" w:hAnsi="Arial Narrow"/>
                <w:b/>
                <w:bCs/>
                <w:noProof/>
                <w:color w:val="000000"/>
                <w:sz w:val="20"/>
                <w:highlight w:val="black"/>
              </w:rPr>
              <w:t>''</w:t>
            </w:r>
            <w:r w:rsidR="00D41E06" w:rsidRPr="008C2D15">
              <w:rPr>
                <w:rFonts w:ascii="Arial Narrow" w:hAnsi="Arial Narrow"/>
                <w:b/>
                <w:bCs/>
                <w:color w:val="000000"/>
                <w:sz w:val="20"/>
              </w:rPr>
              <w:t>$</w:t>
            </w:r>
            <w:r>
              <w:rPr>
                <w:rFonts w:ascii="Arial Narrow" w:hAnsi="Arial Narrow"/>
                <w:b/>
                <w:bCs/>
                <w:noProof/>
                <w:color w:val="000000"/>
                <w:sz w:val="20"/>
                <w:highlight w:val="black"/>
              </w:rPr>
              <w:t>'''''''''''''''</w:t>
            </w:r>
            <w:r w:rsidR="00FA2B6F">
              <w:rPr>
                <w:rFonts w:ascii="Arial Narrow" w:hAnsi="Arial Narrow"/>
                <w:b/>
                <w:bCs/>
                <w:color w:val="000000"/>
                <w:sz w:val="20"/>
              </w:rPr>
              <w:t>*</w:t>
            </w:r>
          </w:p>
        </w:tc>
        <w:tc>
          <w:tcPr>
            <w:tcW w:w="764" w:type="pct"/>
            <w:shd w:val="clear" w:color="auto" w:fill="auto"/>
            <w:vAlign w:val="center"/>
          </w:tcPr>
          <w:p w:rsidR="00D41E06" w:rsidRPr="004E2ADC" w:rsidRDefault="007430E3" w:rsidP="004C5FCE">
            <w:pPr>
              <w:keepNext/>
              <w:widowControl/>
              <w:jc w:val="center"/>
              <w:rPr>
                <w:rFonts w:ascii="Arial Narrow" w:hAnsi="Arial Narrow"/>
                <w:color w:val="000000"/>
                <w:sz w:val="20"/>
              </w:rPr>
            </w:pPr>
            <w:r>
              <w:rPr>
                <w:rFonts w:ascii="Arial Narrow" w:hAnsi="Arial Narrow"/>
                <w:b/>
                <w:bCs/>
                <w:noProof/>
                <w:color w:val="000000"/>
                <w:sz w:val="20"/>
                <w:highlight w:val="black"/>
              </w:rPr>
              <w:t>''</w:t>
            </w:r>
            <w:r w:rsidR="00D41E06" w:rsidRPr="008C2D15">
              <w:rPr>
                <w:rFonts w:ascii="Arial Narrow" w:hAnsi="Arial Narrow"/>
                <w:b/>
                <w:bCs/>
                <w:color w:val="000000"/>
                <w:sz w:val="20"/>
              </w:rPr>
              <w:t>$</w:t>
            </w:r>
            <w:r>
              <w:rPr>
                <w:rFonts w:ascii="Arial Narrow" w:hAnsi="Arial Narrow"/>
                <w:b/>
                <w:bCs/>
                <w:noProof/>
                <w:color w:val="000000"/>
                <w:sz w:val="20"/>
                <w:highlight w:val="black"/>
              </w:rPr>
              <w:t>'''''''''''''''''''</w:t>
            </w:r>
            <w:r w:rsidR="00FA2B6F">
              <w:rPr>
                <w:rFonts w:ascii="Arial Narrow" w:hAnsi="Arial Narrow"/>
                <w:b/>
                <w:bCs/>
                <w:color w:val="000000"/>
                <w:sz w:val="20"/>
              </w:rPr>
              <w:t>*</w:t>
            </w:r>
          </w:p>
        </w:tc>
        <w:tc>
          <w:tcPr>
            <w:tcW w:w="755" w:type="pct"/>
            <w:shd w:val="clear" w:color="auto" w:fill="auto"/>
            <w:vAlign w:val="center"/>
          </w:tcPr>
          <w:p w:rsidR="00D41E06" w:rsidRPr="004E2ADC" w:rsidRDefault="007430E3" w:rsidP="004C5FCE">
            <w:pPr>
              <w:keepNext/>
              <w:widowControl/>
              <w:jc w:val="center"/>
              <w:rPr>
                <w:rFonts w:ascii="Arial Narrow" w:hAnsi="Arial Narrow"/>
                <w:color w:val="000000"/>
                <w:sz w:val="20"/>
              </w:rPr>
            </w:pPr>
            <w:r>
              <w:rPr>
                <w:rFonts w:ascii="Arial Narrow" w:hAnsi="Arial Narrow"/>
                <w:b/>
                <w:bCs/>
                <w:noProof/>
                <w:color w:val="000000"/>
                <w:sz w:val="20"/>
                <w:highlight w:val="black"/>
              </w:rPr>
              <w:t>''</w:t>
            </w:r>
            <w:r w:rsidR="00D41E06" w:rsidRPr="008C2D15">
              <w:rPr>
                <w:rFonts w:ascii="Arial Narrow" w:hAnsi="Arial Narrow"/>
                <w:b/>
                <w:bCs/>
                <w:color w:val="000000"/>
                <w:sz w:val="20"/>
              </w:rPr>
              <w:t>$</w:t>
            </w:r>
            <w:r>
              <w:rPr>
                <w:rFonts w:ascii="Arial Narrow" w:hAnsi="Arial Narrow"/>
                <w:b/>
                <w:bCs/>
                <w:noProof/>
                <w:color w:val="000000"/>
                <w:sz w:val="20"/>
                <w:highlight w:val="black"/>
              </w:rPr>
              <w:t>''''''''''''''''''</w:t>
            </w:r>
            <w:r w:rsidR="00FA2B6F">
              <w:rPr>
                <w:rFonts w:ascii="Arial Narrow" w:hAnsi="Arial Narrow"/>
                <w:b/>
                <w:bCs/>
                <w:color w:val="000000"/>
                <w:sz w:val="20"/>
              </w:rPr>
              <w:t>*</w:t>
            </w:r>
          </w:p>
        </w:tc>
      </w:tr>
    </w:tbl>
    <w:p w:rsidR="00D41E06" w:rsidRDefault="00D41E06" w:rsidP="004C5FCE">
      <w:pPr>
        <w:pStyle w:val="TableFooter"/>
        <w:keepNext/>
        <w:widowControl/>
        <w:ind w:firstLine="720"/>
      </w:pPr>
      <w:r w:rsidRPr="001222FC">
        <w:rPr>
          <w:vertAlign w:val="superscript"/>
        </w:rPr>
        <w:t>a</w:t>
      </w:r>
      <w:r>
        <w:t xml:space="preserve"> </w:t>
      </w:r>
      <w:r w:rsidRPr="001222FC">
        <w:t xml:space="preserve">Assuming </w:t>
      </w:r>
      <w:r w:rsidR="002721A1">
        <w:t>13.04</w:t>
      </w:r>
      <w:r w:rsidRPr="001222FC">
        <w:t xml:space="preserve"> per year as estimated by the submission.</w:t>
      </w:r>
    </w:p>
    <w:p w:rsidR="00D41E06" w:rsidRDefault="00D41E06" w:rsidP="004C5FCE">
      <w:pPr>
        <w:pStyle w:val="TableFooter"/>
        <w:keepNext/>
        <w:widowControl/>
        <w:ind w:left="709" w:firstLine="11"/>
      </w:pPr>
      <w:r>
        <w:rPr>
          <w:vertAlign w:val="superscript"/>
        </w:rPr>
        <w:t>b</w:t>
      </w:r>
      <w:r w:rsidRPr="0072244B">
        <w:rPr>
          <w:vertAlign w:val="superscript"/>
        </w:rPr>
        <w:t xml:space="preserve"> </w:t>
      </w:r>
      <w:r>
        <w:t xml:space="preserve">Including costs offsets related to reduced use of antihypertensive medicines and insulin glargine and exenatide administration and management, specifically: blood glucose test strips, needles, GP and endocrinologist consultations and diabetes educator visits avoided. </w:t>
      </w:r>
    </w:p>
    <w:p w:rsidR="00FA2B6F" w:rsidRPr="00FA2B6F" w:rsidRDefault="00FA2B6F" w:rsidP="004C5FCE">
      <w:pPr>
        <w:pStyle w:val="TableFooter"/>
        <w:keepNext/>
        <w:widowControl/>
        <w:ind w:firstLine="709"/>
        <w:rPr>
          <w:i/>
        </w:rPr>
      </w:pPr>
      <w:r w:rsidRPr="00FA2B6F">
        <w:rPr>
          <w:i/>
        </w:rPr>
        <w:t xml:space="preserve">* Figures </w:t>
      </w:r>
      <w:r w:rsidR="00745C9A">
        <w:rPr>
          <w:i/>
        </w:rPr>
        <w:t>based on original price presented in the</w:t>
      </w:r>
      <w:r w:rsidRPr="00FA2B6F">
        <w:rPr>
          <w:i/>
        </w:rPr>
        <w:t xml:space="preserve"> submission. Changes accepted in the PSCR will slightly alter these figures.</w:t>
      </w:r>
    </w:p>
    <w:p w:rsidR="00D41E06" w:rsidRDefault="00D41E06" w:rsidP="004C5FCE">
      <w:pPr>
        <w:pStyle w:val="TableFooter"/>
        <w:widowControl/>
        <w:ind w:firstLine="720"/>
        <w:rPr>
          <w:szCs w:val="22"/>
        </w:rPr>
      </w:pPr>
      <w:r w:rsidRPr="001222FC">
        <w:rPr>
          <w:sz w:val="16"/>
          <w:szCs w:val="18"/>
        </w:rPr>
        <w:t xml:space="preserve">Source: </w:t>
      </w:r>
      <w:r>
        <w:rPr>
          <w:szCs w:val="18"/>
        </w:rPr>
        <w:t>compiled during the evaluation</w:t>
      </w:r>
    </w:p>
    <w:p w:rsidR="00D41E06" w:rsidRPr="00C25D9C" w:rsidRDefault="00D41E06" w:rsidP="004C5FCE">
      <w:pPr>
        <w:widowControl/>
        <w:rPr>
          <w:szCs w:val="22"/>
        </w:rPr>
      </w:pPr>
    </w:p>
    <w:p w:rsidR="00271C8A" w:rsidRPr="00271C8A" w:rsidRDefault="00271C8A" w:rsidP="00271C8A">
      <w:pPr>
        <w:pStyle w:val="ListParagraph"/>
        <w:widowControl/>
        <w:numPr>
          <w:ilvl w:val="1"/>
          <w:numId w:val="1"/>
        </w:numPr>
      </w:pPr>
      <w:r w:rsidRPr="00271C8A">
        <w:t xml:space="preserve">At year 5, the estimated number of packs dispensed was </w:t>
      </w:r>
      <w:r w:rsidR="00524BD1">
        <w:t>over 200,000 per year</w:t>
      </w:r>
      <w:r w:rsidR="000850A4">
        <w:t xml:space="preserve"> </w:t>
      </w:r>
      <w:r w:rsidRPr="00271C8A">
        <w:t>and the net cost to the PBS</w:t>
      </w:r>
      <w:r w:rsidR="00317439">
        <w:t>/RPBS</w:t>
      </w:r>
      <w:r w:rsidRPr="00271C8A">
        <w:t xml:space="preserve"> would be approximately </w:t>
      </w:r>
      <w:r w:rsidR="000850A4">
        <w:t>$</w:t>
      </w:r>
      <w:r w:rsidR="00524BD1">
        <w:t>10-$20 million per year</w:t>
      </w:r>
      <w:r w:rsidRPr="00271C8A">
        <w:t xml:space="preserve">. </w:t>
      </w:r>
    </w:p>
    <w:p w:rsidR="00271C8A" w:rsidRPr="00271C8A" w:rsidRDefault="00271C8A" w:rsidP="00271C8A">
      <w:pPr>
        <w:pStyle w:val="ListParagraph"/>
        <w:widowControl/>
        <w:rPr>
          <w:i/>
        </w:rPr>
      </w:pPr>
    </w:p>
    <w:p w:rsidR="00D41E06" w:rsidRPr="005968B4" w:rsidRDefault="00D41E06" w:rsidP="004C5FCE">
      <w:pPr>
        <w:pStyle w:val="ListParagraph"/>
        <w:widowControl/>
        <w:numPr>
          <w:ilvl w:val="1"/>
          <w:numId w:val="1"/>
        </w:numPr>
        <w:rPr>
          <w:i/>
        </w:rPr>
      </w:pPr>
      <w:r w:rsidRPr="0067622C">
        <w:t>The submission estimate</w:t>
      </w:r>
      <w:r w:rsidR="00CB03C9">
        <w:t>d</w:t>
      </w:r>
      <w:r w:rsidRPr="0067622C">
        <w:t xml:space="preserve"> that listing dapagliflozin for triple therapy will </w:t>
      </w:r>
      <w:r>
        <w:t xml:space="preserve">have a net </w:t>
      </w:r>
      <w:r w:rsidRPr="0067622C">
        <w:t>cost</w:t>
      </w:r>
      <w:r>
        <w:t xml:space="preserve"> to the PBS but a net save to government health budgets overall. The net save is likely to be an overestimate.</w:t>
      </w:r>
    </w:p>
    <w:p w:rsidR="00D41E06" w:rsidRDefault="004C3BC2" w:rsidP="004C5FCE">
      <w:pPr>
        <w:pStyle w:val="ListParagraph"/>
        <w:widowControl/>
        <w:numPr>
          <w:ilvl w:val="0"/>
          <w:numId w:val="4"/>
        </w:numPr>
        <w:ind w:left="993" w:hanging="284"/>
      </w:pPr>
      <w:r>
        <w:lastRenderedPageBreak/>
        <w:t>The cost-</w:t>
      </w:r>
      <w:r w:rsidR="00D41E06" w:rsidRPr="00E71973">
        <w:t xml:space="preserve">offsets included in the estimates of financial implications to government are based </w:t>
      </w:r>
      <w:r>
        <w:t>on those calculated in the cost-</w:t>
      </w:r>
      <w:r w:rsidR="00D41E06" w:rsidRPr="00E71973">
        <w:t>analysis and are unlikely to be fully realised.</w:t>
      </w:r>
    </w:p>
    <w:p w:rsidR="00D93791" w:rsidRPr="00E71973" w:rsidRDefault="00D93791" w:rsidP="004C5FCE">
      <w:pPr>
        <w:pStyle w:val="ListParagraph"/>
        <w:widowControl/>
        <w:numPr>
          <w:ilvl w:val="0"/>
          <w:numId w:val="4"/>
        </w:numPr>
        <w:ind w:left="993" w:hanging="284"/>
      </w:pPr>
      <w:r w:rsidRPr="00E71973">
        <w:t>In addition, the submission claimed that, in theory, the listing of dapagliflozin for triple therapy should be cost neutral to government but that the estimated cost saving estimate “is not unexpected in the context of a budget analysis where the complexity necessitates a number of assumptions” (p.E-171). That is, the estimated cost saving to overall government health budgets, of</w:t>
      </w:r>
      <w:r w:rsidR="000850A4">
        <w:t xml:space="preserve"> </w:t>
      </w:r>
      <w:r w:rsidR="00524BD1">
        <w:t xml:space="preserve">less than $10 million </w:t>
      </w:r>
      <w:r w:rsidRPr="00E71973">
        <w:t xml:space="preserve">in Year 1, and increasing to </w:t>
      </w:r>
      <w:r w:rsidR="00524BD1">
        <w:t>less than $10</w:t>
      </w:r>
      <w:r w:rsidRPr="00E71973">
        <w:t> million in Year 5, is an overestimate.</w:t>
      </w:r>
    </w:p>
    <w:p w:rsidR="007920A6" w:rsidRDefault="007920A6" w:rsidP="00143390">
      <w:pPr>
        <w:pStyle w:val="ListParagraph"/>
        <w:widowControl/>
        <w:tabs>
          <w:tab w:val="left" w:pos="6030"/>
        </w:tabs>
      </w:pPr>
    </w:p>
    <w:p w:rsidR="00F61AEF" w:rsidRPr="000A03AD" w:rsidRDefault="009A3716" w:rsidP="00F61AEF">
      <w:pPr>
        <w:pStyle w:val="ListParagraph"/>
        <w:widowControl/>
        <w:numPr>
          <w:ilvl w:val="1"/>
          <w:numId w:val="1"/>
        </w:numPr>
        <w:rPr>
          <w:color w:val="FF0000"/>
        </w:rPr>
      </w:pPr>
      <w:r w:rsidRPr="00BC1D5F">
        <w:t xml:space="preserve">Some of the </w:t>
      </w:r>
      <w:r w:rsidR="004C3BC2" w:rsidRPr="00BC1D5F">
        <w:t>cost-</w:t>
      </w:r>
      <w:r w:rsidRPr="00BC1D5F">
        <w:t>offsets included in the estimates of financial implications to Government are not costs to the Commonwealth.</w:t>
      </w:r>
      <w:r w:rsidR="004E301C" w:rsidRPr="00BC1D5F">
        <w:t xml:space="preserve"> </w:t>
      </w:r>
    </w:p>
    <w:p w:rsidR="00D93791" w:rsidRDefault="00D93791" w:rsidP="004C5FCE">
      <w:pPr>
        <w:widowControl/>
        <w:rPr>
          <w:szCs w:val="22"/>
        </w:rPr>
      </w:pPr>
    </w:p>
    <w:p w:rsidR="00BC1D5F" w:rsidRDefault="00BC1D5F" w:rsidP="00BC1D5F">
      <w:pPr>
        <w:pStyle w:val="PBACHeading10"/>
        <w:numPr>
          <w:ilvl w:val="0"/>
          <w:numId w:val="10"/>
        </w:numPr>
        <w:snapToGrid w:val="0"/>
      </w:pPr>
      <w:r>
        <w:t xml:space="preserve">PBAC Outcome </w:t>
      </w:r>
    </w:p>
    <w:p w:rsidR="00BC1D5F" w:rsidRDefault="00BC1D5F" w:rsidP="00BC1D5F">
      <w:pPr>
        <w:widowControl/>
        <w:jc w:val="left"/>
        <w:rPr>
          <w:rFonts w:eastAsia="SimSun"/>
          <w:bCs/>
          <w:i/>
          <w:szCs w:val="22"/>
        </w:rPr>
      </w:pPr>
    </w:p>
    <w:p w:rsidR="00A16A8D" w:rsidRDefault="00BC1D5F" w:rsidP="0084102F">
      <w:pPr>
        <w:pStyle w:val="ListParagraph"/>
        <w:widowControl/>
        <w:numPr>
          <w:ilvl w:val="1"/>
          <w:numId w:val="10"/>
        </w:numPr>
        <w:snapToGrid w:val="0"/>
        <w:rPr>
          <w:rFonts w:cs="Times New Roman"/>
          <w:szCs w:val="22"/>
          <w:lang w:eastAsia="en-AU"/>
        </w:rPr>
      </w:pPr>
      <w:r w:rsidRPr="00271C8A">
        <w:rPr>
          <w:rFonts w:cs="Times New Roman"/>
          <w:szCs w:val="22"/>
          <w:lang w:eastAsia="en-AU"/>
        </w:rPr>
        <w:t>The PBAC recommended</w:t>
      </w:r>
      <w:r w:rsidR="005B5330">
        <w:rPr>
          <w:rFonts w:cs="Times New Roman"/>
          <w:szCs w:val="22"/>
          <w:lang w:eastAsia="en-AU"/>
        </w:rPr>
        <w:t xml:space="preserve"> </w:t>
      </w:r>
      <w:r w:rsidR="00AB4CEC">
        <w:rPr>
          <w:rFonts w:cs="Times New Roman"/>
          <w:szCs w:val="22"/>
          <w:lang w:eastAsia="en-AU"/>
        </w:rPr>
        <w:t>the</w:t>
      </w:r>
      <w:r w:rsidRPr="00271C8A">
        <w:rPr>
          <w:rFonts w:cs="Times New Roman"/>
          <w:szCs w:val="22"/>
          <w:lang w:eastAsia="en-AU"/>
        </w:rPr>
        <w:t xml:space="preserve"> listing of </w:t>
      </w:r>
      <w:r w:rsidR="00271C8A" w:rsidRPr="00271C8A">
        <w:rPr>
          <w:rFonts w:cs="Times New Roman"/>
          <w:szCs w:val="22"/>
          <w:lang w:eastAsia="en-AU"/>
        </w:rPr>
        <w:t xml:space="preserve">dapagliflozin </w:t>
      </w:r>
      <w:r w:rsidR="00AB4CEC" w:rsidRPr="00AB4CEC">
        <w:rPr>
          <w:rFonts w:cs="Times New Roman"/>
          <w:szCs w:val="22"/>
          <w:lang w:eastAsia="en-AU"/>
        </w:rPr>
        <w:t xml:space="preserve">for the treatment of type 2 diabetes </w:t>
      </w:r>
      <w:r w:rsidR="008044F3">
        <w:rPr>
          <w:rFonts w:cs="Times New Roman"/>
          <w:szCs w:val="22"/>
          <w:lang w:eastAsia="en-AU"/>
        </w:rPr>
        <w:t xml:space="preserve">mellitus </w:t>
      </w:r>
      <w:r w:rsidR="00AB4CEC" w:rsidRPr="00AB4CEC">
        <w:rPr>
          <w:rFonts w:cs="Times New Roman"/>
          <w:szCs w:val="22"/>
          <w:lang w:eastAsia="en-AU"/>
        </w:rPr>
        <w:t xml:space="preserve">in combination </w:t>
      </w:r>
      <w:r w:rsidR="00AB4CEC">
        <w:rPr>
          <w:rFonts w:cs="Times New Roman"/>
          <w:szCs w:val="22"/>
          <w:lang w:eastAsia="en-AU"/>
        </w:rPr>
        <w:t>with metformin and a sulfonylurea (referred to as “</w:t>
      </w:r>
      <w:r w:rsidR="00271C8A" w:rsidRPr="00271C8A">
        <w:rPr>
          <w:rFonts w:cs="Times New Roman"/>
          <w:szCs w:val="22"/>
          <w:lang w:eastAsia="en-AU"/>
        </w:rPr>
        <w:t>triple oral therapy</w:t>
      </w:r>
      <w:r w:rsidR="00AB4CEC">
        <w:rPr>
          <w:rFonts w:cs="Times New Roman"/>
          <w:szCs w:val="22"/>
          <w:lang w:eastAsia="en-AU"/>
        </w:rPr>
        <w:t xml:space="preserve">”). </w:t>
      </w:r>
      <w:r w:rsidR="0084102F">
        <w:rPr>
          <w:rFonts w:cs="Times New Roman"/>
          <w:szCs w:val="22"/>
          <w:lang w:eastAsia="en-AU"/>
        </w:rPr>
        <w:t>T</w:t>
      </w:r>
      <w:r w:rsidR="00AB4CEC" w:rsidRPr="00AB4CEC">
        <w:rPr>
          <w:rFonts w:cs="Times New Roman"/>
          <w:szCs w:val="22"/>
          <w:lang w:eastAsia="en-AU"/>
        </w:rPr>
        <w:t>he recommendation was formed on the basis of a cost</w:t>
      </w:r>
      <w:r w:rsidR="00515819">
        <w:rPr>
          <w:rFonts w:cs="Times New Roman"/>
          <w:szCs w:val="22"/>
          <w:lang w:eastAsia="en-AU"/>
        </w:rPr>
        <w:t xml:space="preserve"> </w:t>
      </w:r>
      <w:r w:rsidR="00AB4CEC" w:rsidRPr="00AB4CEC">
        <w:rPr>
          <w:rFonts w:cs="Times New Roman"/>
          <w:szCs w:val="22"/>
          <w:lang w:eastAsia="en-AU"/>
        </w:rPr>
        <w:t xml:space="preserve">analysis </w:t>
      </w:r>
      <w:r w:rsidR="008044F3">
        <w:rPr>
          <w:rFonts w:cs="Times New Roman"/>
          <w:szCs w:val="22"/>
          <w:lang w:eastAsia="en-AU"/>
        </w:rPr>
        <w:t xml:space="preserve">compared with insulin </w:t>
      </w:r>
      <w:r w:rsidR="00AB4CEC">
        <w:rPr>
          <w:rFonts w:cs="Times New Roman"/>
          <w:szCs w:val="22"/>
          <w:lang w:eastAsia="en-AU"/>
        </w:rPr>
        <w:t>(including drug acquisition costs and costs of healthcare resource consumption)</w:t>
      </w:r>
      <w:r w:rsidR="00AB4CEC" w:rsidRPr="00AB4CEC">
        <w:rPr>
          <w:rFonts w:cs="Times New Roman"/>
          <w:szCs w:val="22"/>
          <w:lang w:eastAsia="en-AU"/>
        </w:rPr>
        <w:t xml:space="preserve">. </w:t>
      </w:r>
      <w:r w:rsidR="00656BBA">
        <w:rPr>
          <w:rFonts w:cs="Times New Roman"/>
          <w:szCs w:val="22"/>
          <w:lang w:eastAsia="en-AU"/>
        </w:rPr>
        <w:t>The equi</w:t>
      </w:r>
      <w:r w:rsidR="002B03EB">
        <w:rPr>
          <w:rFonts w:cs="Times New Roman"/>
          <w:szCs w:val="22"/>
          <w:lang w:eastAsia="en-AU"/>
        </w:rPr>
        <w:t>-</w:t>
      </w:r>
      <w:r w:rsidR="00573E76">
        <w:rPr>
          <w:rFonts w:cs="Times New Roman"/>
          <w:szCs w:val="22"/>
          <w:lang w:eastAsia="en-AU"/>
        </w:rPr>
        <w:t xml:space="preserve">effective doses are dapagliflozin </w:t>
      </w:r>
      <w:r w:rsidR="00573E76">
        <w:t>10mg (oral) and insulin glargine 24 IU/day</w:t>
      </w:r>
      <w:r w:rsidR="00573E76" w:rsidRPr="00BC3586">
        <w:t xml:space="preserve"> (subcutaneous)</w:t>
      </w:r>
      <w:r w:rsidR="00573E76">
        <w:t>.</w:t>
      </w:r>
    </w:p>
    <w:p w:rsidR="00A16A8D" w:rsidRDefault="00A16A8D" w:rsidP="0084102F">
      <w:pPr>
        <w:pStyle w:val="ListParagraph"/>
        <w:widowControl/>
        <w:snapToGrid w:val="0"/>
        <w:rPr>
          <w:rFonts w:cs="Times New Roman"/>
          <w:szCs w:val="22"/>
          <w:lang w:eastAsia="en-AU"/>
        </w:rPr>
      </w:pPr>
    </w:p>
    <w:p w:rsidR="008044F3" w:rsidRDefault="008044F3" w:rsidP="0084102F">
      <w:pPr>
        <w:pStyle w:val="ListParagraph"/>
        <w:widowControl/>
        <w:numPr>
          <w:ilvl w:val="1"/>
          <w:numId w:val="10"/>
        </w:numPr>
        <w:snapToGrid w:val="0"/>
        <w:rPr>
          <w:rFonts w:cs="Times New Roman"/>
          <w:szCs w:val="22"/>
          <w:lang w:eastAsia="en-AU"/>
        </w:rPr>
      </w:pPr>
      <w:r w:rsidRPr="0084102F">
        <w:rPr>
          <w:rFonts w:cs="Times New Roman"/>
          <w:szCs w:val="22"/>
          <w:lang w:eastAsia="en-AU"/>
        </w:rPr>
        <w:t>The PBAC accepted that dapagliflozin used in combination with metformin and a sulfonylurea is non-inferior to insulin in combination with metformin and a sulfonylurea</w:t>
      </w:r>
      <w:r w:rsidR="0084102F" w:rsidRPr="0084102F">
        <w:rPr>
          <w:rFonts w:cs="Times New Roman"/>
          <w:szCs w:val="22"/>
          <w:lang w:eastAsia="en-AU"/>
        </w:rPr>
        <w:t>.</w:t>
      </w:r>
      <w:r w:rsidRPr="0084102F">
        <w:rPr>
          <w:rFonts w:cs="Times New Roman"/>
          <w:szCs w:val="22"/>
          <w:lang w:eastAsia="en-AU"/>
        </w:rPr>
        <w:t xml:space="preserve"> </w:t>
      </w:r>
    </w:p>
    <w:p w:rsidR="0084102F" w:rsidRPr="0084102F" w:rsidRDefault="0084102F" w:rsidP="0084102F">
      <w:pPr>
        <w:pStyle w:val="ListParagraph"/>
        <w:rPr>
          <w:rFonts w:cs="Times New Roman"/>
          <w:szCs w:val="22"/>
          <w:lang w:eastAsia="en-AU"/>
        </w:rPr>
      </w:pPr>
    </w:p>
    <w:p w:rsidR="0084102F" w:rsidRDefault="0084102F" w:rsidP="0084102F">
      <w:pPr>
        <w:pStyle w:val="ListParagraph"/>
        <w:widowControl/>
        <w:numPr>
          <w:ilvl w:val="1"/>
          <w:numId w:val="10"/>
        </w:numPr>
        <w:snapToGrid w:val="0"/>
        <w:jc w:val="left"/>
        <w:rPr>
          <w:rFonts w:cs="Times New Roman"/>
          <w:szCs w:val="22"/>
          <w:lang w:eastAsia="en-AU"/>
        </w:rPr>
      </w:pPr>
      <w:r w:rsidRPr="00F137BA">
        <w:rPr>
          <w:rFonts w:cs="Times New Roman"/>
          <w:szCs w:val="22"/>
          <w:lang w:eastAsia="en-AU"/>
        </w:rPr>
        <w:t>The PBAC considered that there is a clinical need for a</w:t>
      </w:r>
      <w:r w:rsidR="00F05244" w:rsidRPr="00F137BA">
        <w:rPr>
          <w:rFonts w:cs="Times New Roman"/>
          <w:szCs w:val="22"/>
          <w:lang w:eastAsia="en-AU"/>
        </w:rPr>
        <w:t>n</w:t>
      </w:r>
      <w:r w:rsidRPr="00F137BA">
        <w:rPr>
          <w:rFonts w:cs="Times New Roman"/>
          <w:szCs w:val="22"/>
          <w:lang w:eastAsia="en-AU"/>
        </w:rPr>
        <w:t xml:space="preserve"> oral regimen </w:t>
      </w:r>
      <w:r w:rsidR="00F137BA" w:rsidRPr="00F137BA">
        <w:rPr>
          <w:rFonts w:cs="Times New Roman"/>
          <w:szCs w:val="22"/>
          <w:lang w:eastAsia="en-AU"/>
        </w:rPr>
        <w:t>in triple therapy</w:t>
      </w:r>
      <w:r w:rsidR="0018565D">
        <w:rPr>
          <w:rFonts w:cs="Times New Roman"/>
          <w:szCs w:val="22"/>
          <w:lang w:eastAsia="en-AU"/>
        </w:rPr>
        <w:t>,</w:t>
      </w:r>
      <w:r w:rsidR="00F137BA" w:rsidRPr="00F137BA">
        <w:rPr>
          <w:rFonts w:cs="Times New Roman"/>
          <w:szCs w:val="22"/>
          <w:lang w:eastAsia="en-AU"/>
        </w:rPr>
        <w:t xml:space="preserve"> </w:t>
      </w:r>
      <w:r w:rsidR="0018565D">
        <w:rPr>
          <w:rFonts w:cs="Times New Roman"/>
          <w:szCs w:val="22"/>
          <w:lang w:eastAsia="en-AU"/>
        </w:rPr>
        <w:t xml:space="preserve">noting the advantages to patients of </w:t>
      </w:r>
      <w:r w:rsidR="004C6DAA">
        <w:rPr>
          <w:rFonts w:cs="Times New Roman"/>
          <w:szCs w:val="22"/>
          <w:lang w:eastAsia="en-AU"/>
        </w:rPr>
        <w:t xml:space="preserve">regimens that do </w:t>
      </w:r>
      <w:r w:rsidR="0018565D">
        <w:rPr>
          <w:rFonts w:cs="Times New Roman"/>
          <w:szCs w:val="22"/>
          <w:lang w:eastAsia="en-AU"/>
        </w:rPr>
        <w:t>not requir</w:t>
      </w:r>
      <w:r w:rsidR="004C6DAA">
        <w:rPr>
          <w:rFonts w:cs="Times New Roman"/>
          <w:szCs w:val="22"/>
          <w:lang w:eastAsia="en-AU"/>
        </w:rPr>
        <w:t>e</w:t>
      </w:r>
      <w:r w:rsidR="0018565D">
        <w:rPr>
          <w:rFonts w:cs="Times New Roman"/>
          <w:szCs w:val="22"/>
          <w:lang w:eastAsia="en-AU"/>
        </w:rPr>
        <w:t xml:space="preserve"> </w:t>
      </w:r>
      <w:r w:rsidR="00F137BA" w:rsidRPr="00F137BA">
        <w:rPr>
          <w:rFonts w:cs="Times New Roman"/>
          <w:szCs w:val="22"/>
          <w:lang w:eastAsia="en-AU"/>
        </w:rPr>
        <w:t xml:space="preserve">injections. </w:t>
      </w:r>
    </w:p>
    <w:p w:rsidR="00F137BA" w:rsidRPr="00F137BA" w:rsidRDefault="00F137BA" w:rsidP="00F137BA">
      <w:pPr>
        <w:pStyle w:val="ListParagraph"/>
        <w:rPr>
          <w:rFonts w:cs="Times New Roman"/>
          <w:szCs w:val="22"/>
          <w:lang w:eastAsia="en-AU"/>
        </w:rPr>
      </w:pPr>
    </w:p>
    <w:p w:rsidR="00E54659" w:rsidRDefault="007C4553" w:rsidP="00E54659">
      <w:pPr>
        <w:pStyle w:val="ListParagraph"/>
        <w:widowControl/>
        <w:numPr>
          <w:ilvl w:val="1"/>
          <w:numId w:val="10"/>
        </w:numPr>
        <w:snapToGrid w:val="0"/>
        <w:jc w:val="left"/>
        <w:rPr>
          <w:rFonts w:cs="Times New Roman"/>
          <w:szCs w:val="22"/>
          <w:lang w:eastAsia="en-AU"/>
        </w:rPr>
      </w:pPr>
      <w:r w:rsidRPr="00E54659">
        <w:rPr>
          <w:rFonts w:cs="Times New Roman"/>
          <w:szCs w:val="22"/>
          <w:lang w:eastAsia="en-AU"/>
        </w:rPr>
        <w:t xml:space="preserve">The PBAC </w:t>
      </w:r>
      <w:r w:rsidR="00185E45">
        <w:rPr>
          <w:rFonts w:cs="Times New Roman"/>
          <w:szCs w:val="22"/>
          <w:lang w:eastAsia="en-AU"/>
        </w:rPr>
        <w:t>considered that i</w:t>
      </w:r>
      <w:r w:rsidRPr="00E54659">
        <w:rPr>
          <w:rFonts w:cs="Times New Roman"/>
          <w:szCs w:val="22"/>
          <w:lang w:eastAsia="en-AU"/>
        </w:rPr>
        <w:t xml:space="preserve">nsulin glargine </w:t>
      </w:r>
      <w:r w:rsidR="00185E45">
        <w:rPr>
          <w:rFonts w:cs="Times New Roman"/>
          <w:szCs w:val="22"/>
          <w:lang w:eastAsia="en-AU"/>
        </w:rPr>
        <w:t xml:space="preserve">was the appropriate main </w:t>
      </w:r>
      <w:r w:rsidRPr="00E54659">
        <w:rPr>
          <w:rFonts w:cs="Times New Roman"/>
          <w:szCs w:val="22"/>
          <w:lang w:eastAsia="en-AU"/>
        </w:rPr>
        <w:t>comparator</w:t>
      </w:r>
      <w:r w:rsidR="00E54659" w:rsidRPr="00E54659">
        <w:rPr>
          <w:rFonts w:cs="Times New Roman"/>
          <w:szCs w:val="22"/>
          <w:lang w:eastAsia="en-AU"/>
        </w:rPr>
        <w:t xml:space="preserve">, </w:t>
      </w:r>
      <w:r w:rsidR="008044F3">
        <w:rPr>
          <w:rFonts w:cs="Times New Roman"/>
          <w:szCs w:val="22"/>
          <w:lang w:eastAsia="en-AU"/>
        </w:rPr>
        <w:t>and</w:t>
      </w:r>
      <w:r w:rsidRPr="00E54659">
        <w:rPr>
          <w:rFonts w:cs="Times New Roman"/>
          <w:szCs w:val="22"/>
          <w:lang w:eastAsia="en-AU"/>
        </w:rPr>
        <w:t xml:space="preserve"> exenatide </w:t>
      </w:r>
      <w:r w:rsidR="009B3853">
        <w:rPr>
          <w:rFonts w:cs="Times New Roman"/>
          <w:szCs w:val="22"/>
          <w:lang w:eastAsia="en-AU"/>
        </w:rPr>
        <w:t xml:space="preserve">was an appropriate </w:t>
      </w:r>
      <w:r w:rsidRPr="00E54659">
        <w:rPr>
          <w:rFonts w:cs="Times New Roman"/>
          <w:szCs w:val="22"/>
          <w:lang w:eastAsia="en-AU"/>
        </w:rPr>
        <w:t>secondar</w:t>
      </w:r>
      <w:r w:rsidR="00E54659">
        <w:rPr>
          <w:rFonts w:cs="Times New Roman"/>
          <w:szCs w:val="22"/>
          <w:lang w:eastAsia="en-AU"/>
        </w:rPr>
        <w:t>y comparator.</w:t>
      </w:r>
    </w:p>
    <w:p w:rsidR="00AB4CEC" w:rsidRPr="00AB4CEC" w:rsidRDefault="00AB4CEC" w:rsidP="00AB4CEC">
      <w:pPr>
        <w:pStyle w:val="ListParagraph"/>
        <w:rPr>
          <w:szCs w:val="22"/>
          <w:lang w:eastAsia="en-AU"/>
        </w:rPr>
      </w:pPr>
    </w:p>
    <w:p w:rsidR="00AB4CEC" w:rsidRDefault="004B6D5C" w:rsidP="005473B3">
      <w:pPr>
        <w:pStyle w:val="ListParagraph"/>
        <w:widowControl/>
        <w:numPr>
          <w:ilvl w:val="1"/>
          <w:numId w:val="10"/>
        </w:numPr>
        <w:snapToGrid w:val="0"/>
        <w:rPr>
          <w:szCs w:val="22"/>
          <w:lang w:eastAsia="en-AU"/>
        </w:rPr>
      </w:pPr>
      <w:r>
        <w:rPr>
          <w:szCs w:val="22"/>
          <w:lang w:eastAsia="en-AU"/>
        </w:rPr>
        <w:t xml:space="preserve">The PBAC considered that </w:t>
      </w:r>
      <w:r w:rsidR="005473B3" w:rsidRPr="005473B3">
        <w:rPr>
          <w:szCs w:val="22"/>
          <w:lang w:eastAsia="en-AU"/>
        </w:rPr>
        <w:t xml:space="preserve">the appropriate </w:t>
      </w:r>
      <w:r w:rsidR="005473B3">
        <w:rPr>
          <w:szCs w:val="22"/>
          <w:lang w:eastAsia="en-AU"/>
        </w:rPr>
        <w:t xml:space="preserve">non-inferiority </w:t>
      </w:r>
      <w:r w:rsidR="005473B3" w:rsidRPr="005473B3">
        <w:rPr>
          <w:szCs w:val="22"/>
          <w:lang w:eastAsia="en-AU"/>
        </w:rPr>
        <w:t xml:space="preserve">margin for change in HbA1c </w:t>
      </w:r>
      <w:r w:rsidR="005473B3">
        <w:rPr>
          <w:szCs w:val="22"/>
          <w:lang w:eastAsia="en-AU"/>
        </w:rPr>
        <w:t xml:space="preserve">is </w:t>
      </w:r>
      <w:r>
        <w:rPr>
          <w:szCs w:val="22"/>
          <w:lang w:eastAsia="en-AU"/>
        </w:rPr>
        <w:t>0.4%</w:t>
      </w:r>
      <w:r w:rsidR="005473B3">
        <w:rPr>
          <w:szCs w:val="22"/>
          <w:lang w:eastAsia="en-AU"/>
        </w:rPr>
        <w:t>, or l</w:t>
      </w:r>
      <w:r w:rsidR="00415B16">
        <w:rPr>
          <w:szCs w:val="22"/>
          <w:lang w:eastAsia="en-AU"/>
        </w:rPr>
        <w:t>ower</w:t>
      </w:r>
      <w:r>
        <w:rPr>
          <w:szCs w:val="22"/>
          <w:lang w:eastAsia="en-AU"/>
        </w:rPr>
        <w:t>.</w:t>
      </w:r>
      <w:r w:rsidR="00377B8B">
        <w:rPr>
          <w:szCs w:val="22"/>
          <w:lang w:eastAsia="en-AU"/>
        </w:rPr>
        <w:t xml:space="preserve"> The PBAC agreed with the ESC that changes in HbA1c</w:t>
      </w:r>
      <w:r w:rsidR="000C2528">
        <w:rPr>
          <w:szCs w:val="22"/>
          <w:lang w:eastAsia="en-AU"/>
        </w:rPr>
        <w:t xml:space="preserve"> of </w:t>
      </w:r>
      <w:r w:rsidR="006D26E7">
        <w:rPr>
          <w:szCs w:val="22"/>
          <w:lang w:eastAsia="en-AU"/>
        </w:rPr>
        <w:t xml:space="preserve">greater than </w:t>
      </w:r>
      <w:r w:rsidR="000C2528">
        <w:rPr>
          <w:szCs w:val="22"/>
          <w:lang w:eastAsia="en-AU"/>
        </w:rPr>
        <w:t xml:space="preserve">0.4% may lead to clinically important differences in patient outcomes. </w:t>
      </w:r>
    </w:p>
    <w:p w:rsidR="00544753" w:rsidRPr="00544753" w:rsidRDefault="00544753" w:rsidP="00544753">
      <w:pPr>
        <w:pStyle w:val="ListParagraph"/>
        <w:rPr>
          <w:szCs w:val="22"/>
          <w:lang w:eastAsia="en-AU"/>
        </w:rPr>
      </w:pPr>
    </w:p>
    <w:p w:rsidR="00415B16" w:rsidRDefault="00544753" w:rsidP="00415B16">
      <w:pPr>
        <w:pStyle w:val="ListParagraph"/>
        <w:numPr>
          <w:ilvl w:val="1"/>
          <w:numId w:val="10"/>
        </w:numPr>
        <w:rPr>
          <w:szCs w:val="22"/>
          <w:lang w:eastAsia="en-AU"/>
        </w:rPr>
      </w:pPr>
      <w:r w:rsidRPr="00342432">
        <w:rPr>
          <w:szCs w:val="22"/>
          <w:lang w:eastAsia="en-AU"/>
        </w:rPr>
        <w:t xml:space="preserve">The PBAC noted that </w:t>
      </w:r>
      <w:r w:rsidR="004E32B5" w:rsidRPr="00342432">
        <w:rPr>
          <w:szCs w:val="22"/>
          <w:lang w:eastAsia="en-AU"/>
        </w:rPr>
        <w:t xml:space="preserve">using a 0.4% non-inferiority </w:t>
      </w:r>
      <w:r w:rsidR="00D36C35" w:rsidRPr="00342432">
        <w:rPr>
          <w:szCs w:val="22"/>
          <w:lang w:eastAsia="en-AU"/>
        </w:rPr>
        <w:t xml:space="preserve">margin, dapagliflozin failed to meet the non-inferiority criteria versus insulin glargine in the indirect comparison presented. </w:t>
      </w:r>
      <w:r w:rsidR="00415B16">
        <w:rPr>
          <w:szCs w:val="22"/>
          <w:lang w:eastAsia="en-AU"/>
        </w:rPr>
        <w:t xml:space="preserve">However, </w:t>
      </w:r>
      <w:r w:rsidR="00415B16" w:rsidRPr="00415B16">
        <w:rPr>
          <w:szCs w:val="22"/>
          <w:lang w:eastAsia="en-AU"/>
        </w:rPr>
        <w:t>the Committee considered that, on bala</w:t>
      </w:r>
      <w:r w:rsidR="00415B16">
        <w:rPr>
          <w:szCs w:val="22"/>
          <w:lang w:eastAsia="en-AU"/>
        </w:rPr>
        <w:t>nce, non</w:t>
      </w:r>
      <w:r w:rsidR="00415B16">
        <w:rPr>
          <w:szCs w:val="22"/>
          <w:lang w:eastAsia="en-AU"/>
        </w:rPr>
        <w:noBreakHyphen/>
      </w:r>
      <w:r w:rsidR="00415B16" w:rsidRPr="00415B16">
        <w:rPr>
          <w:szCs w:val="22"/>
          <w:lang w:eastAsia="en-AU"/>
        </w:rPr>
        <w:t>inferiority to insulin glargine could be accepted</w:t>
      </w:r>
      <w:r w:rsidR="00415B16">
        <w:rPr>
          <w:szCs w:val="22"/>
          <w:lang w:eastAsia="en-AU"/>
        </w:rPr>
        <w:t>. In forming this view, the PBAC considered the following factors:</w:t>
      </w:r>
    </w:p>
    <w:p w:rsidR="00415B16" w:rsidRPr="00415B16" w:rsidRDefault="00880A0F" w:rsidP="00415B16">
      <w:pPr>
        <w:pStyle w:val="ListParagraph"/>
        <w:numPr>
          <w:ilvl w:val="1"/>
          <w:numId w:val="4"/>
        </w:numPr>
        <w:ind w:left="1276" w:hanging="425"/>
        <w:rPr>
          <w:szCs w:val="22"/>
          <w:lang w:eastAsia="en-AU"/>
        </w:rPr>
      </w:pPr>
      <w:r w:rsidRPr="00415B16">
        <w:rPr>
          <w:szCs w:val="22"/>
          <w:lang w:eastAsia="en-AU"/>
        </w:rPr>
        <w:t>the clinical need for an oral regimen in</w:t>
      </w:r>
      <w:r>
        <w:rPr>
          <w:szCs w:val="22"/>
          <w:lang w:eastAsia="en-AU"/>
        </w:rPr>
        <w:t xml:space="preserve"> the</w:t>
      </w:r>
      <w:r w:rsidRPr="00415B16">
        <w:rPr>
          <w:szCs w:val="22"/>
          <w:lang w:eastAsia="en-AU"/>
        </w:rPr>
        <w:t xml:space="preserve"> triple therapy</w:t>
      </w:r>
      <w:r>
        <w:rPr>
          <w:szCs w:val="22"/>
          <w:lang w:eastAsia="en-AU"/>
        </w:rPr>
        <w:t xml:space="preserve"> setting</w:t>
      </w:r>
      <w:r w:rsidRPr="00415B16">
        <w:rPr>
          <w:szCs w:val="22"/>
          <w:lang w:eastAsia="en-AU"/>
        </w:rPr>
        <w:t xml:space="preserve"> </w:t>
      </w:r>
    </w:p>
    <w:p w:rsidR="00415B16" w:rsidRPr="00415B16" w:rsidRDefault="00415B16" w:rsidP="00415B16">
      <w:pPr>
        <w:pStyle w:val="ListParagraph"/>
        <w:numPr>
          <w:ilvl w:val="1"/>
          <w:numId w:val="4"/>
        </w:numPr>
        <w:ind w:left="1276" w:hanging="425"/>
        <w:rPr>
          <w:szCs w:val="22"/>
          <w:lang w:eastAsia="en-AU"/>
        </w:rPr>
      </w:pPr>
      <w:r w:rsidRPr="00415B16">
        <w:rPr>
          <w:szCs w:val="22"/>
          <w:lang w:eastAsia="en-AU"/>
        </w:rPr>
        <w:t>dapagliflozin triple oral therapy may have some clinical advantages including small reductions in body weight</w:t>
      </w:r>
      <w:r>
        <w:rPr>
          <w:szCs w:val="22"/>
          <w:lang w:eastAsia="en-AU"/>
        </w:rPr>
        <w:t xml:space="preserve"> and</w:t>
      </w:r>
      <w:r w:rsidRPr="00415B16">
        <w:rPr>
          <w:szCs w:val="22"/>
          <w:lang w:eastAsia="en-AU"/>
        </w:rPr>
        <w:t xml:space="preserve"> small improvements in systol</w:t>
      </w:r>
      <w:r>
        <w:rPr>
          <w:szCs w:val="22"/>
          <w:lang w:eastAsia="en-AU"/>
        </w:rPr>
        <w:t>ic blood pressure</w:t>
      </w:r>
      <w:r w:rsidR="00C520E4">
        <w:rPr>
          <w:szCs w:val="22"/>
          <w:lang w:eastAsia="en-AU"/>
        </w:rPr>
        <w:t>; and</w:t>
      </w:r>
    </w:p>
    <w:p w:rsidR="00415B16" w:rsidRDefault="00D36C35" w:rsidP="00415B16">
      <w:pPr>
        <w:pStyle w:val="ListParagraph"/>
        <w:numPr>
          <w:ilvl w:val="1"/>
          <w:numId w:val="4"/>
        </w:numPr>
        <w:ind w:left="1276" w:hanging="425"/>
        <w:rPr>
          <w:szCs w:val="22"/>
          <w:lang w:eastAsia="en-AU"/>
        </w:rPr>
      </w:pPr>
      <w:r w:rsidRPr="00342432">
        <w:rPr>
          <w:szCs w:val="22"/>
          <w:lang w:eastAsia="en-AU"/>
        </w:rPr>
        <w:t xml:space="preserve">the upper bound of the 95% confidence interval was 0.43% and thus approached non-inferiority (% change in HbA1c of 0.16 [95% CI: -0.11, -0.43]). </w:t>
      </w:r>
      <w:r w:rsidR="00C81A5D">
        <w:rPr>
          <w:szCs w:val="22"/>
          <w:lang w:eastAsia="en-AU"/>
        </w:rPr>
        <w:t>Th</w:t>
      </w:r>
      <w:r w:rsidRPr="00342432">
        <w:rPr>
          <w:szCs w:val="22"/>
          <w:lang w:eastAsia="en-AU"/>
        </w:rPr>
        <w:t xml:space="preserve">e PBAC </w:t>
      </w:r>
      <w:r w:rsidR="005473B3" w:rsidRPr="005473B3">
        <w:rPr>
          <w:szCs w:val="22"/>
          <w:lang w:eastAsia="en-AU"/>
        </w:rPr>
        <w:t>agreed with the ESC that</w:t>
      </w:r>
      <w:r w:rsidR="005473B3">
        <w:rPr>
          <w:szCs w:val="22"/>
          <w:lang w:eastAsia="en-AU"/>
        </w:rPr>
        <w:t xml:space="preserve"> the </w:t>
      </w:r>
      <w:r w:rsidR="005473B3" w:rsidRPr="005473B3">
        <w:rPr>
          <w:szCs w:val="22"/>
          <w:lang w:eastAsia="en-AU"/>
        </w:rPr>
        <w:t>heterogeneity between the trials for insulin and dapagliflozin would affect the precision of the estimate of change in HbA1c</w:t>
      </w:r>
      <w:r w:rsidR="005473B3">
        <w:rPr>
          <w:szCs w:val="22"/>
          <w:lang w:eastAsia="en-AU"/>
        </w:rPr>
        <w:t xml:space="preserve">, noting that it </w:t>
      </w:r>
      <w:r w:rsidR="00495447">
        <w:rPr>
          <w:szCs w:val="22"/>
          <w:lang w:eastAsia="en-AU"/>
        </w:rPr>
        <w:t>was</w:t>
      </w:r>
      <w:r w:rsidR="000C2528" w:rsidRPr="00342432">
        <w:rPr>
          <w:szCs w:val="22"/>
          <w:lang w:eastAsia="en-AU"/>
        </w:rPr>
        <w:t xml:space="preserve"> difficult to determine the magnitude and direction of </w:t>
      </w:r>
      <w:r w:rsidR="000C2528" w:rsidRPr="00342432">
        <w:rPr>
          <w:szCs w:val="22"/>
          <w:lang w:eastAsia="en-AU"/>
        </w:rPr>
        <w:lastRenderedPageBreak/>
        <w:t>any bias inhe</w:t>
      </w:r>
      <w:r w:rsidR="00495447">
        <w:rPr>
          <w:szCs w:val="22"/>
          <w:lang w:eastAsia="en-AU"/>
        </w:rPr>
        <w:t>rent in the indirect comparison.</w:t>
      </w:r>
      <w:r w:rsidR="000C2528" w:rsidRPr="00342432">
        <w:rPr>
          <w:szCs w:val="22"/>
          <w:lang w:eastAsia="en-AU"/>
        </w:rPr>
        <w:t xml:space="preserve"> </w:t>
      </w:r>
    </w:p>
    <w:p w:rsidR="00342432" w:rsidRPr="00342432" w:rsidRDefault="00342432" w:rsidP="00342432">
      <w:pPr>
        <w:pStyle w:val="ListParagraph"/>
        <w:rPr>
          <w:szCs w:val="22"/>
          <w:lang w:eastAsia="en-AU"/>
        </w:rPr>
      </w:pPr>
    </w:p>
    <w:p w:rsidR="00213D2A" w:rsidRPr="00213D2A" w:rsidRDefault="004F6A01" w:rsidP="00A453E4">
      <w:pPr>
        <w:pStyle w:val="ListParagraph"/>
        <w:widowControl/>
        <w:numPr>
          <w:ilvl w:val="1"/>
          <w:numId w:val="1"/>
        </w:numPr>
        <w:rPr>
          <w:i/>
          <w:szCs w:val="22"/>
        </w:rPr>
      </w:pPr>
      <w:r w:rsidRPr="00A453E4">
        <w:rPr>
          <w:rFonts w:cs="Times New Roman"/>
          <w:szCs w:val="22"/>
          <w:lang w:eastAsia="en-AU"/>
        </w:rPr>
        <w:t xml:space="preserve">The PBAC </w:t>
      </w:r>
      <w:r w:rsidR="00977C1F">
        <w:rPr>
          <w:rFonts w:cs="Times New Roman"/>
          <w:szCs w:val="22"/>
          <w:lang w:eastAsia="en-AU"/>
        </w:rPr>
        <w:t>considered that dapagliflozin has a different, but not worse</w:t>
      </w:r>
      <w:r w:rsidR="00F906FE">
        <w:rPr>
          <w:rFonts w:cs="Times New Roman"/>
          <w:szCs w:val="22"/>
          <w:lang w:eastAsia="en-AU"/>
        </w:rPr>
        <w:t xml:space="preserve">, </w:t>
      </w:r>
      <w:r w:rsidR="00977C1F">
        <w:rPr>
          <w:rFonts w:cs="Times New Roman"/>
          <w:szCs w:val="22"/>
          <w:lang w:eastAsia="en-AU"/>
        </w:rPr>
        <w:t>safety profile than insulin glargine</w:t>
      </w:r>
      <w:r w:rsidR="00213D2A">
        <w:rPr>
          <w:rFonts w:cs="Times New Roman"/>
          <w:szCs w:val="22"/>
          <w:lang w:eastAsia="en-AU"/>
        </w:rPr>
        <w:t xml:space="preserve"> as measured by the occurrence of adverse events, significant adverse events and discontinuations due to adverse events. </w:t>
      </w:r>
    </w:p>
    <w:p w:rsidR="005B5330" w:rsidRPr="005B5330" w:rsidRDefault="005B5330" w:rsidP="005B5330">
      <w:pPr>
        <w:pStyle w:val="ListParagraph"/>
        <w:rPr>
          <w:rFonts w:cs="Times New Roman"/>
          <w:szCs w:val="22"/>
          <w:lang w:eastAsia="en-AU"/>
        </w:rPr>
      </w:pPr>
    </w:p>
    <w:p w:rsidR="002605C9" w:rsidRPr="00C4168D" w:rsidRDefault="00AB583B" w:rsidP="00C4168D">
      <w:pPr>
        <w:pStyle w:val="ListParagraph"/>
        <w:widowControl/>
        <w:numPr>
          <w:ilvl w:val="1"/>
          <w:numId w:val="1"/>
        </w:numPr>
        <w:rPr>
          <w:i/>
          <w:szCs w:val="22"/>
        </w:rPr>
      </w:pPr>
      <w:r>
        <w:rPr>
          <w:bCs/>
        </w:rPr>
        <w:t xml:space="preserve">The </w:t>
      </w:r>
      <w:r w:rsidR="00CF149A">
        <w:rPr>
          <w:bCs/>
        </w:rPr>
        <w:t xml:space="preserve">PBAC considered that the increased incidence of UTIs and genital infections observed </w:t>
      </w:r>
      <w:r w:rsidR="008316CA">
        <w:rPr>
          <w:bCs/>
        </w:rPr>
        <w:t>with</w:t>
      </w:r>
      <w:r w:rsidR="00CF149A">
        <w:rPr>
          <w:bCs/>
        </w:rPr>
        <w:t xml:space="preserve"> dapagliflozin in dual therapy (with metformin or a sulfonylurea) was </w:t>
      </w:r>
      <w:r w:rsidR="006D26E7">
        <w:rPr>
          <w:bCs/>
        </w:rPr>
        <w:t xml:space="preserve">also </w:t>
      </w:r>
      <w:r w:rsidR="00CF149A">
        <w:rPr>
          <w:bCs/>
        </w:rPr>
        <w:t xml:space="preserve">likely to </w:t>
      </w:r>
      <w:r w:rsidR="008316CA">
        <w:rPr>
          <w:bCs/>
        </w:rPr>
        <w:t>occur</w:t>
      </w:r>
      <w:r w:rsidR="00CF149A">
        <w:rPr>
          <w:bCs/>
        </w:rPr>
        <w:t xml:space="preserve"> in the triple therapy setting. </w:t>
      </w:r>
      <w:r w:rsidR="00F906FE">
        <w:rPr>
          <w:bCs/>
        </w:rPr>
        <w:t>W</w:t>
      </w:r>
      <w:r w:rsidR="008316CA">
        <w:rPr>
          <w:bCs/>
        </w:rPr>
        <w:t>hile the indirect comparison indicated that there was no statistically significant difference in the incidence of UTIs between dapagliflozin and insulin glargine</w:t>
      </w:r>
      <w:r w:rsidR="00F906FE">
        <w:rPr>
          <w:bCs/>
        </w:rPr>
        <w:t xml:space="preserve"> in the triple therapy setting</w:t>
      </w:r>
      <w:r w:rsidR="008316CA">
        <w:rPr>
          <w:bCs/>
        </w:rPr>
        <w:t>, th</w:t>
      </w:r>
      <w:r w:rsidR="00F906FE">
        <w:rPr>
          <w:bCs/>
        </w:rPr>
        <w:t>e PBAC considered that th</w:t>
      </w:r>
      <w:r w:rsidR="008316CA">
        <w:rPr>
          <w:bCs/>
        </w:rPr>
        <w:t xml:space="preserve">is may have been driven by the high rates of UTIs in the placebo arm of the dapagliflozin trial (CT005). Further, while an indirect comparison couldn’t </w:t>
      </w:r>
      <w:r w:rsidR="00E54659" w:rsidRPr="00A453E4">
        <w:rPr>
          <w:bCs/>
        </w:rPr>
        <w:t xml:space="preserve">be conducted for genital </w:t>
      </w:r>
      <w:r w:rsidR="00A453E4" w:rsidRPr="00A453E4">
        <w:rPr>
          <w:bCs/>
        </w:rPr>
        <w:t>infections</w:t>
      </w:r>
      <w:r w:rsidR="008316CA">
        <w:rPr>
          <w:bCs/>
        </w:rPr>
        <w:t>,</w:t>
      </w:r>
      <w:r w:rsidR="00E54659" w:rsidRPr="00A453E4">
        <w:rPr>
          <w:bCs/>
        </w:rPr>
        <w:t xml:space="preserve"> </w:t>
      </w:r>
      <w:r>
        <w:rPr>
          <w:bCs/>
        </w:rPr>
        <w:t>the PBAC noted that</w:t>
      </w:r>
      <w:r w:rsidR="00E54659" w:rsidRPr="00A453E4">
        <w:rPr>
          <w:bCs/>
        </w:rPr>
        <w:t xml:space="preserve"> dapagliflozin</w:t>
      </w:r>
      <w:r w:rsidR="005B5330">
        <w:rPr>
          <w:bCs/>
        </w:rPr>
        <w:t xml:space="preserve"> </w:t>
      </w:r>
      <w:r w:rsidR="00E54659" w:rsidRPr="00A453E4">
        <w:rPr>
          <w:bCs/>
        </w:rPr>
        <w:t>is associated with a higher rate of genital infections compared with placebo</w:t>
      </w:r>
      <w:r w:rsidR="008316CA">
        <w:rPr>
          <w:bCs/>
        </w:rPr>
        <w:t>.</w:t>
      </w:r>
      <w:r w:rsidR="00E54659" w:rsidRPr="00A453E4">
        <w:rPr>
          <w:bCs/>
        </w:rPr>
        <w:t xml:space="preserve"> </w:t>
      </w:r>
    </w:p>
    <w:p w:rsidR="00E54659" w:rsidRPr="00E54659" w:rsidRDefault="00E54659" w:rsidP="00E54659">
      <w:pPr>
        <w:widowControl/>
        <w:snapToGrid w:val="0"/>
        <w:rPr>
          <w:rFonts w:cs="Times New Roman"/>
          <w:szCs w:val="22"/>
          <w:lang w:eastAsia="en-AU"/>
        </w:rPr>
      </w:pPr>
    </w:p>
    <w:p w:rsidR="00F906FE" w:rsidRPr="00F906FE" w:rsidRDefault="00F906FE" w:rsidP="00F906FE">
      <w:pPr>
        <w:pStyle w:val="ListParagraph"/>
        <w:numPr>
          <w:ilvl w:val="1"/>
          <w:numId w:val="10"/>
        </w:numPr>
        <w:rPr>
          <w:rFonts w:cs="Times New Roman"/>
          <w:szCs w:val="22"/>
          <w:lang w:eastAsia="en-AU"/>
        </w:rPr>
      </w:pPr>
      <w:r w:rsidRPr="00F906FE">
        <w:rPr>
          <w:rFonts w:cs="Times New Roman"/>
          <w:szCs w:val="22"/>
          <w:lang w:eastAsia="en-AU"/>
        </w:rPr>
        <w:t xml:space="preserve">With regard to the comparison against exenatide, the PBAC considered that the indirect comparison was not interpretable due to the significant differences between the dapagliflozin and exenatide trials, including in patient baseline characteristics and doses of background therapies (particularly sulfonylurea doses). This heterogeneity was demonstrated by the large variation in placebo responses between the dapagliflozin trial (CT005) and the exenatide trial (Trial 115). Therefore, the PBAC could not reach a conclusion regarding the comparative efficacy and safety of dapagliflozin and exenatide (both in combination with metformin and a sulfonylurea). </w:t>
      </w:r>
    </w:p>
    <w:p w:rsidR="00415B16" w:rsidRDefault="00415B16" w:rsidP="00415B16">
      <w:pPr>
        <w:pStyle w:val="ListParagraph"/>
        <w:widowControl/>
        <w:snapToGrid w:val="0"/>
        <w:jc w:val="left"/>
        <w:rPr>
          <w:rFonts w:cs="Times New Roman"/>
          <w:szCs w:val="22"/>
          <w:lang w:eastAsia="en-AU"/>
        </w:rPr>
      </w:pPr>
    </w:p>
    <w:p w:rsidR="004E32B5" w:rsidRPr="004E32B5" w:rsidRDefault="00F906FE" w:rsidP="004E32B5">
      <w:pPr>
        <w:pStyle w:val="ListParagraph"/>
        <w:widowControl/>
        <w:numPr>
          <w:ilvl w:val="1"/>
          <w:numId w:val="10"/>
        </w:numPr>
        <w:snapToGrid w:val="0"/>
        <w:jc w:val="left"/>
        <w:rPr>
          <w:rFonts w:cs="Times New Roman"/>
          <w:szCs w:val="22"/>
          <w:lang w:eastAsia="en-AU"/>
        </w:rPr>
      </w:pPr>
      <w:r>
        <w:rPr>
          <w:rFonts w:cs="Times New Roman"/>
          <w:szCs w:val="22"/>
          <w:lang w:eastAsia="en-AU"/>
        </w:rPr>
        <w:t>Therefore</w:t>
      </w:r>
      <w:r w:rsidR="004E32B5">
        <w:rPr>
          <w:rFonts w:cs="Times New Roman"/>
          <w:szCs w:val="22"/>
          <w:lang w:eastAsia="en-AU"/>
        </w:rPr>
        <w:t>, the</w:t>
      </w:r>
      <w:r w:rsidR="004E32B5" w:rsidRPr="004E32B5">
        <w:rPr>
          <w:rFonts w:cs="Times New Roman"/>
          <w:szCs w:val="22"/>
          <w:lang w:eastAsia="en-AU"/>
        </w:rPr>
        <w:t xml:space="preserve"> PBAC agreed with the ESC that it </w:t>
      </w:r>
      <w:r>
        <w:rPr>
          <w:rFonts w:cs="Times New Roman"/>
          <w:szCs w:val="22"/>
          <w:lang w:eastAsia="en-AU"/>
        </w:rPr>
        <w:t>would be appropriate</w:t>
      </w:r>
      <w:r w:rsidR="00515819">
        <w:rPr>
          <w:rFonts w:cs="Times New Roman"/>
          <w:szCs w:val="22"/>
          <w:lang w:eastAsia="en-AU"/>
        </w:rPr>
        <w:t xml:space="preserve"> to conduct the cost </w:t>
      </w:r>
      <w:r w:rsidR="004E32B5" w:rsidRPr="004E32B5">
        <w:rPr>
          <w:rFonts w:cs="Times New Roman"/>
          <w:szCs w:val="22"/>
          <w:lang w:eastAsia="en-AU"/>
        </w:rPr>
        <w:t>analysis against insulin glargine only.</w:t>
      </w:r>
    </w:p>
    <w:p w:rsidR="008316CA" w:rsidRDefault="008316CA" w:rsidP="00BC1D5F">
      <w:pPr>
        <w:widowControl/>
        <w:rPr>
          <w:rFonts w:cs="Times New Roman"/>
          <w:szCs w:val="22"/>
          <w:lang w:eastAsia="en-AU"/>
        </w:rPr>
      </w:pPr>
    </w:p>
    <w:p w:rsidR="008316CA" w:rsidRDefault="008316CA" w:rsidP="008316CA">
      <w:pPr>
        <w:pStyle w:val="ListParagraph"/>
        <w:widowControl/>
        <w:numPr>
          <w:ilvl w:val="1"/>
          <w:numId w:val="1"/>
        </w:numPr>
        <w:rPr>
          <w:szCs w:val="22"/>
        </w:rPr>
      </w:pPr>
      <w:r>
        <w:rPr>
          <w:szCs w:val="22"/>
        </w:rPr>
        <w:t>The PBAC provided the following comments as to the suitability of each of the cost</w:t>
      </w:r>
      <w:r>
        <w:rPr>
          <w:szCs w:val="22"/>
        </w:rPr>
        <w:noBreakHyphen/>
        <w:t>offsets claimed in the submission</w:t>
      </w:r>
      <w:r w:rsidR="00295613">
        <w:rPr>
          <w:szCs w:val="22"/>
        </w:rPr>
        <w:t xml:space="preserve"> compared to insulin glargine.</w:t>
      </w:r>
    </w:p>
    <w:p w:rsidR="008316CA" w:rsidRDefault="008316CA" w:rsidP="008316CA">
      <w:pPr>
        <w:pStyle w:val="ListParagraph"/>
        <w:rPr>
          <w:szCs w:val="22"/>
        </w:rPr>
      </w:pPr>
    </w:p>
    <w:p w:rsidR="008316CA" w:rsidRPr="006F1F6A" w:rsidRDefault="008316CA" w:rsidP="008316CA">
      <w:pPr>
        <w:pStyle w:val="ListParagraph"/>
        <w:keepNext/>
        <w:keepLines/>
        <w:rPr>
          <w:rFonts w:ascii="Arial Narrow" w:hAnsi="Arial Narrow"/>
          <w:b/>
          <w:sz w:val="20"/>
          <w:szCs w:val="22"/>
        </w:rPr>
      </w:pPr>
      <w:r w:rsidRPr="006F1F6A">
        <w:rPr>
          <w:rFonts w:ascii="Arial Narrow" w:hAnsi="Arial Narrow"/>
          <w:b/>
          <w:sz w:val="20"/>
          <w:szCs w:val="22"/>
        </w:rPr>
        <w:lastRenderedPageBreak/>
        <w:t>PBAC recommendation on each cost-offset presented in the submission</w:t>
      </w:r>
      <w:r w:rsidR="00295613">
        <w:rPr>
          <w:rFonts w:ascii="Arial Narrow" w:hAnsi="Arial Narrow"/>
          <w:b/>
          <w:sz w:val="20"/>
          <w:szCs w:val="22"/>
        </w:rPr>
        <w:t xml:space="preserve"> (compared to insulin glargine)</w:t>
      </w:r>
    </w:p>
    <w:tbl>
      <w:tblPr>
        <w:tblStyle w:val="TableGrid"/>
        <w:tblW w:w="0" w:type="auto"/>
        <w:tblInd w:w="720" w:type="dxa"/>
        <w:tblLook w:val="04A0" w:firstRow="1" w:lastRow="0" w:firstColumn="1" w:lastColumn="0" w:noHBand="0" w:noVBand="1"/>
      </w:tblPr>
      <w:tblGrid>
        <w:gridCol w:w="2649"/>
        <w:gridCol w:w="5873"/>
      </w:tblGrid>
      <w:tr w:rsidR="008316CA" w:rsidTr="008316CA">
        <w:tc>
          <w:tcPr>
            <w:tcW w:w="2649" w:type="dxa"/>
          </w:tcPr>
          <w:p w:rsidR="008316CA" w:rsidRPr="006F1F6A" w:rsidRDefault="008316CA" w:rsidP="005473B3">
            <w:pPr>
              <w:pStyle w:val="ListParagraph"/>
              <w:keepNext/>
              <w:keepLines/>
              <w:ind w:left="0"/>
              <w:rPr>
                <w:rFonts w:ascii="Arial Narrow" w:hAnsi="Arial Narrow"/>
                <w:b/>
                <w:sz w:val="20"/>
                <w:szCs w:val="22"/>
              </w:rPr>
            </w:pPr>
            <w:r w:rsidRPr="006F1F6A">
              <w:rPr>
                <w:rFonts w:ascii="Arial Narrow" w:hAnsi="Arial Narrow"/>
                <w:b/>
                <w:sz w:val="20"/>
                <w:szCs w:val="22"/>
              </w:rPr>
              <w:t>Cost-offset</w:t>
            </w:r>
            <w:r>
              <w:rPr>
                <w:rFonts w:ascii="Arial Narrow" w:hAnsi="Arial Narrow"/>
                <w:b/>
                <w:sz w:val="20"/>
                <w:szCs w:val="22"/>
              </w:rPr>
              <w:t xml:space="preserve"> claimed in the submission</w:t>
            </w:r>
          </w:p>
        </w:tc>
        <w:tc>
          <w:tcPr>
            <w:tcW w:w="5873" w:type="dxa"/>
          </w:tcPr>
          <w:p w:rsidR="008316CA" w:rsidRPr="006F1F6A" w:rsidRDefault="008316CA" w:rsidP="005473B3">
            <w:pPr>
              <w:pStyle w:val="ListParagraph"/>
              <w:keepNext/>
              <w:keepLines/>
              <w:ind w:left="0"/>
              <w:rPr>
                <w:rFonts w:ascii="Arial Narrow" w:hAnsi="Arial Narrow"/>
                <w:b/>
                <w:sz w:val="20"/>
                <w:szCs w:val="22"/>
              </w:rPr>
            </w:pPr>
            <w:r w:rsidRPr="006F1F6A">
              <w:rPr>
                <w:rFonts w:ascii="Arial Narrow" w:hAnsi="Arial Narrow"/>
                <w:b/>
                <w:sz w:val="20"/>
                <w:szCs w:val="22"/>
              </w:rPr>
              <w:t>PBAC recommendation</w:t>
            </w:r>
          </w:p>
        </w:tc>
      </w:tr>
      <w:tr w:rsidR="008316CA" w:rsidTr="008316CA">
        <w:tc>
          <w:tcPr>
            <w:tcW w:w="2649" w:type="dxa"/>
          </w:tcPr>
          <w:p w:rsidR="008316CA" w:rsidRPr="008829FD" w:rsidRDefault="008316CA" w:rsidP="00F906FE">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GP consultation of 1 more/year</w:t>
            </w:r>
            <w:r>
              <w:rPr>
                <w:rFonts w:ascii="Arial Narrow" w:hAnsi="Arial Narrow" w:cs="Aharoni"/>
                <w:sz w:val="20"/>
                <w:szCs w:val="22"/>
              </w:rPr>
              <w:t xml:space="preserve"> for initiation phase and 1 more/year for titration phase</w:t>
            </w:r>
          </w:p>
        </w:tc>
        <w:tc>
          <w:tcPr>
            <w:tcW w:w="5873" w:type="dxa"/>
          </w:tcPr>
          <w:p w:rsidR="008316CA" w:rsidRPr="008829FD" w:rsidRDefault="008316CA" w:rsidP="00F906FE">
            <w:pPr>
              <w:keepNext/>
              <w:keepLines/>
              <w:jc w:val="left"/>
              <w:rPr>
                <w:rFonts w:ascii="Arial Narrow" w:hAnsi="Arial Narrow" w:cs="Aharoni"/>
                <w:sz w:val="20"/>
                <w:szCs w:val="22"/>
              </w:rPr>
            </w:pPr>
            <w:r w:rsidRPr="008829FD">
              <w:rPr>
                <w:rFonts w:ascii="Arial Narrow" w:hAnsi="Arial Narrow" w:cs="Aharoni"/>
                <w:sz w:val="20"/>
                <w:szCs w:val="22"/>
              </w:rPr>
              <w:t xml:space="preserve">The PBAC did not accept </w:t>
            </w:r>
            <w:r>
              <w:rPr>
                <w:rFonts w:ascii="Arial Narrow" w:hAnsi="Arial Narrow" w:cs="Aharoni"/>
                <w:sz w:val="20"/>
                <w:szCs w:val="22"/>
              </w:rPr>
              <w:t xml:space="preserve">the claim of </w:t>
            </w:r>
            <w:r w:rsidRPr="008829FD">
              <w:rPr>
                <w:rFonts w:ascii="Arial Narrow" w:hAnsi="Arial Narrow" w:cs="Aharoni"/>
                <w:sz w:val="20"/>
                <w:szCs w:val="22"/>
              </w:rPr>
              <w:t>one additional GP consultation</w:t>
            </w:r>
            <w:r>
              <w:rPr>
                <w:rFonts w:ascii="Arial Narrow" w:hAnsi="Arial Narrow" w:cs="Aharoni"/>
                <w:sz w:val="20"/>
                <w:szCs w:val="22"/>
              </w:rPr>
              <w:t xml:space="preserve"> in either phase</w:t>
            </w:r>
            <w:r w:rsidRPr="008829FD">
              <w:rPr>
                <w:rFonts w:ascii="Arial Narrow" w:hAnsi="Arial Narrow" w:cs="Aharoni"/>
                <w:sz w:val="20"/>
                <w:szCs w:val="22"/>
              </w:rPr>
              <w:t xml:space="preserve"> </w:t>
            </w:r>
            <w:r>
              <w:rPr>
                <w:rFonts w:ascii="Arial Narrow" w:hAnsi="Arial Narrow" w:cs="Aharoni"/>
                <w:sz w:val="20"/>
                <w:szCs w:val="22"/>
              </w:rPr>
              <w:t xml:space="preserve">because no evidence was provided to justify the </w:t>
            </w:r>
            <w:r w:rsidRPr="008829FD">
              <w:rPr>
                <w:rFonts w:ascii="Arial Narrow" w:hAnsi="Arial Narrow" w:cs="Aharoni"/>
                <w:sz w:val="20"/>
                <w:szCs w:val="22"/>
              </w:rPr>
              <w:t xml:space="preserve">change in the number of GP visits. </w:t>
            </w:r>
            <w:r>
              <w:rPr>
                <w:rFonts w:ascii="Arial Narrow" w:hAnsi="Arial Narrow" w:cs="Aharoni"/>
                <w:sz w:val="20"/>
                <w:szCs w:val="22"/>
              </w:rPr>
              <w:t xml:space="preserve"> </w:t>
            </w:r>
          </w:p>
        </w:tc>
      </w:tr>
      <w:tr w:rsidR="008316CA" w:rsidTr="008316CA">
        <w:tc>
          <w:tcPr>
            <w:tcW w:w="2649" w:type="dxa"/>
          </w:tcPr>
          <w:p w:rsidR="008316CA" w:rsidRPr="008829FD" w:rsidRDefault="008316CA" w:rsidP="00F906FE">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Endocrinologist visit of 1 less/year</w:t>
            </w:r>
          </w:p>
        </w:tc>
        <w:tc>
          <w:tcPr>
            <w:tcW w:w="5873" w:type="dxa"/>
          </w:tcPr>
          <w:p w:rsidR="008316CA" w:rsidRPr="008829FD" w:rsidRDefault="008316CA" w:rsidP="00295613">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 xml:space="preserve">The PBAC did not accept one less endocrinologist consultation as it was inadequately supported. </w:t>
            </w:r>
            <w:r>
              <w:rPr>
                <w:rFonts w:ascii="Arial Narrow" w:hAnsi="Arial Narrow" w:cs="Aharoni"/>
                <w:sz w:val="20"/>
                <w:szCs w:val="22"/>
              </w:rPr>
              <w:t xml:space="preserve">The PBAC noted that this cost offset was based on </w:t>
            </w:r>
            <w:r w:rsidR="00295613">
              <w:rPr>
                <w:rFonts w:ascii="Arial Narrow" w:hAnsi="Arial Narrow" w:cs="Aharoni"/>
                <w:sz w:val="20"/>
                <w:szCs w:val="22"/>
              </w:rPr>
              <w:t xml:space="preserve">a study of </w:t>
            </w:r>
            <w:r>
              <w:rPr>
                <w:rFonts w:ascii="Arial Narrow" w:hAnsi="Arial Narrow" w:cs="Aharoni"/>
                <w:sz w:val="20"/>
                <w:szCs w:val="22"/>
              </w:rPr>
              <w:t>practice patterns observed at Westmead hospital in Sydney</w:t>
            </w:r>
            <w:r w:rsidR="00295613">
              <w:rPr>
                <w:rFonts w:ascii="Arial Narrow" w:hAnsi="Arial Narrow" w:cs="Aharoni"/>
                <w:sz w:val="20"/>
                <w:szCs w:val="22"/>
              </w:rPr>
              <w:t>.</w:t>
            </w:r>
            <w:r>
              <w:rPr>
                <w:rFonts w:ascii="Arial Narrow" w:hAnsi="Arial Narrow" w:cs="Aharoni"/>
                <w:sz w:val="20"/>
                <w:szCs w:val="22"/>
              </w:rPr>
              <w:t xml:space="preserve"> </w:t>
            </w:r>
            <w:r w:rsidR="00295613">
              <w:rPr>
                <w:rFonts w:ascii="Arial Narrow" w:hAnsi="Arial Narrow" w:cs="Aharoni"/>
                <w:sz w:val="20"/>
                <w:szCs w:val="22"/>
              </w:rPr>
              <w:t>H</w:t>
            </w:r>
            <w:r>
              <w:rPr>
                <w:rFonts w:ascii="Arial Narrow" w:hAnsi="Arial Narrow" w:cs="Aharoni"/>
                <w:sz w:val="20"/>
                <w:szCs w:val="22"/>
              </w:rPr>
              <w:t xml:space="preserve">owever this study was conducted five years ago. The PBAC considered that the number of endocrinologist visits may have changed since this time.  </w:t>
            </w:r>
          </w:p>
        </w:tc>
      </w:tr>
      <w:tr w:rsidR="008316CA" w:rsidRPr="00295613" w:rsidTr="008316CA">
        <w:tc>
          <w:tcPr>
            <w:tcW w:w="2649" w:type="dxa"/>
          </w:tcPr>
          <w:p w:rsidR="008316CA" w:rsidRPr="008829FD" w:rsidRDefault="008316CA" w:rsidP="00F906FE">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Diabetes educator visits of 1 less/year for initiation and 4 less/year for titration</w:t>
            </w:r>
          </w:p>
        </w:tc>
        <w:tc>
          <w:tcPr>
            <w:tcW w:w="5873" w:type="dxa"/>
          </w:tcPr>
          <w:p w:rsidR="008316CA" w:rsidRPr="00295613" w:rsidRDefault="008316CA" w:rsidP="00295613">
            <w:pPr>
              <w:pStyle w:val="ListParagraph"/>
              <w:keepNext/>
              <w:keepLines/>
              <w:ind w:left="0"/>
              <w:jc w:val="left"/>
              <w:rPr>
                <w:rFonts w:ascii="Arial Narrow" w:hAnsi="Arial Narrow" w:cs="Aharoni"/>
                <w:sz w:val="20"/>
                <w:szCs w:val="22"/>
              </w:rPr>
            </w:pPr>
            <w:r w:rsidRPr="00295613">
              <w:rPr>
                <w:rFonts w:ascii="Arial Narrow" w:hAnsi="Arial Narrow" w:cs="Aharoni"/>
                <w:sz w:val="20"/>
                <w:szCs w:val="22"/>
              </w:rPr>
              <w:t xml:space="preserve">The PBAC </w:t>
            </w:r>
            <w:r w:rsidR="00295613">
              <w:rPr>
                <w:rFonts w:ascii="Arial Narrow" w:hAnsi="Arial Narrow" w:cs="Aharoni"/>
                <w:sz w:val="20"/>
                <w:szCs w:val="22"/>
              </w:rPr>
              <w:t xml:space="preserve">did not accept that there would be 5 less diabetes educator visits (1 at initiation and 4 for titration) every year, </w:t>
            </w:r>
            <w:r w:rsidRPr="00295613">
              <w:rPr>
                <w:rFonts w:ascii="Arial Narrow" w:hAnsi="Arial Narrow" w:cs="Aharoni"/>
                <w:sz w:val="20"/>
                <w:szCs w:val="22"/>
              </w:rPr>
              <w:t xml:space="preserve">as patients </w:t>
            </w:r>
            <w:r w:rsidR="00295613">
              <w:rPr>
                <w:rFonts w:ascii="Arial Narrow" w:hAnsi="Arial Narrow" w:cs="Aharoni"/>
                <w:sz w:val="20"/>
                <w:szCs w:val="22"/>
              </w:rPr>
              <w:t xml:space="preserve">are </w:t>
            </w:r>
            <w:r w:rsidR="00AC65F2" w:rsidRPr="00295613">
              <w:rPr>
                <w:rFonts w:ascii="Arial Narrow" w:hAnsi="Arial Narrow" w:cs="Aharoni"/>
                <w:sz w:val="20"/>
                <w:szCs w:val="22"/>
              </w:rPr>
              <w:t>likely</w:t>
            </w:r>
            <w:r w:rsidRPr="00295613">
              <w:rPr>
                <w:rFonts w:ascii="Arial Narrow" w:hAnsi="Arial Narrow" w:cs="Aharoni"/>
                <w:sz w:val="20"/>
                <w:szCs w:val="22"/>
              </w:rPr>
              <w:t xml:space="preserve"> to</w:t>
            </w:r>
            <w:r w:rsidR="00295613">
              <w:rPr>
                <w:rFonts w:ascii="Arial Narrow" w:hAnsi="Arial Narrow" w:cs="Aharoni"/>
                <w:sz w:val="20"/>
                <w:szCs w:val="22"/>
              </w:rPr>
              <w:t xml:space="preserve"> continue to be referred to </w:t>
            </w:r>
            <w:r w:rsidRPr="00295613">
              <w:rPr>
                <w:rFonts w:ascii="Arial Narrow" w:hAnsi="Arial Narrow" w:cs="Aharoni"/>
                <w:sz w:val="20"/>
                <w:szCs w:val="22"/>
              </w:rPr>
              <w:t xml:space="preserve">a diabetes educator for </w:t>
            </w:r>
            <w:r w:rsidR="00295613">
              <w:rPr>
                <w:rFonts w:ascii="Arial Narrow" w:hAnsi="Arial Narrow" w:cs="Aharoni"/>
                <w:sz w:val="20"/>
                <w:szCs w:val="22"/>
              </w:rPr>
              <w:t>diabetes related issues other than injection technique and insulin dose titration.  However the PBAC considered that a cost offset for one less diabetes educator visit a year would be reasonable.</w:t>
            </w:r>
          </w:p>
        </w:tc>
      </w:tr>
      <w:tr w:rsidR="008316CA" w:rsidTr="008316CA">
        <w:tc>
          <w:tcPr>
            <w:tcW w:w="2649" w:type="dxa"/>
          </w:tcPr>
          <w:p w:rsidR="008316CA" w:rsidRPr="008829FD" w:rsidRDefault="008316CA" w:rsidP="00F906FE">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Glucose test strips of 1 less/day</w:t>
            </w:r>
          </w:p>
        </w:tc>
        <w:tc>
          <w:tcPr>
            <w:tcW w:w="5873" w:type="dxa"/>
          </w:tcPr>
          <w:p w:rsidR="008316CA" w:rsidRPr="008829FD" w:rsidRDefault="008316CA" w:rsidP="00F906FE">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 xml:space="preserve">The PBAC accepted the cost offset for one less glucose indicator strip per day and noted that the sponsor </w:t>
            </w:r>
            <w:r w:rsidR="00920DAE">
              <w:rPr>
                <w:rFonts w:ascii="Arial Narrow" w:hAnsi="Arial Narrow" w:cs="Aharoni"/>
                <w:sz w:val="20"/>
                <w:szCs w:val="22"/>
              </w:rPr>
              <w:t xml:space="preserve">had </w:t>
            </w:r>
            <w:r w:rsidRPr="008829FD">
              <w:rPr>
                <w:rFonts w:ascii="Arial Narrow" w:hAnsi="Arial Narrow" w:cs="Aharoni"/>
                <w:sz w:val="20"/>
                <w:szCs w:val="22"/>
              </w:rPr>
              <w:t xml:space="preserve">agreed to weight the cost of test strips between PBS and NDSS use. </w:t>
            </w:r>
          </w:p>
        </w:tc>
      </w:tr>
      <w:tr w:rsidR="008316CA" w:rsidTr="008316CA">
        <w:tc>
          <w:tcPr>
            <w:tcW w:w="2649" w:type="dxa"/>
          </w:tcPr>
          <w:p w:rsidR="008316CA" w:rsidRPr="008829FD" w:rsidRDefault="008316CA" w:rsidP="00F906FE">
            <w:pPr>
              <w:pStyle w:val="ListParagraph"/>
              <w:keepNext/>
              <w:keepLines/>
              <w:ind w:left="0"/>
              <w:jc w:val="left"/>
              <w:rPr>
                <w:rFonts w:ascii="Arial Narrow" w:hAnsi="Arial Narrow" w:cs="Aharoni"/>
                <w:sz w:val="20"/>
                <w:szCs w:val="22"/>
              </w:rPr>
            </w:pPr>
            <w:r w:rsidRPr="008829FD">
              <w:rPr>
                <w:rFonts w:ascii="Arial Narrow" w:hAnsi="Arial Narrow" w:cs="Aharoni"/>
                <w:sz w:val="20"/>
                <w:szCs w:val="22"/>
              </w:rPr>
              <w:t>Needles of 1 less/day</w:t>
            </w:r>
          </w:p>
        </w:tc>
        <w:tc>
          <w:tcPr>
            <w:tcW w:w="5873" w:type="dxa"/>
          </w:tcPr>
          <w:p w:rsidR="008316CA" w:rsidRPr="008829FD" w:rsidRDefault="008316CA" w:rsidP="00F906FE">
            <w:pPr>
              <w:pStyle w:val="ListParagraph"/>
              <w:keepNext/>
              <w:keepLines/>
              <w:ind w:left="0"/>
              <w:jc w:val="left"/>
              <w:rPr>
                <w:rFonts w:ascii="Arial Narrow" w:hAnsi="Arial Narrow" w:cs="Aharoni"/>
                <w:sz w:val="20"/>
                <w:szCs w:val="22"/>
              </w:rPr>
            </w:pPr>
            <w:r>
              <w:rPr>
                <w:rFonts w:ascii="Arial Narrow" w:hAnsi="Arial Narrow" w:cs="Aharoni"/>
                <w:sz w:val="20"/>
                <w:szCs w:val="22"/>
              </w:rPr>
              <w:t>The P</w:t>
            </w:r>
            <w:r w:rsidRPr="008829FD">
              <w:rPr>
                <w:rFonts w:ascii="Arial Narrow" w:hAnsi="Arial Narrow" w:cs="Aharoni"/>
                <w:sz w:val="20"/>
                <w:szCs w:val="22"/>
              </w:rPr>
              <w:t xml:space="preserve">BAC accepted the cost offset of one less needle per day. </w:t>
            </w:r>
          </w:p>
        </w:tc>
      </w:tr>
      <w:tr w:rsidR="008316CA" w:rsidTr="008316CA">
        <w:tc>
          <w:tcPr>
            <w:tcW w:w="2649" w:type="dxa"/>
          </w:tcPr>
          <w:p w:rsidR="008316CA" w:rsidRPr="008829FD" w:rsidRDefault="008316CA" w:rsidP="00F906FE">
            <w:pPr>
              <w:pStyle w:val="ListParagraph"/>
              <w:keepNext/>
              <w:keepLines/>
              <w:ind w:left="0"/>
              <w:jc w:val="left"/>
              <w:rPr>
                <w:rFonts w:ascii="Arial Narrow" w:hAnsi="Arial Narrow" w:cs="Aharoni"/>
                <w:sz w:val="20"/>
                <w:szCs w:val="22"/>
              </w:rPr>
            </w:pPr>
            <w:r>
              <w:rPr>
                <w:rFonts w:ascii="Arial Narrow" w:hAnsi="Arial Narrow" w:cs="Aharoni"/>
                <w:sz w:val="20"/>
                <w:szCs w:val="22"/>
              </w:rPr>
              <w:t>Anti-hypertensive medicines</w:t>
            </w:r>
          </w:p>
        </w:tc>
        <w:tc>
          <w:tcPr>
            <w:tcW w:w="5873" w:type="dxa"/>
          </w:tcPr>
          <w:p w:rsidR="008316CA" w:rsidRPr="008829FD" w:rsidRDefault="008316CA" w:rsidP="00F906FE">
            <w:pPr>
              <w:pStyle w:val="ListParagraph"/>
              <w:keepNext/>
              <w:keepLines/>
              <w:ind w:left="0"/>
              <w:jc w:val="left"/>
              <w:rPr>
                <w:rFonts w:ascii="Arial Narrow" w:hAnsi="Arial Narrow" w:cs="Aharoni"/>
                <w:sz w:val="20"/>
                <w:szCs w:val="22"/>
              </w:rPr>
            </w:pPr>
            <w:r>
              <w:rPr>
                <w:rFonts w:ascii="Arial Narrow" w:hAnsi="Arial Narrow" w:cs="Aharoni"/>
                <w:sz w:val="20"/>
                <w:szCs w:val="22"/>
              </w:rPr>
              <w:t xml:space="preserve">The PBAC noted that the PSCR accepted the removal of this cost-offset from the pricing derivation. </w:t>
            </w:r>
          </w:p>
        </w:tc>
      </w:tr>
      <w:tr w:rsidR="008316CA" w:rsidTr="008316CA">
        <w:tc>
          <w:tcPr>
            <w:tcW w:w="2649" w:type="dxa"/>
          </w:tcPr>
          <w:p w:rsidR="008316CA" w:rsidRDefault="008316CA" w:rsidP="00F906FE">
            <w:pPr>
              <w:pStyle w:val="ListParagraph"/>
              <w:keepNext/>
              <w:keepLines/>
              <w:ind w:left="0"/>
              <w:jc w:val="left"/>
              <w:rPr>
                <w:rFonts w:ascii="Arial Narrow" w:hAnsi="Arial Narrow" w:cs="Aharoni"/>
                <w:sz w:val="20"/>
                <w:szCs w:val="22"/>
              </w:rPr>
            </w:pPr>
            <w:r>
              <w:rPr>
                <w:rFonts w:ascii="Arial Narrow" w:hAnsi="Arial Narrow" w:cs="Aharoni"/>
                <w:sz w:val="20"/>
                <w:szCs w:val="22"/>
              </w:rPr>
              <w:t>Urinary tract and genital infections</w:t>
            </w:r>
          </w:p>
        </w:tc>
        <w:tc>
          <w:tcPr>
            <w:tcW w:w="5873" w:type="dxa"/>
          </w:tcPr>
          <w:p w:rsidR="008316CA" w:rsidRPr="006F1F6A" w:rsidRDefault="008316CA" w:rsidP="00F906FE">
            <w:pPr>
              <w:pStyle w:val="Header"/>
              <w:keepNext/>
              <w:keepLines/>
              <w:widowControl/>
              <w:tabs>
                <w:tab w:val="left" w:pos="709"/>
              </w:tabs>
              <w:jc w:val="left"/>
              <w:rPr>
                <w:rFonts w:ascii="Arial Narrow" w:hAnsi="Arial Narrow"/>
                <w:sz w:val="20"/>
              </w:rPr>
            </w:pPr>
            <w:r w:rsidRPr="006F1F6A">
              <w:rPr>
                <w:rFonts w:ascii="Arial Narrow" w:hAnsi="Arial Narrow" w:cs="Aharoni"/>
                <w:sz w:val="20"/>
              </w:rPr>
              <w:t xml:space="preserve">The PBAC recommended </w:t>
            </w:r>
            <w:r w:rsidR="00AC65F2">
              <w:rPr>
                <w:rFonts w:ascii="Arial Narrow" w:hAnsi="Arial Narrow" w:cs="Aharoni"/>
                <w:sz w:val="20"/>
              </w:rPr>
              <w:t xml:space="preserve">that </w:t>
            </w:r>
            <w:r w:rsidRPr="006F1F6A">
              <w:rPr>
                <w:rFonts w:ascii="Arial Narrow" w:hAnsi="Arial Narrow" w:cs="Aharoni"/>
                <w:sz w:val="20"/>
              </w:rPr>
              <w:t xml:space="preserve">the costs of monitoring adverse events </w:t>
            </w:r>
            <w:r w:rsidR="00AC65F2">
              <w:rPr>
                <w:rFonts w:ascii="Arial Narrow" w:hAnsi="Arial Narrow" w:cs="Aharoni"/>
                <w:sz w:val="20"/>
              </w:rPr>
              <w:t>(</w:t>
            </w:r>
            <w:r w:rsidRPr="006F1F6A">
              <w:rPr>
                <w:rFonts w:ascii="Arial Narrow" w:hAnsi="Arial Narrow" w:cs="Aharoni"/>
                <w:sz w:val="20"/>
              </w:rPr>
              <w:t>including additional visits to the doctor, treatment with antibiotics and antifungals, and mid-stream urine testing</w:t>
            </w:r>
            <w:r w:rsidR="00AC65F2">
              <w:rPr>
                <w:rFonts w:ascii="Arial Narrow" w:hAnsi="Arial Narrow" w:cs="Aharoni"/>
                <w:sz w:val="20"/>
              </w:rPr>
              <w:t>)</w:t>
            </w:r>
            <w:r w:rsidRPr="006F1F6A">
              <w:rPr>
                <w:rFonts w:ascii="Arial Narrow" w:hAnsi="Arial Narrow" w:cs="Aharoni"/>
                <w:sz w:val="20"/>
              </w:rPr>
              <w:t xml:space="preserve"> that </w:t>
            </w:r>
            <w:r w:rsidR="00AC65F2">
              <w:rPr>
                <w:rFonts w:ascii="Arial Narrow" w:hAnsi="Arial Narrow" w:cs="Aharoni"/>
                <w:sz w:val="20"/>
              </w:rPr>
              <w:t>we</w:t>
            </w:r>
            <w:r w:rsidRPr="006F1F6A">
              <w:rPr>
                <w:rFonts w:ascii="Arial Narrow" w:hAnsi="Arial Narrow" w:cs="Aharoni"/>
                <w:sz w:val="20"/>
              </w:rPr>
              <w:t xml:space="preserve">re included for dapagliflozin in the dual setting </w:t>
            </w:r>
            <w:r w:rsidR="00AC65F2">
              <w:rPr>
                <w:rFonts w:ascii="Arial Narrow" w:hAnsi="Arial Narrow" w:cs="Aharoni"/>
                <w:sz w:val="20"/>
              </w:rPr>
              <w:t>should</w:t>
            </w:r>
            <w:r w:rsidRPr="006F1F6A">
              <w:rPr>
                <w:rFonts w:ascii="Arial Narrow" w:hAnsi="Arial Narrow" w:cs="Aharoni"/>
                <w:sz w:val="20"/>
              </w:rPr>
              <w:t xml:space="preserve"> be applied to dapagliflozin in the triple oral therapy setting.</w:t>
            </w:r>
          </w:p>
        </w:tc>
      </w:tr>
    </w:tbl>
    <w:p w:rsidR="008316CA" w:rsidRDefault="008316CA" w:rsidP="00BC1D5F">
      <w:pPr>
        <w:widowControl/>
        <w:rPr>
          <w:rFonts w:cs="Times New Roman"/>
          <w:szCs w:val="22"/>
          <w:lang w:eastAsia="en-AU"/>
        </w:rPr>
      </w:pPr>
    </w:p>
    <w:p w:rsidR="00BC1D5F" w:rsidRPr="00F906FE" w:rsidRDefault="004E32B5" w:rsidP="004E32B5">
      <w:pPr>
        <w:pStyle w:val="ListParagraph"/>
        <w:widowControl/>
        <w:numPr>
          <w:ilvl w:val="1"/>
          <w:numId w:val="10"/>
        </w:numPr>
        <w:snapToGrid w:val="0"/>
        <w:rPr>
          <w:rFonts w:cs="Times New Roman"/>
          <w:szCs w:val="22"/>
          <w:lang w:eastAsia="en-AU"/>
        </w:rPr>
      </w:pPr>
      <w:r w:rsidRPr="00F906FE">
        <w:rPr>
          <w:rFonts w:cs="Times New Roman"/>
          <w:szCs w:val="22"/>
          <w:lang w:eastAsia="en-AU"/>
        </w:rPr>
        <w:t xml:space="preserve">The PBAC </w:t>
      </w:r>
      <w:r w:rsidR="00F906FE" w:rsidRPr="00F906FE">
        <w:rPr>
          <w:rFonts w:cs="Times New Roman"/>
          <w:szCs w:val="22"/>
          <w:lang w:eastAsia="en-AU"/>
        </w:rPr>
        <w:t>considered that the appropriate process for consideration of the sponsor’s request</w:t>
      </w:r>
      <w:r w:rsidR="00DB459E">
        <w:rPr>
          <w:rFonts w:cs="Times New Roman"/>
          <w:szCs w:val="22"/>
          <w:lang w:eastAsia="en-AU"/>
        </w:rPr>
        <w:t>, made in the pre-PBAC response,</w:t>
      </w:r>
      <w:r w:rsidR="00F906FE" w:rsidRPr="00F906FE">
        <w:rPr>
          <w:rFonts w:cs="Times New Roman"/>
          <w:szCs w:val="22"/>
          <w:lang w:eastAsia="en-AU"/>
        </w:rPr>
        <w:t xml:space="preserve"> to extend the listing of the </w:t>
      </w:r>
      <w:r w:rsidRPr="00F906FE">
        <w:rPr>
          <w:rFonts w:cs="Times New Roman"/>
          <w:szCs w:val="22"/>
          <w:lang w:eastAsia="en-AU"/>
        </w:rPr>
        <w:t xml:space="preserve">dapagliflozin </w:t>
      </w:r>
      <w:r w:rsidR="00F906FE" w:rsidRPr="00F906FE">
        <w:rPr>
          <w:rFonts w:cs="Times New Roman"/>
          <w:szCs w:val="22"/>
          <w:lang w:eastAsia="en-AU"/>
        </w:rPr>
        <w:t xml:space="preserve">plus metformin XR fixed dose combination to </w:t>
      </w:r>
      <w:r w:rsidR="006D26E7">
        <w:rPr>
          <w:rFonts w:cs="Times New Roman"/>
          <w:szCs w:val="22"/>
          <w:lang w:eastAsia="en-AU"/>
        </w:rPr>
        <w:t xml:space="preserve">the triple oral therapy setting </w:t>
      </w:r>
      <w:r w:rsidR="00F906FE" w:rsidRPr="00F906FE">
        <w:rPr>
          <w:rFonts w:cs="Times New Roman"/>
          <w:szCs w:val="22"/>
          <w:lang w:eastAsia="en-AU"/>
        </w:rPr>
        <w:t>would be through a minor submission</w:t>
      </w:r>
      <w:r w:rsidR="00415AC0" w:rsidRPr="00F906FE">
        <w:rPr>
          <w:rFonts w:cs="Times New Roman"/>
          <w:szCs w:val="22"/>
          <w:lang w:eastAsia="en-AU"/>
        </w:rPr>
        <w:t>.</w:t>
      </w:r>
      <w:r w:rsidR="00416D66" w:rsidRPr="00F906FE">
        <w:rPr>
          <w:rFonts w:cs="Times New Roman"/>
          <w:szCs w:val="22"/>
          <w:lang w:eastAsia="en-AU"/>
        </w:rPr>
        <w:t xml:space="preserve"> </w:t>
      </w:r>
    </w:p>
    <w:p w:rsidR="002B03EB" w:rsidRPr="00F906FE" w:rsidRDefault="002B03EB" w:rsidP="002B03EB">
      <w:pPr>
        <w:pStyle w:val="ListParagraph"/>
        <w:rPr>
          <w:rFonts w:cs="Times New Roman"/>
          <w:szCs w:val="22"/>
          <w:lang w:eastAsia="en-AU"/>
        </w:rPr>
      </w:pPr>
    </w:p>
    <w:p w:rsidR="002B03EB" w:rsidRDefault="002B03EB" w:rsidP="00BC1D5F">
      <w:pPr>
        <w:pStyle w:val="ListParagraph"/>
        <w:widowControl/>
        <w:numPr>
          <w:ilvl w:val="1"/>
          <w:numId w:val="10"/>
        </w:numPr>
        <w:snapToGrid w:val="0"/>
        <w:ind w:left="709"/>
        <w:rPr>
          <w:rFonts w:cs="Times New Roman"/>
          <w:szCs w:val="22"/>
          <w:lang w:eastAsia="en-AU"/>
        </w:rPr>
      </w:pPr>
      <w:r w:rsidRPr="00F906FE">
        <w:rPr>
          <w:rFonts w:cs="Times New Roman"/>
          <w:szCs w:val="22"/>
          <w:lang w:eastAsia="en-AU"/>
        </w:rPr>
        <w:t xml:space="preserve">The PBAC </w:t>
      </w:r>
      <w:r w:rsidR="004E61F9">
        <w:rPr>
          <w:rFonts w:cs="Times New Roman"/>
          <w:szCs w:val="22"/>
          <w:lang w:eastAsia="en-AU"/>
        </w:rPr>
        <w:t>advis</w:t>
      </w:r>
      <w:r w:rsidRPr="00F906FE">
        <w:rPr>
          <w:rFonts w:cs="Times New Roman"/>
          <w:szCs w:val="22"/>
          <w:lang w:eastAsia="en-AU"/>
        </w:rPr>
        <w:t>ed that the NOTE</w:t>
      </w:r>
      <w:r>
        <w:rPr>
          <w:rFonts w:cs="Times New Roman"/>
          <w:szCs w:val="22"/>
          <w:lang w:eastAsia="en-AU"/>
        </w:rPr>
        <w:t xml:space="preserve"> in </w:t>
      </w:r>
      <w:r w:rsidR="00656BBA">
        <w:rPr>
          <w:rFonts w:cs="Times New Roman"/>
          <w:szCs w:val="22"/>
          <w:lang w:eastAsia="en-AU"/>
        </w:rPr>
        <w:t>the current</w:t>
      </w:r>
      <w:r>
        <w:rPr>
          <w:rFonts w:cs="Times New Roman"/>
          <w:szCs w:val="22"/>
          <w:lang w:eastAsia="en-AU"/>
        </w:rPr>
        <w:t xml:space="preserve"> restriction of </w:t>
      </w:r>
      <w:r w:rsidR="00656BBA">
        <w:rPr>
          <w:rFonts w:cs="Times New Roman"/>
          <w:szCs w:val="22"/>
          <w:lang w:eastAsia="en-AU"/>
        </w:rPr>
        <w:t>dapagliflozin</w:t>
      </w:r>
      <w:r>
        <w:rPr>
          <w:rFonts w:cs="Times New Roman"/>
          <w:szCs w:val="22"/>
          <w:lang w:eastAsia="en-AU"/>
        </w:rPr>
        <w:t xml:space="preserve"> dual therapy will need </w:t>
      </w:r>
      <w:r w:rsidR="008316CA">
        <w:rPr>
          <w:rFonts w:cs="Times New Roman"/>
          <w:szCs w:val="22"/>
          <w:lang w:eastAsia="en-AU"/>
        </w:rPr>
        <w:t xml:space="preserve">to be </w:t>
      </w:r>
      <w:r>
        <w:rPr>
          <w:rFonts w:cs="Times New Roman"/>
          <w:szCs w:val="22"/>
          <w:lang w:eastAsia="en-AU"/>
        </w:rPr>
        <w:t>amend</w:t>
      </w:r>
      <w:r w:rsidR="008316CA">
        <w:rPr>
          <w:rFonts w:cs="Times New Roman"/>
          <w:szCs w:val="22"/>
          <w:lang w:eastAsia="en-AU"/>
        </w:rPr>
        <w:t>ed</w:t>
      </w:r>
      <w:r>
        <w:rPr>
          <w:rFonts w:cs="Times New Roman"/>
          <w:szCs w:val="22"/>
          <w:lang w:eastAsia="en-AU"/>
        </w:rPr>
        <w:t xml:space="preserve"> to allow for triple</w:t>
      </w:r>
      <w:r w:rsidR="00656BBA">
        <w:rPr>
          <w:rFonts w:cs="Times New Roman"/>
          <w:szCs w:val="22"/>
          <w:lang w:eastAsia="en-AU"/>
        </w:rPr>
        <w:t xml:space="preserve"> oral</w:t>
      </w:r>
      <w:r>
        <w:rPr>
          <w:rFonts w:cs="Times New Roman"/>
          <w:szCs w:val="22"/>
          <w:lang w:eastAsia="en-AU"/>
        </w:rPr>
        <w:t xml:space="preserve"> combination therapy.  </w:t>
      </w:r>
    </w:p>
    <w:p w:rsidR="002B03EB" w:rsidRDefault="002B03EB" w:rsidP="00BC1D5F">
      <w:pPr>
        <w:widowControl/>
        <w:rPr>
          <w:rFonts w:cs="Times New Roman"/>
          <w:szCs w:val="22"/>
          <w:lang w:eastAsia="en-AU"/>
        </w:rPr>
      </w:pPr>
    </w:p>
    <w:p w:rsidR="00BC1D5F" w:rsidRDefault="00416D66" w:rsidP="00BC1D5F">
      <w:pPr>
        <w:pStyle w:val="ListParagraph"/>
        <w:widowControl/>
        <w:numPr>
          <w:ilvl w:val="1"/>
          <w:numId w:val="10"/>
        </w:numPr>
        <w:snapToGrid w:val="0"/>
        <w:rPr>
          <w:rFonts w:cs="Times New Roman"/>
          <w:szCs w:val="22"/>
          <w:lang w:eastAsia="en-AU"/>
        </w:rPr>
      </w:pPr>
      <w:r>
        <w:rPr>
          <w:rFonts w:cs="Times New Roman"/>
          <w:szCs w:val="22"/>
          <w:lang w:eastAsia="en-AU"/>
        </w:rPr>
        <w:t xml:space="preserve">The PBAC advised that dapagliflozin </w:t>
      </w:r>
      <w:r w:rsidR="00BC1D5F">
        <w:rPr>
          <w:rFonts w:cs="Times New Roman"/>
          <w:szCs w:val="22"/>
          <w:lang w:eastAsia="en-AU"/>
        </w:rPr>
        <w:t xml:space="preserve">is suitable for prescribing by nurse practitioners.  </w:t>
      </w:r>
    </w:p>
    <w:p w:rsidR="00BC1D5F" w:rsidRDefault="00BC1D5F" w:rsidP="00BC1D5F">
      <w:pPr>
        <w:widowControl/>
        <w:ind w:left="720"/>
        <w:contextualSpacing/>
        <w:jc w:val="left"/>
        <w:rPr>
          <w:rFonts w:cs="Times New Roman"/>
          <w:szCs w:val="22"/>
          <w:lang w:eastAsia="en-AU"/>
        </w:rPr>
      </w:pPr>
    </w:p>
    <w:p w:rsidR="00BC1D5F" w:rsidRDefault="00BC1D5F" w:rsidP="00BC1D5F">
      <w:pPr>
        <w:pStyle w:val="ListParagraph"/>
        <w:widowControl/>
        <w:numPr>
          <w:ilvl w:val="1"/>
          <w:numId w:val="10"/>
        </w:numPr>
        <w:snapToGrid w:val="0"/>
        <w:rPr>
          <w:rFonts w:cs="Times New Roman"/>
          <w:szCs w:val="22"/>
          <w:lang w:eastAsia="en-AU"/>
        </w:rPr>
      </w:pPr>
      <w:r>
        <w:rPr>
          <w:rFonts w:cs="Times New Roman"/>
          <w:szCs w:val="22"/>
          <w:lang w:eastAsia="en-AU"/>
        </w:rPr>
        <w:t>The PBAC recommended that the Safety Net 20 Day Rule should not apply</w:t>
      </w:r>
      <w:r w:rsidR="00416D66">
        <w:rPr>
          <w:rFonts w:cs="Times New Roman"/>
          <w:szCs w:val="22"/>
          <w:lang w:eastAsia="en-AU"/>
        </w:rPr>
        <w:t xml:space="preserve"> as it does not apply to the current dapagliflozin listings.</w:t>
      </w:r>
    </w:p>
    <w:p w:rsidR="00BC1D5F" w:rsidRDefault="00BC1D5F" w:rsidP="00BC1D5F">
      <w:pPr>
        <w:widowControl/>
        <w:ind w:left="720"/>
        <w:contextualSpacing/>
        <w:jc w:val="left"/>
        <w:rPr>
          <w:rFonts w:cs="Times New Roman"/>
          <w:szCs w:val="22"/>
          <w:lang w:eastAsia="en-AU"/>
        </w:rPr>
      </w:pPr>
    </w:p>
    <w:p w:rsidR="00BC1D5F" w:rsidRDefault="00BC1D5F" w:rsidP="00BC1D5F">
      <w:pPr>
        <w:widowControl/>
        <w:rPr>
          <w:rFonts w:cs="Times New Roman"/>
          <w:szCs w:val="22"/>
          <w:lang w:eastAsia="en-AU"/>
        </w:rPr>
      </w:pPr>
    </w:p>
    <w:p w:rsidR="00BC1D5F" w:rsidRDefault="00BC1D5F" w:rsidP="00BC1D5F">
      <w:pPr>
        <w:widowControl/>
        <w:rPr>
          <w:rFonts w:cs="Times New Roman"/>
          <w:b/>
          <w:szCs w:val="22"/>
          <w:lang w:eastAsia="en-AU"/>
        </w:rPr>
      </w:pPr>
      <w:r>
        <w:rPr>
          <w:rFonts w:cs="Times New Roman"/>
          <w:b/>
          <w:szCs w:val="22"/>
          <w:lang w:eastAsia="en-AU"/>
        </w:rPr>
        <w:t>Outcome:</w:t>
      </w:r>
    </w:p>
    <w:p w:rsidR="00BC1D5F" w:rsidRDefault="00BC1D5F" w:rsidP="00BC1D5F">
      <w:pPr>
        <w:widowControl/>
        <w:rPr>
          <w:rFonts w:cs="Times New Roman"/>
          <w:szCs w:val="22"/>
          <w:lang w:eastAsia="en-AU"/>
        </w:rPr>
      </w:pPr>
      <w:r>
        <w:rPr>
          <w:rFonts w:cs="Times New Roman"/>
          <w:szCs w:val="22"/>
          <w:lang w:eastAsia="en-AU"/>
        </w:rPr>
        <w:t xml:space="preserve">Recommended </w:t>
      </w:r>
    </w:p>
    <w:p w:rsidR="00BC1D5F" w:rsidRDefault="00BC1D5F" w:rsidP="00BC1D5F">
      <w:pPr>
        <w:widowControl/>
        <w:rPr>
          <w:rFonts w:cs="Times New Roman"/>
          <w:szCs w:val="22"/>
          <w:lang w:eastAsia="en-AU"/>
        </w:rPr>
      </w:pPr>
    </w:p>
    <w:p w:rsidR="002B03EB" w:rsidRDefault="002B03EB" w:rsidP="002B03EB">
      <w:pPr>
        <w:widowControl/>
        <w:snapToGrid w:val="0"/>
        <w:jc w:val="left"/>
        <w:rPr>
          <w:rFonts w:cs="Times New Roman"/>
          <w:szCs w:val="22"/>
          <w:lang w:eastAsia="en-AU"/>
        </w:rPr>
      </w:pPr>
    </w:p>
    <w:p w:rsidR="00BC1D5F" w:rsidRDefault="00BC1D5F" w:rsidP="00BC1D5F">
      <w:pPr>
        <w:widowControl/>
        <w:rPr>
          <w:rFonts w:cs="Times New Roman"/>
          <w:szCs w:val="22"/>
          <w:lang w:eastAsia="en-AU"/>
        </w:rPr>
      </w:pPr>
    </w:p>
    <w:p w:rsidR="00BC1D5F" w:rsidRDefault="00BC1D5F" w:rsidP="00BC1D5F">
      <w:pPr>
        <w:pStyle w:val="PBACHeading10"/>
        <w:numPr>
          <w:ilvl w:val="0"/>
          <w:numId w:val="10"/>
        </w:numPr>
        <w:snapToGrid w:val="0"/>
        <w:rPr>
          <w:rFonts w:cs="Times New Roman"/>
          <w:i/>
          <w:lang w:eastAsia="en-AU"/>
        </w:rPr>
      </w:pPr>
      <w:r>
        <w:rPr>
          <w:lang w:eastAsia="en-AU"/>
        </w:rPr>
        <w:t>Recommended listing</w:t>
      </w:r>
    </w:p>
    <w:p w:rsidR="00BC1D5F" w:rsidRDefault="00BC1D5F" w:rsidP="00BC1D5F">
      <w:pPr>
        <w:widowControl/>
        <w:rPr>
          <w:rFonts w:cs="Times New Roman"/>
          <w:szCs w:val="22"/>
          <w:lang w:eastAsia="en-AU"/>
        </w:rPr>
      </w:pPr>
    </w:p>
    <w:p w:rsidR="00BC1D5F" w:rsidRDefault="00416D66" w:rsidP="00416D66">
      <w:pPr>
        <w:pStyle w:val="ListParagraph"/>
        <w:widowControl/>
        <w:numPr>
          <w:ilvl w:val="1"/>
          <w:numId w:val="10"/>
        </w:numPr>
        <w:snapToGrid w:val="0"/>
        <w:rPr>
          <w:rFonts w:cs="Times New Roman"/>
          <w:szCs w:val="22"/>
          <w:lang w:eastAsia="en-AU"/>
        </w:rPr>
      </w:pPr>
      <w:r>
        <w:rPr>
          <w:rFonts w:cs="Times New Roman"/>
          <w:szCs w:val="22"/>
          <w:lang w:eastAsia="en-AU"/>
        </w:rPr>
        <w:t>A</w:t>
      </w:r>
      <w:r w:rsidR="002B03EB">
        <w:rPr>
          <w:rFonts w:cs="Times New Roman"/>
          <w:szCs w:val="22"/>
          <w:lang w:eastAsia="en-AU"/>
        </w:rPr>
        <w:t>dd new item</w:t>
      </w:r>
      <w:r w:rsidR="00BC1D5F">
        <w:rPr>
          <w:rFonts w:cs="Times New Roman"/>
          <w:szCs w:val="22"/>
          <w:lang w:eastAsia="en-AU"/>
        </w:rPr>
        <w:t>:</w:t>
      </w:r>
    </w:p>
    <w:p w:rsidR="00BC1D5F" w:rsidRDefault="00BC1D5F" w:rsidP="00BC1D5F">
      <w:pPr>
        <w:widowControl/>
        <w:ind w:left="709"/>
        <w:contextualSpacing/>
        <w:rPr>
          <w:rFonts w:cs="Times New Roman"/>
          <w:szCs w:val="22"/>
          <w:lang w:eastAsia="en-AU"/>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6"/>
        <w:gridCol w:w="567"/>
        <w:gridCol w:w="850"/>
        <w:gridCol w:w="1701"/>
        <w:gridCol w:w="1418"/>
        <w:gridCol w:w="1417"/>
      </w:tblGrid>
      <w:tr w:rsidR="002B03EB" w:rsidRPr="00D72941" w:rsidTr="002B03EB">
        <w:trPr>
          <w:cantSplit/>
          <w:trHeight w:val="471"/>
        </w:trPr>
        <w:tc>
          <w:tcPr>
            <w:tcW w:w="2552" w:type="dxa"/>
            <w:gridSpan w:val="2"/>
            <w:tcBorders>
              <w:top w:val="nil"/>
              <w:left w:val="nil"/>
              <w:bottom w:val="nil"/>
              <w:right w:val="nil"/>
            </w:tcBorders>
          </w:tcPr>
          <w:p w:rsidR="002B03EB" w:rsidRPr="00D72941" w:rsidRDefault="002B03EB" w:rsidP="002B03EB">
            <w:pPr>
              <w:keepNext/>
              <w:widowControl/>
              <w:ind w:left="-108"/>
              <w:jc w:val="left"/>
              <w:rPr>
                <w:rFonts w:ascii="Arial Narrow" w:hAnsi="Arial Narrow"/>
                <w:snapToGrid/>
                <w:sz w:val="20"/>
                <w:lang w:eastAsia="en-AU"/>
              </w:rPr>
            </w:pPr>
            <w:r w:rsidRPr="00D72941">
              <w:rPr>
                <w:rFonts w:ascii="Arial Narrow" w:hAnsi="Arial Narrow"/>
                <w:snapToGrid/>
                <w:sz w:val="20"/>
                <w:lang w:eastAsia="en-AU"/>
              </w:rPr>
              <w:lastRenderedPageBreak/>
              <w:t>Name, Restriction,</w:t>
            </w:r>
          </w:p>
          <w:p w:rsidR="002B03EB" w:rsidRPr="00D72941" w:rsidRDefault="002B03EB" w:rsidP="002B03EB">
            <w:pPr>
              <w:keepNext/>
              <w:widowControl/>
              <w:ind w:left="-108"/>
              <w:jc w:val="left"/>
              <w:rPr>
                <w:rFonts w:ascii="Arial Narrow" w:hAnsi="Arial Narrow"/>
                <w:snapToGrid/>
                <w:sz w:val="20"/>
                <w:lang w:eastAsia="en-AU"/>
              </w:rPr>
            </w:pPr>
            <w:r w:rsidRPr="00D72941">
              <w:rPr>
                <w:rFonts w:ascii="Arial Narrow" w:hAnsi="Arial Narrow"/>
                <w:snapToGrid/>
                <w:sz w:val="20"/>
                <w:lang w:eastAsia="en-AU"/>
              </w:rPr>
              <w:t>Manner of administration and form</w:t>
            </w:r>
          </w:p>
        </w:tc>
        <w:tc>
          <w:tcPr>
            <w:tcW w:w="567" w:type="dxa"/>
            <w:tcBorders>
              <w:top w:val="nil"/>
              <w:left w:val="nil"/>
              <w:bottom w:val="nil"/>
              <w:right w:val="nil"/>
            </w:tcBorders>
            <w:vAlign w:val="center"/>
          </w:tcPr>
          <w:p w:rsidR="002B03EB" w:rsidRPr="00D72941" w:rsidRDefault="002B03EB" w:rsidP="002B03EB">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Max</w:t>
            </w:r>
          </w:p>
          <w:p w:rsidR="002B03EB" w:rsidRPr="00D72941" w:rsidRDefault="002B03EB" w:rsidP="002B03EB">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Qty</w:t>
            </w:r>
          </w:p>
        </w:tc>
        <w:tc>
          <w:tcPr>
            <w:tcW w:w="850" w:type="dxa"/>
            <w:tcBorders>
              <w:top w:val="nil"/>
              <w:left w:val="nil"/>
              <w:bottom w:val="nil"/>
              <w:right w:val="nil"/>
            </w:tcBorders>
            <w:vAlign w:val="center"/>
          </w:tcPr>
          <w:p w:rsidR="002B03EB" w:rsidRPr="00D72941" w:rsidRDefault="002B03EB" w:rsidP="002B03EB">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№.of</w:t>
            </w:r>
          </w:p>
          <w:p w:rsidR="002B03EB" w:rsidRPr="00D72941" w:rsidRDefault="002B03EB" w:rsidP="002B03EB">
            <w:pPr>
              <w:keepNext/>
              <w:widowControl/>
              <w:ind w:left="-108"/>
              <w:jc w:val="center"/>
              <w:rPr>
                <w:rFonts w:ascii="Arial Narrow" w:hAnsi="Arial Narrow"/>
                <w:snapToGrid/>
                <w:sz w:val="20"/>
                <w:lang w:eastAsia="en-AU"/>
              </w:rPr>
            </w:pPr>
            <w:r w:rsidRPr="00D72941">
              <w:rPr>
                <w:rFonts w:ascii="Arial Narrow" w:hAnsi="Arial Narrow"/>
                <w:snapToGrid/>
                <w:sz w:val="20"/>
                <w:lang w:eastAsia="en-AU"/>
              </w:rPr>
              <w:t>Rpts</w:t>
            </w:r>
          </w:p>
        </w:tc>
        <w:tc>
          <w:tcPr>
            <w:tcW w:w="1701" w:type="dxa"/>
            <w:tcBorders>
              <w:top w:val="nil"/>
              <w:left w:val="nil"/>
              <w:bottom w:val="nil"/>
              <w:right w:val="nil"/>
            </w:tcBorders>
            <w:vAlign w:val="center"/>
          </w:tcPr>
          <w:p w:rsidR="002B03EB" w:rsidRPr="00D72941" w:rsidRDefault="002B03EB" w:rsidP="002B03EB">
            <w:pPr>
              <w:keepNext/>
              <w:widowControl/>
              <w:ind w:left="-108"/>
              <w:jc w:val="center"/>
              <w:rPr>
                <w:rFonts w:ascii="Arial Narrow" w:hAnsi="Arial Narrow"/>
                <w:snapToGrid/>
                <w:sz w:val="20"/>
                <w:lang w:eastAsia="en-AU"/>
              </w:rPr>
            </w:pPr>
            <w:r w:rsidRPr="002C6D44">
              <w:rPr>
                <w:rFonts w:ascii="Arial Narrow" w:hAnsi="Arial Narrow"/>
                <w:sz w:val="20"/>
              </w:rPr>
              <w:t>Dispensed Price for Max. Qty</w:t>
            </w:r>
          </w:p>
        </w:tc>
        <w:tc>
          <w:tcPr>
            <w:tcW w:w="2835" w:type="dxa"/>
            <w:gridSpan w:val="2"/>
            <w:tcBorders>
              <w:top w:val="nil"/>
              <w:left w:val="nil"/>
              <w:bottom w:val="nil"/>
              <w:right w:val="nil"/>
            </w:tcBorders>
          </w:tcPr>
          <w:p w:rsidR="002B03EB" w:rsidRPr="00D72941" w:rsidRDefault="002B03EB" w:rsidP="002B03EB">
            <w:pPr>
              <w:keepNext/>
              <w:widowControl/>
              <w:rPr>
                <w:rFonts w:ascii="Arial Narrow" w:hAnsi="Arial Narrow"/>
                <w:snapToGrid/>
                <w:sz w:val="20"/>
                <w:lang w:eastAsia="en-AU"/>
              </w:rPr>
            </w:pPr>
            <w:r w:rsidRPr="00D72941">
              <w:rPr>
                <w:rFonts w:ascii="Arial Narrow" w:hAnsi="Arial Narrow"/>
                <w:snapToGrid/>
                <w:sz w:val="20"/>
                <w:lang w:eastAsia="en-AU"/>
              </w:rPr>
              <w:t>Proprietary Name and Manufacturer</w:t>
            </w:r>
          </w:p>
        </w:tc>
      </w:tr>
      <w:tr w:rsidR="002B03EB" w:rsidRPr="007F48FB" w:rsidTr="002B03EB">
        <w:trPr>
          <w:cantSplit/>
          <w:trHeight w:val="386"/>
        </w:trPr>
        <w:tc>
          <w:tcPr>
            <w:tcW w:w="2552" w:type="dxa"/>
            <w:gridSpan w:val="2"/>
            <w:tcBorders>
              <w:top w:val="nil"/>
              <w:left w:val="nil"/>
              <w:right w:val="nil"/>
            </w:tcBorders>
          </w:tcPr>
          <w:p w:rsidR="002B03EB" w:rsidRPr="007F48FB" w:rsidRDefault="002B03EB" w:rsidP="002B03EB">
            <w:pPr>
              <w:widowControl/>
              <w:ind w:left="-108"/>
              <w:jc w:val="left"/>
              <w:rPr>
                <w:rFonts w:ascii="Arial Narrow" w:hAnsi="Arial Narrow"/>
                <w:snapToGrid/>
                <w:sz w:val="20"/>
                <w:szCs w:val="22"/>
                <w:lang w:eastAsia="en-AU"/>
              </w:rPr>
            </w:pPr>
            <w:r w:rsidRPr="007F48FB">
              <w:rPr>
                <w:rFonts w:ascii="Arial Narrow" w:hAnsi="Arial Narrow"/>
                <w:snapToGrid/>
                <w:sz w:val="20"/>
                <w:szCs w:val="22"/>
                <w:lang w:eastAsia="en-AU"/>
              </w:rPr>
              <w:t>DAPAGLIFLOZIN</w:t>
            </w:r>
          </w:p>
          <w:p w:rsidR="002B03EB" w:rsidRDefault="002B03EB" w:rsidP="002B03EB">
            <w:pPr>
              <w:keepNext/>
              <w:widowControl/>
              <w:ind w:left="-108"/>
              <w:jc w:val="left"/>
              <w:rPr>
                <w:rFonts w:ascii="Arial Narrow" w:hAnsi="Arial Narrow"/>
                <w:snapToGrid/>
                <w:sz w:val="20"/>
                <w:szCs w:val="22"/>
                <w:lang w:eastAsia="en-AU"/>
              </w:rPr>
            </w:pPr>
            <w:r w:rsidRPr="007F48FB">
              <w:rPr>
                <w:rFonts w:ascii="Arial Narrow" w:hAnsi="Arial Narrow"/>
                <w:snapToGrid/>
                <w:sz w:val="20"/>
                <w:szCs w:val="22"/>
                <w:lang w:eastAsia="en-AU"/>
              </w:rPr>
              <w:t>dapagliflozin 10 mg tablet, 28</w:t>
            </w:r>
          </w:p>
          <w:p w:rsidR="002B03EB" w:rsidRPr="007F48FB" w:rsidRDefault="002B03EB" w:rsidP="002B03EB">
            <w:pPr>
              <w:keepNext/>
              <w:widowControl/>
              <w:ind w:left="-108"/>
              <w:jc w:val="left"/>
              <w:rPr>
                <w:rFonts w:ascii="Arial Narrow" w:hAnsi="Arial Narrow"/>
                <w:snapToGrid/>
                <w:sz w:val="20"/>
                <w:szCs w:val="22"/>
                <w:lang w:eastAsia="en-AU"/>
              </w:rPr>
            </w:pPr>
          </w:p>
        </w:tc>
        <w:tc>
          <w:tcPr>
            <w:tcW w:w="567" w:type="dxa"/>
            <w:tcBorders>
              <w:top w:val="nil"/>
              <w:left w:val="nil"/>
              <w:right w:val="nil"/>
            </w:tcBorders>
            <w:vAlign w:val="center"/>
          </w:tcPr>
          <w:p w:rsidR="002B03EB" w:rsidRPr="007F48FB" w:rsidRDefault="002B03EB" w:rsidP="002B03EB">
            <w:pPr>
              <w:keepNext/>
              <w:widowControl/>
              <w:ind w:left="-108"/>
              <w:jc w:val="center"/>
              <w:rPr>
                <w:rFonts w:ascii="Arial Narrow" w:hAnsi="Arial Narrow"/>
                <w:snapToGrid/>
                <w:sz w:val="20"/>
                <w:szCs w:val="22"/>
                <w:lang w:eastAsia="en-AU"/>
              </w:rPr>
            </w:pPr>
            <w:r w:rsidRPr="007F48FB">
              <w:rPr>
                <w:rFonts w:ascii="Arial Narrow" w:hAnsi="Arial Narrow"/>
                <w:snapToGrid/>
                <w:sz w:val="20"/>
                <w:szCs w:val="22"/>
                <w:lang w:eastAsia="en-AU"/>
              </w:rPr>
              <w:t>1</w:t>
            </w:r>
          </w:p>
        </w:tc>
        <w:tc>
          <w:tcPr>
            <w:tcW w:w="850" w:type="dxa"/>
            <w:tcBorders>
              <w:top w:val="nil"/>
              <w:left w:val="nil"/>
              <w:right w:val="nil"/>
            </w:tcBorders>
            <w:vAlign w:val="center"/>
          </w:tcPr>
          <w:p w:rsidR="002B03EB" w:rsidRPr="007F48FB" w:rsidRDefault="002B03EB" w:rsidP="002B03EB">
            <w:pPr>
              <w:keepNext/>
              <w:widowControl/>
              <w:ind w:left="-108"/>
              <w:jc w:val="center"/>
              <w:rPr>
                <w:rFonts w:ascii="Arial Narrow" w:hAnsi="Arial Narrow"/>
                <w:snapToGrid/>
                <w:sz w:val="20"/>
                <w:szCs w:val="22"/>
                <w:lang w:eastAsia="en-AU"/>
              </w:rPr>
            </w:pPr>
            <w:r w:rsidRPr="007F48FB">
              <w:rPr>
                <w:rFonts w:ascii="Arial Narrow" w:hAnsi="Arial Narrow"/>
                <w:snapToGrid/>
                <w:sz w:val="20"/>
                <w:szCs w:val="22"/>
                <w:lang w:eastAsia="en-AU"/>
              </w:rPr>
              <w:t>5</w:t>
            </w:r>
          </w:p>
        </w:tc>
        <w:tc>
          <w:tcPr>
            <w:tcW w:w="1701" w:type="dxa"/>
            <w:tcBorders>
              <w:top w:val="nil"/>
              <w:left w:val="nil"/>
              <w:right w:val="nil"/>
            </w:tcBorders>
            <w:vAlign w:val="center"/>
          </w:tcPr>
          <w:p w:rsidR="002B03EB" w:rsidRPr="007F48FB" w:rsidRDefault="002B03EB" w:rsidP="002B03EB">
            <w:pPr>
              <w:keepNext/>
              <w:widowControl/>
              <w:ind w:left="-108"/>
              <w:jc w:val="center"/>
              <w:rPr>
                <w:rFonts w:ascii="Arial Narrow" w:hAnsi="Arial Narrow"/>
                <w:snapToGrid/>
                <w:sz w:val="20"/>
                <w:szCs w:val="22"/>
                <w:lang w:eastAsia="en-AU"/>
              </w:rPr>
            </w:pPr>
            <w:r>
              <w:rPr>
                <w:rFonts w:ascii="Arial Narrow" w:hAnsi="Arial Narrow"/>
                <w:sz w:val="20"/>
              </w:rPr>
              <w:t>TBA</w:t>
            </w:r>
          </w:p>
        </w:tc>
        <w:tc>
          <w:tcPr>
            <w:tcW w:w="1418" w:type="dxa"/>
            <w:tcBorders>
              <w:top w:val="nil"/>
              <w:left w:val="nil"/>
              <w:right w:val="nil"/>
            </w:tcBorders>
          </w:tcPr>
          <w:p w:rsidR="002B03EB" w:rsidRPr="007F48FB" w:rsidRDefault="002B03EB" w:rsidP="002B03EB">
            <w:pPr>
              <w:keepNext/>
              <w:widowControl/>
              <w:rPr>
                <w:rFonts w:ascii="Arial Narrow" w:hAnsi="Arial Narrow"/>
                <w:snapToGrid/>
                <w:sz w:val="20"/>
                <w:szCs w:val="22"/>
                <w:lang w:eastAsia="en-AU"/>
              </w:rPr>
            </w:pPr>
          </w:p>
          <w:p w:rsidR="002B03EB" w:rsidRPr="007F48FB" w:rsidRDefault="002B03EB" w:rsidP="002B03EB">
            <w:pPr>
              <w:widowControl/>
              <w:ind w:left="-108"/>
              <w:jc w:val="left"/>
              <w:rPr>
                <w:rFonts w:ascii="Arial Narrow" w:hAnsi="Arial Narrow"/>
                <w:snapToGrid/>
                <w:sz w:val="20"/>
                <w:szCs w:val="22"/>
                <w:lang w:eastAsia="en-AU"/>
              </w:rPr>
            </w:pPr>
            <w:r w:rsidRPr="007F48FB">
              <w:rPr>
                <w:rFonts w:ascii="Arial Narrow" w:hAnsi="Arial Narrow"/>
                <w:snapToGrid/>
                <w:sz w:val="20"/>
                <w:szCs w:val="22"/>
                <w:lang w:eastAsia="en-AU"/>
              </w:rPr>
              <w:t>F</w:t>
            </w:r>
            <w:r>
              <w:rPr>
                <w:rFonts w:ascii="Arial Narrow" w:hAnsi="Arial Narrow"/>
                <w:snapToGrid/>
                <w:sz w:val="20"/>
                <w:szCs w:val="22"/>
                <w:lang w:eastAsia="en-AU"/>
              </w:rPr>
              <w:t>orxiga</w:t>
            </w:r>
          </w:p>
        </w:tc>
        <w:tc>
          <w:tcPr>
            <w:tcW w:w="1417" w:type="dxa"/>
            <w:tcBorders>
              <w:top w:val="nil"/>
              <w:left w:val="nil"/>
              <w:right w:val="nil"/>
            </w:tcBorders>
          </w:tcPr>
          <w:p w:rsidR="002B03EB" w:rsidRPr="007F48FB" w:rsidRDefault="002B03EB" w:rsidP="002B03EB">
            <w:pPr>
              <w:keepNext/>
              <w:widowControl/>
              <w:rPr>
                <w:rFonts w:ascii="Arial Narrow" w:hAnsi="Arial Narrow"/>
                <w:snapToGrid/>
                <w:sz w:val="20"/>
                <w:szCs w:val="22"/>
                <w:lang w:eastAsia="en-AU"/>
              </w:rPr>
            </w:pPr>
          </w:p>
          <w:p w:rsidR="002B03EB" w:rsidRPr="007F48FB" w:rsidRDefault="002B03EB" w:rsidP="002B03EB">
            <w:pPr>
              <w:keepNext/>
              <w:widowControl/>
              <w:rPr>
                <w:rFonts w:ascii="Arial Narrow" w:hAnsi="Arial Narrow"/>
                <w:snapToGrid/>
                <w:sz w:val="20"/>
                <w:szCs w:val="22"/>
                <w:lang w:eastAsia="en-AU"/>
              </w:rPr>
            </w:pPr>
            <w:r w:rsidRPr="007F48FB">
              <w:rPr>
                <w:rFonts w:ascii="Arial Narrow" w:hAnsi="Arial Narrow"/>
                <w:snapToGrid/>
                <w:sz w:val="20"/>
                <w:szCs w:val="22"/>
                <w:lang w:eastAsia="en-AU"/>
              </w:rPr>
              <w:t>AZ</w:t>
            </w:r>
          </w:p>
        </w:tc>
      </w:tr>
      <w:tr w:rsidR="002B03EB" w:rsidRPr="00D72941" w:rsidTr="002B03EB">
        <w:trPr>
          <w:cantSplit/>
          <w:trHeight w:val="58"/>
        </w:trPr>
        <w:tc>
          <w:tcPr>
            <w:tcW w:w="2126" w:type="dxa"/>
          </w:tcPr>
          <w:p w:rsidR="002B03EB" w:rsidRPr="00D72941" w:rsidRDefault="002B03EB" w:rsidP="002B03EB">
            <w:pPr>
              <w:widowControl/>
              <w:rPr>
                <w:rFonts w:ascii="Arial Narrow" w:hAnsi="Arial Narrow"/>
                <w:b/>
                <w:sz w:val="20"/>
              </w:rPr>
            </w:pPr>
            <w:r w:rsidRPr="00D72941">
              <w:rPr>
                <w:rFonts w:ascii="Arial Narrow" w:hAnsi="Arial Narrow"/>
                <w:b/>
                <w:sz w:val="20"/>
              </w:rPr>
              <w:t>Category / Program</w:t>
            </w:r>
          </w:p>
        </w:tc>
        <w:tc>
          <w:tcPr>
            <w:tcW w:w="6379" w:type="dxa"/>
            <w:gridSpan w:val="6"/>
          </w:tcPr>
          <w:p w:rsidR="002B03EB" w:rsidRPr="00D72941" w:rsidRDefault="002B03EB" w:rsidP="002B03EB">
            <w:pPr>
              <w:widowControl/>
              <w:rPr>
                <w:rFonts w:ascii="Arial Narrow" w:hAnsi="Arial Narrow"/>
                <w:sz w:val="20"/>
              </w:rPr>
            </w:pPr>
            <w:r w:rsidRPr="00D72941">
              <w:rPr>
                <w:rFonts w:ascii="Arial Narrow" w:hAnsi="Arial Narrow"/>
                <w:sz w:val="20"/>
              </w:rPr>
              <w:t>GENERAL – General Schedule (Code GE)</w:t>
            </w:r>
          </w:p>
        </w:tc>
      </w:tr>
      <w:tr w:rsidR="002B03EB" w:rsidRPr="00D72941" w:rsidTr="002B03EB">
        <w:trPr>
          <w:cantSplit/>
          <w:trHeight w:val="58"/>
        </w:trPr>
        <w:tc>
          <w:tcPr>
            <w:tcW w:w="2126" w:type="dxa"/>
          </w:tcPr>
          <w:p w:rsidR="002B03EB" w:rsidRPr="00D72941" w:rsidRDefault="002B03EB" w:rsidP="002B03EB">
            <w:pPr>
              <w:widowControl/>
              <w:rPr>
                <w:rFonts w:ascii="Arial Narrow" w:hAnsi="Arial Narrow"/>
                <w:b/>
                <w:sz w:val="20"/>
              </w:rPr>
            </w:pPr>
            <w:r w:rsidRPr="00D72941">
              <w:rPr>
                <w:rFonts w:ascii="Arial Narrow" w:hAnsi="Arial Narrow"/>
                <w:b/>
                <w:sz w:val="20"/>
              </w:rPr>
              <w:t>Prescriber type:</w:t>
            </w:r>
          </w:p>
        </w:tc>
        <w:tc>
          <w:tcPr>
            <w:tcW w:w="6379" w:type="dxa"/>
            <w:gridSpan w:val="6"/>
          </w:tcPr>
          <w:p w:rsidR="002B03EB" w:rsidRPr="00D72941" w:rsidRDefault="002B03EB" w:rsidP="002B03EB">
            <w:pPr>
              <w:widowControl/>
              <w:rPr>
                <w:rFonts w:ascii="Arial Narrow" w:hAnsi="Arial Narrow"/>
                <w:sz w:val="20"/>
              </w:rPr>
            </w:pPr>
            <w:r w:rsidRPr="00D72941">
              <w:rPr>
                <w:rFonts w:ascii="Arial Narrow" w:hAnsi="Arial Narrow"/>
                <w:sz w:val="20"/>
              </w:rPr>
              <w:fldChar w:fldCharType="begin">
                <w:ffData>
                  <w:name w:val=""/>
                  <w:enabled/>
                  <w:calcOnExit w:val="0"/>
                  <w:checkBox>
                    <w:sizeAuto/>
                    <w:default w:val="1"/>
                  </w:checkBox>
                </w:ffData>
              </w:fldChar>
            </w:r>
            <w:r w:rsidRPr="00D72941">
              <w:rPr>
                <w:rFonts w:ascii="Arial Narrow" w:hAnsi="Arial Narrow"/>
                <w:sz w:val="20"/>
              </w:rPr>
              <w:instrText xml:space="preserve"> FORMCHECKBOX </w:instrText>
            </w:r>
            <w:r w:rsidR="007430E3">
              <w:rPr>
                <w:rFonts w:ascii="Arial Narrow" w:hAnsi="Arial Narrow"/>
                <w:sz w:val="20"/>
              </w:rPr>
            </w:r>
            <w:r w:rsidR="007430E3">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Medical Practitioners  </w:t>
            </w:r>
            <w:r w:rsidRPr="00D72941">
              <w:rPr>
                <w:rFonts w:ascii="Arial Narrow" w:hAnsi="Arial Narrow"/>
                <w:sz w:val="20"/>
              </w:rPr>
              <w:fldChar w:fldCharType="begin">
                <w:ffData>
                  <w:name w:val="Check3"/>
                  <w:enabled/>
                  <w:calcOnExit w:val="0"/>
                  <w:checkBox>
                    <w:sizeAuto/>
                    <w:default w:val="1"/>
                  </w:checkBox>
                </w:ffData>
              </w:fldChar>
            </w:r>
            <w:r w:rsidRPr="00D72941">
              <w:rPr>
                <w:rFonts w:ascii="Arial Narrow" w:hAnsi="Arial Narrow"/>
                <w:sz w:val="20"/>
              </w:rPr>
              <w:instrText xml:space="preserve"> FORMCHECKBOX </w:instrText>
            </w:r>
            <w:r w:rsidR="007430E3">
              <w:rPr>
                <w:rFonts w:ascii="Arial Narrow" w:hAnsi="Arial Narrow"/>
                <w:sz w:val="20"/>
              </w:rPr>
            </w:r>
            <w:r w:rsidR="007430E3">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Nurse practitioners  </w:t>
            </w:r>
          </w:p>
        </w:tc>
      </w:tr>
      <w:tr w:rsidR="002B03EB" w:rsidRPr="00D72941" w:rsidTr="002B03EB">
        <w:trPr>
          <w:cantSplit/>
          <w:trHeight w:val="58"/>
        </w:trPr>
        <w:tc>
          <w:tcPr>
            <w:tcW w:w="2126" w:type="dxa"/>
          </w:tcPr>
          <w:p w:rsidR="002B03EB" w:rsidRPr="00D72941" w:rsidRDefault="002B03EB" w:rsidP="002B03EB">
            <w:pPr>
              <w:widowControl/>
              <w:rPr>
                <w:rFonts w:ascii="Arial Narrow" w:hAnsi="Arial Narrow"/>
                <w:b/>
                <w:sz w:val="20"/>
              </w:rPr>
            </w:pPr>
            <w:r w:rsidRPr="00D72941">
              <w:rPr>
                <w:rFonts w:ascii="Arial Narrow" w:hAnsi="Arial Narrow"/>
                <w:b/>
                <w:sz w:val="20"/>
              </w:rPr>
              <w:t>PBS Indication:</w:t>
            </w:r>
          </w:p>
        </w:tc>
        <w:tc>
          <w:tcPr>
            <w:tcW w:w="6379" w:type="dxa"/>
            <w:gridSpan w:val="6"/>
          </w:tcPr>
          <w:p w:rsidR="002B03EB" w:rsidRPr="00D72941" w:rsidRDefault="002B03EB" w:rsidP="002B03EB">
            <w:pPr>
              <w:widowControl/>
              <w:rPr>
                <w:rFonts w:ascii="Arial Narrow" w:hAnsi="Arial Narrow"/>
                <w:sz w:val="20"/>
              </w:rPr>
            </w:pPr>
            <w:r w:rsidRPr="00626736">
              <w:rPr>
                <w:rFonts w:ascii="Arial Narrow" w:hAnsi="Arial Narrow"/>
                <w:sz w:val="20"/>
              </w:rPr>
              <w:t xml:space="preserve">Diabetes mellitus type </w:t>
            </w:r>
            <w:r>
              <w:rPr>
                <w:rFonts w:ascii="Arial Narrow" w:hAnsi="Arial Narrow"/>
                <w:sz w:val="20"/>
              </w:rPr>
              <w:t>2</w:t>
            </w:r>
          </w:p>
        </w:tc>
      </w:tr>
      <w:tr w:rsidR="002B03EB" w:rsidRPr="00D72941" w:rsidTr="002B03EB">
        <w:trPr>
          <w:cantSplit/>
          <w:trHeight w:val="96"/>
        </w:trPr>
        <w:tc>
          <w:tcPr>
            <w:tcW w:w="2126" w:type="dxa"/>
          </w:tcPr>
          <w:p w:rsidR="002B03EB" w:rsidRPr="00D72941" w:rsidRDefault="002B03EB" w:rsidP="002B03EB">
            <w:pPr>
              <w:widowControl/>
              <w:jc w:val="left"/>
              <w:rPr>
                <w:rFonts w:ascii="Arial Narrow" w:hAnsi="Arial Narrow"/>
                <w:sz w:val="20"/>
              </w:rPr>
            </w:pPr>
            <w:r w:rsidRPr="00D72941">
              <w:rPr>
                <w:rFonts w:ascii="Arial Narrow" w:hAnsi="Arial Narrow"/>
                <w:b/>
                <w:sz w:val="20"/>
              </w:rPr>
              <w:t>Restriction Level / Method:</w:t>
            </w:r>
          </w:p>
        </w:tc>
        <w:tc>
          <w:tcPr>
            <w:tcW w:w="6379" w:type="dxa"/>
            <w:gridSpan w:val="6"/>
          </w:tcPr>
          <w:p w:rsidR="002B03EB" w:rsidRPr="00D72941" w:rsidRDefault="002B03EB" w:rsidP="002B03EB">
            <w:pPr>
              <w:widowControl/>
              <w:rPr>
                <w:rFonts w:ascii="Arial Narrow" w:hAnsi="Arial Narrow"/>
                <w:sz w:val="20"/>
              </w:rPr>
            </w:pPr>
            <w:r>
              <w:rPr>
                <w:rFonts w:ascii="Arial Narrow" w:hAnsi="Arial Narrow"/>
                <w:sz w:val="20"/>
              </w:rPr>
              <w:t xml:space="preserve">Authority required (Streamlined) </w:t>
            </w:r>
          </w:p>
        </w:tc>
      </w:tr>
      <w:tr w:rsidR="002B03EB" w:rsidRPr="00D72941" w:rsidTr="002B03EB">
        <w:trPr>
          <w:cantSplit/>
          <w:trHeight w:val="360"/>
        </w:trPr>
        <w:tc>
          <w:tcPr>
            <w:tcW w:w="2126" w:type="dxa"/>
          </w:tcPr>
          <w:p w:rsidR="002B03EB" w:rsidRPr="00D72941" w:rsidRDefault="002B03EB" w:rsidP="002B03EB">
            <w:pPr>
              <w:widowControl/>
              <w:rPr>
                <w:rFonts w:ascii="Arial Narrow" w:hAnsi="Arial Narrow"/>
                <w:b/>
                <w:sz w:val="20"/>
              </w:rPr>
            </w:pPr>
            <w:r w:rsidRPr="00D72941">
              <w:rPr>
                <w:rFonts w:ascii="Arial Narrow" w:hAnsi="Arial Narrow"/>
                <w:b/>
                <w:sz w:val="20"/>
              </w:rPr>
              <w:t>Clinical criteria:</w:t>
            </w:r>
          </w:p>
          <w:p w:rsidR="002B03EB" w:rsidRPr="00D72941" w:rsidRDefault="002B03EB" w:rsidP="002B03EB">
            <w:pPr>
              <w:widowControl/>
              <w:rPr>
                <w:rFonts w:ascii="Arial Narrow" w:hAnsi="Arial Narrow"/>
                <w:i/>
                <w:sz w:val="20"/>
              </w:rPr>
            </w:pPr>
          </w:p>
          <w:p w:rsidR="002B03EB" w:rsidRPr="00D72941" w:rsidRDefault="002B03EB" w:rsidP="002B03EB">
            <w:pPr>
              <w:widowControl/>
              <w:rPr>
                <w:rFonts w:ascii="Arial Narrow" w:hAnsi="Arial Narrow"/>
                <w:sz w:val="20"/>
              </w:rPr>
            </w:pPr>
          </w:p>
        </w:tc>
        <w:tc>
          <w:tcPr>
            <w:tcW w:w="6379" w:type="dxa"/>
            <w:gridSpan w:val="6"/>
          </w:tcPr>
          <w:p w:rsidR="002B03EB" w:rsidRPr="00D72941" w:rsidRDefault="002B03EB" w:rsidP="002B03EB">
            <w:pPr>
              <w:pStyle w:val="TableText1"/>
              <w:spacing w:line="276" w:lineRule="auto"/>
              <w:rPr>
                <w:rFonts w:ascii="Arial Narrow" w:hAnsi="Arial Narrow"/>
              </w:rPr>
            </w:pPr>
            <w:r w:rsidRPr="00D72941">
              <w:rPr>
                <w:rFonts w:ascii="Arial Narrow" w:hAnsi="Arial Narrow"/>
              </w:rPr>
              <w:t xml:space="preserve">The treatment must be in combination with metformin, </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AND</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The treatment must be in combination with a sulfonylurea</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AND</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OR </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maximally tolerated doses of metformin and a sulfonylurea. </w:t>
            </w:r>
          </w:p>
        </w:tc>
      </w:tr>
      <w:tr w:rsidR="002B03EB" w:rsidRPr="00D72941" w:rsidTr="002B03EB">
        <w:trPr>
          <w:cantSplit/>
          <w:trHeight w:val="360"/>
        </w:trPr>
        <w:tc>
          <w:tcPr>
            <w:tcW w:w="2126" w:type="dxa"/>
          </w:tcPr>
          <w:p w:rsidR="002B03EB" w:rsidRPr="00D72941" w:rsidRDefault="002B03EB" w:rsidP="002B03EB">
            <w:pPr>
              <w:widowControl/>
              <w:rPr>
                <w:rFonts w:ascii="Arial Narrow" w:hAnsi="Arial Narrow"/>
                <w:b/>
                <w:sz w:val="20"/>
              </w:rPr>
            </w:pPr>
            <w:r w:rsidRPr="00D72941">
              <w:rPr>
                <w:rFonts w:ascii="Arial Narrow" w:hAnsi="Arial Narrow"/>
                <w:b/>
                <w:sz w:val="20"/>
              </w:rPr>
              <w:t>Prescriber Instructions</w:t>
            </w:r>
          </w:p>
          <w:p w:rsidR="002B03EB" w:rsidRPr="00D72941" w:rsidRDefault="002B03EB" w:rsidP="002B03EB">
            <w:pPr>
              <w:widowControl/>
              <w:rPr>
                <w:rFonts w:ascii="Arial Narrow" w:hAnsi="Arial Narrow"/>
                <w:sz w:val="20"/>
              </w:rPr>
            </w:pPr>
          </w:p>
        </w:tc>
        <w:tc>
          <w:tcPr>
            <w:tcW w:w="6379" w:type="dxa"/>
            <w:gridSpan w:val="6"/>
          </w:tcPr>
          <w:p w:rsidR="002B03EB" w:rsidRPr="00D72941" w:rsidRDefault="002B03EB" w:rsidP="002B03EB">
            <w:pPr>
              <w:pStyle w:val="TableText1"/>
              <w:spacing w:line="276" w:lineRule="auto"/>
              <w:rPr>
                <w:rFonts w:ascii="Arial Narrow" w:hAnsi="Arial Narrow"/>
              </w:rPr>
            </w:pPr>
            <w:r w:rsidRPr="00D72941">
              <w:rPr>
                <w:rFonts w:ascii="Arial Narrow" w:hAnsi="Arial Narrow"/>
              </w:rPr>
              <w:t xml:space="preserve">The date and level of the qualifying HbA1c measurement must be, or must have been, documented in the patient's medical records at the time treatment with a gliptin, a glitazone, a glucagon-like peptide-1 or an SGLT2 inhibitor is initiated. </w:t>
            </w:r>
          </w:p>
          <w:p w:rsidR="002B03EB" w:rsidRPr="00D72941" w:rsidRDefault="002B03EB" w:rsidP="002B03EB">
            <w:pPr>
              <w:pStyle w:val="TableText1"/>
              <w:spacing w:line="276" w:lineRule="auto"/>
              <w:rPr>
                <w:rFonts w:ascii="Arial Narrow" w:hAnsi="Arial Narrow"/>
              </w:rPr>
            </w:pPr>
          </w:p>
          <w:p w:rsidR="002B03EB" w:rsidRPr="00D72941" w:rsidRDefault="002B03EB" w:rsidP="002B03EB">
            <w:pPr>
              <w:pStyle w:val="TableText1"/>
              <w:spacing w:line="276" w:lineRule="auto"/>
              <w:rPr>
                <w:rFonts w:ascii="Arial Narrow" w:hAnsi="Arial Narrow"/>
              </w:rPr>
            </w:pPr>
            <w:r w:rsidRPr="00D72941">
              <w:rPr>
                <w:rFonts w:ascii="Arial Narrow" w:hAnsi="Arial Narrow"/>
              </w:rPr>
              <w:t xml:space="preserve">The HbA1c must be no more than 4 months old at the time treatment with a gliptin, a glitazone, a glucagon-like peptide-1 or an SGLT2 inhibitor was initiated. </w:t>
            </w:r>
          </w:p>
          <w:p w:rsidR="002B03EB" w:rsidRPr="00D72941" w:rsidRDefault="002B03EB" w:rsidP="002B03EB">
            <w:pPr>
              <w:pStyle w:val="TableText1"/>
              <w:spacing w:line="276" w:lineRule="auto"/>
              <w:rPr>
                <w:rFonts w:ascii="Arial Narrow" w:hAnsi="Arial Narrow"/>
              </w:rPr>
            </w:pPr>
          </w:p>
          <w:p w:rsidR="002B03EB" w:rsidRPr="00D72941" w:rsidRDefault="002B03EB" w:rsidP="002B03EB">
            <w:pPr>
              <w:pStyle w:val="TableText1"/>
              <w:spacing w:line="276" w:lineRule="auto"/>
              <w:rPr>
                <w:rFonts w:ascii="Arial Narrow" w:hAnsi="Arial Narrow"/>
              </w:rPr>
            </w:pPr>
            <w:r w:rsidRPr="00D72941">
              <w:rPr>
                <w:rFonts w:ascii="Arial Narrow" w:hAnsi="Arial Narrow"/>
              </w:rPr>
              <w:t>Blood glucose monitoring may be used as an alternative assessment to HbA1c levels in the following circumstances:</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(a) A clinical condition with reduced red blood cell survival, including haemolytic anaemias and haemoglobinopathies; and/or</w:t>
            </w:r>
          </w:p>
          <w:p w:rsidR="002B03EB" w:rsidRPr="00D72941" w:rsidRDefault="002B03EB" w:rsidP="002B03EB">
            <w:pPr>
              <w:pStyle w:val="TableText1"/>
              <w:spacing w:line="276" w:lineRule="auto"/>
              <w:rPr>
                <w:rFonts w:ascii="Arial Narrow" w:hAnsi="Arial Narrow"/>
              </w:rPr>
            </w:pPr>
            <w:r w:rsidRPr="00D72941">
              <w:rPr>
                <w:rFonts w:ascii="Arial Narrow" w:hAnsi="Arial Narrow"/>
              </w:rPr>
              <w:t>(b) Had red cell transfusion within the previous 3 months.</w:t>
            </w:r>
          </w:p>
          <w:p w:rsidR="002B03EB" w:rsidRPr="00D72941" w:rsidRDefault="002B03EB" w:rsidP="002B03EB">
            <w:pPr>
              <w:pStyle w:val="TableText1"/>
              <w:spacing w:line="276" w:lineRule="auto"/>
              <w:rPr>
                <w:rFonts w:ascii="Arial Narrow" w:hAnsi="Arial Narrow"/>
              </w:rPr>
            </w:pPr>
          </w:p>
          <w:p w:rsidR="002B03EB" w:rsidRPr="00D72941" w:rsidRDefault="002B03EB" w:rsidP="002B03EB">
            <w:pPr>
              <w:widowControl/>
              <w:rPr>
                <w:rFonts w:ascii="Arial Narrow" w:hAnsi="Arial Narrow"/>
                <w:sz w:val="20"/>
              </w:rPr>
            </w:pPr>
            <w:r w:rsidRPr="00D72941">
              <w:rPr>
                <w:rFonts w:ascii="Arial Narrow" w:hAnsi="Arial Narrow"/>
                <w:sz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2B03EB" w:rsidRPr="00D72941" w:rsidTr="002B03EB">
        <w:trPr>
          <w:cantSplit/>
          <w:trHeight w:val="360"/>
        </w:trPr>
        <w:tc>
          <w:tcPr>
            <w:tcW w:w="2126" w:type="dxa"/>
          </w:tcPr>
          <w:p w:rsidR="002B03EB" w:rsidRPr="00D72941" w:rsidRDefault="002B03EB" w:rsidP="002B03EB">
            <w:pPr>
              <w:widowControl/>
              <w:rPr>
                <w:rFonts w:ascii="Arial Narrow" w:hAnsi="Arial Narrow"/>
                <w:b/>
                <w:sz w:val="20"/>
              </w:rPr>
            </w:pPr>
            <w:r w:rsidRPr="00D72941">
              <w:rPr>
                <w:rFonts w:ascii="Arial Narrow" w:hAnsi="Arial Narrow"/>
                <w:b/>
                <w:sz w:val="20"/>
              </w:rPr>
              <w:t>Administrative Advice</w:t>
            </w:r>
          </w:p>
          <w:p w:rsidR="002B03EB" w:rsidRPr="00D72941" w:rsidRDefault="002B03EB" w:rsidP="002B03EB">
            <w:pPr>
              <w:widowControl/>
              <w:rPr>
                <w:rFonts w:ascii="Arial Narrow" w:hAnsi="Arial Narrow"/>
                <w:i/>
                <w:sz w:val="20"/>
              </w:rPr>
            </w:pPr>
          </w:p>
          <w:p w:rsidR="002B03EB" w:rsidRPr="00D72941" w:rsidRDefault="002B03EB" w:rsidP="002B03EB">
            <w:pPr>
              <w:widowControl/>
              <w:rPr>
                <w:rFonts w:ascii="Arial Narrow" w:hAnsi="Arial Narrow"/>
                <w:i/>
                <w:sz w:val="20"/>
              </w:rPr>
            </w:pPr>
          </w:p>
        </w:tc>
        <w:tc>
          <w:tcPr>
            <w:tcW w:w="6379" w:type="dxa"/>
            <w:gridSpan w:val="6"/>
          </w:tcPr>
          <w:p w:rsidR="002B03EB" w:rsidRPr="00D72941" w:rsidRDefault="002B03EB" w:rsidP="002B03EB">
            <w:pPr>
              <w:widowControl/>
              <w:rPr>
                <w:rFonts w:ascii="Arial Narrow" w:hAnsi="Arial Narrow"/>
                <w:sz w:val="20"/>
              </w:rPr>
            </w:pPr>
            <w:r w:rsidRPr="00D72941">
              <w:rPr>
                <w:rFonts w:ascii="Arial Narrow" w:hAnsi="Arial Narrow"/>
                <w:i/>
                <w:sz w:val="20"/>
              </w:rPr>
              <w:t>Dapagliflozin is not PBS-subsidised for use as monotherapy or in combination with a thiazolidinedione (glitazone), a dipeptidyl peptidase 4 inhibitor (gliptin) or a glucagon-like peptide-1’</w:t>
            </w:r>
          </w:p>
        </w:tc>
      </w:tr>
    </w:tbl>
    <w:p w:rsidR="00BC1D5F" w:rsidRDefault="00BC1D5F" w:rsidP="00BC1D5F">
      <w:pPr>
        <w:widowControl/>
        <w:jc w:val="left"/>
        <w:rPr>
          <w:rFonts w:cs="Times New Roman"/>
          <w:sz w:val="24"/>
          <w:szCs w:val="24"/>
          <w:lang w:eastAsia="en-AU"/>
        </w:rPr>
      </w:pPr>
    </w:p>
    <w:p w:rsidR="00992894" w:rsidRPr="00D4207D" w:rsidRDefault="00992894" w:rsidP="00992894">
      <w:pPr>
        <w:pStyle w:val="PBACHeading10"/>
      </w:pPr>
      <w:r w:rsidRPr="00D4207D">
        <w:t>Context for Decision</w:t>
      </w:r>
    </w:p>
    <w:p w:rsidR="00992894" w:rsidRPr="00D4420F" w:rsidRDefault="00992894" w:rsidP="00992894">
      <w:pPr>
        <w:pStyle w:val="ListParagraph"/>
        <w:rPr>
          <w:b/>
        </w:rPr>
      </w:pPr>
    </w:p>
    <w:p w:rsidR="00992894" w:rsidRPr="00D4207D" w:rsidRDefault="00992894" w:rsidP="00992894">
      <w:pPr>
        <w:ind w:left="720"/>
        <w:rPr>
          <w:bCs/>
          <w:szCs w:val="22"/>
        </w:rPr>
      </w:pPr>
      <w:r w:rsidRPr="00D4207D">
        <w:rPr>
          <w:bCs/>
          <w:szCs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D4207D">
        <w:rPr>
          <w:bCs/>
          <w:szCs w:val="22"/>
        </w:rPr>
        <w:lastRenderedPageBreak/>
        <w:t>PBAC view about the merits of the medicine. A company can resubmit to the PBAC or seek independent review of the PBAC decision.</w:t>
      </w:r>
    </w:p>
    <w:p w:rsidR="00992894" w:rsidRPr="00D4420F" w:rsidRDefault="00992894" w:rsidP="00992894"/>
    <w:p w:rsidR="00992894" w:rsidRPr="00D4207D" w:rsidRDefault="00992894" w:rsidP="00A8769F">
      <w:pPr>
        <w:pStyle w:val="PBACheading1"/>
      </w:pPr>
      <w:r w:rsidRPr="00D4207D">
        <w:t>Sponsor’s Comment</w:t>
      </w:r>
    </w:p>
    <w:p w:rsidR="00992894" w:rsidRDefault="00992894" w:rsidP="00992894">
      <w:pPr>
        <w:ind w:left="720"/>
        <w:rPr>
          <w:b/>
          <w:bCs/>
          <w:szCs w:val="22"/>
        </w:rPr>
      </w:pPr>
    </w:p>
    <w:p w:rsidR="00BC1D5F" w:rsidRPr="000850A4" w:rsidRDefault="000850A4" w:rsidP="000850A4">
      <w:pPr>
        <w:widowControl/>
        <w:ind w:firstLine="720"/>
        <w:jc w:val="left"/>
        <w:rPr>
          <w:rFonts w:cs="Times New Roman"/>
          <w:szCs w:val="24"/>
          <w:lang w:eastAsia="en-AU"/>
        </w:rPr>
      </w:pPr>
      <w:r w:rsidRPr="000850A4">
        <w:rPr>
          <w:rFonts w:cs="Times New Roman"/>
          <w:szCs w:val="24"/>
          <w:lang w:eastAsia="en-AU"/>
        </w:rPr>
        <w:t xml:space="preserve">The Sponsor had no comment. </w:t>
      </w:r>
    </w:p>
    <w:p w:rsidR="00BC1D5F" w:rsidRDefault="00BC1D5F" w:rsidP="00BC1D5F">
      <w:pPr>
        <w:widowControl/>
        <w:jc w:val="left"/>
        <w:rPr>
          <w:rFonts w:cs="Times New Roman"/>
          <w:sz w:val="24"/>
          <w:szCs w:val="24"/>
          <w:lang w:eastAsia="en-AU"/>
        </w:rPr>
      </w:pPr>
    </w:p>
    <w:p w:rsidR="00BC1D5F" w:rsidRDefault="00BC1D5F" w:rsidP="00BC1D5F">
      <w:pPr>
        <w:widowControl/>
        <w:jc w:val="left"/>
        <w:rPr>
          <w:rFonts w:cs="Times New Roman"/>
          <w:sz w:val="24"/>
          <w:szCs w:val="24"/>
          <w:lang w:eastAsia="en-AU"/>
        </w:rPr>
      </w:pPr>
    </w:p>
    <w:p w:rsidR="00E71973" w:rsidRDefault="00E71973" w:rsidP="0018560C">
      <w:pPr>
        <w:widowControl/>
        <w:rPr>
          <w:szCs w:val="22"/>
        </w:rPr>
      </w:pPr>
    </w:p>
    <w:sectPr w:rsidR="00E71973" w:rsidSect="0018560C">
      <w:headerReference w:type="default" r:id="rId9"/>
      <w:footerReference w:type="default" r:id="rId10"/>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E10CA" w15:done="0"/>
  <w15:commentEx w15:paraId="2143AB01" w15:done="0"/>
  <w15:commentEx w15:paraId="3C040654" w15:done="0"/>
  <w15:commentEx w15:paraId="170F4FF9" w15:done="0"/>
  <w15:commentEx w15:paraId="01738A81" w15:done="0"/>
  <w15:commentEx w15:paraId="728B0FAF" w15:done="0"/>
  <w15:commentEx w15:paraId="1B86744D" w15:done="0"/>
  <w15:commentEx w15:paraId="1028711D" w15:done="0"/>
  <w15:commentEx w15:paraId="71426ACE" w15:done="0"/>
  <w15:commentEx w15:paraId="1C084BD6" w15:done="0"/>
  <w15:commentEx w15:paraId="7A880F6B" w15:done="0"/>
  <w15:commentEx w15:paraId="50C46A51" w15:done="0"/>
  <w15:commentEx w15:paraId="1A2F7560" w15:done="0"/>
  <w15:commentEx w15:paraId="29B6B673" w15:done="0"/>
  <w15:commentEx w15:paraId="557F6639" w15:done="0"/>
  <w15:commentEx w15:paraId="297EA180" w15:done="0"/>
  <w15:commentEx w15:paraId="7A067035" w15:done="0"/>
  <w15:commentEx w15:paraId="640B90BF" w15:done="0"/>
  <w15:commentEx w15:paraId="291E751F" w15:done="0"/>
  <w15:commentEx w15:paraId="107FEDAC" w15:done="0"/>
  <w15:commentEx w15:paraId="16CD96EF" w15:done="0"/>
  <w15:commentEx w15:paraId="6824122F" w15:done="0"/>
  <w15:commentEx w15:paraId="4ADA7A3A" w15:done="0"/>
  <w15:commentEx w15:paraId="1930F196" w15:done="0"/>
  <w15:commentEx w15:paraId="05B0D81E" w15:done="0"/>
  <w15:commentEx w15:paraId="58748365" w15:done="0"/>
  <w15:commentEx w15:paraId="42B70B36" w15:done="0"/>
  <w15:commentEx w15:paraId="7D6A0E08" w15:done="0"/>
  <w15:commentEx w15:paraId="2FA75910" w15:done="0"/>
  <w15:commentEx w15:paraId="0C744F38" w15:done="0"/>
  <w15:commentEx w15:paraId="5323465B" w15:done="0"/>
  <w15:commentEx w15:paraId="3383F425" w15:done="0"/>
  <w15:commentEx w15:paraId="6839ED41" w15:done="0"/>
  <w15:commentEx w15:paraId="114FD133" w15:done="0"/>
  <w15:commentEx w15:paraId="3E194B4C" w15:done="0"/>
  <w15:commentEx w15:paraId="6B6A7E2B" w15:done="0"/>
  <w15:commentEx w15:paraId="6F773679" w15:done="0"/>
  <w15:commentEx w15:paraId="4B71ADBA" w15:done="0"/>
  <w15:commentEx w15:paraId="63229674" w15:done="0"/>
  <w15:commentEx w15:paraId="40F2D0D5" w15:done="0"/>
  <w15:commentEx w15:paraId="3E425C69" w15:done="0"/>
  <w15:commentEx w15:paraId="12E00A9A" w15:done="0"/>
  <w15:commentEx w15:paraId="38038359" w15:done="0"/>
  <w15:commentEx w15:paraId="79D2B928" w15:done="0"/>
  <w15:commentEx w15:paraId="24162CD8" w15:done="0"/>
  <w15:commentEx w15:paraId="01C310F2" w15:done="0"/>
  <w15:commentEx w15:paraId="1C443071" w15:done="0"/>
  <w15:commentEx w15:paraId="0CA5F11D" w15:done="0"/>
  <w15:commentEx w15:paraId="19B03962" w15:done="0"/>
  <w15:commentEx w15:paraId="2C03D81A" w15:done="0"/>
  <w15:commentEx w15:paraId="0BB70232" w15:done="0"/>
  <w15:commentEx w15:paraId="3A60ECCB" w15:done="0"/>
  <w15:commentEx w15:paraId="464B9D63" w15:done="0"/>
  <w15:commentEx w15:paraId="77663A3F" w15:done="0"/>
  <w15:commentEx w15:paraId="45CE3C64" w15:done="0"/>
  <w15:commentEx w15:paraId="13EF9B20" w15:done="0"/>
  <w15:commentEx w15:paraId="5BFA199B" w15:done="0"/>
  <w15:commentEx w15:paraId="58624129" w15:done="0"/>
  <w15:commentEx w15:paraId="4C6AA879" w15:done="0"/>
  <w15:commentEx w15:paraId="2288F0E6" w15:done="0"/>
  <w15:commentEx w15:paraId="0D36F948" w15:done="0"/>
  <w15:commentEx w15:paraId="1105FBB4" w15:done="0"/>
  <w15:commentEx w15:paraId="7A8E68BD" w15:done="0"/>
  <w15:commentEx w15:paraId="21A5C99D" w15:done="0"/>
  <w15:commentEx w15:paraId="36F7821A" w15:done="0"/>
  <w15:commentEx w15:paraId="5046DE89" w15:done="0"/>
  <w15:commentEx w15:paraId="50250BFD" w15:done="0"/>
  <w15:commentEx w15:paraId="71283FBF" w15:done="0"/>
  <w15:commentEx w15:paraId="30227554" w15:done="0"/>
  <w15:commentEx w15:paraId="34FBE392" w15:done="0"/>
  <w15:commentEx w15:paraId="3E561987" w15:done="0"/>
  <w15:commentEx w15:paraId="5D652B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E3" w:rsidRDefault="007430E3" w:rsidP="00124A51">
      <w:r>
        <w:separator/>
      </w:r>
    </w:p>
  </w:endnote>
  <w:endnote w:type="continuationSeparator" w:id="0">
    <w:p w:rsidR="007430E3" w:rsidRDefault="007430E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63455"/>
      <w:docPartObj>
        <w:docPartGallery w:val="Page Numbers (Bottom of Page)"/>
        <w:docPartUnique/>
      </w:docPartObj>
    </w:sdtPr>
    <w:sdtEndPr>
      <w:rPr>
        <w:noProof/>
      </w:rPr>
    </w:sdtEndPr>
    <w:sdtContent>
      <w:p w:rsidR="008E2E4A" w:rsidRDefault="008E2E4A">
        <w:pPr>
          <w:pStyle w:val="Footer"/>
          <w:jc w:val="center"/>
        </w:pPr>
        <w:r>
          <w:fldChar w:fldCharType="begin"/>
        </w:r>
        <w:r>
          <w:instrText xml:space="preserve"> PAGE   \* MERGEFORMAT </w:instrText>
        </w:r>
        <w:r>
          <w:fldChar w:fldCharType="separate"/>
        </w:r>
        <w:r w:rsidR="007430E3">
          <w:rPr>
            <w:noProof/>
          </w:rPr>
          <w:t>20</w:t>
        </w:r>
        <w:r>
          <w:rPr>
            <w:noProof/>
          </w:rPr>
          <w:fldChar w:fldCharType="end"/>
        </w:r>
      </w:p>
    </w:sdtContent>
  </w:sdt>
  <w:p w:rsidR="008E2E4A" w:rsidRDefault="008E2E4A" w:rsidP="00C73E0E">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E3" w:rsidRDefault="007430E3" w:rsidP="00124A51">
      <w:r>
        <w:separator/>
      </w:r>
    </w:p>
  </w:footnote>
  <w:footnote w:type="continuationSeparator" w:id="0">
    <w:p w:rsidR="007430E3" w:rsidRDefault="007430E3" w:rsidP="00124A51">
      <w:r>
        <w:continuationSeparator/>
      </w:r>
    </w:p>
  </w:footnote>
  <w:footnote w:id="1">
    <w:p w:rsidR="008E2E4A" w:rsidRDefault="008E2E4A" w:rsidP="00D42EE9">
      <w:pPr>
        <w:pStyle w:val="FootnoteText"/>
      </w:pPr>
      <w:r>
        <w:rPr>
          <w:rStyle w:val="FootnoteReference"/>
        </w:rPr>
        <w:footnoteRef/>
      </w:r>
      <w:r>
        <w:t xml:space="preserve"> Bolinder J et al.  Effects of dapagliflozin on body weight, total fat mass, and regional adipose tissue distribution in patients with type 2 diabetes mellitus with inadequate glycaemic control on metformin. </w:t>
      </w:r>
      <w:r w:rsidRPr="00D42EE9">
        <w:t>J Clin Endocrinol Metab. 2012;</w:t>
      </w:r>
      <w:r>
        <w:t xml:space="preserve"> </w:t>
      </w:r>
      <w:r w:rsidRPr="00D42EE9">
        <w:t>97(3):1020-31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E4A" w:rsidRDefault="008E2E4A" w:rsidP="00DE44E3">
    <w:pPr>
      <w:pStyle w:val="Header"/>
      <w:tabs>
        <w:tab w:val="left" w:pos="9645"/>
      </w:tabs>
      <w:ind w:left="2160" w:hanging="2160"/>
      <w:jc w:val="center"/>
      <w:rPr>
        <w:i/>
        <w:color w:val="A6A6A6" w:themeColor="background1" w:themeShade="A6"/>
      </w:rPr>
    </w:pPr>
    <w:r>
      <w:rPr>
        <w:i/>
        <w:color w:val="A6A6A6" w:themeColor="background1" w:themeShade="A6"/>
      </w:rPr>
      <w:t>Public Summary Document</w:t>
    </w:r>
    <w:r w:rsidRPr="00C73E0E">
      <w:rPr>
        <w:i/>
        <w:color w:val="A6A6A6" w:themeColor="background1" w:themeShade="A6"/>
      </w:rPr>
      <w:t xml:space="preserve"> – March 2015 PBAC Meeting</w:t>
    </w:r>
  </w:p>
  <w:p w:rsidR="008E2E4A" w:rsidRDefault="008E2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D4E"/>
    <w:multiLevelType w:val="hybridMultilevel"/>
    <w:tmpl w:val="67AA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EA5D56"/>
    <w:multiLevelType w:val="hybridMultilevel"/>
    <w:tmpl w:val="16E252E0"/>
    <w:lvl w:ilvl="0" w:tplc="5244849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2D2AD4"/>
    <w:multiLevelType w:val="hybridMultilevel"/>
    <w:tmpl w:val="98461C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start w:val="1"/>
      <w:numFmt w:val="bullet"/>
      <w:lvlText w:val="o"/>
      <w:lvlJc w:val="left"/>
      <w:pPr>
        <w:ind w:left="2205" w:hanging="360"/>
      </w:pPr>
      <w:rPr>
        <w:rFonts w:ascii="Courier New" w:hAnsi="Courier New" w:cs="Courier New" w:hint="default"/>
      </w:rPr>
    </w:lvl>
    <w:lvl w:ilvl="2" w:tplc="0C090005">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start w:val="1"/>
      <w:numFmt w:val="bullet"/>
      <w:lvlText w:val="o"/>
      <w:lvlJc w:val="left"/>
      <w:pPr>
        <w:ind w:left="4365" w:hanging="360"/>
      </w:pPr>
      <w:rPr>
        <w:rFonts w:ascii="Courier New" w:hAnsi="Courier New" w:cs="Courier New" w:hint="default"/>
      </w:rPr>
    </w:lvl>
    <w:lvl w:ilvl="5" w:tplc="0C090005">
      <w:start w:val="1"/>
      <w:numFmt w:val="bullet"/>
      <w:lvlText w:val=""/>
      <w:lvlJc w:val="left"/>
      <w:pPr>
        <w:ind w:left="5085" w:hanging="360"/>
      </w:pPr>
      <w:rPr>
        <w:rFonts w:ascii="Wingdings" w:hAnsi="Wingdings" w:hint="default"/>
      </w:rPr>
    </w:lvl>
    <w:lvl w:ilvl="6" w:tplc="0C090001">
      <w:start w:val="1"/>
      <w:numFmt w:val="bullet"/>
      <w:lvlText w:val=""/>
      <w:lvlJc w:val="left"/>
      <w:pPr>
        <w:ind w:left="5805" w:hanging="360"/>
      </w:pPr>
      <w:rPr>
        <w:rFonts w:ascii="Symbol" w:hAnsi="Symbol" w:hint="default"/>
      </w:rPr>
    </w:lvl>
    <w:lvl w:ilvl="7" w:tplc="0C090003">
      <w:start w:val="1"/>
      <w:numFmt w:val="bullet"/>
      <w:lvlText w:val="o"/>
      <w:lvlJc w:val="left"/>
      <w:pPr>
        <w:ind w:left="6525" w:hanging="360"/>
      </w:pPr>
      <w:rPr>
        <w:rFonts w:ascii="Courier New" w:hAnsi="Courier New" w:cs="Courier New" w:hint="default"/>
      </w:rPr>
    </w:lvl>
    <w:lvl w:ilvl="8" w:tplc="0C090005">
      <w:start w:val="1"/>
      <w:numFmt w:val="bullet"/>
      <w:lvlText w:val=""/>
      <w:lvlJc w:val="left"/>
      <w:pPr>
        <w:ind w:left="7245" w:hanging="360"/>
      </w:pPr>
      <w:rPr>
        <w:rFonts w:ascii="Wingdings" w:hAnsi="Wingdings" w:hint="default"/>
      </w:rPr>
    </w:lvl>
  </w:abstractNum>
  <w:abstractNum w:abstractNumId="4">
    <w:nsid w:val="34A56B07"/>
    <w:multiLevelType w:val="hybridMultilevel"/>
    <w:tmpl w:val="16AC2C0E"/>
    <w:lvl w:ilvl="0" w:tplc="0C090001">
      <w:start w:val="1"/>
      <w:numFmt w:val="bullet"/>
      <w:lvlText w:val=""/>
      <w:lvlJc w:val="left"/>
      <w:pPr>
        <w:ind w:left="1440" w:hanging="360"/>
      </w:pPr>
      <w:rPr>
        <w:rFonts w:ascii="Symbol" w:hAnsi="Symbol" w:hint="default"/>
      </w:rPr>
    </w:lvl>
    <w:lvl w:ilvl="1" w:tplc="86AC0C32">
      <w:numFmt w:val="bullet"/>
      <w:lvlText w:val="-"/>
      <w:lvlJc w:val="left"/>
      <w:pPr>
        <w:ind w:left="2160" w:hanging="360"/>
      </w:pPr>
      <w:rPr>
        <w:rFonts w:ascii="Arial" w:eastAsia="Times New Roman"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33C28F6"/>
    <w:multiLevelType w:val="hybridMultilevel"/>
    <w:tmpl w:val="57F6F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68C340C"/>
    <w:multiLevelType w:val="hybridMultilevel"/>
    <w:tmpl w:val="D53AA866"/>
    <w:lvl w:ilvl="0" w:tplc="E7565C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7A7903"/>
    <w:multiLevelType w:val="hybridMultilevel"/>
    <w:tmpl w:val="C890C5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AE70C7F"/>
    <w:multiLevelType w:val="hybridMultilevel"/>
    <w:tmpl w:val="881E7214"/>
    <w:lvl w:ilvl="0" w:tplc="00947DB8">
      <w:start w:val="1"/>
      <w:numFmt w:val="lowerRoman"/>
      <w:lvlText w:val="(%1)"/>
      <w:lvlJc w:val="left"/>
      <w:pPr>
        <w:ind w:left="1500" w:hanging="720"/>
      </w:pPr>
      <w:rPr>
        <w:rFonts w:hint="default"/>
        <w:i w:val="0"/>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0">
    <w:nsid w:val="76346CBF"/>
    <w:multiLevelType w:val="hybridMultilevel"/>
    <w:tmpl w:val="A87079A4"/>
    <w:lvl w:ilvl="0" w:tplc="0DBC61CE">
      <w:start w:val="1"/>
      <w:numFmt w:val="lowerLetter"/>
      <w:lvlText w:val="(%1)"/>
      <w:lvlJc w:val="left"/>
      <w:pPr>
        <w:ind w:left="1788" w:hanging="795"/>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1">
    <w:nsid w:val="76E92DAF"/>
    <w:multiLevelType w:val="hybridMultilevel"/>
    <w:tmpl w:val="8A3C97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7EC649D"/>
    <w:multiLevelType w:val="hybridMultilevel"/>
    <w:tmpl w:val="2E04CDB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784D033C"/>
    <w:multiLevelType w:val="multilevel"/>
    <w:tmpl w:val="A71C8C3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D101EF5"/>
    <w:multiLevelType w:val="hybridMultilevel"/>
    <w:tmpl w:val="408E12BC"/>
    <w:lvl w:ilvl="0" w:tplc="FC4E0402">
      <w:start w:val="1"/>
      <w:numFmt w:val="lowerLetter"/>
      <w:lvlText w:val="(%1)"/>
      <w:lvlJc w:val="left"/>
      <w:pPr>
        <w:ind w:left="1444" w:hanging="735"/>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15">
    <w:nsid w:val="7DBB44C0"/>
    <w:multiLevelType w:val="hybridMultilevel"/>
    <w:tmpl w:val="C6F67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4"/>
  </w:num>
  <w:num w:numId="5">
    <w:abstractNumId w:val="15"/>
  </w:num>
  <w:num w:numId="6">
    <w:abstractNumId w:val="5"/>
  </w:num>
  <w:num w:numId="7">
    <w:abstractNumId w:val="7"/>
  </w:num>
  <w:num w:numId="8">
    <w:abstractNumId w:val="12"/>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donohue">
    <w15:presenceInfo w15:providerId="Windows Live" w15:userId="d08faf8488562f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39"/>
    <w:rsid w:val="00000790"/>
    <w:rsid w:val="00000A10"/>
    <w:rsid w:val="0000110B"/>
    <w:rsid w:val="00002544"/>
    <w:rsid w:val="00002968"/>
    <w:rsid w:val="00003499"/>
    <w:rsid w:val="00007C78"/>
    <w:rsid w:val="00011266"/>
    <w:rsid w:val="00011C52"/>
    <w:rsid w:val="00013247"/>
    <w:rsid w:val="00015886"/>
    <w:rsid w:val="000162EF"/>
    <w:rsid w:val="0001638C"/>
    <w:rsid w:val="0002225F"/>
    <w:rsid w:val="00023763"/>
    <w:rsid w:val="000252B0"/>
    <w:rsid w:val="00027C0F"/>
    <w:rsid w:val="00030B5A"/>
    <w:rsid w:val="00031539"/>
    <w:rsid w:val="00031EC9"/>
    <w:rsid w:val="0003480E"/>
    <w:rsid w:val="00034BB1"/>
    <w:rsid w:val="00037DDF"/>
    <w:rsid w:val="00040895"/>
    <w:rsid w:val="0004235C"/>
    <w:rsid w:val="00043C37"/>
    <w:rsid w:val="00044E77"/>
    <w:rsid w:val="00044F3B"/>
    <w:rsid w:val="00045696"/>
    <w:rsid w:val="0004705D"/>
    <w:rsid w:val="00047D1A"/>
    <w:rsid w:val="00050612"/>
    <w:rsid w:val="00050743"/>
    <w:rsid w:val="00051EF7"/>
    <w:rsid w:val="00052CAB"/>
    <w:rsid w:val="000542B4"/>
    <w:rsid w:val="000546D7"/>
    <w:rsid w:val="00054766"/>
    <w:rsid w:val="0005485C"/>
    <w:rsid w:val="00057A4D"/>
    <w:rsid w:val="00060BD0"/>
    <w:rsid w:val="00062462"/>
    <w:rsid w:val="00064B23"/>
    <w:rsid w:val="0006535D"/>
    <w:rsid w:val="00065948"/>
    <w:rsid w:val="00065BD1"/>
    <w:rsid w:val="00066FE9"/>
    <w:rsid w:val="000670D8"/>
    <w:rsid w:val="0006747A"/>
    <w:rsid w:val="00070D43"/>
    <w:rsid w:val="00071248"/>
    <w:rsid w:val="000720B9"/>
    <w:rsid w:val="0007423B"/>
    <w:rsid w:val="00074B93"/>
    <w:rsid w:val="00075001"/>
    <w:rsid w:val="00080544"/>
    <w:rsid w:val="00080C6F"/>
    <w:rsid w:val="000812CA"/>
    <w:rsid w:val="0008158D"/>
    <w:rsid w:val="00081C70"/>
    <w:rsid w:val="0008295F"/>
    <w:rsid w:val="00083945"/>
    <w:rsid w:val="00083A92"/>
    <w:rsid w:val="000843B9"/>
    <w:rsid w:val="000850A4"/>
    <w:rsid w:val="000851C0"/>
    <w:rsid w:val="000854BF"/>
    <w:rsid w:val="00085CA4"/>
    <w:rsid w:val="000860F4"/>
    <w:rsid w:val="0008630A"/>
    <w:rsid w:val="000904C4"/>
    <w:rsid w:val="00090C7E"/>
    <w:rsid w:val="00092271"/>
    <w:rsid w:val="000935C4"/>
    <w:rsid w:val="000956ED"/>
    <w:rsid w:val="00096101"/>
    <w:rsid w:val="00096BDA"/>
    <w:rsid w:val="00097BA9"/>
    <w:rsid w:val="000A03AD"/>
    <w:rsid w:val="000A05ED"/>
    <w:rsid w:val="000A381B"/>
    <w:rsid w:val="000B0928"/>
    <w:rsid w:val="000B155E"/>
    <w:rsid w:val="000B2BA4"/>
    <w:rsid w:val="000B4961"/>
    <w:rsid w:val="000B53B1"/>
    <w:rsid w:val="000B7240"/>
    <w:rsid w:val="000C01DF"/>
    <w:rsid w:val="000C09AA"/>
    <w:rsid w:val="000C155D"/>
    <w:rsid w:val="000C22A1"/>
    <w:rsid w:val="000C2528"/>
    <w:rsid w:val="000C2C3E"/>
    <w:rsid w:val="000C34E7"/>
    <w:rsid w:val="000D1BFC"/>
    <w:rsid w:val="000D4018"/>
    <w:rsid w:val="000D449A"/>
    <w:rsid w:val="000D5314"/>
    <w:rsid w:val="000D5B8E"/>
    <w:rsid w:val="000D6260"/>
    <w:rsid w:val="000D64D3"/>
    <w:rsid w:val="000D7462"/>
    <w:rsid w:val="000E1B73"/>
    <w:rsid w:val="000E1BF6"/>
    <w:rsid w:val="000E349D"/>
    <w:rsid w:val="000E494D"/>
    <w:rsid w:val="000E58C4"/>
    <w:rsid w:val="000E7F93"/>
    <w:rsid w:val="000E7F94"/>
    <w:rsid w:val="000F0BB7"/>
    <w:rsid w:val="000F23FF"/>
    <w:rsid w:val="000F3576"/>
    <w:rsid w:val="000F41CD"/>
    <w:rsid w:val="000F46A4"/>
    <w:rsid w:val="000F49CF"/>
    <w:rsid w:val="000F4BB8"/>
    <w:rsid w:val="000F53D6"/>
    <w:rsid w:val="000F5790"/>
    <w:rsid w:val="000F7127"/>
    <w:rsid w:val="000F7E09"/>
    <w:rsid w:val="00100F8A"/>
    <w:rsid w:val="00101247"/>
    <w:rsid w:val="001025C1"/>
    <w:rsid w:val="001037B0"/>
    <w:rsid w:val="00103959"/>
    <w:rsid w:val="0010407E"/>
    <w:rsid w:val="001047F8"/>
    <w:rsid w:val="00104A3D"/>
    <w:rsid w:val="00105AF1"/>
    <w:rsid w:val="00107D8D"/>
    <w:rsid w:val="0011032E"/>
    <w:rsid w:val="00110BA5"/>
    <w:rsid w:val="00110FD7"/>
    <w:rsid w:val="0011175F"/>
    <w:rsid w:val="00111907"/>
    <w:rsid w:val="00112C65"/>
    <w:rsid w:val="0011348B"/>
    <w:rsid w:val="00114D15"/>
    <w:rsid w:val="001171C7"/>
    <w:rsid w:val="00117B2E"/>
    <w:rsid w:val="00121799"/>
    <w:rsid w:val="001222FC"/>
    <w:rsid w:val="00122750"/>
    <w:rsid w:val="00124A51"/>
    <w:rsid w:val="001253DA"/>
    <w:rsid w:val="00126611"/>
    <w:rsid w:val="00126621"/>
    <w:rsid w:val="00126E9F"/>
    <w:rsid w:val="00127EEF"/>
    <w:rsid w:val="001301E9"/>
    <w:rsid w:val="00130C91"/>
    <w:rsid w:val="00132398"/>
    <w:rsid w:val="00134524"/>
    <w:rsid w:val="0013496C"/>
    <w:rsid w:val="00134E81"/>
    <w:rsid w:val="00134F30"/>
    <w:rsid w:val="00137645"/>
    <w:rsid w:val="00137BC1"/>
    <w:rsid w:val="0014015A"/>
    <w:rsid w:val="00140E99"/>
    <w:rsid w:val="00141F8B"/>
    <w:rsid w:val="0014251F"/>
    <w:rsid w:val="00143390"/>
    <w:rsid w:val="0014381A"/>
    <w:rsid w:val="00144A60"/>
    <w:rsid w:val="00144EAA"/>
    <w:rsid w:val="00145540"/>
    <w:rsid w:val="001456B0"/>
    <w:rsid w:val="001506B0"/>
    <w:rsid w:val="00153C42"/>
    <w:rsid w:val="001543C8"/>
    <w:rsid w:val="00154914"/>
    <w:rsid w:val="001562F6"/>
    <w:rsid w:val="001569F5"/>
    <w:rsid w:val="00157130"/>
    <w:rsid w:val="00161F26"/>
    <w:rsid w:val="00162913"/>
    <w:rsid w:val="00163371"/>
    <w:rsid w:val="00163EFF"/>
    <w:rsid w:val="001646E1"/>
    <w:rsid w:val="001661FB"/>
    <w:rsid w:val="001677DF"/>
    <w:rsid w:val="00167CD7"/>
    <w:rsid w:val="00167E6D"/>
    <w:rsid w:val="00167EC4"/>
    <w:rsid w:val="00171AA3"/>
    <w:rsid w:val="00171D59"/>
    <w:rsid w:val="00171E86"/>
    <w:rsid w:val="00172367"/>
    <w:rsid w:val="00173A31"/>
    <w:rsid w:val="00173D45"/>
    <w:rsid w:val="001740F4"/>
    <w:rsid w:val="001742AC"/>
    <w:rsid w:val="001762EA"/>
    <w:rsid w:val="0017760E"/>
    <w:rsid w:val="00177E10"/>
    <w:rsid w:val="001805E2"/>
    <w:rsid w:val="00180721"/>
    <w:rsid w:val="00180F5F"/>
    <w:rsid w:val="00181D3D"/>
    <w:rsid w:val="00181FE4"/>
    <w:rsid w:val="0018560C"/>
    <w:rsid w:val="0018565D"/>
    <w:rsid w:val="00185E45"/>
    <w:rsid w:val="0018752F"/>
    <w:rsid w:val="001903C1"/>
    <w:rsid w:val="00190432"/>
    <w:rsid w:val="00191159"/>
    <w:rsid w:val="001911D4"/>
    <w:rsid w:val="00191394"/>
    <w:rsid w:val="00192CF0"/>
    <w:rsid w:val="001941A0"/>
    <w:rsid w:val="00195222"/>
    <w:rsid w:val="00195804"/>
    <w:rsid w:val="001975D8"/>
    <w:rsid w:val="001A214C"/>
    <w:rsid w:val="001A4292"/>
    <w:rsid w:val="001A4A3A"/>
    <w:rsid w:val="001A579B"/>
    <w:rsid w:val="001A58E3"/>
    <w:rsid w:val="001B03E5"/>
    <w:rsid w:val="001B0E63"/>
    <w:rsid w:val="001B32F8"/>
    <w:rsid w:val="001B3443"/>
    <w:rsid w:val="001B3B6A"/>
    <w:rsid w:val="001B5F1A"/>
    <w:rsid w:val="001C2EC6"/>
    <w:rsid w:val="001C3ED6"/>
    <w:rsid w:val="001C4194"/>
    <w:rsid w:val="001C480F"/>
    <w:rsid w:val="001C571B"/>
    <w:rsid w:val="001C632B"/>
    <w:rsid w:val="001C6E66"/>
    <w:rsid w:val="001C7171"/>
    <w:rsid w:val="001D06D1"/>
    <w:rsid w:val="001D139F"/>
    <w:rsid w:val="001D25FB"/>
    <w:rsid w:val="001D3712"/>
    <w:rsid w:val="001D3D4A"/>
    <w:rsid w:val="001D3DFD"/>
    <w:rsid w:val="001D4978"/>
    <w:rsid w:val="001D53E3"/>
    <w:rsid w:val="001E041E"/>
    <w:rsid w:val="001E1594"/>
    <w:rsid w:val="001E238E"/>
    <w:rsid w:val="001E2B1E"/>
    <w:rsid w:val="001E52EB"/>
    <w:rsid w:val="001E740C"/>
    <w:rsid w:val="001E763E"/>
    <w:rsid w:val="001F0090"/>
    <w:rsid w:val="001F023B"/>
    <w:rsid w:val="001F09F2"/>
    <w:rsid w:val="001F1235"/>
    <w:rsid w:val="001F172F"/>
    <w:rsid w:val="001F1CB3"/>
    <w:rsid w:val="001F1E45"/>
    <w:rsid w:val="001F2A2F"/>
    <w:rsid w:val="001F2EAE"/>
    <w:rsid w:val="001F6427"/>
    <w:rsid w:val="001F7361"/>
    <w:rsid w:val="001F77EF"/>
    <w:rsid w:val="001F7D32"/>
    <w:rsid w:val="002002B5"/>
    <w:rsid w:val="002037CC"/>
    <w:rsid w:val="0020385F"/>
    <w:rsid w:val="00203969"/>
    <w:rsid w:val="00204329"/>
    <w:rsid w:val="00207021"/>
    <w:rsid w:val="0020720A"/>
    <w:rsid w:val="0020772E"/>
    <w:rsid w:val="00207D00"/>
    <w:rsid w:val="002105C1"/>
    <w:rsid w:val="00210669"/>
    <w:rsid w:val="00213D2A"/>
    <w:rsid w:val="002148B8"/>
    <w:rsid w:val="00214F48"/>
    <w:rsid w:val="00215D06"/>
    <w:rsid w:val="002170C6"/>
    <w:rsid w:val="00221DC2"/>
    <w:rsid w:val="002221B8"/>
    <w:rsid w:val="00223630"/>
    <w:rsid w:val="00223B49"/>
    <w:rsid w:val="00224DD4"/>
    <w:rsid w:val="0022676E"/>
    <w:rsid w:val="0023079D"/>
    <w:rsid w:val="002309CC"/>
    <w:rsid w:val="002323C8"/>
    <w:rsid w:val="00235456"/>
    <w:rsid w:val="00236C63"/>
    <w:rsid w:val="00237260"/>
    <w:rsid w:val="00237807"/>
    <w:rsid w:val="00237D6E"/>
    <w:rsid w:val="00237FD8"/>
    <w:rsid w:val="002406A4"/>
    <w:rsid w:val="00240F15"/>
    <w:rsid w:val="00243135"/>
    <w:rsid w:val="00244B73"/>
    <w:rsid w:val="00245900"/>
    <w:rsid w:val="0025179D"/>
    <w:rsid w:val="00253519"/>
    <w:rsid w:val="00254901"/>
    <w:rsid w:val="00254C3B"/>
    <w:rsid w:val="00254DCF"/>
    <w:rsid w:val="0025534B"/>
    <w:rsid w:val="00255BB7"/>
    <w:rsid w:val="002605C9"/>
    <w:rsid w:val="002607D3"/>
    <w:rsid w:val="0026199B"/>
    <w:rsid w:val="00261F35"/>
    <w:rsid w:val="002622B9"/>
    <w:rsid w:val="00262A87"/>
    <w:rsid w:val="00262F3F"/>
    <w:rsid w:val="002638E6"/>
    <w:rsid w:val="00265944"/>
    <w:rsid w:val="002706FB"/>
    <w:rsid w:val="00271C8A"/>
    <w:rsid w:val="002721A1"/>
    <w:rsid w:val="002723DC"/>
    <w:rsid w:val="002724FB"/>
    <w:rsid w:val="00272639"/>
    <w:rsid w:val="00274A22"/>
    <w:rsid w:val="00275C5A"/>
    <w:rsid w:val="002761CC"/>
    <w:rsid w:val="0027736C"/>
    <w:rsid w:val="00281014"/>
    <w:rsid w:val="002846C2"/>
    <w:rsid w:val="00286306"/>
    <w:rsid w:val="00286379"/>
    <w:rsid w:val="00295613"/>
    <w:rsid w:val="002A08C1"/>
    <w:rsid w:val="002A14AB"/>
    <w:rsid w:val="002A37A5"/>
    <w:rsid w:val="002A3E63"/>
    <w:rsid w:val="002A59D8"/>
    <w:rsid w:val="002A6AE9"/>
    <w:rsid w:val="002A77B5"/>
    <w:rsid w:val="002B03EB"/>
    <w:rsid w:val="002B1C1F"/>
    <w:rsid w:val="002B20CF"/>
    <w:rsid w:val="002B2560"/>
    <w:rsid w:val="002B432F"/>
    <w:rsid w:val="002B5A20"/>
    <w:rsid w:val="002B5B78"/>
    <w:rsid w:val="002B69F6"/>
    <w:rsid w:val="002B6CCE"/>
    <w:rsid w:val="002B7290"/>
    <w:rsid w:val="002C17C4"/>
    <w:rsid w:val="002C2775"/>
    <w:rsid w:val="002C27C1"/>
    <w:rsid w:val="002C5012"/>
    <w:rsid w:val="002C5575"/>
    <w:rsid w:val="002C6D44"/>
    <w:rsid w:val="002D519B"/>
    <w:rsid w:val="002D51B7"/>
    <w:rsid w:val="002D6797"/>
    <w:rsid w:val="002D7694"/>
    <w:rsid w:val="002D788D"/>
    <w:rsid w:val="002E0660"/>
    <w:rsid w:val="002E1071"/>
    <w:rsid w:val="002E1E8C"/>
    <w:rsid w:val="002E205E"/>
    <w:rsid w:val="002E34F4"/>
    <w:rsid w:val="002E410C"/>
    <w:rsid w:val="002E4481"/>
    <w:rsid w:val="002E5526"/>
    <w:rsid w:val="002E55AC"/>
    <w:rsid w:val="002F2E09"/>
    <w:rsid w:val="002F7873"/>
    <w:rsid w:val="002F7D7B"/>
    <w:rsid w:val="002F7FCD"/>
    <w:rsid w:val="00300B78"/>
    <w:rsid w:val="00301017"/>
    <w:rsid w:val="0030297D"/>
    <w:rsid w:val="00303E0C"/>
    <w:rsid w:val="00304B6A"/>
    <w:rsid w:val="00304C06"/>
    <w:rsid w:val="00305467"/>
    <w:rsid w:val="0030786C"/>
    <w:rsid w:val="0031031A"/>
    <w:rsid w:val="00310981"/>
    <w:rsid w:val="003129DB"/>
    <w:rsid w:val="00315498"/>
    <w:rsid w:val="00316B48"/>
    <w:rsid w:val="00317439"/>
    <w:rsid w:val="00317887"/>
    <w:rsid w:val="00324805"/>
    <w:rsid w:val="003254CE"/>
    <w:rsid w:val="00325CB1"/>
    <w:rsid w:val="00330528"/>
    <w:rsid w:val="00332662"/>
    <w:rsid w:val="00332D08"/>
    <w:rsid w:val="003332A1"/>
    <w:rsid w:val="003338E7"/>
    <w:rsid w:val="003342F8"/>
    <w:rsid w:val="003366C9"/>
    <w:rsid w:val="003371B0"/>
    <w:rsid w:val="003375B4"/>
    <w:rsid w:val="003378E4"/>
    <w:rsid w:val="00337FF8"/>
    <w:rsid w:val="003408D8"/>
    <w:rsid w:val="00340E22"/>
    <w:rsid w:val="00341332"/>
    <w:rsid w:val="00342432"/>
    <w:rsid w:val="00342443"/>
    <w:rsid w:val="00344756"/>
    <w:rsid w:val="00344861"/>
    <w:rsid w:val="00344CA1"/>
    <w:rsid w:val="00345D66"/>
    <w:rsid w:val="00352C40"/>
    <w:rsid w:val="003539C7"/>
    <w:rsid w:val="0035454B"/>
    <w:rsid w:val="0035497C"/>
    <w:rsid w:val="00355315"/>
    <w:rsid w:val="0035559D"/>
    <w:rsid w:val="0035620E"/>
    <w:rsid w:val="00356823"/>
    <w:rsid w:val="00357345"/>
    <w:rsid w:val="00357549"/>
    <w:rsid w:val="00361217"/>
    <w:rsid w:val="00362110"/>
    <w:rsid w:val="00364D4C"/>
    <w:rsid w:val="00366D87"/>
    <w:rsid w:val="003718F3"/>
    <w:rsid w:val="00374008"/>
    <w:rsid w:val="003774E6"/>
    <w:rsid w:val="00377B8B"/>
    <w:rsid w:val="00377C05"/>
    <w:rsid w:val="00380775"/>
    <w:rsid w:val="00381779"/>
    <w:rsid w:val="0038365C"/>
    <w:rsid w:val="00386A41"/>
    <w:rsid w:val="003877D4"/>
    <w:rsid w:val="003879A4"/>
    <w:rsid w:val="00391BBF"/>
    <w:rsid w:val="00392D2B"/>
    <w:rsid w:val="003932A8"/>
    <w:rsid w:val="0039351A"/>
    <w:rsid w:val="003938C7"/>
    <w:rsid w:val="00394215"/>
    <w:rsid w:val="00396F25"/>
    <w:rsid w:val="00396FD0"/>
    <w:rsid w:val="003A0C91"/>
    <w:rsid w:val="003A1A7A"/>
    <w:rsid w:val="003A3266"/>
    <w:rsid w:val="003A6148"/>
    <w:rsid w:val="003B074E"/>
    <w:rsid w:val="003B4A06"/>
    <w:rsid w:val="003B5133"/>
    <w:rsid w:val="003B5E57"/>
    <w:rsid w:val="003B6C53"/>
    <w:rsid w:val="003B701C"/>
    <w:rsid w:val="003B77F8"/>
    <w:rsid w:val="003C1363"/>
    <w:rsid w:val="003C3A05"/>
    <w:rsid w:val="003C459E"/>
    <w:rsid w:val="003C49D8"/>
    <w:rsid w:val="003D04B1"/>
    <w:rsid w:val="003D1828"/>
    <w:rsid w:val="003D2422"/>
    <w:rsid w:val="003D2B13"/>
    <w:rsid w:val="003D3ADE"/>
    <w:rsid w:val="003D4012"/>
    <w:rsid w:val="003D626F"/>
    <w:rsid w:val="003E0561"/>
    <w:rsid w:val="003E1084"/>
    <w:rsid w:val="003E6B2D"/>
    <w:rsid w:val="003E7CBC"/>
    <w:rsid w:val="003F0758"/>
    <w:rsid w:val="003F1F0F"/>
    <w:rsid w:val="003F4156"/>
    <w:rsid w:val="003F492A"/>
    <w:rsid w:val="003F7EB6"/>
    <w:rsid w:val="0040090C"/>
    <w:rsid w:val="00401DBD"/>
    <w:rsid w:val="00404C8F"/>
    <w:rsid w:val="00407EB4"/>
    <w:rsid w:val="00410708"/>
    <w:rsid w:val="00410EC7"/>
    <w:rsid w:val="00410F80"/>
    <w:rsid w:val="00414476"/>
    <w:rsid w:val="0041500E"/>
    <w:rsid w:val="00415AC0"/>
    <w:rsid w:val="00415B16"/>
    <w:rsid w:val="00416D66"/>
    <w:rsid w:val="004178FB"/>
    <w:rsid w:val="00420B9F"/>
    <w:rsid w:val="00421BF3"/>
    <w:rsid w:val="004227B3"/>
    <w:rsid w:val="0042600E"/>
    <w:rsid w:val="00426949"/>
    <w:rsid w:val="004319F8"/>
    <w:rsid w:val="00433044"/>
    <w:rsid w:val="00433D26"/>
    <w:rsid w:val="004352C7"/>
    <w:rsid w:val="00435BF9"/>
    <w:rsid w:val="00436A3A"/>
    <w:rsid w:val="004376FA"/>
    <w:rsid w:val="00440081"/>
    <w:rsid w:val="00440264"/>
    <w:rsid w:val="004406B5"/>
    <w:rsid w:val="00441762"/>
    <w:rsid w:val="0044178D"/>
    <w:rsid w:val="004424BB"/>
    <w:rsid w:val="00442773"/>
    <w:rsid w:val="00442F85"/>
    <w:rsid w:val="004443A7"/>
    <w:rsid w:val="00445D0D"/>
    <w:rsid w:val="004464EB"/>
    <w:rsid w:val="00446BCE"/>
    <w:rsid w:val="00447DF4"/>
    <w:rsid w:val="00452392"/>
    <w:rsid w:val="00453139"/>
    <w:rsid w:val="00453F66"/>
    <w:rsid w:val="00454F44"/>
    <w:rsid w:val="00455D45"/>
    <w:rsid w:val="00457965"/>
    <w:rsid w:val="00460009"/>
    <w:rsid w:val="00460063"/>
    <w:rsid w:val="00460072"/>
    <w:rsid w:val="00462E2D"/>
    <w:rsid w:val="00464595"/>
    <w:rsid w:val="004666EE"/>
    <w:rsid w:val="00466B90"/>
    <w:rsid w:val="00466F24"/>
    <w:rsid w:val="00467337"/>
    <w:rsid w:val="00467B62"/>
    <w:rsid w:val="004700ED"/>
    <w:rsid w:val="00470456"/>
    <w:rsid w:val="0047134C"/>
    <w:rsid w:val="004714F6"/>
    <w:rsid w:val="00472504"/>
    <w:rsid w:val="00472B26"/>
    <w:rsid w:val="00472FE2"/>
    <w:rsid w:val="00473FFE"/>
    <w:rsid w:val="00474BC8"/>
    <w:rsid w:val="00476A62"/>
    <w:rsid w:val="0047729F"/>
    <w:rsid w:val="00480C4B"/>
    <w:rsid w:val="004840FD"/>
    <w:rsid w:val="0048487C"/>
    <w:rsid w:val="004867E2"/>
    <w:rsid w:val="00486DAE"/>
    <w:rsid w:val="004908A4"/>
    <w:rsid w:val="00491B3A"/>
    <w:rsid w:val="00492CFD"/>
    <w:rsid w:val="00493816"/>
    <w:rsid w:val="00493ECC"/>
    <w:rsid w:val="00495447"/>
    <w:rsid w:val="00495596"/>
    <w:rsid w:val="004962D2"/>
    <w:rsid w:val="004A015B"/>
    <w:rsid w:val="004A0DA1"/>
    <w:rsid w:val="004A3074"/>
    <w:rsid w:val="004A32D5"/>
    <w:rsid w:val="004A5B8B"/>
    <w:rsid w:val="004A6597"/>
    <w:rsid w:val="004A7465"/>
    <w:rsid w:val="004B0813"/>
    <w:rsid w:val="004B0CD1"/>
    <w:rsid w:val="004B15F7"/>
    <w:rsid w:val="004B1CB4"/>
    <w:rsid w:val="004B2F18"/>
    <w:rsid w:val="004B3DDB"/>
    <w:rsid w:val="004B44FD"/>
    <w:rsid w:val="004B4653"/>
    <w:rsid w:val="004B5CFC"/>
    <w:rsid w:val="004B6D5C"/>
    <w:rsid w:val="004C1113"/>
    <w:rsid w:val="004C3BC2"/>
    <w:rsid w:val="004C459B"/>
    <w:rsid w:val="004C4AED"/>
    <w:rsid w:val="004C5D1F"/>
    <w:rsid w:val="004C5FCE"/>
    <w:rsid w:val="004C6DAA"/>
    <w:rsid w:val="004C743A"/>
    <w:rsid w:val="004C7BED"/>
    <w:rsid w:val="004D1AC9"/>
    <w:rsid w:val="004D23B8"/>
    <w:rsid w:val="004D2A96"/>
    <w:rsid w:val="004D31F1"/>
    <w:rsid w:val="004D35C1"/>
    <w:rsid w:val="004D3E9F"/>
    <w:rsid w:val="004D43AC"/>
    <w:rsid w:val="004D47CC"/>
    <w:rsid w:val="004D4C55"/>
    <w:rsid w:val="004D575B"/>
    <w:rsid w:val="004D6C42"/>
    <w:rsid w:val="004E0EB8"/>
    <w:rsid w:val="004E1246"/>
    <w:rsid w:val="004E2ADC"/>
    <w:rsid w:val="004E301C"/>
    <w:rsid w:val="004E32B5"/>
    <w:rsid w:val="004E346C"/>
    <w:rsid w:val="004E43B2"/>
    <w:rsid w:val="004E4C99"/>
    <w:rsid w:val="004E52CB"/>
    <w:rsid w:val="004E60C6"/>
    <w:rsid w:val="004E61F9"/>
    <w:rsid w:val="004E6EE0"/>
    <w:rsid w:val="004F1D02"/>
    <w:rsid w:val="004F23C1"/>
    <w:rsid w:val="004F2679"/>
    <w:rsid w:val="004F35E0"/>
    <w:rsid w:val="004F4DB6"/>
    <w:rsid w:val="004F5454"/>
    <w:rsid w:val="004F5978"/>
    <w:rsid w:val="004F6869"/>
    <w:rsid w:val="004F6A01"/>
    <w:rsid w:val="004F6B15"/>
    <w:rsid w:val="004F6EF7"/>
    <w:rsid w:val="004F7865"/>
    <w:rsid w:val="00501488"/>
    <w:rsid w:val="00502A1D"/>
    <w:rsid w:val="00502FEB"/>
    <w:rsid w:val="00503814"/>
    <w:rsid w:val="00504FBD"/>
    <w:rsid w:val="00506928"/>
    <w:rsid w:val="0050712E"/>
    <w:rsid w:val="00514695"/>
    <w:rsid w:val="005146CE"/>
    <w:rsid w:val="005152B5"/>
    <w:rsid w:val="00515819"/>
    <w:rsid w:val="00515A64"/>
    <w:rsid w:val="00515BE5"/>
    <w:rsid w:val="00516B2E"/>
    <w:rsid w:val="00520AD0"/>
    <w:rsid w:val="00521319"/>
    <w:rsid w:val="00521C8B"/>
    <w:rsid w:val="00522053"/>
    <w:rsid w:val="0052266C"/>
    <w:rsid w:val="00523C28"/>
    <w:rsid w:val="0052403C"/>
    <w:rsid w:val="00524BD1"/>
    <w:rsid w:val="00524D02"/>
    <w:rsid w:val="00530640"/>
    <w:rsid w:val="00536DBC"/>
    <w:rsid w:val="005408B2"/>
    <w:rsid w:val="00542B87"/>
    <w:rsid w:val="00544753"/>
    <w:rsid w:val="005473B3"/>
    <w:rsid w:val="00547D6B"/>
    <w:rsid w:val="0055171A"/>
    <w:rsid w:val="00551B12"/>
    <w:rsid w:val="00552BD3"/>
    <w:rsid w:val="005546C5"/>
    <w:rsid w:val="00555109"/>
    <w:rsid w:val="00555B38"/>
    <w:rsid w:val="00560081"/>
    <w:rsid w:val="005615B9"/>
    <w:rsid w:val="00563668"/>
    <w:rsid w:val="0056392B"/>
    <w:rsid w:val="005657F6"/>
    <w:rsid w:val="0056696F"/>
    <w:rsid w:val="00566C81"/>
    <w:rsid w:val="0056763B"/>
    <w:rsid w:val="005704A3"/>
    <w:rsid w:val="005715A1"/>
    <w:rsid w:val="00573E76"/>
    <w:rsid w:val="005743CA"/>
    <w:rsid w:val="00575851"/>
    <w:rsid w:val="00575D8D"/>
    <w:rsid w:val="00576972"/>
    <w:rsid w:val="00582F99"/>
    <w:rsid w:val="00583699"/>
    <w:rsid w:val="00583B45"/>
    <w:rsid w:val="005841B6"/>
    <w:rsid w:val="00584C34"/>
    <w:rsid w:val="005852A1"/>
    <w:rsid w:val="00590EE8"/>
    <w:rsid w:val="00591CA8"/>
    <w:rsid w:val="00593405"/>
    <w:rsid w:val="00594EDF"/>
    <w:rsid w:val="005A02A1"/>
    <w:rsid w:val="005A0362"/>
    <w:rsid w:val="005A03D3"/>
    <w:rsid w:val="005A1827"/>
    <w:rsid w:val="005A18A3"/>
    <w:rsid w:val="005A5338"/>
    <w:rsid w:val="005A5D23"/>
    <w:rsid w:val="005A685F"/>
    <w:rsid w:val="005B0167"/>
    <w:rsid w:val="005B2289"/>
    <w:rsid w:val="005B26D3"/>
    <w:rsid w:val="005B46AC"/>
    <w:rsid w:val="005B5330"/>
    <w:rsid w:val="005B5857"/>
    <w:rsid w:val="005C1136"/>
    <w:rsid w:val="005C1314"/>
    <w:rsid w:val="005C1B83"/>
    <w:rsid w:val="005C2BD2"/>
    <w:rsid w:val="005C346B"/>
    <w:rsid w:val="005C4806"/>
    <w:rsid w:val="005C5634"/>
    <w:rsid w:val="005C5FB0"/>
    <w:rsid w:val="005C77FA"/>
    <w:rsid w:val="005D044D"/>
    <w:rsid w:val="005D18AD"/>
    <w:rsid w:val="005D1B21"/>
    <w:rsid w:val="005D1D47"/>
    <w:rsid w:val="005D48CE"/>
    <w:rsid w:val="005D5C3F"/>
    <w:rsid w:val="005E0617"/>
    <w:rsid w:val="005E3469"/>
    <w:rsid w:val="005E4269"/>
    <w:rsid w:val="005E4818"/>
    <w:rsid w:val="005E73C0"/>
    <w:rsid w:val="005E77D8"/>
    <w:rsid w:val="005E783F"/>
    <w:rsid w:val="005F186B"/>
    <w:rsid w:val="005F2706"/>
    <w:rsid w:val="005F2A33"/>
    <w:rsid w:val="005F323A"/>
    <w:rsid w:val="005F5539"/>
    <w:rsid w:val="005F6A8F"/>
    <w:rsid w:val="0060249F"/>
    <w:rsid w:val="00602834"/>
    <w:rsid w:val="006034D5"/>
    <w:rsid w:val="00603A03"/>
    <w:rsid w:val="00607669"/>
    <w:rsid w:val="00607E37"/>
    <w:rsid w:val="00611777"/>
    <w:rsid w:val="00612F97"/>
    <w:rsid w:val="00614C5B"/>
    <w:rsid w:val="00614EF9"/>
    <w:rsid w:val="0061530A"/>
    <w:rsid w:val="00616802"/>
    <w:rsid w:val="00617E12"/>
    <w:rsid w:val="0062019F"/>
    <w:rsid w:val="006205D4"/>
    <w:rsid w:val="00621477"/>
    <w:rsid w:val="006218FB"/>
    <w:rsid w:val="00621F7F"/>
    <w:rsid w:val="0062415B"/>
    <w:rsid w:val="00626417"/>
    <w:rsid w:val="00626736"/>
    <w:rsid w:val="00627869"/>
    <w:rsid w:val="006309B3"/>
    <w:rsid w:val="00631D6B"/>
    <w:rsid w:val="006326F0"/>
    <w:rsid w:val="0063316D"/>
    <w:rsid w:val="00633E9C"/>
    <w:rsid w:val="0063479F"/>
    <w:rsid w:val="006361DC"/>
    <w:rsid w:val="006364A1"/>
    <w:rsid w:val="00636A67"/>
    <w:rsid w:val="00637B17"/>
    <w:rsid w:val="00637BFD"/>
    <w:rsid w:val="006427BE"/>
    <w:rsid w:val="00646836"/>
    <w:rsid w:val="006471CC"/>
    <w:rsid w:val="00650197"/>
    <w:rsid w:val="0065079F"/>
    <w:rsid w:val="00650E3F"/>
    <w:rsid w:val="0065426D"/>
    <w:rsid w:val="00654B02"/>
    <w:rsid w:val="00654F80"/>
    <w:rsid w:val="0065590B"/>
    <w:rsid w:val="0065644B"/>
    <w:rsid w:val="00656BBA"/>
    <w:rsid w:val="006574B1"/>
    <w:rsid w:val="00661A6B"/>
    <w:rsid w:val="006635D4"/>
    <w:rsid w:val="0066393C"/>
    <w:rsid w:val="00665494"/>
    <w:rsid w:val="00665B57"/>
    <w:rsid w:val="00666D6E"/>
    <w:rsid w:val="00670B34"/>
    <w:rsid w:val="00674E42"/>
    <w:rsid w:val="0067761B"/>
    <w:rsid w:val="00680B47"/>
    <w:rsid w:val="00681EA1"/>
    <w:rsid w:val="00682112"/>
    <w:rsid w:val="00683163"/>
    <w:rsid w:val="00683CD4"/>
    <w:rsid w:val="00683D78"/>
    <w:rsid w:val="006872BA"/>
    <w:rsid w:val="0068777C"/>
    <w:rsid w:val="00690861"/>
    <w:rsid w:val="006910AE"/>
    <w:rsid w:val="006910B6"/>
    <w:rsid w:val="006917D7"/>
    <w:rsid w:val="00692CB4"/>
    <w:rsid w:val="00692DD9"/>
    <w:rsid w:val="0069428B"/>
    <w:rsid w:val="00694314"/>
    <w:rsid w:val="00694F44"/>
    <w:rsid w:val="0069598E"/>
    <w:rsid w:val="006A076D"/>
    <w:rsid w:val="006A0958"/>
    <w:rsid w:val="006A0F74"/>
    <w:rsid w:val="006A3398"/>
    <w:rsid w:val="006A34E2"/>
    <w:rsid w:val="006A383A"/>
    <w:rsid w:val="006A4C95"/>
    <w:rsid w:val="006A5456"/>
    <w:rsid w:val="006A6511"/>
    <w:rsid w:val="006A744D"/>
    <w:rsid w:val="006B072B"/>
    <w:rsid w:val="006B2C2E"/>
    <w:rsid w:val="006B39C9"/>
    <w:rsid w:val="006B407D"/>
    <w:rsid w:val="006B7753"/>
    <w:rsid w:val="006C05A4"/>
    <w:rsid w:val="006C2A8E"/>
    <w:rsid w:val="006C4751"/>
    <w:rsid w:val="006C4AC7"/>
    <w:rsid w:val="006C5260"/>
    <w:rsid w:val="006C70CD"/>
    <w:rsid w:val="006C7272"/>
    <w:rsid w:val="006C7FA0"/>
    <w:rsid w:val="006D083A"/>
    <w:rsid w:val="006D26E7"/>
    <w:rsid w:val="006D3AEF"/>
    <w:rsid w:val="006D3C7D"/>
    <w:rsid w:val="006D5307"/>
    <w:rsid w:val="006D55F8"/>
    <w:rsid w:val="006D5C61"/>
    <w:rsid w:val="006D5D5F"/>
    <w:rsid w:val="006D77C1"/>
    <w:rsid w:val="006D7FF0"/>
    <w:rsid w:val="006E0CCF"/>
    <w:rsid w:val="006E0D61"/>
    <w:rsid w:val="006E2730"/>
    <w:rsid w:val="006E3E96"/>
    <w:rsid w:val="006E6802"/>
    <w:rsid w:val="006E69C1"/>
    <w:rsid w:val="006E6CC7"/>
    <w:rsid w:val="006F1F6A"/>
    <w:rsid w:val="006F63A5"/>
    <w:rsid w:val="006F677C"/>
    <w:rsid w:val="007013B1"/>
    <w:rsid w:val="00701A4F"/>
    <w:rsid w:val="0070276E"/>
    <w:rsid w:val="00702F8F"/>
    <w:rsid w:val="007042DD"/>
    <w:rsid w:val="00705D18"/>
    <w:rsid w:val="007064AD"/>
    <w:rsid w:val="0070791E"/>
    <w:rsid w:val="00710715"/>
    <w:rsid w:val="00710FA7"/>
    <w:rsid w:val="00711A36"/>
    <w:rsid w:val="00713AC8"/>
    <w:rsid w:val="00716C87"/>
    <w:rsid w:val="007172AD"/>
    <w:rsid w:val="00720C2A"/>
    <w:rsid w:val="0072290C"/>
    <w:rsid w:val="007232EE"/>
    <w:rsid w:val="007239E0"/>
    <w:rsid w:val="0072416F"/>
    <w:rsid w:val="0072515B"/>
    <w:rsid w:val="00730877"/>
    <w:rsid w:val="00730947"/>
    <w:rsid w:val="00734E90"/>
    <w:rsid w:val="00735319"/>
    <w:rsid w:val="00735328"/>
    <w:rsid w:val="007355D0"/>
    <w:rsid w:val="00735D2B"/>
    <w:rsid w:val="0073685B"/>
    <w:rsid w:val="00736D49"/>
    <w:rsid w:val="007430E3"/>
    <w:rsid w:val="0074542D"/>
    <w:rsid w:val="00745B18"/>
    <w:rsid w:val="00745C9A"/>
    <w:rsid w:val="00746270"/>
    <w:rsid w:val="00751B60"/>
    <w:rsid w:val="00756514"/>
    <w:rsid w:val="0075710D"/>
    <w:rsid w:val="0075725F"/>
    <w:rsid w:val="00757E7E"/>
    <w:rsid w:val="00757F73"/>
    <w:rsid w:val="00761CA6"/>
    <w:rsid w:val="00762AE2"/>
    <w:rsid w:val="0076373B"/>
    <w:rsid w:val="00764A43"/>
    <w:rsid w:val="00764F20"/>
    <w:rsid w:val="00765A49"/>
    <w:rsid w:val="00766238"/>
    <w:rsid w:val="0076716B"/>
    <w:rsid w:val="00767DED"/>
    <w:rsid w:val="00773A76"/>
    <w:rsid w:val="007749AF"/>
    <w:rsid w:val="00776057"/>
    <w:rsid w:val="00776A29"/>
    <w:rsid w:val="00780462"/>
    <w:rsid w:val="00780AB6"/>
    <w:rsid w:val="007830BB"/>
    <w:rsid w:val="0078349A"/>
    <w:rsid w:val="007838C7"/>
    <w:rsid w:val="00785195"/>
    <w:rsid w:val="007911BE"/>
    <w:rsid w:val="007920A6"/>
    <w:rsid w:val="007925E7"/>
    <w:rsid w:val="007926F0"/>
    <w:rsid w:val="00793E55"/>
    <w:rsid w:val="0079517F"/>
    <w:rsid w:val="007A0A12"/>
    <w:rsid w:val="007A21A9"/>
    <w:rsid w:val="007B251D"/>
    <w:rsid w:val="007B2F5D"/>
    <w:rsid w:val="007B5518"/>
    <w:rsid w:val="007B5C3D"/>
    <w:rsid w:val="007B77D1"/>
    <w:rsid w:val="007C0958"/>
    <w:rsid w:val="007C2529"/>
    <w:rsid w:val="007C2907"/>
    <w:rsid w:val="007C2FE5"/>
    <w:rsid w:val="007C361D"/>
    <w:rsid w:val="007C4553"/>
    <w:rsid w:val="007D0B38"/>
    <w:rsid w:val="007D2DDD"/>
    <w:rsid w:val="007D2ED2"/>
    <w:rsid w:val="007D4EAE"/>
    <w:rsid w:val="007E17ED"/>
    <w:rsid w:val="007E2576"/>
    <w:rsid w:val="007E2AD4"/>
    <w:rsid w:val="007E555A"/>
    <w:rsid w:val="007E58B6"/>
    <w:rsid w:val="007E6318"/>
    <w:rsid w:val="007E6CD2"/>
    <w:rsid w:val="007E6D46"/>
    <w:rsid w:val="007E7003"/>
    <w:rsid w:val="007E7BA8"/>
    <w:rsid w:val="007F0C19"/>
    <w:rsid w:val="007F0E17"/>
    <w:rsid w:val="007F0F86"/>
    <w:rsid w:val="007F1017"/>
    <w:rsid w:val="007F1B4D"/>
    <w:rsid w:val="007F1E52"/>
    <w:rsid w:val="007F2B62"/>
    <w:rsid w:val="007F392C"/>
    <w:rsid w:val="007F4A3F"/>
    <w:rsid w:val="007F4FE2"/>
    <w:rsid w:val="007F6C41"/>
    <w:rsid w:val="007F7987"/>
    <w:rsid w:val="00802551"/>
    <w:rsid w:val="00802A50"/>
    <w:rsid w:val="00802D35"/>
    <w:rsid w:val="0080398A"/>
    <w:rsid w:val="008044F3"/>
    <w:rsid w:val="00804D8A"/>
    <w:rsid w:val="00804EC2"/>
    <w:rsid w:val="00805142"/>
    <w:rsid w:val="00806478"/>
    <w:rsid w:val="00806ECF"/>
    <w:rsid w:val="008071A5"/>
    <w:rsid w:val="0080764F"/>
    <w:rsid w:val="00807A8B"/>
    <w:rsid w:val="00811AD7"/>
    <w:rsid w:val="00812149"/>
    <w:rsid w:val="008166EF"/>
    <w:rsid w:val="00817AA4"/>
    <w:rsid w:val="008202DC"/>
    <w:rsid w:val="008218E7"/>
    <w:rsid w:val="008222FD"/>
    <w:rsid w:val="00822CC3"/>
    <w:rsid w:val="00823CE6"/>
    <w:rsid w:val="00824E3B"/>
    <w:rsid w:val="0082598B"/>
    <w:rsid w:val="008264EB"/>
    <w:rsid w:val="00830683"/>
    <w:rsid w:val="008316CA"/>
    <w:rsid w:val="00832DCA"/>
    <w:rsid w:val="00833812"/>
    <w:rsid w:val="00833B05"/>
    <w:rsid w:val="00840267"/>
    <w:rsid w:val="0084064F"/>
    <w:rsid w:val="00840CA2"/>
    <w:rsid w:val="00840E42"/>
    <w:rsid w:val="0084102F"/>
    <w:rsid w:val="00841399"/>
    <w:rsid w:val="00841EB9"/>
    <w:rsid w:val="00842C22"/>
    <w:rsid w:val="00842E56"/>
    <w:rsid w:val="008434C1"/>
    <w:rsid w:val="00844491"/>
    <w:rsid w:val="00846A88"/>
    <w:rsid w:val="00851734"/>
    <w:rsid w:val="00852662"/>
    <w:rsid w:val="00854FA6"/>
    <w:rsid w:val="00855751"/>
    <w:rsid w:val="008568E8"/>
    <w:rsid w:val="00856E9A"/>
    <w:rsid w:val="008605FD"/>
    <w:rsid w:val="00860B24"/>
    <w:rsid w:val="00862502"/>
    <w:rsid w:val="00863E61"/>
    <w:rsid w:val="008661AD"/>
    <w:rsid w:val="00867190"/>
    <w:rsid w:val="008714F3"/>
    <w:rsid w:val="008719B0"/>
    <w:rsid w:val="00871F84"/>
    <w:rsid w:val="0087284A"/>
    <w:rsid w:val="008728E6"/>
    <w:rsid w:val="00872ADC"/>
    <w:rsid w:val="0087374D"/>
    <w:rsid w:val="00874813"/>
    <w:rsid w:val="008752E4"/>
    <w:rsid w:val="008759F9"/>
    <w:rsid w:val="0087684A"/>
    <w:rsid w:val="00876EBB"/>
    <w:rsid w:val="00880537"/>
    <w:rsid w:val="0088085D"/>
    <w:rsid w:val="00880A0F"/>
    <w:rsid w:val="008813A6"/>
    <w:rsid w:val="0088202D"/>
    <w:rsid w:val="00882874"/>
    <w:rsid w:val="008829FD"/>
    <w:rsid w:val="00883787"/>
    <w:rsid w:val="008842FA"/>
    <w:rsid w:val="0088462D"/>
    <w:rsid w:val="0088752F"/>
    <w:rsid w:val="00887F51"/>
    <w:rsid w:val="008906D2"/>
    <w:rsid w:val="00890CF6"/>
    <w:rsid w:val="00891723"/>
    <w:rsid w:val="0089178A"/>
    <w:rsid w:val="0089296D"/>
    <w:rsid w:val="00894489"/>
    <w:rsid w:val="0089507A"/>
    <w:rsid w:val="0089602E"/>
    <w:rsid w:val="008963A5"/>
    <w:rsid w:val="008968A4"/>
    <w:rsid w:val="008A005D"/>
    <w:rsid w:val="008A0CA2"/>
    <w:rsid w:val="008A1F38"/>
    <w:rsid w:val="008A2ACA"/>
    <w:rsid w:val="008A3C3E"/>
    <w:rsid w:val="008A621D"/>
    <w:rsid w:val="008A79DE"/>
    <w:rsid w:val="008A7ED3"/>
    <w:rsid w:val="008A7F14"/>
    <w:rsid w:val="008B104D"/>
    <w:rsid w:val="008B2829"/>
    <w:rsid w:val="008B3369"/>
    <w:rsid w:val="008B3C16"/>
    <w:rsid w:val="008B440F"/>
    <w:rsid w:val="008B44E7"/>
    <w:rsid w:val="008B5341"/>
    <w:rsid w:val="008B7D7E"/>
    <w:rsid w:val="008C1935"/>
    <w:rsid w:val="008C41EF"/>
    <w:rsid w:val="008C426D"/>
    <w:rsid w:val="008C512E"/>
    <w:rsid w:val="008C5EB2"/>
    <w:rsid w:val="008C6EB0"/>
    <w:rsid w:val="008C7DBD"/>
    <w:rsid w:val="008C7ECB"/>
    <w:rsid w:val="008D1579"/>
    <w:rsid w:val="008D1A8E"/>
    <w:rsid w:val="008D34EC"/>
    <w:rsid w:val="008D3AA5"/>
    <w:rsid w:val="008D6528"/>
    <w:rsid w:val="008D680D"/>
    <w:rsid w:val="008D6A1E"/>
    <w:rsid w:val="008E08EE"/>
    <w:rsid w:val="008E1B9E"/>
    <w:rsid w:val="008E2E4A"/>
    <w:rsid w:val="008E33AA"/>
    <w:rsid w:val="008E40EF"/>
    <w:rsid w:val="008E4BE0"/>
    <w:rsid w:val="008E626E"/>
    <w:rsid w:val="008E627E"/>
    <w:rsid w:val="008F0B80"/>
    <w:rsid w:val="008F0E74"/>
    <w:rsid w:val="008F120A"/>
    <w:rsid w:val="008F130A"/>
    <w:rsid w:val="008F2553"/>
    <w:rsid w:val="008F2779"/>
    <w:rsid w:val="008F48EB"/>
    <w:rsid w:val="008F4F0B"/>
    <w:rsid w:val="008F6C2C"/>
    <w:rsid w:val="008F7D38"/>
    <w:rsid w:val="00900678"/>
    <w:rsid w:val="0090188C"/>
    <w:rsid w:val="0090241B"/>
    <w:rsid w:val="00902474"/>
    <w:rsid w:val="0090259B"/>
    <w:rsid w:val="00902F31"/>
    <w:rsid w:val="009046A3"/>
    <w:rsid w:val="00904948"/>
    <w:rsid w:val="00905F49"/>
    <w:rsid w:val="009062A5"/>
    <w:rsid w:val="00907D63"/>
    <w:rsid w:val="00907EB5"/>
    <w:rsid w:val="00911272"/>
    <w:rsid w:val="00912094"/>
    <w:rsid w:val="009148FF"/>
    <w:rsid w:val="009158C9"/>
    <w:rsid w:val="00915AFF"/>
    <w:rsid w:val="00916804"/>
    <w:rsid w:val="00917A8B"/>
    <w:rsid w:val="00920778"/>
    <w:rsid w:val="00920DAE"/>
    <w:rsid w:val="0092110C"/>
    <w:rsid w:val="00924357"/>
    <w:rsid w:val="009250C8"/>
    <w:rsid w:val="00925D06"/>
    <w:rsid w:val="00926EDA"/>
    <w:rsid w:val="009300D1"/>
    <w:rsid w:val="00932499"/>
    <w:rsid w:val="00932718"/>
    <w:rsid w:val="009332C0"/>
    <w:rsid w:val="00937520"/>
    <w:rsid w:val="0094295E"/>
    <w:rsid w:val="00942CA0"/>
    <w:rsid w:val="00942DB9"/>
    <w:rsid w:val="00944C6B"/>
    <w:rsid w:val="00945F36"/>
    <w:rsid w:val="00947853"/>
    <w:rsid w:val="00950006"/>
    <w:rsid w:val="009500F9"/>
    <w:rsid w:val="00950BC6"/>
    <w:rsid w:val="00950D61"/>
    <w:rsid w:val="0095147C"/>
    <w:rsid w:val="009522F9"/>
    <w:rsid w:val="00952AD1"/>
    <w:rsid w:val="009547B6"/>
    <w:rsid w:val="009550EC"/>
    <w:rsid w:val="00955217"/>
    <w:rsid w:val="0095660B"/>
    <w:rsid w:val="009566FD"/>
    <w:rsid w:val="00960D77"/>
    <w:rsid w:val="009620A7"/>
    <w:rsid w:val="00962CB9"/>
    <w:rsid w:val="009633B5"/>
    <w:rsid w:val="00964312"/>
    <w:rsid w:val="00967302"/>
    <w:rsid w:val="0097012A"/>
    <w:rsid w:val="009709CA"/>
    <w:rsid w:val="009716C4"/>
    <w:rsid w:val="009726C0"/>
    <w:rsid w:val="00972807"/>
    <w:rsid w:val="00974125"/>
    <w:rsid w:val="00975FE6"/>
    <w:rsid w:val="00976D27"/>
    <w:rsid w:val="00977C1F"/>
    <w:rsid w:val="0098004C"/>
    <w:rsid w:val="00982519"/>
    <w:rsid w:val="00982DB2"/>
    <w:rsid w:val="00983E57"/>
    <w:rsid w:val="00983EB2"/>
    <w:rsid w:val="00983F2B"/>
    <w:rsid w:val="00984983"/>
    <w:rsid w:val="0098539D"/>
    <w:rsid w:val="0098564F"/>
    <w:rsid w:val="00986555"/>
    <w:rsid w:val="00986D6D"/>
    <w:rsid w:val="0099097B"/>
    <w:rsid w:val="00992894"/>
    <w:rsid w:val="009937D9"/>
    <w:rsid w:val="009962D8"/>
    <w:rsid w:val="00996B1A"/>
    <w:rsid w:val="00996F1B"/>
    <w:rsid w:val="009A0DBA"/>
    <w:rsid w:val="009A3716"/>
    <w:rsid w:val="009A50B1"/>
    <w:rsid w:val="009A6F4B"/>
    <w:rsid w:val="009A7953"/>
    <w:rsid w:val="009B19D2"/>
    <w:rsid w:val="009B3853"/>
    <w:rsid w:val="009B3E26"/>
    <w:rsid w:val="009B50E4"/>
    <w:rsid w:val="009B6384"/>
    <w:rsid w:val="009B6A57"/>
    <w:rsid w:val="009B7D73"/>
    <w:rsid w:val="009C101B"/>
    <w:rsid w:val="009C118B"/>
    <w:rsid w:val="009C146B"/>
    <w:rsid w:val="009C2E90"/>
    <w:rsid w:val="009C449A"/>
    <w:rsid w:val="009C6577"/>
    <w:rsid w:val="009C6BBB"/>
    <w:rsid w:val="009C6FAE"/>
    <w:rsid w:val="009C764C"/>
    <w:rsid w:val="009C7FB4"/>
    <w:rsid w:val="009D14EA"/>
    <w:rsid w:val="009D20C8"/>
    <w:rsid w:val="009D3695"/>
    <w:rsid w:val="009D5B91"/>
    <w:rsid w:val="009D7DF2"/>
    <w:rsid w:val="009D7FA2"/>
    <w:rsid w:val="009E09B3"/>
    <w:rsid w:val="009E1628"/>
    <w:rsid w:val="009E1ACC"/>
    <w:rsid w:val="009E22D9"/>
    <w:rsid w:val="009E4ADE"/>
    <w:rsid w:val="009E4C07"/>
    <w:rsid w:val="009E5A90"/>
    <w:rsid w:val="009F06BE"/>
    <w:rsid w:val="009F28C4"/>
    <w:rsid w:val="009F2906"/>
    <w:rsid w:val="009F6524"/>
    <w:rsid w:val="009F6BF2"/>
    <w:rsid w:val="009F7686"/>
    <w:rsid w:val="00A0171C"/>
    <w:rsid w:val="00A03D43"/>
    <w:rsid w:val="00A04380"/>
    <w:rsid w:val="00A04859"/>
    <w:rsid w:val="00A07D85"/>
    <w:rsid w:val="00A11E41"/>
    <w:rsid w:val="00A13948"/>
    <w:rsid w:val="00A14190"/>
    <w:rsid w:val="00A14F7D"/>
    <w:rsid w:val="00A1612F"/>
    <w:rsid w:val="00A16A8D"/>
    <w:rsid w:val="00A16BE6"/>
    <w:rsid w:val="00A17220"/>
    <w:rsid w:val="00A22829"/>
    <w:rsid w:val="00A24F56"/>
    <w:rsid w:val="00A2538B"/>
    <w:rsid w:val="00A2718C"/>
    <w:rsid w:val="00A27AEC"/>
    <w:rsid w:val="00A27B44"/>
    <w:rsid w:val="00A31C70"/>
    <w:rsid w:val="00A3397C"/>
    <w:rsid w:val="00A35D16"/>
    <w:rsid w:val="00A37000"/>
    <w:rsid w:val="00A37286"/>
    <w:rsid w:val="00A4047B"/>
    <w:rsid w:val="00A41DA3"/>
    <w:rsid w:val="00A43C59"/>
    <w:rsid w:val="00A43ED4"/>
    <w:rsid w:val="00A44F11"/>
    <w:rsid w:val="00A450FC"/>
    <w:rsid w:val="00A453E4"/>
    <w:rsid w:val="00A4589F"/>
    <w:rsid w:val="00A45D0B"/>
    <w:rsid w:val="00A4652A"/>
    <w:rsid w:val="00A47C74"/>
    <w:rsid w:val="00A50ECD"/>
    <w:rsid w:val="00A522EA"/>
    <w:rsid w:val="00A52558"/>
    <w:rsid w:val="00A52729"/>
    <w:rsid w:val="00A53675"/>
    <w:rsid w:val="00A55883"/>
    <w:rsid w:val="00A56B6A"/>
    <w:rsid w:val="00A578DC"/>
    <w:rsid w:val="00A57926"/>
    <w:rsid w:val="00A60EBB"/>
    <w:rsid w:val="00A62014"/>
    <w:rsid w:val="00A6225F"/>
    <w:rsid w:val="00A6390E"/>
    <w:rsid w:val="00A65F0D"/>
    <w:rsid w:val="00A665C4"/>
    <w:rsid w:val="00A6725B"/>
    <w:rsid w:val="00A679AE"/>
    <w:rsid w:val="00A705C9"/>
    <w:rsid w:val="00A73BE7"/>
    <w:rsid w:val="00A73F19"/>
    <w:rsid w:val="00A7684E"/>
    <w:rsid w:val="00A76E91"/>
    <w:rsid w:val="00A8086A"/>
    <w:rsid w:val="00A80F5B"/>
    <w:rsid w:val="00A83A52"/>
    <w:rsid w:val="00A83BF3"/>
    <w:rsid w:val="00A84CFC"/>
    <w:rsid w:val="00A857E7"/>
    <w:rsid w:val="00A85EC5"/>
    <w:rsid w:val="00A86E8B"/>
    <w:rsid w:val="00A87251"/>
    <w:rsid w:val="00A8769F"/>
    <w:rsid w:val="00A877F3"/>
    <w:rsid w:val="00A87D4A"/>
    <w:rsid w:val="00A90EE5"/>
    <w:rsid w:val="00A92C8D"/>
    <w:rsid w:val="00A93072"/>
    <w:rsid w:val="00A959D8"/>
    <w:rsid w:val="00A96166"/>
    <w:rsid w:val="00A9648E"/>
    <w:rsid w:val="00A966B9"/>
    <w:rsid w:val="00A97475"/>
    <w:rsid w:val="00AA0E2B"/>
    <w:rsid w:val="00AA1720"/>
    <w:rsid w:val="00AA2E9F"/>
    <w:rsid w:val="00AA700F"/>
    <w:rsid w:val="00AA71BE"/>
    <w:rsid w:val="00AA789D"/>
    <w:rsid w:val="00AB042A"/>
    <w:rsid w:val="00AB08F4"/>
    <w:rsid w:val="00AB2D34"/>
    <w:rsid w:val="00AB3430"/>
    <w:rsid w:val="00AB4CEC"/>
    <w:rsid w:val="00AB583B"/>
    <w:rsid w:val="00AB58C0"/>
    <w:rsid w:val="00AB6629"/>
    <w:rsid w:val="00AB6843"/>
    <w:rsid w:val="00AB7CFA"/>
    <w:rsid w:val="00AC0157"/>
    <w:rsid w:val="00AC0B8C"/>
    <w:rsid w:val="00AC0C0E"/>
    <w:rsid w:val="00AC1654"/>
    <w:rsid w:val="00AC18F0"/>
    <w:rsid w:val="00AC2AF5"/>
    <w:rsid w:val="00AC3657"/>
    <w:rsid w:val="00AC42C2"/>
    <w:rsid w:val="00AC5505"/>
    <w:rsid w:val="00AC65F2"/>
    <w:rsid w:val="00AD3678"/>
    <w:rsid w:val="00AD3DF4"/>
    <w:rsid w:val="00AD3ECB"/>
    <w:rsid w:val="00AD45E0"/>
    <w:rsid w:val="00AD561C"/>
    <w:rsid w:val="00AD5885"/>
    <w:rsid w:val="00AD6576"/>
    <w:rsid w:val="00AD69B6"/>
    <w:rsid w:val="00AD72DB"/>
    <w:rsid w:val="00AE004B"/>
    <w:rsid w:val="00AE09E1"/>
    <w:rsid w:val="00AE20F0"/>
    <w:rsid w:val="00AE4F5E"/>
    <w:rsid w:val="00AE6012"/>
    <w:rsid w:val="00AF346A"/>
    <w:rsid w:val="00AF38F0"/>
    <w:rsid w:val="00AF45C3"/>
    <w:rsid w:val="00AF5D95"/>
    <w:rsid w:val="00B001CC"/>
    <w:rsid w:val="00B00E0B"/>
    <w:rsid w:val="00B02B66"/>
    <w:rsid w:val="00B034C3"/>
    <w:rsid w:val="00B0716B"/>
    <w:rsid w:val="00B10C73"/>
    <w:rsid w:val="00B128E7"/>
    <w:rsid w:val="00B1386F"/>
    <w:rsid w:val="00B143D3"/>
    <w:rsid w:val="00B14642"/>
    <w:rsid w:val="00B148DD"/>
    <w:rsid w:val="00B165AF"/>
    <w:rsid w:val="00B201C0"/>
    <w:rsid w:val="00B205BE"/>
    <w:rsid w:val="00B21764"/>
    <w:rsid w:val="00B22C59"/>
    <w:rsid w:val="00B2417A"/>
    <w:rsid w:val="00B24BD6"/>
    <w:rsid w:val="00B24CF7"/>
    <w:rsid w:val="00B2500F"/>
    <w:rsid w:val="00B25E0B"/>
    <w:rsid w:val="00B27425"/>
    <w:rsid w:val="00B35CDE"/>
    <w:rsid w:val="00B37B31"/>
    <w:rsid w:val="00B42851"/>
    <w:rsid w:val="00B44AAE"/>
    <w:rsid w:val="00B500FE"/>
    <w:rsid w:val="00B50DB8"/>
    <w:rsid w:val="00B51629"/>
    <w:rsid w:val="00B51849"/>
    <w:rsid w:val="00B530A8"/>
    <w:rsid w:val="00B53905"/>
    <w:rsid w:val="00B54002"/>
    <w:rsid w:val="00B54B5B"/>
    <w:rsid w:val="00B5562E"/>
    <w:rsid w:val="00B55BB9"/>
    <w:rsid w:val="00B5672F"/>
    <w:rsid w:val="00B57000"/>
    <w:rsid w:val="00B6071B"/>
    <w:rsid w:val="00B60939"/>
    <w:rsid w:val="00B60AFD"/>
    <w:rsid w:val="00B62061"/>
    <w:rsid w:val="00B62142"/>
    <w:rsid w:val="00B62715"/>
    <w:rsid w:val="00B62E71"/>
    <w:rsid w:val="00B64EE7"/>
    <w:rsid w:val="00B66098"/>
    <w:rsid w:val="00B71141"/>
    <w:rsid w:val="00B727A2"/>
    <w:rsid w:val="00B73813"/>
    <w:rsid w:val="00B73C7B"/>
    <w:rsid w:val="00B75731"/>
    <w:rsid w:val="00B75FDD"/>
    <w:rsid w:val="00B76D98"/>
    <w:rsid w:val="00B76DF6"/>
    <w:rsid w:val="00B80836"/>
    <w:rsid w:val="00B809F6"/>
    <w:rsid w:val="00B818A4"/>
    <w:rsid w:val="00B83572"/>
    <w:rsid w:val="00B845BF"/>
    <w:rsid w:val="00B860D4"/>
    <w:rsid w:val="00B8649C"/>
    <w:rsid w:val="00B90AA3"/>
    <w:rsid w:val="00B92D0B"/>
    <w:rsid w:val="00B94945"/>
    <w:rsid w:val="00B94DC0"/>
    <w:rsid w:val="00B95DB4"/>
    <w:rsid w:val="00B96BE1"/>
    <w:rsid w:val="00B971FB"/>
    <w:rsid w:val="00B9738B"/>
    <w:rsid w:val="00B97D49"/>
    <w:rsid w:val="00BA1590"/>
    <w:rsid w:val="00BA3B1E"/>
    <w:rsid w:val="00BB1C5F"/>
    <w:rsid w:val="00BB2C45"/>
    <w:rsid w:val="00BB3032"/>
    <w:rsid w:val="00BB3A5D"/>
    <w:rsid w:val="00BB41C2"/>
    <w:rsid w:val="00BB4242"/>
    <w:rsid w:val="00BB7405"/>
    <w:rsid w:val="00BB7BDB"/>
    <w:rsid w:val="00BC035A"/>
    <w:rsid w:val="00BC073A"/>
    <w:rsid w:val="00BC10EE"/>
    <w:rsid w:val="00BC1D5F"/>
    <w:rsid w:val="00BC29C1"/>
    <w:rsid w:val="00BC3586"/>
    <w:rsid w:val="00BC55B1"/>
    <w:rsid w:val="00BD4679"/>
    <w:rsid w:val="00BD4BBD"/>
    <w:rsid w:val="00BD4F8F"/>
    <w:rsid w:val="00BD5334"/>
    <w:rsid w:val="00BD536C"/>
    <w:rsid w:val="00BD6CF3"/>
    <w:rsid w:val="00BD7C2A"/>
    <w:rsid w:val="00BD7F0B"/>
    <w:rsid w:val="00BE2180"/>
    <w:rsid w:val="00BE3148"/>
    <w:rsid w:val="00BE3542"/>
    <w:rsid w:val="00BE4275"/>
    <w:rsid w:val="00BE45FB"/>
    <w:rsid w:val="00BE4A74"/>
    <w:rsid w:val="00BF0D88"/>
    <w:rsid w:val="00BF2433"/>
    <w:rsid w:val="00BF55A7"/>
    <w:rsid w:val="00BF5E33"/>
    <w:rsid w:val="00BF6083"/>
    <w:rsid w:val="00BF61C9"/>
    <w:rsid w:val="00BF6966"/>
    <w:rsid w:val="00BF7DA7"/>
    <w:rsid w:val="00C00BD2"/>
    <w:rsid w:val="00C01447"/>
    <w:rsid w:val="00C01D9A"/>
    <w:rsid w:val="00C01FC7"/>
    <w:rsid w:val="00C02E0A"/>
    <w:rsid w:val="00C02E39"/>
    <w:rsid w:val="00C030F3"/>
    <w:rsid w:val="00C03D0B"/>
    <w:rsid w:val="00C050A9"/>
    <w:rsid w:val="00C0533D"/>
    <w:rsid w:val="00C06330"/>
    <w:rsid w:val="00C06A71"/>
    <w:rsid w:val="00C07D22"/>
    <w:rsid w:val="00C109CC"/>
    <w:rsid w:val="00C10A10"/>
    <w:rsid w:val="00C121F7"/>
    <w:rsid w:val="00C12C35"/>
    <w:rsid w:val="00C14941"/>
    <w:rsid w:val="00C15995"/>
    <w:rsid w:val="00C20A07"/>
    <w:rsid w:val="00C22D3F"/>
    <w:rsid w:val="00C234B8"/>
    <w:rsid w:val="00C23DE2"/>
    <w:rsid w:val="00C23DF2"/>
    <w:rsid w:val="00C2454A"/>
    <w:rsid w:val="00C25032"/>
    <w:rsid w:val="00C25418"/>
    <w:rsid w:val="00C2575B"/>
    <w:rsid w:val="00C25D73"/>
    <w:rsid w:val="00C25D9C"/>
    <w:rsid w:val="00C309B5"/>
    <w:rsid w:val="00C30D8B"/>
    <w:rsid w:val="00C311AE"/>
    <w:rsid w:val="00C31649"/>
    <w:rsid w:val="00C31D56"/>
    <w:rsid w:val="00C36ECD"/>
    <w:rsid w:val="00C37DAE"/>
    <w:rsid w:val="00C40385"/>
    <w:rsid w:val="00C41622"/>
    <w:rsid w:val="00C4168D"/>
    <w:rsid w:val="00C4232D"/>
    <w:rsid w:val="00C4315A"/>
    <w:rsid w:val="00C520E4"/>
    <w:rsid w:val="00C54890"/>
    <w:rsid w:val="00C54F17"/>
    <w:rsid w:val="00C556A3"/>
    <w:rsid w:val="00C6373E"/>
    <w:rsid w:val="00C63F90"/>
    <w:rsid w:val="00C6465F"/>
    <w:rsid w:val="00C65576"/>
    <w:rsid w:val="00C6563D"/>
    <w:rsid w:val="00C65A75"/>
    <w:rsid w:val="00C66165"/>
    <w:rsid w:val="00C678F1"/>
    <w:rsid w:val="00C705DA"/>
    <w:rsid w:val="00C706A8"/>
    <w:rsid w:val="00C7080E"/>
    <w:rsid w:val="00C70C6C"/>
    <w:rsid w:val="00C73195"/>
    <w:rsid w:val="00C73E0E"/>
    <w:rsid w:val="00C74E0D"/>
    <w:rsid w:val="00C750C8"/>
    <w:rsid w:val="00C76390"/>
    <w:rsid w:val="00C763B2"/>
    <w:rsid w:val="00C7642B"/>
    <w:rsid w:val="00C77E20"/>
    <w:rsid w:val="00C80D1F"/>
    <w:rsid w:val="00C81A5D"/>
    <w:rsid w:val="00C8213F"/>
    <w:rsid w:val="00C84182"/>
    <w:rsid w:val="00C85A07"/>
    <w:rsid w:val="00C8797A"/>
    <w:rsid w:val="00C91F36"/>
    <w:rsid w:val="00C921CB"/>
    <w:rsid w:val="00C938CF"/>
    <w:rsid w:val="00C95024"/>
    <w:rsid w:val="00C96A06"/>
    <w:rsid w:val="00C97752"/>
    <w:rsid w:val="00CA2770"/>
    <w:rsid w:val="00CA2934"/>
    <w:rsid w:val="00CA3AB4"/>
    <w:rsid w:val="00CA501E"/>
    <w:rsid w:val="00CA5245"/>
    <w:rsid w:val="00CA7B09"/>
    <w:rsid w:val="00CB027B"/>
    <w:rsid w:val="00CB03C9"/>
    <w:rsid w:val="00CB1557"/>
    <w:rsid w:val="00CB28A2"/>
    <w:rsid w:val="00CB2D71"/>
    <w:rsid w:val="00CB4727"/>
    <w:rsid w:val="00CB5B1A"/>
    <w:rsid w:val="00CC02EE"/>
    <w:rsid w:val="00CC27DA"/>
    <w:rsid w:val="00CC4221"/>
    <w:rsid w:val="00CC46C8"/>
    <w:rsid w:val="00CC4790"/>
    <w:rsid w:val="00CC6851"/>
    <w:rsid w:val="00CC6F68"/>
    <w:rsid w:val="00CD0679"/>
    <w:rsid w:val="00CD1320"/>
    <w:rsid w:val="00CD6ADC"/>
    <w:rsid w:val="00CD74AF"/>
    <w:rsid w:val="00CE1672"/>
    <w:rsid w:val="00CE6274"/>
    <w:rsid w:val="00CE649F"/>
    <w:rsid w:val="00CE6AC1"/>
    <w:rsid w:val="00CE77FF"/>
    <w:rsid w:val="00CE7D03"/>
    <w:rsid w:val="00CE7D47"/>
    <w:rsid w:val="00CF133E"/>
    <w:rsid w:val="00CF149A"/>
    <w:rsid w:val="00CF1A09"/>
    <w:rsid w:val="00CF29C2"/>
    <w:rsid w:val="00CF4229"/>
    <w:rsid w:val="00CF456B"/>
    <w:rsid w:val="00CF5A22"/>
    <w:rsid w:val="00CF7933"/>
    <w:rsid w:val="00D01509"/>
    <w:rsid w:val="00D0262E"/>
    <w:rsid w:val="00D02BF5"/>
    <w:rsid w:val="00D0388E"/>
    <w:rsid w:val="00D03DCA"/>
    <w:rsid w:val="00D05A11"/>
    <w:rsid w:val="00D05AFB"/>
    <w:rsid w:val="00D077F6"/>
    <w:rsid w:val="00D07CEC"/>
    <w:rsid w:val="00D1073E"/>
    <w:rsid w:val="00D110BD"/>
    <w:rsid w:val="00D14A95"/>
    <w:rsid w:val="00D15697"/>
    <w:rsid w:val="00D17774"/>
    <w:rsid w:val="00D17D6C"/>
    <w:rsid w:val="00D20D8F"/>
    <w:rsid w:val="00D23982"/>
    <w:rsid w:val="00D273C3"/>
    <w:rsid w:val="00D27998"/>
    <w:rsid w:val="00D31592"/>
    <w:rsid w:val="00D32B60"/>
    <w:rsid w:val="00D34BDC"/>
    <w:rsid w:val="00D357FF"/>
    <w:rsid w:val="00D36C35"/>
    <w:rsid w:val="00D36ECD"/>
    <w:rsid w:val="00D40333"/>
    <w:rsid w:val="00D4165E"/>
    <w:rsid w:val="00D41E06"/>
    <w:rsid w:val="00D42EE9"/>
    <w:rsid w:val="00D45F6C"/>
    <w:rsid w:val="00D46B67"/>
    <w:rsid w:val="00D5040F"/>
    <w:rsid w:val="00D53FBD"/>
    <w:rsid w:val="00D541BA"/>
    <w:rsid w:val="00D55867"/>
    <w:rsid w:val="00D5610F"/>
    <w:rsid w:val="00D562A8"/>
    <w:rsid w:val="00D57DAF"/>
    <w:rsid w:val="00D606F6"/>
    <w:rsid w:val="00D63EE6"/>
    <w:rsid w:val="00D6537A"/>
    <w:rsid w:val="00D65509"/>
    <w:rsid w:val="00D72D87"/>
    <w:rsid w:val="00D73CF0"/>
    <w:rsid w:val="00D756FB"/>
    <w:rsid w:val="00D76A44"/>
    <w:rsid w:val="00D85B55"/>
    <w:rsid w:val="00D87602"/>
    <w:rsid w:val="00D87799"/>
    <w:rsid w:val="00D900F3"/>
    <w:rsid w:val="00D90887"/>
    <w:rsid w:val="00D9191B"/>
    <w:rsid w:val="00D921F1"/>
    <w:rsid w:val="00D934F6"/>
    <w:rsid w:val="00D93753"/>
    <w:rsid w:val="00D93791"/>
    <w:rsid w:val="00D9713A"/>
    <w:rsid w:val="00DA143A"/>
    <w:rsid w:val="00DA263F"/>
    <w:rsid w:val="00DA75D2"/>
    <w:rsid w:val="00DA77A5"/>
    <w:rsid w:val="00DA7A6A"/>
    <w:rsid w:val="00DB0C9B"/>
    <w:rsid w:val="00DB28C4"/>
    <w:rsid w:val="00DB2E0D"/>
    <w:rsid w:val="00DB459E"/>
    <w:rsid w:val="00DB5A44"/>
    <w:rsid w:val="00DB6C12"/>
    <w:rsid w:val="00DC06B3"/>
    <w:rsid w:val="00DC150C"/>
    <w:rsid w:val="00DC5501"/>
    <w:rsid w:val="00DD0453"/>
    <w:rsid w:val="00DD0E65"/>
    <w:rsid w:val="00DD148E"/>
    <w:rsid w:val="00DD3F28"/>
    <w:rsid w:val="00DD4537"/>
    <w:rsid w:val="00DD4E15"/>
    <w:rsid w:val="00DD56BE"/>
    <w:rsid w:val="00DD5F79"/>
    <w:rsid w:val="00DD62BB"/>
    <w:rsid w:val="00DD7653"/>
    <w:rsid w:val="00DE0E08"/>
    <w:rsid w:val="00DE2853"/>
    <w:rsid w:val="00DE2C22"/>
    <w:rsid w:val="00DE32E0"/>
    <w:rsid w:val="00DE44E3"/>
    <w:rsid w:val="00DE4FCB"/>
    <w:rsid w:val="00DE5105"/>
    <w:rsid w:val="00DE70A8"/>
    <w:rsid w:val="00DF3C98"/>
    <w:rsid w:val="00DF40D3"/>
    <w:rsid w:val="00DF4337"/>
    <w:rsid w:val="00DF5D2B"/>
    <w:rsid w:val="00DF6FDB"/>
    <w:rsid w:val="00E00F9D"/>
    <w:rsid w:val="00E025D5"/>
    <w:rsid w:val="00E069F0"/>
    <w:rsid w:val="00E078A4"/>
    <w:rsid w:val="00E07A29"/>
    <w:rsid w:val="00E07A87"/>
    <w:rsid w:val="00E10149"/>
    <w:rsid w:val="00E102B7"/>
    <w:rsid w:val="00E12EBF"/>
    <w:rsid w:val="00E13D31"/>
    <w:rsid w:val="00E14BCE"/>
    <w:rsid w:val="00E15FA5"/>
    <w:rsid w:val="00E16372"/>
    <w:rsid w:val="00E2095D"/>
    <w:rsid w:val="00E20D9F"/>
    <w:rsid w:val="00E20ED6"/>
    <w:rsid w:val="00E21358"/>
    <w:rsid w:val="00E21A4C"/>
    <w:rsid w:val="00E2249B"/>
    <w:rsid w:val="00E22A0D"/>
    <w:rsid w:val="00E23AB8"/>
    <w:rsid w:val="00E23F77"/>
    <w:rsid w:val="00E2439B"/>
    <w:rsid w:val="00E257F7"/>
    <w:rsid w:val="00E2771E"/>
    <w:rsid w:val="00E30A12"/>
    <w:rsid w:val="00E31705"/>
    <w:rsid w:val="00E31C6A"/>
    <w:rsid w:val="00E31EDC"/>
    <w:rsid w:val="00E3321C"/>
    <w:rsid w:val="00E3332B"/>
    <w:rsid w:val="00E359AF"/>
    <w:rsid w:val="00E37569"/>
    <w:rsid w:val="00E37B95"/>
    <w:rsid w:val="00E37D0A"/>
    <w:rsid w:val="00E40E75"/>
    <w:rsid w:val="00E41E30"/>
    <w:rsid w:val="00E43D70"/>
    <w:rsid w:val="00E4543C"/>
    <w:rsid w:val="00E45713"/>
    <w:rsid w:val="00E46E81"/>
    <w:rsid w:val="00E47B2C"/>
    <w:rsid w:val="00E51560"/>
    <w:rsid w:val="00E51C74"/>
    <w:rsid w:val="00E53F33"/>
    <w:rsid w:val="00E54659"/>
    <w:rsid w:val="00E54BFA"/>
    <w:rsid w:val="00E55424"/>
    <w:rsid w:val="00E55BB5"/>
    <w:rsid w:val="00E56743"/>
    <w:rsid w:val="00E572C1"/>
    <w:rsid w:val="00E603F0"/>
    <w:rsid w:val="00E61CF5"/>
    <w:rsid w:val="00E63E3D"/>
    <w:rsid w:val="00E6556C"/>
    <w:rsid w:val="00E65E79"/>
    <w:rsid w:val="00E66454"/>
    <w:rsid w:val="00E66A62"/>
    <w:rsid w:val="00E66BF6"/>
    <w:rsid w:val="00E67416"/>
    <w:rsid w:val="00E67BC1"/>
    <w:rsid w:val="00E67CF4"/>
    <w:rsid w:val="00E67E09"/>
    <w:rsid w:val="00E716DB"/>
    <w:rsid w:val="00E718B6"/>
    <w:rsid w:val="00E71973"/>
    <w:rsid w:val="00E72586"/>
    <w:rsid w:val="00E7309E"/>
    <w:rsid w:val="00E73581"/>
    <w:rsid w:val="00E7368B"/>
    <w:rsid w:val="00E74716"/>
    <w:rsid w:val="00E748FD"/>
    <w:rsid w:val="00E74B78"/>
    <w:rsid w:val="00E75058"/>
    <w:rsid w:val="00E771DB"/>
    <w:rsid w:val="00E80407"/>
    <w:rsid w:val="00E82A4D"/>
    <w:rsid w:val="00E83BDF"/>
    <w:rsid w:val="00E85F89"/>
    <w:rsid w:val="00E86EF5"/>
    <w:rsid w:val="00E90892"/>
    <w:rsid w:val="00E90ED1"/>
    <w:rsid w:val="00E92070"/>
    <w:rsid w:val="00E9563F"/>
    <w:rsid w:val="00E9645F"/>
    <w:rsid w:val="00EA10B7"/>
    <w:rsid w:val="00EA3864"/>
    <w:rsid w:val="00EA46D2"/>
    <w:rsid w:val="00EA7135"/>
    <w:rsid w:val="00EA729C"/>
    <w:rsid w:val="00EA730A"/>
    <w:rsid w:val="00EA7561"/>
    <w:rsid w:val="00EA7842"/>
    <w:rsid w:val="00EB088F"/>
    <w:rsid w:val="00EB0D5E"/>
    <w:rsid w:val="00EB0EA9"/>
    <w:rsid w:val="00EB15B6"/>
    <w:rsid w:val="00EB1F0C"/>
    <w:rsid w:val="00EB3AA8"/>
    <w:rsid w:val="00EB3FB0"/>
    <w:rsid w:val="00EB4916"/>
    <w:rsid w:val="00EB4FB7"/>
    <w:rsid w:val="00EB6974"/>
    <w:rsid w:val="00EC00C9"/>
    <w:rsid w:val="00EC3004"/>
    <w:rsid w:val="00EC419F"/>
    <w:rsid w:val="00ED2830"/>
    <w:rsid w:val="00ED28D0"/>
    <w:rsid w:val="00ED2EE3"/>
    <w:rsid w:val="00ED35B4"/>
    <w:rsid w:val="00ED635A"/>
    <w:rsid w:val="00EE07D3"/>
    <w:rsid w:val="00EE0E5C"/>
    <w:rsid w:val="00EE1DD0"/>
    <w:rsid w:val="00EE4138"/>
    <w:rsid w:val="00EE51E6"/>
    <w:rsid w:val="00EE6240"/>
    <w:rsid w:val="00EE7A4D"/>
    <w:rsid w:val="00EF064D"/>
    <w:rsid w:val="00EF18AE"/>
    <w:rsid w:val="00EF633D"/>
    <w:rsid w:val="00F00B55"/>
    <w:rsid w:val="00F016F7"/>
    <w:rsid w:val="00F01E44"/>
    <w:rsid w:val="00F024B1"/>
    <w:rsid w:val="00F0466E"/>
    <w:rsid w:val="00F05244"/>
    <w:rsid w:val="00F0566B"/>
    <w:rsid w:val="00F0630A"/>
    <w:rsid w:val="00F067A2"/>
    <w:rsid w:val="00F11250"/>
    <w:rsid w:val="00F13117"/>
    <w:rsid w:val="00F134F5"/>
    <w:rsid w:val="00F137BA"/>
    <w:rsid w:val="00F13941"/>
    <w:rsid w:val="00F14B48"/>
    <w:rsid w:val="00F21621"/>
    <w:rsid w:val="00F21D2B"/>
    <w:rsid w:val="00F24837"/>
    <w:rsid w:val="00F2575F"/>
    <w:rsid w:val="00F30D5A"/>
    <w:rsid w:val="00F3146A"/>
    <w:rsid w:val="00F33289"/>
    <w:rsid w:val="00F33DE9"/>
    <w:rsid w:val="00F35292"/>
    <w:rsid w:val="00F353FD"/>
    <w:rsid w:val="00F3619A"/>
    <w:rsid w:val="00F36735"/>
    <w:rsid w:val="00F405C3"/>
    <w:rsid w:val="00F405D6"/>
    <w:rsid w:val="00F46CB6"/>
    <w:rsid w:val="00F508BE"/>
    <w:rsid w:val="00F542C6"/>
    <w:rsid w:val="00F54920"/>
    <w:rsid w:val="00F55E73"/>
    <w:rsid w:val="00F578A7"/>
    <w:rsid w:val="00F60092"/>
    <w:rsid w:val="00F611F9"/>
    <w:rsid w:val="00F61AEF"/>
    <w:rsid w:val="00F6411A"/>
    <w:rsid w:val="00F67480"/>
    <w:rsid w:val="00F67570"/>
    <w:rsid w:val="00F67E9F"/>
    <w:rsid w:val="00F71D21"/>
    <w:rsid w:val="00F725CC"/>
    <w:rsid w:val="00F729E8"/>
    <w:rsid w:val="00F72A9A"/>
    <w:rsid w:val="00F72DB7"/>
    <w:rsid w:val="00F74BAD"/>
    <w:rsid w:val="00F76268"/>
    <w:rsid w:val="00F80BB0"/>
    <w:rsid w:val="00F80E5D"/>
    <w:rsid w:val="00F830C7"/>
    <w:rsid w:val="00F8382B"/>
    <w:rsid w:val="00F83ABD"/>
    <w:rsid w:val="00F84513"/>
    <w:rsid w:val="00F84C7D"/>
    <w:rsid w:val="00F851CE"/>
    <w:rsid w:val="00F9062C"/>
    <w:rsid w:val="00F906FE"/>
    <w:rsid w:val="00F9183C"/>
    <w:rsid w:val="00F91ADD"/>
    <w:rsid w:val="00F94F15"/>
    <w:rsid w:val="00F958DF"/>
    <w:rsid w:val="00F95C0B"/>
    <w:rsid w:val="00F96682"/>
    <w:rsid w:val="00F97A78"/>
    <w:rsid w:val="00FA013B"/>
    <w:rsid w:val="00FA0363"/>
    <w:rsid w:val="00FA24E7"/>
    <w:rsid w:val="00FA2B6F"/>
    <w:rsid w:val="00FA3370"/>
    <w:rsid w:val="00FA36FC"/>
    <w:rsid w:val="00FA3AFF"/>
    <w:rsid w:val="00FA4018"/>
    <w:rsid w:val="00FA514A"/>
    <w:rsid w:val="00FA682C"/>
    <w:rsid w:val="00FB0C03"/>
    <w:rsid w:val="00FB0C45"/>
    <w:rsid w:val="00FB2FCB"/>
    <w:rsid w:val="00FB4D9E"/>
    <w:rsid w:val="00FC0C3A"/>
    <w:rsid w:val="00FC0E61"/>
    <w:rsid w:val="00FC1074"/>
    <w:rsid w:val="00FC1672"/>
    <w:rsid w:val="00FC1884"/>
    <w:rsid w:val="00FC1EF0"/>
    <w:rsid w:val="00FC3558"/>
    <w:rsid w:val="00FC378D"/>
    <w:rsid w:val="00FC5905"/>
    <w:rsid w:val="00FC700A"/>
    <w:rsid w:val="00FC74E0"/>
    <w:rsid w:val="00FC7BC1"/>
    <w:rsid w:val="00FD2100"/>
    <w:rsid w:val="00FD2ABE"/>
    <w:rsid w:val="00FD32A0"/>
    <w:rsid w:val="00FD446D"/>
    <w:rsid w:val="00FD47E9"/>
    <w:rsid w:val="00FD7138"/>
    <w:rsid w:val="00FD72E6"/>
    <w:rsid w:val="00FE0C95"/>
    <w:rsid w:val="00FE4A9F"/>
    <w:rsid w:val="00FE51F5"/>
    <w:rsid w:val="00FE541A"/>
    <w:rsid w:val="00FE593E"/>
    <w:rsid w:val="00FE5C57"/>
    <w:rsid w:val="00FE6105"/>
    <w:rsid w:val="00FE6498"/>
    <w:rsid w:val="00FE76D2"/>
    <w:rsid w:val="00FE7737"/>
    <w:rsid w:val="00FF22C9"/>
    <w:rsid w:val="00FF2593"/>
    <w:rsid w:val="00FF2ED1"/>
    <w:rsid w:val="00FF3DCF"/>
    <w:rsid w:val="00FF4E34"/>
    <w:rsid w:val="00FF578A"/>
    <w:rsid w:val="00FF5AA3"/>
    <w:rsid w:val="00FF6B3F"/>
    <w:rsid w:val="00FF7E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5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b/>
    </w:rPr>
  </w:style>
  <w:style w:type="paragraph" w:styleId="Heading3">
    <w:name w:val="heading 3"/>
    <w:basedOn w:val="Normal"/>
    <w:next w:val="Normal"/>
    <w:uiPriority w:val="9"/>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Bayer Caption,IB Caption,Medical Caption,Medical Caption + Arial Narrow,Bayer Caption1,IB Caption1,Medical Caption1,Medical Caption + Arial Narrow1,Bayer Caption2,IB Caption2,Medical Caption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1,Caption Char Char Char1,Bayer Caption Char1,IB Caption Char1,Medical Caption Char1,Medical Caption + Arial Narrow Char1,Bayer Caption1 Char1,IB Caption1 Char1,Medical Caption1 Char1,Medical Caption + Arial Narrow1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6B072B"/>
    <w:pPr>
      <w:widowControl/>
    </w:pPr>
    <w:rPr>
      <w:sz w:val="28"/>
    </w:rPr>
  </w:style>
  <w:style w:type="character" w:customStyle="1" w:styleId="TitleChar">
    <w:name w:val="Title Char"/>
    <w:basedOn w:val="DefaultParagraphFont"/>
    <w:link w:val="Title"/>
    <w:rsid w:val="006B072B"/>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1"/>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D6CF3"/>
    <w:pPr>
      <w:ind w:left="720" w:hanging="720"/>
    </w:pPr>
    <w:rPr>
      <w:rFonts w:ascii="Arial" w:hAnsi="Arial" w:cs="Arial"/>
      <w:b/>
      <w:snapToGrid w:val="0"/>
      <w:sz w:val="22"/>
      <w:szCs w:val="22"/>
      <w:lang w:eastAsia="en-US"/>
    </w:rPr>
  </w:style>
  <w:style w:type="paragraph" w:customStyle="1" w:styleId="TableText1">
    <w:name w:val="Table Text"/>
    <w:basedOn w:val="Normal"/>
    <w:link w:val="TableTextChar1"/>
    <w:qFormat/>
    <w:rsid w:val="002C6D44"/>
    <w:pPr>
      <w:widowControl/>
      <w:jc w:val="left"/>
    </w:pPr>
    <w:rPr>
      <w:rFonts w:eastAsia="SimSun" w:cs="Times New Roman"/>
      <w:snapToGrid/>
      <w:sz w:val="20"/>
      <w:lang w:eastAsia="zh-CN"/>
    </w:rPr>
  </w:style>
  <w:style w:type="character" w:customStyle="1" w:styleId="TableTextChar1">
    <w:name w:val="Table Text Char"/>
    <w:link w:val="TableText1"/>
    <w:rsid w:val="002C6D44"/>
    <w:rPr>
      <w:rFonts w:ascii="Arial" w:eastAsia="SimSun" w:hAnsi="Arial"/>
      <w:lang w:eastAsia="zh-CN"/>
    </w:rPr>
  </w:style>
  <w:style w:type="paragraph" w:customStyle="1" w:styleId="PBACheading1">
    <w:name w:val="PBAC heading 1"/>
    <w:basedOn w:val="Header"/>
    <w:qFormat/>
    <w:rsid w:val="004C459B"/>
    <w:pPr>
      <w:widowControl/>
      <w:numPr>
        <w:numId w:val="1"/>
      </w:numPr>
      <w:tabs>
        <w:tab w:val="clear" w:pos="4513"/>
        <w:tab w:val="clear" w:pos="9026"/>
      </w:tabs>
    </w:pPr>
    <w:rPr>
      <w:b/>
      <w:szCs w:val="22"/>
    </w:rPr>
  </w:style>
  <w:style w:type="paragraph" w:styleId="FootnoteText">
    <w:name w:val="footnote text"/>
    <w:basedOn w:val="Normal"/>
    <w:link w:val="FootnoteTextChar"/>
    <w:rsid w:val="00B24CF7"/>
    <w:rPr>
      <w:rFonts w:ascii="Times New Roman" w:hAnsi="Times New Roman" w:cs="Times New Roman"/>
      <w:sz w:val="20"/>
    </w:rPr>
  </w:style>
  <w:style w:type="character" w:customStyle="1" w:styleId="FootnoteTextChar">
    <w:name w:val="Footnote Text Char"/>
    <w:basedOn w:val="DefaultParagraphFont"/>
    <w:link w:val="FootnoteText"/>
    <w:rsid w:val="00B24CF7"/>
    <w:rPr>
      <w:snapToGrid w:val="0"/>
      <w:lang w:eastAsia="en-US"/>
    </w:rPr>
  </w:style>
  <w:style w:type="character" w:styleId="FootnoteReference">
    <w:name w:val="footnote reference"/>
    <w:rsid w:val="00B24CF7"/>
    <w:rPr>
      <w:vertAlign w:val="superscript"/>
    </w:rPr>
  </w:style>
  <w:style w:type="character" w:customStyle="1" w:styleId="CaptionChar2">
    <w:name w:val="Caption Char2"/>
    <w:aliases w:val="Caption Char1 Char,Caption Char Char Char,Caption Char Char1,Bayer Caption Char,IB Caption Char,Medical Caption Char,Medical Caption + Arial Narrow Char,Bayer Caption1 Char,IB Caption1 Char,Medical Caption1 Char,Bayer Caption2 Char"/>
    <w:basedOn w:val="DefaultParagraphFont"/>
    <w:uiPriority w:val="35"/>
    <w:rsid w:val="00CC02EE"/>
    <w:rPr>
      <w:b/>
      <w:bCs/>
      <w:sz w:val="22"/>
      <w:lang w:eastAsia="zh-CN"/>
    </w:rPr>
  </w:style>
  <w:style w:type="paragraph" w:customStyle="1" w:styleId="TableNotes">
    <w:name w:val="Table Notes"/>
    <w:basedOn w:val="Normal"/>
    <w:next w:val="Normal"/>
    <w:link w:val="TableNotesChar"/>
    <w:rsid w:val="00CC02EE"/>
    <w:pPr>
      <w:keepLines/>
      <w:widowControl/>
      <w:tabs>
        <w:tab w:val="left" w:pos="1134"/>
      </w:tabs>
      <w:ind w:left="1140" w:hanging="1140"/>
    </w:pPr>
    <w:rPr>
      <w:rFonts w:cs="Arial Narrow"/>
      <w:snapToGrid/>
      <w:sz w:val="16"/>
      <w:szCs w:val="18"/>
    </w:rPr>
  </w:style>
  <w:style w:type="character" w:customStyle="1" w:styleId="TableNotesChar">
    <w:name w:val="Table Notes Char"/>
    <w:basedOn w:val="DefaultParagraphFont"/>
    <w:link w:val="TableNotes"/>
    <w:rsid w:val="00CC02EE"/>
    <w:rPr>
      <w:rFonts w:ascii="Arial" w:hAnsi="Arial" w:cs="Arial Narrow"/>
      <w:sz w:val="16"/>
      <w:szCs w:val="18"/>
      <w:lang w:eastAsia="en-US"/>
    </w:rPr>
  </w:style>
  <w:style w:type="character" w:customStyle="1" w:styleId="TableHeadingChar1">
    <w:name w:val="TableHeading Char1"/>
    <w:basedOn w:val="DefaultParagraphFont"/>
    <w:link w:val="TableHeading"/>
    <w:rsid w:val="00972807"/>
    <w:rPr>
      <w:rFonts w:ascii="Arial Narrow" w:hAnsi="Arial Narrow" w:cs="Arial Narrow"/>
      <w:b/>
      <w:bCs/>
      <w:lang w:eastAsia="en-US"/>
    </w:rPr>
  </w:style>
  <w:style w:type="paragraph" w:customStyle="1" w:styleId="Tableheading0">
    <w:name w:val="Table heading"/>
    <w:basedOn w:val="Normal"/>
    <w:rsid w:val="00972807"/>
    <w:pPr>
      <w:keepNext/>
      <w:widowControl/>
      <w:spacing w:before="120" w:after="40"/>
    </w:pPr>
    <w:rPr>
      <w:rFonts w:ascii="Times New Roman" w:hAnsi="Times New Roman" w:cs="Arial Narrow"/>
      <w:b/>
      <w:bCs/>
      <w:snapToGrid/>
    </w:rPr>
  </w:style>
  <w:style w:type="character" w:customStyle="1" w:styleId="TableTextChar0">
    <w:name w:val="TableText Char"/>
    <w:link w:val="TableText0"/>
    <w:rsid w:val="00EE6240"/>
    <w:rPr>
      <w:rFonts w:ascii="Arial Narrow" w:hAnsi="Arial Narrow" w:cs="Arial Narrow"/>
      <w:lang w:eastAsia="en-US"/>
    </w:rPr>
  </w:style>
  <w:style w:type="paragraph" w:customStyle="1" w:styleId="COMtbl-HEADLeftAligned">
    <w:name w:val="COMtbl-HEAD Left Aligned"/>
    <w:basedOn w:val="Normal"/>
    <w:qFormat/>
    <w:rsid w:val="00EE6240"/>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EE6240"/>
    <w:pPr>
      <w:jc w:val="center"/>
    </w:pPr>
  </w:style>
  <w:style w:type="paragraph" w:customStyle="1" w:styleId="COMTbl-cap">
    <w:name w:val="COMTbl-cap"/>
    <w:basedOn w:val="Normal"/>
    <w:link w:val="COMTbl-capChar"/>
    <w:qFormat/>
    <w:rsid w:val="00EE6240"/>
    <w:pPr>
      <w:keepNext/>
    </w:pPr>
    <w:rPr>
      <w:rFonts w:ascii="Arial Narrow" w:hAnsi="Arial Narrow"/>
      <w:b/>
      <w:sz w:val="20"/>
    </w:rPr>
  </w:style>
  <w:style w:type="character" w:customStyle="1" w:styleId="COMTbl-capChar">
    <w:name w:val="COMTbl-cap Char"/>
    <w:basedOn w:val="DefaultParagraphFont"/>
    <w:link w:val="COMTbl-cap"/>
    <w:rsid w:val="00EE6240"/>
    <w:rPr>
      <w:rFonts w:ascii="Arial Narrow" w:hAnsi="Arial Narrow" w:cs="Arial"/>
      <w:b/>
      <w:snapToGrid w:val="0"/>
      <w:lang w:eastAsia="en-US"/>
    </w:rPr>
  </w:style>
  <w:style w:type="paragraph" w:customStyle="1" w:styleId="COMTbl-foot">
    <w:name w:val="COMTbl-foot"/>
    <w:basedOn w:val="TableFooter"/>
    <w:link w:val="COMTbl-footChar"/>
    <w:qFormat/>
    <w:rsid w:val="00EE6240"/>
  </w:style>
  <w:style w:type="character" w:customStyle="1" w:styleId="COMTbl-footChar">
    <w:name w:val="COMTbl-foot Char"/>
    <w:basedOn w:val="DefaultParagraphFont"/>
    <w:link w:val="COMTbl-foot"/>
    <w:rsid w:val="00EE6240"/>
    <w:rPr>
      <w:rFonts w:ascii="Arial Narrow" w:hAnsi="Arial Narrow" w:cs="Arial"/>
      <w:snapToGrid w:val="0"/>
      <w:sz w:val="18"/>
      <w:lang w:eastAsia="en-US"/>
    </w:rPr>
  </w:style>
  <w:style w:type="paragraph" w:customStyle="1" w:styleId="TableNotes4">
    <w:name w:val="Table Notes4"/>
    <w:basedOn w:val="Normal"/>
    <w:next w:val="Normal"/>
    <w:rsid w:val="00F72A9A"/>
    <w:pPr>
      <w:keepLines/>
      <w:widowControl/>
      <w:tabs>
        <w:tab w:val="left" w:pos="1134"/>
      </w:tabs>
      <w:ind w:left="1140" w:hanging="1140"/>
    </w:pPr>
    <w:rPr>
      <w:rFonts w:cs="Arial Narrow"/>
      <w:snapToGrid/>
      <w:sz w:val="16"/>
      <w:szCs w:val="18"/>
    </w:rPr>
  </w:style>
  <w:style w:type="paragraph" w:customStyle="1" w:styleId="Tableleft">
    <w:name w:val="Table left"/>
    <w:basedOn w:val="TableText0"/>
    <w:link w:val="TableleftChar"/>
    <w:rsid w:val="003B074E"/>
    <w:pPr>
      <w:keepNext w:val="0"/>
      <w:jc w:val="both"/>
    </w:pPr>
    <w:rPr>
      <w:rFonts w:ascii="Arial" w:hAnsi="Arial"/>
      <w:sz w:val="18"/>
    </w:rPr>
  </w:style>
  <w:style w:type="character" w:customStyle="1" w:styleId="TableleftChar">
    <w:name w:val="Table left Char"/>
    <w:basedOn w:val="DefaultParagraphFont"/>
    <w:link w:val="Tableleft"/>
    <w:rsid w:val="003B074E"/>
    <w:rPr>
      <w:rFonts w:ascii="Arial" w:hAnsi="Arial" w:cs="Arial Narrow"/>
      <w:sz w:val="18"/>
      <w:lang w:eastAsia="en-US"/>
    </w:rPr>
  </w:style>
  <w:style w:type="paragraph" w:customStyle="1" w:styleId="TableText4">
    <w:name w:val="TableText4"/>
    <w:basedOn w:val="Normal"/>
    <w:qFormat/>
    <w:rsid w:val="00181D3D"/>
    <w:pPr>
      <w:keepNext/>
      <w:widowControl/>
      <w:spacing w:before="40" w:after="40"/>
    </w:pPr>
    <w:rPr>
      <w:rFonts w:cs="Times New Roman"/>
      <w:snapToGrid/>
      <w:color w:val="000000"/>
      <w:sz w:val="18"/>
      <w:szCs w:val="21"/>
      <w:lang w:eastAsia="en-AU"/>
    </w:rPr>
  </w:style>
  <w:style w:type="paragraph" w:customStyle="1" w:styleId="COMBody">
    <w:name w:val="COMBody"/>
    <w:basedOn w:val="Normal"/>
    <w:link w:val="COMBodyChar"/>
    <w:qFormat/>
    <w:rsid w:val="00900678"/>
  </w:style>
  <w:style w:type="character" w:customStyle="1" w:styleId="COMBodyChar">
    <w:name w:val="COMBody Char"/>
    <w:basedOn w:val="DefaultParagraphFont"/>
    <w:link w:val="COMBody"/>
    <w:rsid w:val="00900678"/>
    <w:rPr>
      <w:rFonts w:ascii="Arial" w:hAnsi="Arial" w:cs="Arial"/>
      <w:snapToGrid w:val="0"/>
      <w:sz w:val="22"/>
      <w:lang w:eastAsia="en-US"/>
    </w:rPr>
  </w:style>
  <w:style w:type="character" w:customStyle="1" w:styleId="TableFooterChar">
    <w:name w:val="Table Footer Char"/>
    <w:link w:val="TableFooter"/>
    <w:rsid w:val="00900678"/>
    <w:rPr>
      <w:rFonts w:ascii="Arial Narrow" w:hAnsi="Arial Narrow" w:cs="Arial"/>
      <w:snapToGrid w:val="0"/>
      <w:sz w:val="18"/>
      <w:lang w:eastAsia="en-US"/>
    </w:rPr>
  </w:style>
  <w:style w:type="paragraph" w:customStyle="1" w:styleId="CM19">
    <w:name w:val="CM19"/>
    <w:basedOn w:val="Normal"/>
    <w:next w:val="Normal"/>
    <w:locked/>
    <w:rsid w:val="00900678"/>
    <w:pPr>
      <w:autoSpaceDE w:val="0"/>
      <w:autoSpaceDN w:val="0"/>
      <w:adjustRightInd w:val="0"/>
      <w:spacing w:line="403" w:lineRule="atLeast"/>
      <w:jc w:val="left"/>
    </w:pPr>
    <w:rPr>
      <w:rFonts w:eastAsia="SimSun" w:cs="Times New Roman"/>
      <w:snapToGrid/>
      <w:sz w:val="24"/>
      <w:szCs w:val="24"/>
      <w:lang w:eastAsia="zh-CN"/>
    </w:rPr>
  </w:style>
  <w:style w:type="character" w:customStyle="1" w:styleId="apple-converted-space">
    <w:name w:val="apple-converted-space"/>
    <w:basedOn w:val="DefaultParagraphFont"/>
    <w:rsid w:val="007926F0"/>
  </w:style>
  <w:style w:type="paragraph" w:customStyle="1" w:styleId="TableHeading3">
    <w:name w:val="TableHeading3"/>
    <w:basedOn w:val="TableText0"/>
    <w:rsid w:val="00907EB5"/>
    <w:pPr>
      <w:jc w:val="both"/>
    </w:pPr>
    <w:rPr>
      <w:rFonts w:ascii="Arial" w:hAnsi="Arial" w:cs="Times New Roman"/>
      <w:b/>
      <w:bCs/>
      <w:color w:val="000000"/>
      <w:sz w:val="18"/>
      <w:szCs w:val="21"/>
      <w:lang w:eastAsia="en-AU"/>
    </w:rPr>
  </w:style>
  <w:style w:type="paragraph" w:customStyle="1" w:styleId="CM180">
    <w:name w:val="CM180"/>
    <w:basedOn w:val="Normal"/>
    <w:next w:val="Normal"/>
    <w:locked/>
    <w:rsid w:val="00907EB5"/>
    <w:pPr>
      <w:autoSpaceDE w:val="0"/>
      <w:autoSpaceDN w:val="0"/>
      <w:adjustRightInd w:val="0"/>
      <w:spacing w:after="232"/>
      <w:jc w:val="left"/>
    </w:pPr>
    <w:rPr>
      <w:rFonts w:eastAsia="SimSun" w:cs="Times New Roman"/>
      <w:snapToGrid/>
      <w:sz w:val="24"/>
      <w:szCs w:val="24"/>
      <w:lang w:eastAsia="zh-CN"/>
    </w:rPr>
  </w:style>
  <w:style w:type="paragraph" w:customStyle="1" w:styleId="CM36">
    <w:name w:val="CM36"/>
    <w:basedOn w:val="Normal"/>
    <w:next w:val="Normal"/>
    <w:locked/>
    <w:rsid w:val="00907EB5"/>
    <w:pPr>
      <w:autoSpaceDE w:val="0"/>
      <w:autoSpaceDN w:val="0"/>
      <w:adjustRightInd w:val="0"/>
      <w:jc w:val="left"/>
    </w:pPr>
    <w:rPr>
      <w:rFonts w:eastAsia="SimSun" w:cs="Times New Roman"/>
      <w:snapToGrid/>
      <w:sz w:val="24"/>
      <w:szCs w:val="24"/>
      <w:lang w:eastAsia="zh-CN"/>
    </w:rPr>
  </w:style>
  <w:style w:type="paragraph" w:customStyle="1" w:styleId="CM40">
    <w:name w:val="CM40"/>
    <w:basedOn w:val="Normal"/>
    <w:next w:val="Normal"/>
    <w:locked/>
    <w:rsid w:val="00907EB5"/>
    <w:pPr>
      <w:autoSpaceDE w:val="0"/>
      <w:autoSpaceDN w:val="0"/>
      <w:adjustRightInd w:val="0"/>
      <w:spacing w:line="266" w:lineRule="atLeast"/>
      <w:jc w:val="left"/>
    </w:pPr>
    <w:rPr>
      <w:rFonts w:eastAsia="SimSun" w:cs="Times New Roman"/>
      <w:snapToGrid/>
      <w:sz w:val="24"/>
      <w:szCs w:val="24"/>
      <w:lang w:eastAsia="zh-CN"/>
    </w:rPr>
  </w:style>
  <w:style w:type="character" w:customStyle="1" w:styleId="ListParagraphChar">
    <w:name w:val="List Paragraph Char"/>
    <w:link w:val="ListParagraph"/>
    <w:uiPriority w:val="99"/>
    <w:rsid w:val="007749AF"/>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E58C4"/>
    <w:pPr>
      <w:widowControl/>
      <w:spacing w:after="160" w:line="240" w:lineRule="exact"/>
      <w:jc w:val="left"/>
    </w:pPr>
    <w:rPr>
      <w:rFonts w:ascii="Verdana" w:eastAsia="MS Mincho" w:hAnsi="Verdana" w:cs="Verdana"/>
      <w:snapToGrid/>
      <w:sz w:val="20"/>
      <w:lang w:val="en-US"/>
    </w:rPr>
  </w:style>
  <w:style w:type="paragraph" w:customStyle="1" w:styleId="COMH3">
    <w:name w:val="COMH3"/>
    <w:basedOn w:val="Heading3"/>
    <w:link w:val="COMH3Char"/>
    <w:qFormat/>
    <w:rsid w:val="009962D8"/>
    <w:pPr>
      <w:keepNext/>
      <w:spacing w:after="220"/>
    </w:pPr>
  </w:style>
  <w:style w:type="character" w:customStyle="1" w:styleId="COMH3Char">
    <w:name w:val="COMH3 Char"/>
    <w:basedOn w:val="DefaultParagraphFont"/>
    <w:link w:val="COMH3"/>
    <w:rsid w:val="009962D8"/>
    <w:rPr>
      <w:rFonts w:ascii="Arial" w:hAnsi="Arial" w:cs="Arial"/>
      <w:snapToGrid w:val="0"/>
      <w:sz w:val="22"/>
      <w:u w:val="single"/>
      <w:lang w:eastAsia="en-US"/>
    </w:rPr>
  </w:style>
  <w:style w:type="paragraph" w:customStyle="1" w:styleId="Tableheading4">
    <w:name w:val="Table heading4"/>
    <w:basedOn w:val="Normal"/>
    <w:rsid w:val="0092110C"/>
    <w:pPr>
      <w:keepNext/>
      <w:widowControl/>
      <w:spacing w:before="120" w:after="40"/>
    </w:pPr>
    <w:rPr>
      <w:rFonts w:ascii="Times New Roman" w:hAnsi="Times New Roman" w:cs="Arial Narrow"/>
      <w:b/>
      <w:bCs/>
      <w:snapToGrid/>
    </w:rPr>
  </w:style>
  <w:style w:type="paragraph" w:customStyle="1" w:styleId="TableHeadingCentred2">
    <w:name w:val="TableHeadingCentred2"/>
    <w:basedOn w:val="Normal"/>
    <w:next w:val="TableText0"/>
    <w:rsid w:val="002A3E63"/>
    <w:pPr>
      <w:keepNext/>
      <w:widowControl/>
      <w:spacing w:before="20" w:after="20"/>
      <w:jc w:val="center"/>
    </w:pPr>
    <w:rPr>
      <w:rFonts w:ascii="Calibri" w:hAnsi="Calibri" w:cs="Times New Roman"/>
      <w:b/>
      <w:bCs/>
      <w:iCs/>
      <w:snapToGrid/>
      <w:sz w:val="20"/>
      <w:szCs w:val="18"/>
    </w:rPr>
  </w:style>
  <w:style w:type="paragraph" w:customStyle="1" w:styleId="TableText10">
    <w:name w:val="Table Text1"/>
    <w:basedOn w:val="Normal"/>
    <w:qFormat/>
    <w:rsid w:val="008B5341"/>
    <w:pPr>
      <w:widowControl/>
      <w:spacing w:line="360" w:lineRule="auto"/>
      <w:jc w:val="left"/>
    </w:pPr>
    <w:rPr>
      <w:rFonts w:eastAsia="SimSun" w:cs="Times New Roman"/>
      <w:snapToGrid/>
      <w:sz w:val="20"/>
      <w:lang w:eastAsia="zh-CN"/>
    </w:rPr>
  </w:style>
  <w:style w:type="paragraph" w:customStyle="1" w:styleId="Tableheading2">
    <w:name w:val="Table heading2"/>
    <w:basedOn w:val="Normal"/>
    <w:rsid w:val="008B5341"/>
    <w:pPr>
      <w:keepNext/>
      <w:widowControl/>
      <w:spacing w:before="120" w:after="40"/>
    </w:pPr>
    <w:rPr>
      <w:rFonts w:ascii="Times New Roman" w:hAnsi="Times New Roman" w:cs="Arial Narrow"/>
      <w:b/>
      <w:bCs/>
      <w:snapToGrid/>
    </w:rPr>
  </w:style>
  <w:style w:type="paragraph" w:customStyle="1" w:styleId="TableNotes2">
    <w:name w:val="Table Notes2"/>
    <w:basedOn w:val="Normal"/>
    <w:next w:val="Normal"/>
    <w:rsid w:val="008B5341"/>
    <w:pPr>
      <w:keepLines/>
      <w:widowControl/>
      <w:tabs>
        <w:tab w:val="left" w:pos="1134"/>
      </w:tabs>
      <w:ind w:left="1140" w:hanging="1140"/>
    </w:pPr>
    <w:rPr>
      <w:rFonts w:cs="Arial Narrow"/>
      <w:snapToGrid/>
      <w:sz w:val="16"/>
      <w:szCs w:val="18"/>
    </w:rPr>
  </w:style>
  <w:style w:type="paragraph" w:customStyle="1" w:styleId="TableHeadingRow">
    <w:name w:val="TableHeadingRow"/>
    <w:basedOn w:val="TableText0"/>
    <w:next w:val="TableText0"/>
    <w:rsid w:val="000F23FF"/>
    <w:pPr>
      <w:spacing w:before="20" w:after="20"/>
      <w:jc w:val="both"/>
    </w:pPr>
    <w:rPr>
      <w:rFonts w:ascii="Calibri" w:hAnsi="Calibri" w:cs="Times New Roman"/>
      <w:b/>
      <w:bCs/>
      <w:iCs/>
      <w:szCs w:val="18"/>
    </w:rPr>
  </w:style>
  <w:style w:type="paragraph" w:customStyle="1" w:styleId="TableTextleft2">
    <w:name w:val="Table Text left2"/>
    <w:basedOn w:val="Normal"/>
    <w:rsid w:val="00CC46C8"/>
    <w:pPr>
      <w:widowControl/>
    </w:pPr>
    <w:rPr>
      <w:snapToGrid/>
      <w:sz w:val="18"/>
      <w:szCs w:val="18"/>
      <w:lang w:eastAsia="en-AU"/>
    </w:rPr>
  </w:style>
  <w:style w:type="character" w:customStyle="1" w:styleId="StyleCalibri">
    <w:name w:val="Style Calibri"/>
    <w:basedOn w:val="DefaultParagraphFont"/>
    <w:rsid w:val="00904948"/>
    <w:rPr>
      <w:rFonts w:ascii="Calibri" w:hAnsi="Calibri"/>
      <w:sz w:val="24"/>
    </w:rPr>
  </w:style>
  <w:style w:type="character" w:customStyle="1" w:styleId="TableHeadingChar">
    <w:name w:val="TableHeading Char"/>
    <w:rsid w:val="00904948"/>
    <w:rPr>
      <w:rFonts w:ascii="Arial" w:eastAsia="Times New Roman" w:hAnsi="Arial"/>
      <w:b/>
      <w:bCs/>
      <w:color w:val="000000"/>
      <w:sz w:val="19"/>
      <w:szCs w:val="21"/>
    </w:rPr>
  </w:style>
  <w:style w:type="character" w:styleId="IntenseReference">
    <w:name w:val="Intense Reference"/>
    <w:basedOn w:val="DefaultParagraphFont"/>
    <w:uiPriority w:val="32"/>
    <w:qFormat/>
    <w:rsid w:val="0090259B"/>
    <w:rPr>
      <w:b/>
      <w:bCs/>
      <w:i/>
      <w:smallCaps/>
      <w:color w:val="C0504D" w:themeColor="accent2"/>
      <w:spacing w:val="5"/>
      <w:u w:val="none"/>
    </w:rPr>
  </w:style>
  <w:style w:type="table" w:customStyle="1" w:styleId="TableGrid1">
    <w:name w:val="Table Grid1"/>
    <w:basedOn w:val="TableNormal"/>
    <w:next w:val="TableGrid"/>
    <w:rsid w:val="005E346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0D9F"/>
    <w:rPr>
      <w:b/>
      <w:bCs/>
    </w:rPr>
  </w:style>
  <w:style w:type="character" w:customStyle="1" w:styleId="sb1">
    <w:name w:val="sb1"/>
    <w:basedOn w:val="DefaultParagraphFont"/>
    <w:rsid w:val="00E20D9F"/>
    <w:rPr>
      <w:sz w:val="17"/>
      <w:szCs w:val="17"/>
    </w:rPr>
  </w:style>
  <w:style w:type="paragraph" w:customStyle="1" w:styleId="TableHeadingRowCentred1">
    <w:name w:val="TableHeadingRowCentred1"/>
    <w:basedOn w:val="Normal"/>
    <w:next w:val="TableText0"/>
    <w:rsid w:val="00BF6966"/>
    <w:pPr>
      <w:keepNext/>
      <w:widowControl/>
      <w:spacing w:before="40" w:after="40"/>
      <w:jc w:val="center"/>
    </w:pPr>
    <w:rPr>
      <w:rFonts w:cs="Arial Narrow"/>
      <w:b/>
      <w:bCs/>
      <w:snapToGrid/>
      <w:sz w:val="18"/>
    </w:rPr>
  </w:style>
  <w:style w:type="character" w:customStyle="1" w:styleId="st">
    <w:name w:val="st"/>
    <w:basedOn w:val="DefaultParagraphFont"/>
    <w:rsid w:val="002A37A5"/>
  </w:style>
  <w:style w:type="character" w:styleId="FollowedHyperlink">
    <w:name w:val="FollowedHyperlink"/>
    <w:basedOn w:val="DefaultParagraphFont"/>
    <w:semiHidden/>
    <w:unhideWhenUsed/>
    <w:rsid w:val="00920778"/>
    <w:rPr>
      <w:color w:val="800080" w:themeColor="followedHyperlink"/>
      <w:u w:val="single"/>
    </w:rPr>
  </w:style>
  <w:style w:type="paragraph" w:customStyle="1" w:styleId="CM10">
    <w:name w:val="CM10"/>
    <w:basedOn w:val="Normal"/>
    <w:next w:val="Normal"/>
    <w:locked/>
    <w:rsid w:val="003D3ADE"/>
    <w:pPr>
      <w:autoSpaceDE w:val="0"/>
      <w:autoSpaceDN w:val="0"/>
      <w:adjustRightInd w:val="0"/>
      <w:spacing w:line="266" w:lineRule="atLeast"/>
      <w:jc w:val="left"/>
    </w:pPr>
    <w:rPr>
      <w:rFonts w:eastAsia="SimSun" w:cs="Times New Roman"/>
      <w:snapToGrid/>
      <w:sz w:val="24"/>
      <w:szCs w:val="24"/>
      <w:lang w:eastAsia="zh-CN"/>
    </w:rPr>
  </w:style>
  <w:style w:type="character" w:customStyle="1" w:styleId="Heading1Char">
    <w:name w:val="Heading 1 Char"/>
    <w:basedOn w:val="DefaultParagraphFont"/>
    <w:link w:val="Heading1"/>
    <w:rsid w:val="00DA143A"/>
    <w:rPr>
      <w:rFonts w:ascii="Arial Bold" w:hAnsi="Arial Bold" w:cs="Arial"/>
      <w:b/>
      <w:cap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
    <w:qFormat/>
    <w:rsid w:val="004B3DDB"/>
    <w:pPr>
      <w:outlineLvl w:val="1"/>
    </w:pPr>
    <w:rPr>
      <w:b/>
    </w:rPr>
  </w:style>
  <w:style w:type="paragraph" w:styleId="Heading3">
    <w:name w:val="heading 3"/>
    <w:basedOn w:val="Normal"/>
    <w:next w:val="Normal"/>
    <w:uiPriority w:val="9"/>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Bayer Caption,IB Caption,Medical Caption,Medical Caption + Arial Narrow,Bayer Caption1,IB Caption1,Medical Caption1,Medical Caption + Arial Narrow1,Bayer Caption2,IB Caption2,Medical Caption2"/>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1,Caption Char Char Char1,Bayer Caption Char1,IB Caption Char1,Medical Caption Char1,Medical Caption + Arial Narrow Char1,Bayer Caption1 Char1,IB Caption1 Char1,Medical Caption1 Char1,Medical Caption + Arial Narrow1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6B072B"/>
    <w:pPr>
      <w:widowControl/>
    </w:pPr>
    <w:rPr>
      <w:sz w:val="28"/>
    </w:rPr>
  </w:style>
  <w:style w:type="character" w:customStyle="1" w:styleId="TitleChar">
    <w:name w:val="Title Char"/>
    <w:basedOn w:val="DefaultParagraphFont"/>
    <w:link w:val="Title"/>
    <w:rsid w:val="006B072B"/>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1"/>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0">
    <w:name w:val="PBAC Heading 1"/>
    <w:qFormat/>
    <w:rsid w:val="00BD6CF3"/>
    <w:pPr>
      <w:ind w:left="720" w:hanging="720"/>
    </w:pPr>
    <w:rPr>
      <w:rFonts w:ascii="Arial" w:hAnsi="Arial" w:cs="Arial"/>
      <w:b/>
      <w:snapToGrid w:val="0"/>
      <w:sz w:val="22"/>
      <w:szCs w:val="22"/>
      <w:lang w:eastAsia="en-US"/>
    </w:rPr>
  </w:style>
  <w:style w:type="paragraph" w:customStyle="1" w:styleId="TableText1">
    <w:name w:val="Table Text"/>
    <w:basedOn w:val="Normal"/>
    <w:link w:val="TableTextChar1"/>
    <w:qFormat/>
    <w:rsid w:val="002C6D44"/>
    <w:pPr>
      <w:widowControl/>
      <w:jc w:val="left"/>
    </w:pPr>
    <w:rPr>
      <w:rFonts w:eastAsia="SimSun" w:cs="Times New Roman"/>
      <w:snapToGrid/>
      <w:sz w:val="20"/>
      <w:lang w:eastAsia="zh-CN"/>
    </w:rPr>
  </w:style>
  <w:style w:type="character" w:customStyle="1" w:styleId="TableTextChar1">
    <w:name w:val="Table Text Char"/>
    <w:link w:val="TableText1"/>
    <w:rsid w:val="002C6D44"/>
    <w:rPr>
      <w:rFonts w:ascii="Arial" w:eastAsia="SimSun" w:hAnsi="Arial"/>
      <w:lang w:eastAsia="zh-CN"/>
    </w:rPr>
  </w:style>
  <w:style w:type="paragraph" w:customStyle="1" w:styleId="PBACheading1">
    <w:name w:val="PBAC heading 1"/>
    <w:basedOn w:val="Header"/>
    <w:qFormat/>
    <w:rsid w:val="004C459B"/>
    <w:pPr>
      <w:widowControl/>
      <w:numPr>
        <w:numId w:val="1"/>
      </w:numPr>
      <w:tabs>
        <w:tab w:val="clear" w:pos="4513"/>
        <w:tab w:val="clear" w:pos="9026"/>
      </w:tabs>
    </w:pPr>
    <w:rPr>
      <w:b/>
      <w:szCs w:val="22"/>
    </w:rPr>
  </w:style>
  <w:style w:type="paragraph" w:styleId="FootnoteText">
    <w:name w:val="footnote text"/>
    <w:basedOn w:val="Normal"/>
    <w:link w:val="FootnoteTextChar"/>
    <w:rsid w:val="00B24CF7"/>
    <w:rPr>
      <w:rFonts w:ascii="Times New Roman" w:hAnsi="Times New Roman" w:cs="Times New Roman"/>
      <w:sz w:val="20"/>
    </w:rPr>
  </w:style>
  <w:style w:type="character" w:customStyle="1" w:styleId="FootnoteTextChar">
    <w:name w:val="Footnote Text Char"/>
    <w:basedOn w:val="DefaultParagraphFont"/>
    <w:link w:val="FootnoteText"/>
    <w:rsid w:val="00B24CF7"/>
    <w:rPr>
      <w:snapToGrid w:val="0"/>
      <w:lang w:eastAsia="en-US"/>
    </w:rPr>
  </w:style>
  <w:style w:type="character" w:styleId="FootnoteReference">
    <w:name w:val="footnote reference"/>
    <w:rsid w:val="00B24CF7"/>
    <w:rPr>
      <w:vertAlign w:val="superscript"/>
    </w:rPr>
  </w:style>
  <w:style w:type="character" w:customStyle="1" w:styleId="CaptionChar2">
    <w:name w:val="Caption Char2"/>
    <w:aliases w:val="Caption Char1 Char,Caption Char Char Char,Caption Char Char1,Bayer Caption Char,IB Caption Char,Medical Caption Char,Medical Caption + Arial Narrow Char,Bayer Caption1 Char,IB Caption1 Char,Medical Caption1 Char,Bayer Caption2 Char"/>
    <w:basedOn w:val="DefaultParagraphFont"/>
    <w:uiPriority w:val="35"/>
    <w:rsid w:val="00CC02EE"/>
    <w:rPr>
      <w:b/>
      <w:bCs/>
      <w:sz w:val="22"/>
      <w:lang w:eastAsia="zh-CN"/>
    </w:rPr>
  </w:style>
  <w:style w:type="paragraph" w:customStyle="1" w:styleId="TableNotes">
    <w:name w:val="Table Notes"/>
    <w:basedOn w:val="Normal"/>
    <w:next w:val="Normal"/>
    <w:link w:val="TableNotesChar"/>
    <w:rsid w:val="00CC02EE"/>
    <w:pPr>
      <w:keepLines/>
      <w:widowControl/>
      <w:tabs>
        <w:tab w:val="left" w:pos="1134"/>
      </w:tabs>
      <w:ind w:left="1140" w:hanging="1140"/>
    </w:pPr>
    <w:rPr>
      <w:rFonts w:cs="Arial Narrow"/>
      <w:snapToGrid/>
      <w:sz w:val="16"/>
      <w:szCs w:val="18"/>
    </w:rPr>
  </w:style>
  <w:style w:type="character" w:customStyle="1" w:styleId="TableNotesChar">
    <w:name w:val="Table Notes Char"/>
    <w:basedOn w:val="DefaultParagraphFont"/>
    <w:link w:val="TableNotes"/>
    <w:rsid w:val="00CC02EE"/>
    <w:rPr>
      <w:rFonts w:ascii="Arial" w:hAnsi="Arial" w:cs="Arial Narrow"/>
      <w:sz w:val="16"/>
      <w:szCs w:val="18"/>
      <w:lang w:eastAsia="en-US"/>
    </w:rPr>
  </w:style>
  <w:style w:type="character" w:customStyle="1" w:styleId="TableHeadingChar1">
    <w:name w:val="TableHeading Char1"/>
    <w:basedOn w:val="DefaultParagraphFont"/>
    <w:link w:val="TableHeading"/>
    <w:rsid w:val="00972807"/>
    <w:rPr>
      <w:rFonts w:ascii="Arial Narrow" w:hAnsi="Arial Narrow" w:cs="Arial Narrow"/>
      <w:b/>
      <w:bCs/>
      <w:lang w:eastAsia="en-US"/>
    </w:rPr>
  </w:style>
  <w:style w:type="paragraph" w:customStyle="1" w:styleId="Tableheading0">
    <w:name w:val="Table heading"/>
    <w:basedOn w:val="Normal"/>
    <w:rsid w:val="00972807"/>
    <w:pPr>
      <w:keepNext/>
      <w:widowControl/>
      <w:spacing w:before="120" w:after="40"/>
    </w:pPr>
    <w:rPr>
      <w:rFonts w:ascii="Times New Roman" w:hAnsi="Times New Roman" w:cs="Arial Narrow"/>
      <w:b/>
      <w:bCs/>
      <w:snapToGrid/>
    </w:rPr>
  </w:style>
  <w:style w:type="character" w:customStyle="1" w:styleId="TableTextChar0">
    <w:name w:val="TableText Char"/>
    <w:link w:val="TableText0"/>
    <w:rsid w:val="00EE6240"/>
    <w:rPr>
      <w:rFonts w:ascii="Arial Narrow" w:hAnsi="Arial Narrow" w:cs="Arial Narrow"/>
      <w:lang w:eastAsia="en-US"/>
    </w:rPr>
  </w:style>
  <w:style w:type="paragraph" w:customStyle="1" w:styleId="COMtbl-HEADLeftAligned">
    <w:name w:val="COMtbl-HEAD Left Aligned"/>
    <w:basedOn w:val="Normal"/>
    <w:qFormat/>
    <w:rsid w:val="00EE6240"/>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EE6240"/>
    <w:pPr>
      <w:jc w:val="center"/>
    </w:pPr>
  </w:style>
  <w:style w:type="paragraph" w:customStyle="1" w:styleId="COMTbl-cap">
    <w:name w:val="COMTbl-cap"/>
    <w:basedOn w:val="Normal"/>
    <w:link w:val="COMTbl-capChar"/>
    <w:qFormat/>
    <w:rsid w:val="00EE6240"/>
    <w:pPr>
      <w:keepNext/>
    </w:pPr>
    <w:rPr>
      <w:rFonts w:ascii="Arial Narrow" w:hAnsi="Arial Narrow"/>
      <w:b/>
      <w:sz w:val="20"/>
    </w:rPr>
  </w:style>
  <w:style w:type="character" w:customStyle="1" w:styleId="COMTbl-capChar">
    <w:name w:val="COMTbl-cap Char"/>
    <w:basedOn w:val="DefaultParagraphFont"/>
    <w:link w:val="COMTbl-cap"/>
    <w:rsid w:val="00EE6240"/>
    <w:rPr>
      <w:rFonts w:ascii="Arial Narrow" w:hAnsi="Arial Narrow" w:cs="Arial"/>
      <w:b/>
      <w:snapToGrid w:val="0"/>
      <w:lang w:eastAsia="en-US"/>
    </w:rPr>
  </w:style>
  <w:style w:type="paragraph" w:customStyle="1" w:styleId="COMTbl-foot">
    <w:name w:val="COMTbl-foot"/>
    <w:basedOn w:val="TableFooter"/>
    <w:link w:val="COMTbl-footChar"/>
    <w:qFormat/>
    <w:rsid w:val="00EE6240"/>
  </w:style>
  <w:style w:type="character" w:customStyle="1" w:styleId="COMTbl-footChar">
    <w:name w:val="COMTbl-foot Char"/>
    <w:basedOn w:val="DefaultParagraphFont"/>
    <w:link w:val="COMTbl-foot"/>
    <w:rsid w:val="00EE6240"/>
    <w:rPr>
      <w:rFonts w:ascii="Arial Narrow" w:hAnsi="Arial Narrow" w:cs="Arial"/>
      <w:snapToGrid w:val="0"/>
      <w:sz w:val="18"/>
      <w:lang w:eastAsia="en-US"/>
    </w:rPr>
  </w:style>
  <w:style w:type="paragraph" w:customStyle="1" w:styleId="TableNotes4">
    <w:name w:val="Table Notes4"/>
    <w:basedOn w:val="Normal"/>
    <w:next w:val="Normal"/>
    <w:rsid w:val="00F72A9A"/>
    <w:pPr>
      <w:keepLines/>
      <w:widowControl/>
      <w:tabs>
        <w:tab w:val="left" w:pos="1134"/>
      </w:tabs>
      <w:ind w:left="1140" w:hanging="1140"/>
    </w:pPr>
    <w:rPr>
      <w:rFonts w:cs="Arial Narrow"/>
      <w:snapToGrid/>
      <w:sz w:val="16"/>
      <w:szCs w:val="18"/>
    </w:rPr>
  </w:style>
  <w:style w:type="paragraph" w:customStyle="1" w:styleId="Tableleft">
    <w:name w:val="Table left"/>
    <w:basedOn w:val="TableText0"/>
    <w:link w:val="TableleftChar"/>
    <w:rsid w:val="003B074E"/>
    <w:pPr>
      <w:keepNext w:val="0"/>
      <w:jc w:val="both"/>
    </w:pPr>
    <w:rPr>
      <w:rFonts w:ascii="Arial" w:hAnsi="Arial"/>
      <w:sz w:val="18"/>
    </w:rPr>
  </w:style>
  <w:style w:type="character" w:customStyle="1" w:styleId="TableleftChar">
    <w:name w:val="Table left Char"/>
    <w:basedOn w:val="DefaultParagraphFont"/>
    <w:link w:val="Tableleft"/>
    <w:rsid w:val="003B074E"/>
    <w:rPr>
      <w:rFonts w:ascii="Arial" w:hAnsi="Arial" w:cs="Arial Narrow"/>
      <w:sz w:val="18"/>
      <w:lang w:eastAsia="en-US"/>
    </w:rPr>
  </w:style>
  <w:style w:type="paragraph" w:customStyle="1" w:styleId="TableText4">
    <w:name w:val="TableText4"/>
    <w:basedOn w:val="Normal"/>
    <w:qFormat/>
    <w:rsid w:val="00181D3D"/>
    <w:pPr>
      <w:keepNext/>
      <w:widowControl/>
      <w:spacing w:before="40" w:after="40"/>
    </w:pPr>
    <w:rPr>
      <w:rFonts w:cs="Times New Roman"/>
      <w:snapToGrid/>
      <w:color w:val="000000"/>
      <w:sz w:val="18"/>
      <w:szCs w:val="21"/>
      <w:lang w:eastAsia="en-AU"/>
    </w:rPr>
  </w:style>
  <w:style w:type="paragraph" w:customStyle="1" w:styleId="COMBody">
    <w:name w:val="COMBody"/>
    <w:basedOn w:val="Normal"/>
    <w:link w:val="COMBodyChar"/>
    <w:qFormat/>
    <w:rsid w:val="00900678"/>
  </w:style>
  <w:style w:type="character" w:customStyle="1" w:styleId="COMBodyChar">
    <w:name w:val="COMBody Char"/>
    <w:basedOn w:val="DefaultParagraphFont"/>
    <w:link w:val="COMBody"/>
    <w:rsid w:val="00900678"/>
    <w:rPr>
      <w:rFonts w:ascii="Arial" w:hAnsi="Arial" w:cs="Arial"/>
      <w:snapToGrid w:val="0"/>
      <w:sz w:val="22"/>
      <w:lang w:eastAsia="en-US"/>
    </w:rPr>
  </w:style>
  <w:style w:type="character" w:customStyle="1" w:styleId="TableFooterChar">
    <w:name w:val="Table Footer Char"/>
    <w:link w:val="TableFooter"/>
    <w:rsid w:val="00900678"/>
    <w:rPr>
      <w:rFonts w:ascii="Arial Narrow" w:hAnsi="Arial Narrow" w:cs="Arial"/>
      <w:snapToGrid w:val="0"/>
      <w:sz w:val="18"/>
      <w:lang w:eastAsia="en-US"/>
    </w:rPr>
  </w:style>
  <w:style w:type="paragraph" w:customStyle="1" w:styleId="CM19">
    <w:name w:val="CM19"/>
    <w:basedOn w:val="Normal"/>
    <w:next w:val="Normal"/>
    <w:locked/>
    <w:rsid w:val="00900678"/>
    <w:pPr>
      <w:autoSpaceDE w:val="0"/>
      <w:autoSpaceDN w:val="0"/>
      <w:adjustRightInd w:val="0"/>
      <w:spacing w:line="403" w:lineRule="atLeast"/>
      <w:jc w:val="left"/>
    </w:pPr>
    <w:rPr>
      <w:rFonts w:eastAsia="SimSun" w:cs="Times New Roman"/>
      <w:snapToGrid/>
      <w:sz w:val="24"/>
      <w:szCs w:val="24"/>
      <w:lang w:eastAsia="zh-CN"/>
    </w:rPr>
  </w:style>
  <w:style w:type="character" w:customStyle="1" w:styleId="apple-converted-space">
    <w:name w:val="apple-converted-space"/>
    <w:basedOn w:val="DefaultParagraphFont"/>
    <w:rsid w:val="007926F0"/>
  </w:style>
  <w:style w:type="paragraph" w:customStyle="1" w:styleId="TableHeading3">
    <w:name w:val="TableHeading3"/>
    <w:basedOn w:val="TableText0"/>
    <w:rsid w:val="00907EB5"/>
    <w:pPr>
      <w:jc w:val="both"/>
    </w:pPr>
    <w:rPr>
      <w:rFonts w:ascii="Arial" w:hAnsi="Arial" w:cs="Times New Roman"/>
      <w:b/>
      <w:bCs/>
      <w:color w:val="000000"/>
      <w:sz w:val="18"/>
      <w:szCs w:val="21"/>
      <w:lang w:eastAsia="en-AU"/>
    </w:rPr>
  </w:style>
  <w:style w:type="paragraph" w:customStyle="1" w:styleId="CM180">
    <w:name w:val="CM180"/>
    <w:basedOn w:val="Normal"/>
    <w:next w:val="Normal"/>
    <w:locked/>
    <w:rsid w:val="00907EB5"/>
    <w:pPr>
      <w:autoSpaceDE w:val="0"/>
      <w:autoSpaceDN w:val="0"/>
      <w:adjustRightInd w:val="0"/>
      <w:spacing w:after="232"/>
      <w:jc w:val="left"/>
    </w:pPr>
    <w:rPr>
      <w:rFonts w:eastAsia="SimSun" w:cs="Times New Roman"/>
      <w:snapToGrid/>
      <w:sz w:val="24"/>
      <w:szCs w:val="24"/>
      <w:lang w:eastAsia="zh-CN"/>
    </w:rPr>
  </w:style>
  <w:style w:type="paragraph" w:customStyle="1" w:styleId="CM36">
    <w:name w:val="CM36"/>
    <w:basedOn w:val="Normal"/>
    <w:next w:val="Normal"/>
    <w:locked/>
    <w:rsid w:val="00907EB5"/>
    <w:pPr>
      <w:autoSpaceDE w:val="0"/>
      <w:autoSpaceDN w:val="0"/>
      <w:adjustRightInd w:val="0"/>
      <w:jc w:val="left"/>
    </w:pPr>
    <w:rPr>
      <w:rFonts w:eastAsia="SimSun" w:cs="Times New Roman"/>
      <w:snapToGrid/>
      <w:sz w:val="24"/>
      <w:szCs w:val="24"/>
      <w:lang w:eastAsia="zh-CN"/>
    </w:rPr>
  </w:style>
  <w:style w:type="paragraph" w:customStyle="1" w:styleId="CM40">
    <w:name w:val="CM40"/>
    <w:basedOn w:val="Normal"/>
    <w:next w:val="Normal"/>
    <w:locked/>
    <w:rsid w:val="00907EB5"/>
    <w:pPr>
      <w:autoSpaceDE w:val="0"/>
      <w:autoSpaceDN w:val="0"/>
      <w:adjustRightInd w:val="0"/>
      <w:spacing w:line="266" w:lineRule="atLeast"/>
      <w:jc w:val="left"/>
    </w:pPr>
    <w:rPr>
      <w:rFonts w:eastAsia="SimSun" w:cs="Times New Roman"/>
      <w:snapToGrid/>
      <w:sz w:val="24"/>
      <w:szCs w:val="24"/>
      <w:lang w:eastAsia="zh-CN"/>
    </w:rPr>
  </w:style>
  <w:style w:type="character" w:customStyle="1" w:styleId="ListParagraphChar">
    <w:name w:val="List Paragraph Char"/>
    <w:link w:val="ListParagraph"/>
    <w:uiPriority w:val="99"/>
    <w:rsid w:val="007749AF"/>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E58C4"/>
    <w:pPr>
      <w:widowControl/>
      <w:spacing w:after="160" w:line="240" w:lineRule="exact"/>
      <w:jc w:val="left"/>
    </w:pPr>
    <w:rPr>
      <w:rFonts w:ascii="Verdana" w:eastAsia="MS Mincho" w:hAnsi="Verdana" w:cs="Verdana"/>
      <w:snapToGrid/>
      <w:sz w:val="20"/>
      <w:lang w:val="en-US"/>
    </w:rPr>
  </w:style>
  <w:style w:type="paragraph" w:customStyle="1" w:styleId="COMH3">
    <w:name w:val="COMH3"/>
    <w:basedOn w:val="Heading3"/>
    <w:link w:val="COMH3Char"/>
    <w:qFormat/>
    <w:rsid w:val="009962D8"/>
    <w:pPr>
      <w:keepNext/>
      <w:spacing w:after="220"/>
    </w:pPr>
  </w:style>
  <w:style w:type="character" w:customStyle="1" w:styleId="COMH3Char">
    <w:name w:val="COMH3 Char"/>
    <w:basedOn w:val="DefaultParagraphFont"/>
    <w:link w:val="COMH3"/>
    <w:rsid w:val="009962D8"/>
    <w:rPr>
      <w:rFonts w:ascii="Arial" w:hAnsi="Arial" w:cs="Arial"/>
      <w:snapToGrid w:val="0"/>
      <w:sz w:val="22"/>
      <w:u w:val="single"/>
      <w:lang w:eastAsia="en-US"/>
    </w:rPr>
  </w:style>
  <w:style w:type="paragraph" w:customStyle="1" w:styleId="Tableheading4">
    <w:name w:val="Table heading4"/>
    <w:basedOn w:val="Normal"/>
    <w:rsid w:val="0092110C"/>
    <w:pPr>
      <w:keepNext/>
      <w:widowControl/>
      <w:spacing w:before="120" w:after="40"/>
    </w:pPr>
    <w:rPr>
      <w:rFonts w:ascii="Times New Roman" w:hAnsi="Times New Roman" w:cs="Arial Narrow"/>
      <w:b/>
      <w:bCs/>
      <w:snapToGrid/>
    </w:rPr>
  </w:style>
  <w:style w:type="paragraph" w:customStyle="1" w:styleId="TableHeadingCentred2">
    <w:name w:val="TableHeadingCentred2"/>
    <w:basedOn w:val="Normal"/>
    <w:next w:val="TableText0"/>
    <w:rsid w:val="002A3E63"/>
    <w:pPr>
      <w:keepNext/>
      <w:widowControl/>
      <w:spacing w:before="20" w:after="20"/>
      <w:jc w:val="center"/>
    </w:pPr>
    <w:rPr>
      <w:rFonts w:ascii="Calibri" w:hAnsi="Calibri" w:cs="Times New Roman"/>
      <w:b/>
      <w:bCs/>
      <w:iCs/>
      <w:snapToGrid/>
      <w:sz w:val="20"/>
      <w:szCs w:val="18"/>
    </w:rPr>
  </w:style>
  <w:style w:type="paragraph" w:customStyle="1" w:styleId="TableText10">
    <w:name w:val="Table Text1"/>
    <w:basedOn w:val="Normal"/>
    <w:qFormat/>
    <w:rsid w:val="008B5341"/>
    <w:pPr>
      <w:widowControl/>
      <w:spacing w:line="360" w:lineRule="auto"/>
      <w:jc w:val="left"/>
    </w:pPr>
    <w:rPr>
      <w:rFonts w:eastAsia="SimSun" w:cs="Times New Roman"/>
      <w:snapToGrid/>
      <w:sz w:val="20"/>
      <w:lang w:eastAsia="zh-CN"/>
    </w:rPr>
  </w:style>
  <w:style w:type="paragraph" w:customStyle="1" w:styleId="Tableheading2">
    <w:name w:val="Table heading2"/>
    <w:basedOn w:val="Normal"/>
    <w:rsid w:val="008B5341"/>
    <w:pPr>
      <w:keepNext/>
      <w:widowControl/>
      <w:spacing w:before="120" w:after="40"/>
    </w:pPr>
    <w:rPr>
      <w:rFonts w:ascii="Times New Roman" w:hAnsi="Times New Roman" w:cs="Arial Narrow"/>
      <w:b/>
      <w:bCs/>
      <w:snapToGrid/>
    </w:rPr>
  </w:style>
  <w:style w:type="paragraph" w:customStyle="1" w:styleId="TableNotes2">
    <w:name w:val="Table Notes2"/>
    <w:basedOn w:val="Normal"/>
    <w:next w:val="Normal"/>
    <w:rsid w:val="008B5341"/>
    <w:pPr>
      <w:keepLines/>
      <w:widowControl/>
      <w:tabs>
        <w:tab w:val="left" w:pos="1134"/>
      </w:tabs>
      <w:ind w:left="1140" w:hanging="1140"/>
    </w:pPr>
    <w:rPr>
      <w:rFonts w:cs="Arial Narrow"/>
      <w:snapToGrid/>
      <w:sz w:val="16"/>
      <w:szCs w:val="18"/>
    </w:rPr>
  </w:style>
  <w:style w:type="paragraph" w:customStyle="1" w:styleId="TableHeadingRow">
    <w:name w:val="TableHeadingRow"/>
    <w:basedOn w:val="TableText0"/>
    <w:next w:val="TableText0"/>
    <w:rsid w:val="000F23FF"/>
    <w:pPr>
      <w:spacing w:before="20" w:after="20"/>
      <w:jc w:val="both"/>
    </w:pPr>
    <w:rPr>
      <w:rFonts w:ascii="Calibri" w:hAnsi="Calibri" w:cs="Times New Roman"/>
      <w:b/>
      <w:bCs/>
      <w:iCs/>
      <w:szCs w:val="18"/>
    </w:rPr>
  </w:style>
  <w:style w:type="paragraph" w:customStyle="1" w:styleId="TableTextleft2">
    <w:name w:val="Table Text left2"/>
    <w:basedOn w:val="Normal"/>
    <w:rsid w:val="00CC46C8"/>
    <w:pPr>
      <w:widowControl/>
    </w:pPr>
    <w:rPr>
      <w:snapToGrid/>
      <w:sz w:val="18"/>
      <w:szCs w:val="18"/>
      <w:lang w:eastAsia="en-AU"/>
    </w:rPr>
  </w:style>
  <w:style w:type="character" w:customStyle="1" w:styleId="StyleCalibri">
    <w:name w:val="Style Calibri"/>
    <w:basedOn w:val="DefaultParagraphFont"/>
    <w:rsid w:val="00904948"/>
    <w:rPr>
      <w:rFonts w:ascii="Calibri" w:hAnsi="Calibri"/>
      <w:sz w:val="24"/>
    </w:rPr>
  </w:style>
  <w:style w:type="character" w:customStyle="1" w:styleId="TableHeadingChar">
    <w:name w:val="TableHeading Char"/>
    <w:rsid w:val="00904948"/>
    <w:rPr>
      <w:rFonts w:ascii="Arial" w:eastAsia="Times New Roman" w:hAnsi="Arial"/>
      <w:b/>
      <w:bCs/>
      <w:color w:val="000000"/>
      <w:sz w:val="19"/>
      <w:szCs w:val="21"/>
    </w:rPr>
  </w:style>
  <w:style w:type="character" w:styleId="IntenseReference">
    <w:name w:val="Intense Reference"/>
    <w:basedOn w:val="DefaultParagraphFont"/>
    <w:uiPriority w:val="32"/>
    <w:qFormat/>
    <w:rsid w:val="0090259B"/>
    <w:rPr>
      <w:b/>
      <w:bCs/>
      <w:i/>
      <w:smallCaps/>
      <w:color w:val="C0504D" w:themeColor="accent2"/>
      <w:spacing w:val="5"/>
      <w:u w:val="none"/>
    </w:rPr>
  </w:style>
  <w:style w:type="table" w:customStyle="1" w:styleId="TableGrid1">
    <w:name w:val="Table Grid1"/>
    <w:basedOn w:val="TableNormal"/>
    <w:next w:val="TableGrid"/>
    <w:rsid w:val="005E3469"/>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0D9F"/>
    <w:rPr>
      <w:b/>
      <w:bCs/>
    </w:rPr>
  </w:style>
  <w:style w:type="character" w:customStyle="1" w:styleId="sb1">
    <w:name w:val="sb1"/>
    <w:basedOn w:val="DefaultParagraphFont"/>
    <w:rsid w:val="00E20D9F"/>
    <w:rPr>
      <w:sz w:val="17"/>
      <w:szCs w:val="17"/>
    </w:rPr>
  </w:style>
  <w:style w:type="paragraph" w:customStyle="1" w:styleId="TableHeadingRowCentred1">
    <w:name w:val="TableHeadingRowCentred1"/>
    <w:basedOn w:val="Normal"/>
    <w:next w:val="TableText0"/>
    <w:rsid w:val="00BF6966"/>
    <w:pPr>
      <w:keepNext/>
      <w:widowControl/>
      <w:spacing w:before="40" w:after="40"/>
      <w:jc w:val="center"/>
    </w:pPr>
    <w:rPr>
      <w:rFonts w:cs="Arial Narrow"/>
      <w:b/>
      <w:bCs/>
      <w:snapToGrid/>
      <w:sz w:val="18"/>
    </w:rPr>
  </w:style>
  <w:style w:type="character" w:customStyle="1" w:styleId="st">
    <w:name w:val="st"/>
    <w:basedOn w:val="DefaultParagraphFont"/>
    <w:rsid w:val="002A37A5"/>
  </w:style>
  <w:style w:type="character" w:styleId="FollowedHyperlink">
    <w:name w:val="FollowedHyperlink"/>
    <w:basedOn w:val="DefaultParagraphFont"/>
    <w:semiHidden/>
    <w:unhideWhenUsed/>
    <w:rsid w:val="00920778"/>
    <w:rPr>
      <w:color w:val="800080" w:themeColor="followedHyperlink"/>
      <w:u w:val="single"/>
    </w:rPr>
  </w:style>
  <w:style w:type="paragraph" w:customStyle="1" w:styleId="CM10">
    <w:name w:val="CM10"/>
    <w:basedOn w:val="Normal"/>
    <w:next w:val="Normal"/>
    <w:locked/>
    <w:rsid w:val="003D3ADE"/>
    <w:pPr>
      <w:autoSpaceDE w:val="0"/>
      <w:autoSpaceDN w:val="0"/>
      <w:adjustRightInd w:val="0"/>
      <w:spacing w:line="266" w:lineRule="atLeast"/>
      <w:jc w:val="left"/>
    </w:pPr>
    <w:rPr>
      <w:rFonts w:eastAsia="SimSun" w:cs="Times New Roman"/>
      <w:snapToGrid/>
      <w:sz w:val="24"/>
      <w:szCs w:val="24"/>
      <w:lang w:eastAsia="zh-CN"/>
    </w:rPr>
  </w:style>
  <w:style w:type="character" w:customStyle="1" w:styleId="Heading1Char">
    <w:name w:val="Heading 1 Char"/>
    <w:basedOn w:val="DefaultParagraphFont"/>
    <w:link w:val="Heading1"/>
    <w:rsid w:val="00DA143A"/>
    <w:rPr>
      <w:rFonts w:ascii="Arial Bold" w:hAnsi="Arial Bold" w:cs="Arial"/>
      <w:b/>
      <w:cap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133257701">
      <w:bodyDiv w:val="1"/>
      <w:marLeft w:val="0"/>
      <w:marRight w:val="0"/>
      <w:marTop w:val="0"/>
      <w:marBottom w:val="0"/>
      <w:divBdr>
        <w:top w:val="none" w:sz="0" w:space="0" w:color="auto"/>
        <w:left w:val="none" w:sz="0" w:space="0" w:color="auto"/>
        <w:bottom w:val="none" w:sz="0" w:space="0" w:color="auto"/>
        <w:right w:val="none" w:sz="0" w:space="0" w:color="auto"/>
      </w:divBdr>
    </w:div>
    <w:div w:id="161313662">
      <w:bodyDiv w:val="1"/>
      <w:marLeft w:val="0"/>
      <w:marRight w:val="0"/>
      <w:marTop w:val="0"/>
      <w:marBottom w:val="0"/>
      <w:divBdr>
        <w:top w:val="none" w:sz="0" w:space="0" w:color="auto"/>
        <w:left w:val="none" w:sz="0" w:space="0" w:color="auto"/>
        <w:bottom w:val="none" w:sz="0" w:space="0" w:color="auto"/>
        <w:right w:val="none" w:sz="0" w:space="0" w:color="auto"/>
      </w:divBdr>
    </w:div>
    <w:div w:id="254898710">
      <w:bodyDiv w:val="1"/>
      <w:marLeft w:val="0"/>
      <w:marRight w:val="0"/>
      <w:marTop w:val="0"/>
      <w:marBottom w:val="0"/>
      <w:divBdr>
        <w:top w:val="none" w:sz="0" w:space="0" w:color="auto"/>
        <w:left w:val="none" w:sz="0" w:space="0" w:color="auto"/>
        <w:bottom w:val="none" w:sz="0" w:space="0" w:color="auto"/>
        <w:right w:val="none" w:sz="0" w:space="0" w:color="auto"/>
      </w:divBdr>
    </w:div>
    <w:div w:id="462432245">
      <w:bodyDiv w:val="1"/>
      <w:marLeft w:val="0"/>
      <w:marRight w:val="0"/>
      <w:marTop w:val="0"/>
      <w:marBottom w:val="0"/>
      <w:divBdr>
        <w:top w:val="none" w:sz="0" w:space="0" w:color="auto"/>
        <w:left w:val="none" w:sz="0" w:space="0" w:color="auto"/>
        <w:bottom w:val="none" w:sz="0" w:space="0" w:color="auto"/>
        <w:right w:val="none" w:sz="0" w:space="0" w:color="auto"/>
      </w:divBdr>
    </w:div>
    <w:div w:id="549457447">
      <w:bodyDiv w:val="1"/>
      <w:marLeft w:val="0"/>
      <w:marRight w:val="0"/>
      <w:marTop w:val="0"/>
      <w:marBottom w:val="0"/>
      <w:divBdr>
        <w:top w:val="none" w:sz="0" w:space="0" w:color="auto"/>
        <w:left w:val="none" w:sz="0" w:space="0" w:color="auto"/>
        <w:bottom w:val="none" w:sz="0" w:space="0" w:color="auto"/>
        <w:right w:val="none" w:sz="0" w:space="0" w:color="auto"/>
      </w:divBdr>
    </w:div>
    <w:div w:id="750736360">
      <w:bodyDiv w:val="1"/>
      <w:marLeft w:val="0"/>
      <w:marRight w:val="0"/>
      <w:marTop w:val="0"/>
      <w:marBottom w:val="0"/>
      <w:divBdr>
        <w:top w:val="none" w:sz="0" w:space="0" w:color="auto"/>
        <w:left w:val="none" w:sz="0" w:space="0" w:color="auto"/>
        <w:bottom w:val="none" w:sz="0" w:space="0" w:color="auto"/>
        <w:right w:val="none" w:sz="0" w:space="0" w:color="auto"/>
      </w:divBdr>
    </w:div>
    <w:div w:id="782916296">
      <w:bodyDiv w:val="1"/>
      <w:marLeft w:val="0"/>
      <w:marRight w:val="0"/>
      <w:marTop w:val="0"/>
      <w:marBottom w:val="0"/>
      <w:divBdr>
        <w:top w:val="none" w:sz="0" w:space="0" w:color="auto"/>
        <w:left w:val="none" w:sz="0" w:space="0" w:color="auto"/>
        <w:bottom w:val="none" w:sz="0" w:space="0" w:color="auto"/>
        <w:right w:val="none" w:sz="0" w:space="0" w:color="auto"/>
      </w:divBdr>
    </w:div>
    <w:div w:id="899437558">
      <w:bodyDiv w:val="1"/>
      <w:marLeft w:val="0"/>
      <w:marRight w:val="0"/>
      <w:marTop w:val="0"/>
      <w:marBottom w:val="0"/>
      <w:divBdr>
        <w:top w:val="none" w:sz="0" w:space="0" w:color="auto"/>
        <w:left w:val="none" w:sz="0" w:space="0" w:color="auto"/>
        <w:bottom w:val="none" w:sz="0" w:space="0" w:color="auto"/>
        <w:right w:val="none" w:sz="0" w:space="0" w:color="auto"/>
      </w:divBdr>
    </w:div>
    <w:div w:id="1107579718">
      <w:bodyDiv w:val="1"/>
      <w:marLeft w:val="0"/>
      <w:marRight w:val="0"/>
      <w:marTop w:val="0"/>
      <w:marBottom w:val="0"/>
      <w:divBdr>
        <w:top w:val="none" w:sz="0" w:space="0" w:color="auto"/>
        <w:left w:val="none" w:sz="0" w:space="0" w:color="auto"/>
        <w:bottom w:val="none" w:sz="0" w:space="0" w:color="auto"/>
        <w:right w:val="none" w:sz="0" w:space="0" w:color="auto"/>
      </w:divBdr>
    </w:div>
    <w:div w:id="1330135274">
      <w:bodyDiv w:val="1"/>
      <w:marLeft w:val="0"/>
      <w:marRight w:val="0"/>
      <w:marTop w:val="0"/>
      <w:marBottom w:val="0"/>
      <w:divBdr>
        <w:top w:val="none" w:sz="0" w:space="0" w:color="auto"/>
        <w:left w:val="none" w:sz="0" w:space="0" w:color="auto"/>
        <w:bottom w:val="none" w:sz="0" w:space="0" w:color="auto"/>
        <w:right w:val="none" w:sz="0" w:space="0" w:color="auto"/>
      </w:divBdr>
    </w:div>
    <w:div w:id="1386832568">
      <w:bodyDiv w:val="1"/>
      <w:marLeft w:val="0"/>
      <w:marRight w:val="0"/>
      <w:marTop w:val="0"/>
      <w:marBottom w:val="0"/>
      <w:divBdr>
        <w:top w:val="none" w:sz="0" w:space="0" w:color="auto"/>
        <w:left w:val="none" w:sz="0" w:space="0" w:color="auto"/>
        <w:bottom w:val="none" w:sz="0" w:space="0" w:color="auto"/>
        <w:right w:val="none" w:sz="0" w:space="0" w:color="auto"/>
      </w:divBdr>
    </w:div>
    <w:div w:id="1473400613">
      <w:bodyDiv w:val="1"/>
      <w:marLeft w:val="0"/>
      <w:marRight w:val="0"/>
      <w:marTop w:val="0"/>
      <w:marBottom w:val="0"/>
      <w:divBdr>
        <w:top w:val="none" w:sz="0" w:space="0" w:color="auto"/>
        <w:left w:val="none" w:sz="0" w:space="0" w:color="auto"/>
        <w:bottom w:val="none" w:sz="0" w:space="0" w:color="auto"/>
        <w:right w:val="none" w:sz="0" w:space="0" w:color="auto"/>
      </w:divBdr>
    </w:div>
    <w:div w:id="1524785710">
      <w:bodyDiv w:val="1"/>
      <w:marLeft w:val="0"/>
      <w:marRight w:val="0"/>
      <w:marTop w:val="0"/>
      <w:marBottom w:val="0"/>
      <w:divBdr>
        <w:top w:val="none" w:sz="0" w:space="0" w:color="auto"/>
        <w:left w:val="none" w:sz="0" w:space="0" w:color="auto"/>
        <w:bottom w:val="none" w:sz="0" w:space="0" w:color="auto"/>
        <w:right w:val="none" w:sz="0" w:space="0" w:color="auto"/>
      </w:divBdr>
      <w:divsChild>
        <w:div w:id="1480877809">
          <w:marLeft w:val="0"/>
          <w:marRight w:val="0"/>
          <w:marTop w:val="192"/>
          <w:marBottom w:val="384"/>
          <w:divBdr>
            <w:top w:val="none" w:sz="0" w:space="0" w:color="auto"/>
            <w:left w:val="none" w:sz="0" w:space="0" w:color="auto"/>
            <w:bottom w:val="none" w:sz="0" w:space="0" w:color="auto"/>
            <w:right w:val="none" w:sz="0" w:space="0" w:color="auto"/>
          </w:divBdr>
          <w:divsChild>
            <w:div w:id="600338819">
              <w:marLeft w:val="0"/>
              <w:marRight w:val="0"/>
              <w:marTop w:val="0"/>
              <w:marBottom w:val="0"/>
              <w:divBdr>
                <w:top w:val="none" w:sz="0" w:space="0" w:color="auto"/>
                <w:left w:val="none" w:sz="0" w:space="0" w:color="auto"/>
                <w:bottom w:val="none" w:sz="0" w:space="0" w:color="auto"/>
                <w:right w:val="none" w:sz="0" w:space="0" w:color="auto"/>
              </w:divBdr>
              <w:divsChild>
                <w:div w:id="364602266">
                  <w:marLeft w:val="0"/>
                  <w:marRight w:val="0"/>
                  <w:marTop w:val="0"/>
                  <w:marBottom w:val="0"/>
                  <w:divBdr>
                    <w:top w:val="none" w:sz="0" w:space="0" w:color="auto"/>
                    <w:left w:val="none" w:sz="0" w:space="0" w:color="auto"/>
                    <w:bottom w:val="none" w:sz="0" w:space="0" w:color="auto"/>
                    <w:right w:val="none" w:sz="0" w:space="0" w:color="auto"/>
                  </w:divBdr>
                  <w:divsChild>
                    <w:div w:id="18070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6843">
      <w:bodyDiv w:val="1"/>
      <w:marLeft w:val="0"/>
      <w:marRight w:val="0"/>
      <w:marTop w:val="0"/>
      <w:marBottom w:val="0"/>
      <w:divBdr>
        <w:top w:val="none" w:sz="0" w:space="0" w:color="auto"/>
        <w:left w:val="none" w:sz="0" w:space="0" w:color="auto"/>
        <w:bottom w:val="none" w:sz="0" w:space="0" w:color="auto"/>
        <w:right w:val="none" w:sz="0" w:space="0" w:color="auto"/>
      </w:divBdr>
    </w:div>
    <w:div w:id="1683312999">
      <w:bodyDiv w:val="1"/>
      <w:marLeft w:val="0"/>
      <w:marRight w:val="0"/>
      <w:marTop w:val="0"/>
      <w:marBottom w:val="0"/>
      <w:divBdr>
        <w:top w:val="none" w:sz="0" w:space="0" w:color="auto"/>
        <w:left w:val="none" w:sz="0" w:space="0" w:color="auto"/>
        <w:bottom w:val="none" w:sz="0" w:space="0" w:color="auto"/>
        <w:right w:val="none" w:sz="0" w:space="0" w:color="auto"/>
      </w:divBdr>
    </w:div>
    <w:div w:id="1731617015">
      <w:bodyDiv w:val="1"/>
      <w:marLeft w:val="0"/>
      <w:marRight w:val="0"/>
      <w:marTop w:val="0"/>
      <w:marBottom w:val="0"/>
      <w:divBdr>
        <w:top w:val="none" w:sz="0" w:space="0" w:color="auto"/>
        <w:left w:val="none" w:sz="0" w:space="0" w:color="auto"/>
        <w:bottom w:val="none" w:sz="0" w:space="0" w:color="auto"/>
        <w:right w:val="none" w:sz="0" w:space="0" w:color="auto"/>
      </w:divBdr>
    </w:div>
    <w:div w:id="20881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9BB8-8EE2-43BB-88DF-F50529F7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7538</Words>
  <Characters>42968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6.03 dapagliflozin</vt:lpstr>
    </vt:vector>
  </TitlesOfParts>
  <LinksUpToDate>false</LinksUpToDate>
  <CharactersWithSpaces>50406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 dapagliflozin</dc:title>
  <dc:creator/>
  <cp:lastModifiedBy/>
  <cp:revision>1</cp:revision>
  <dcterms:created xsi:type="dcterms:W3CDTF">2015-06-29T06:15:00Z</dcterms:created>
  <dcterms:modified xsi:type="dcterms:W3CDTF">2015-06-29T06:16:00Z</dcterms:modified>
</cp:coreProperties>
</file>