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59" w:rsidRPr="00F02159" w:rsidRDefault="00F02159" w:rsidP="00F02159">
      <w:pPr>
        <w:widowControl/>
        <w:rPr>
          <w:snapToGrid/>
          <w:szCs w:val="22"/>
        </w:rPr>
      </w:pPr>
      <w:bookmarkStart w:id="0" w:name="_Toc409601137"/>
    </w:p>
    <w:bookmarkEnd w:id="0"/>
    <w:p w:rsidR="00113F99" w:rsidRPr="00113F99" w:rsidRDefault="00F02159" w:rsidP="00113F99">
      <w:pPr>
        <w:pStyle w:val="Title"/>
      </w:pPr>
      <w:r w:rsidRPr="00113F99">
        <w:t>5.10</w:t>
      </w:r>
      <w:r w:rsidRPr="00113F99">
        <w:tab/>
        <w:t>IDELALISIB</w:t>
      </w:r>
    </w:p>
    <w:p w:rsidR="00F02159" w:rsidRDefault="00F02159" w:rsidP="00113F99">
      <w:pPr>
        <w:pStyle w:val="Heading1"/>
        <w:widowControl/>
        <w:ind w:firstLine="0"/>
        <w:rPr>
          <w:sz w:val="28"/>
        </w:rPr>
      </w:pPr>
      <w:r w:rsidRPr="009009F9">
        <w:rPr>
          <w:sz w:val="28"/>
        </w:rPr>
        <w:t xml:space="preserve">100 </w:t>
      </w:r>
      <w:r>
        <w:rPr>
          <w:caps w:val="0"/>
          <w:sz w:val="28"/>
        </w:rPr>
        <w:t>mg tablet, 60; 150 mg tablet, 60</w:t>
      </w:r>
      <w:r w:rsidR="00113F99">
        <w:rPr>
          <w:sz w:val="28"/>
        </w:rPr>
        <w:t>;</w:t>
      </w:r>
      <w:r w:rsidRPr="00207D00">
        <w:rPr>
          <w:sz w:val="28"/>
        </w:rPr>
        <w:t xml:space="preserve"> </w:t>
      </w:r>
    </w:p>
    <w:p w:rsidR="00F02159" w:rsidRPr="004F6596" w:rsidRDefault="00F02159" w:rsidP="00F02159">
      <w:pPr>
        <w:pStyle w:val="Heading1"/>
        <w:widowControl/>
        <w:ind w:firstLine="0"/>
        <w:rPr>
          <w:caps w:val="0"/>
          <w:sz w:val="28"/>
        </w:rPr>
      </w:pPr>
      <w:r>
        <w:rPr>
          <w:caps w:val="0"/>
          <w:sz w:val="28"/>
        </w:rPr>
        <w:t>Zydelig</w:t>
      </w:r>
      <w:r w:rsidRPr="00207D00">
        <w:rPr>
          <w:sz w:val="28"/>
          <w:vertAlign w:val="superscript"/>
        </w:rPr>
        <w:t>®</w:t>
      </w:r>
      <w:r w:rsidR="00113F99">
        <w:rPr>
          <w:sz w:val="28"/>
        </w:rPr>
        <w:t>;</w:t>
      </w:r>
      <w:r w:rsidRPr="00207D00">
        <w:rPr>
          <w:sz w:val="28"/>
        </w:rPr>
        <w:t xml:space="preserve"> </w:t>
      </w:r>
      <w:r>
        <w:rPr>
          <w:caps w:val="0"/>
          <w:sz w:val="28"/>
        </w:rPr>
        <w:t>Gilead</w:t>
      </w:r>
      <w:r w:rsidR="004F6596">
        <w:rPr>
          <w:caps w:val="0"/>
          <w:sz w:val="28"/>
        </w:rPr>
        <w:t xml:space="preserve"> </w:t>
      </w:r>
      <w:r w:rsidR="004F6596" w:rsidRPr="004F6596">
        <w:rPr>
          <w:caps w:val="0"/>
          <w:sz w:val="28"/>
        </w:rPr>
        <w:t>Sciences Pty Ltd.</w:t>
      </w:r>
    </w:p>
    <w:p w:rsidR="007D6881" w:rsidRDefault="007D6881" w:rsidP="00F61566">
      <w:pPr>
        <w:widowControl/>
      </w:pPr>
    </w:p>
    <w:p w:rsidR="00C73993" w:rsidRDefault="00C73993" w:rsidP="00F61566">
      <w:pPr>
        <w:widowControl/>
      </w:pPr>
    </w:p>
    <w:p w:rsidR="00B50DB8" w:rsidRPr="00407F2D" w:rsidRDefault="00B50DB8" w:rsidP="00F61566">
      <w:pPr>
        <w:pStyle w:val="PBACHeading1"/>
        <w:keepNext/>
      </w:pPr>
      <w:bookmarkStart w:id="1" w:name="_Toc409601138"/>
      <w:r w:rsidRPr="00407F2D">
        <w:t>Purpose of Application</w:t>
      </w:r>
      <w:bookmarkEnd w:id="1"/>
    </w:p>
    <w:p w:rsidR="00B60939" w:rsidRPr="00882085" w:rsidRDefault="00B60939" w:rsidP="00F61566">
      <w:pPr>
        <w:keepNext/>
        <w:widowControl/>
        <w:rPr>
          <w:szCs w:val="22"/>
        </w:rPr>
      </w:pPr>
    </w:p>
    <w:p w:rsidR="002C2775" w:rsidRPr="00FC3E2E" w:rsidRDefault="001C0D32" w:rsidP="00F61566">
      <w:pPr>
        <w:pStyle w:val="ListParagraph"/>
        <w:keepNext/>
        <w:widowControl/>
        <w:numPr>
          <w:ilvl w:val="1"/>
          <w:numId w:val="10"/>
        </w:numPr>
        <w:rPr>
          <w:szCs w:val="22"/>
        </w:rPr>
      </w:pPr>
      <w:r>
        <w:t xml:space="preserve">The submission requested </w:t>
      </w:r>
      <w:r w:rsidR="001E238E" w:rsidRPr="004B3DDB">
        <w:t xml:space="preserve">Section </w:t>
      </w:r>
      <w:r w:rsidR="00CD54DF">
        <w:t>85</w:t>
      </w:r>
      <w:r w:rsidR="001E238E" w:rsidRPr="004B3DDB">
        <w:t xml:space="preserve">, Authority Required listing for </w:t>
      </w:r>
      <w:r w:rsidR="00CD54DF">
        <w:t>idelalisib</w:t>
      </w:r>
      <w:r w:rsidR="001E238E" w:rsidRPr="004B3DDB">
        <w:t xml:space="preserve"> for </w:t>
      </w:r>
      <w:r w:rsidR="00843874">
        <w:t xml:space="preserve">the second-line </w:t>
      </w:r>
      <w:r w:rsidR="001E238E" w:rsidRPr="004B3DDB">
        <w:t xml:space="preserve">treatment of </w:t>
      </w:r>
      <w:r w:rsidR="00843874">
        <w:t>chronic lymphocytic leukaemia</w:t>
      </w:r>
      <w:r w:rsidR="0016058B">
        <w:t xml:space="preserve"> (CLL)</w:t>
      </w:r>
      <w:r w:rsidR="00843874">
        <w:t>.</w:t>
      </w:r>
    </w:p>
    <w:p w:rsidR="00FC3E2E" w:rsidRDefault="00FC3E2E" w:rsidP="00F61566">
      <w:pPr>
        <w:pStyle w:val="ListParagraph"/>
        <w:keepNext/>
        <w:widowControl/>
        <w:rPr>
          <w:szCs w:val="22"/>
        </w:rPr>
      </w:pPr>
    </w:p>
    <w:p w:rsidR="00C73993" w:rsidRPr="00B50DB8" w:rsidRDefault="00C73993" w:rsidP="00F61566">
      <w:pPr>
        <w:pStyle w:val="ListParagraph"/>
        <w:keepNext/>
        <w:widowControl/>
        <w:rPr>
          <w:szCs w:val="22"/>
        </w:rPr>
      </w:pPr>
    </w:p>
    <w:p w:rsidR="00B50DB8" w:rsidRPr="00407F2D" w:rsidRDefault="00B50DB8" w:rsidP="00F61566">
      <w:pPr>
        <w:pStyle w:val="PBACHeading1"/>
        <w:keepNext/>
      </w:pPr>
      <w:bookmarkStart w:id="2" w:name="_Toc409601139"/>
      <w:r w:rsidRPr="00407F2D">
        <w:t>Requested listing</w:t>
      </w:r>
      <w:bookmarkEnd w:id="2"/>
    </w:p>
    <w:p w:rsidR="007A464A" w:rsidRDefault="007A464A" w:rsidP="00BB545F">
      <w:pPr>
        <w:pStyle w:val="ListParagraph"/>
        <w:widowControl/>
      </w:pPr>
    </w:p>
    <w:p w:rsidR="00B60939" w:rsidRPr="00DF013F" w:rsidRDefault="007A464A" w:rsidP="00BB545F">
      <w:pPr>
        <w:pStyle w:val="ListParagraph"/>
        <w:widowControl/>
        <w:numPr>
          <w:ilvl w:val="1"/>
          <w:numId w:val="10"/>
        </w:numPr>
      </w:pPr>
      <w:r w:rsidRPr="00164329">
        <w:t xml:space="preserve">The </w:t>
      </w:r>
      <w:r w:rsidR="0069529C" w:rsidRPr="00164329">
        <w:t xml:space="preserve">submission’s requested </w:t>
      </w:r>
      <w:r w:rsidRPr="00164329">
        <w:t xml:space="preserve">restriction </w:t>
      </w:r>
      <w:r w:rsidR="0091081C" w:rsidRPr="00164329">
        <w:t>was for patients with CLL who have progressive disease despite previous treatment</w:t>
      </w:r>
      <w:r w:rsidRPr="00DF013F">
        <w:t>.</w:t>
      </w:r>
      <w:r w:rsidR="00345D79" w:rsidRPr="00DF013F">
        <w:t xml:space="preserve"> This is outlined in the table below.</w:t>
      </w:r>
    </w:p>
    <w:p w:rsidR="007A464A" w:rsidRPr="00882085" w:rsidRDefault="007A464A" w:rsidP="00BB545F">
      <w:pPr>
        <w:pStyle w:val="ListParagraph"/>
        <w:widowControl/>
      </w:pPr>
    </w:p>
    <w:tbl>
      <w:tblPr>
        <w:tblStyle w:val="TableGrid"/>
        <w:tblW w:w="4604" w:type="pct"/>
        <w:tblInd w:w="737" w:type="dxa"/>
        <w:tblLook w:val="04A0" w:firstRow="1" w:lastRow="0" w:firstColumn="1" w:lastColumn="0" w:noHBand="0" w:noVBand="1"/>
      </w:tblPr>
      <w:tblGrid>
        <w:gridCol w:w="2739"/>
        <w:gridCol w:w="1074"/>
        <w:gridCol w:w="1071"/>
        <w:gridCol w:w="1071"/>
        <w:gridCol w:w="2409"/>
      </w:tblGrid>
      <w:tr w:rsidR="00843874" w:rsidRPr="00C91A06" w:rsidTr="00CE7605">
        <w:tc>
          <w:tcPr>
            <w:tcW w:w="1637" w:type="pct"/>
            <w:tcMar>
              <w:left w:w="28" w:type="dxa"/>
              <w:right w:w="28" w:type="dxa"/>
            </w:tcMar>
          </w:tcPr>
          <w:p w:rsidR="00843874" w:rsidRPr="00344259" w:rsidRDefault="00843874" w:rsidP="00F61566">
            <w:pPr>
              <w:pStyle w:val="Tabletext"/>
              <w:rPr>
                <w:rStyle w:val="TableText1"/>
              </w:rPr>
            </w:pPr>
            <w:bookmarkStart w:id="3" w:name="_Toc406675641"/>
            <w:bookmarkStart w:id="4" w:name="_Toc406763247"/>
            <w:bookmarkStart w:id="5" w:name="_Toc407086623"/>
            <w:r w:rsidRPr="00344259">
              <w:rPr>
                <w:rStyle w:val="TableText1"/>
              </w:rPr>
              <w:t xml:space="preserve">Name, </w:t>
            </w:r>
            <w:r w:rsidR="003E2111" w:rsidRPr="00344259">
              <w:rPr>
                <w:rStyle w:val="TableText1"/>
              </w:rPr>
              <w:t>form, and strength</w:t>
            </w:r>
            <w:bookmarkEnd w:id="3"/>
            <w:bookmarkEnd w:id="4"/>
            <w:bookmarkEnd w:id="5"/>
          </w:p>
        </w:tc>
        <w:tc>
          <w:tcPr>
            <w:tcW w:w="642" w:type="pct"/>
            <w:tcMar>
              <w:left w:w="28" w:type="dxa"/>
              <w:right w:w="28" w:type="dxa"/>
            </w:tcMar>
          </w:tcPr>
          <w:p w:rsidR="00843874" w:rsidRPr="00C91A06" w:rsidRDefault="00843874" w:rsidP="00F61566">
            <w:pPr>
              <w:pStyle w:val="Table"/>
              <w:keepNext/>
              <w:jc w:val="center"/>
              <w:rPr>
                <w:rFonts w:ascii="Arial Narrow" w:hAnsi="Arial Narrow"/>
              </w:rPr>
            </w:pPr>
            <w:r w:rsidRPr="00C91A06">
              <w:rPr>
                <w:rFonts w:ascii="Arial Narrow" w:hAnsi="Arial Narrow"/>
              </w:rPr>
              <w:t xml:space="preserve">Max. </w:t>
            </w:r>
            <w:r w:rsidR="003E2111">
              <w:rPr>
                <w:rFonts w:ascii="Arial Narrow" w:hAnsi="Arial Narrow"/>
              </w:rPr>
              <w:t>qty. p</w:t>
            </w:r>
            <w:r w:rsidRPr="00C91A06">
              <w:rPr>
                <w:rFonts w:ascii="Arial Narrow" w:hAnsi="Arial Narrow"/>
              </w:rPr>
              <w:t>acks</w:t>
            </w:r>
          </w:p>
        </w:tc>
        <w:tc>
          <w:tcPr>
            <w:tcW w:w="640" w:type="pct"/>
            <w:tcMar>
              <w:left w:w="28" w:type="dxa"/>
              <w:right w:w="28" w:type="dxa"/>
            </w:tcMar>
          </w:tcPr>
          <w:p w:rsidR="00843874" w:rsidRPr="00C91A06" w:rsidRDefault="003E2111" w:rsidP="00F61566">
            <w:pPr>
              <w:pStyle w:val="Table"/>
              <w:keepNext/>
              <w:jc w:val="center"/>
              <w:rPr>
                <w:rFonts w:ascii="Arial Narrow" w:hAnsi="Arial Narrow"/>
              </w:rPr>
            </w:pPr>
            <w:r>
              <w:rPr>
                <w:rFonts w:ascii="Arial Narrow" w:hAnsi="Arial Narrow"/>
              </w:rPr>
              <w:t>Max. qty. u</w:t>
            </w:r>
            <w:r w:rsidR="00843874" w:rsidRPr="00C91A06">
              <w:rPr>
                <w:rFonts w:ascii="Arial Narrow" w:hAnsi="Arial Narrow"/>
              </w:rPr>
              <w:t>nits</w:t>
            </w:r>
          </w:p>
        </w:tc>
        <w:tc>
          <w:tcPr>
            <w:tcW w:w="640" w:type="pct"/>
            <w:tcMar>
              <w:left w:w="28" w:type="dxa"/>
              <w:right w:w="28" w:type="dxa"/>
            </w:tcMar>
          </w:tcPr>
          <w:p w:rsidR="00843874" w:rsidRPr="00C91A06" w:rsidRDefault="003E2111" w:rsidP="00F61566">
            <w:pPr>
              <w:pStyle w:val="Table"/>
              <w:keepNext/>
              <w:jc w:val="center"/>
              <w:rPr>
                <w:rFonts w:ascii="Arial Narrow" w:hAnsi="Arial Narrow"/>
              </w:rPr>
            </w:pPr>
            <w:r>
              <w:rPr>
                <w:rFonts w:ascii="Arial Narrow" w:hAnsi="Arial Narrow"/>
              </w:rPr>
              <w:t>No. of r</w:t>
            </w:r>
            <w:r w:rsidR="00843874" w:rsidRPr="00C91A06">
              <w:rPr>
                <w:rFonts w:ascii="Arial Narrow" w:hAnsi="Arial Narrow"/>
              </w:rPr>
              <w:t>pts.</w:t>
            </w:r>
          </w:p>
        </w:tc>
        <w:tc>
          <w:tcPr>
            <w:tcW w:w="1440" w:type="pct"/>
            <w:tcMar>
              <w:left w:w="28" w:type="dxa"/>
              <w:right w:w="28" w:type="dxa"/>
            </w:tcMar>
          </w:tcPr>
          <w:p w:rsidR="00843874" w:rsidRPr="00C91A06" w:rsidRDefault="003E2111" w:rsidP="00F61566">
            <w:pPr>
              <w:pStyle w:val="Table"/>
              <w:keepNext/>
              <w:rPr>
                <w:rFonts w:ascii="Arial Narrow" w:hAnsi="Arial Narrow"/>
              </w:rPr>
            </w:pPr>
            <w:r>
              <w:rPr>
                <w:rFonts w:ascii="Arial Narrow" w:hAnsi="Arial Narrow"/>
              </w:rPr>
              <w:t>Proprietary n</w:t>
            </w:r>
            <w:r w:rsidR="00843874" w:rsidRPr="00C91A06">
              <w:rPr>
                <w:rFonts w:ascii="Arial Narrow" w:hAnsi="Arial Narrow"/>
              </w:rPr>
              <w:t>ame</w:t>
            </w:r>
            <w:r>
              <w:rPr>
                <w:rFonts w:ascii="Arial Narrow" w:hAnsi="Arial Narrow"/>
              </w:rPr>
              <w:t>, m</w:t>
            </w:r>
            <w:r w:rsidR="00843874" w:rsidRPr="00C91A06">
              <w:rPr>
                <w:rFonts w:ascii="Arial Narrow" w:hAnsi="Arial Narrow"/>
              </w:rPr>
              <w:t>anufacturer</w:t>
            </w:r>
          </w:p>
        </w:tc>
      </w:tr>
      <w:tr w:rsidR="00843874" w:rsidRPr="00C91A06" w:rsidTr="00CE7605">
        <w:tc>
          <w:tcPr>
            <w:tcW w:w="1637" w:type="pct"/>
            <w:tcMar>
              <w:left w:w="28" w:type="dxa"/>
              <w:right w:w="28" w:type="dxa"/>
            </w:tcMar>
          </w:tcPr>
          <w:p w:rsidR="00843874" w:rsidRPr="00C91A06" w:rsidRDefault="00843874" w:rsidP="00F61566">
            <w:pPr>
              <w:pStyle w:val="Table"/>
              <w:keepNext/>
              <w:rPr>
                <w:rFonts w:ascii="Arial Narrow" w:hAnsi="Arial Narrow"/>
              </w:rPr>
            </w:pPr>
            <w:r w:rsidRPr="00C91A06">
              <w:rPr>
                <w:rFonts w:ascii="Arial Narrow" w:hAnsi="Arial Narrow"/>
              </w:rPr>
              <w:t xml:space="preserve">IDELALISIB </w:t>
            </w:r>
          </w:p>
          <w:p w:rsidR="00843874" w:rsidRPr="00C91A06" w:rsidRDefault="00843874" w:rsidP="00F61566">
            <w:pPr>
              <w:pStyle w:val="Table"/>
              <w:keepNext/>
              <w:rPr>
                <w:rFonts w:ascii="Arial Narrow" w:hAnsi="Arial Narrow"/>
              </w:rPr>
            </w:pPr>
            <w:r w:rsidRPr="00C91A06">
              <w:rPr>
                <w:rFonts w:ascii="Arial Narrow" w:hAnsi="Arial Narrow"/>
              </w:rPr>
              <w:t>Oral tablet 150mg</w:t>
            </w:r>
          </w:p>
        </w:tc>
        <w:tc>
          <w:tcPr>
            <w:tcW w:w="642" w:type="pct"/>
            <w:tcMar>
              <w:left w:w="28" w:type="dxa"/>
              <w:right w:w="28" w:type="dxa"/>
            </w:tcMar>
          </w:tcPr>
          <w:p w:rsidR="00843874" w:rsidRPr="00C91A06" w:rsidRDefault="00843874" w:rsidP="00F61566">
            <w:pPr>
              <w:pStyle w:val="Table"/>
              <w:keepNext/>
              <w:jc w:val="center"/>
              <w:rPr>
                <w:rFonts w:ascii="Arial Narrow" w:hAnsi="Arial Narrow"/>
              </w:rPr>
            </w:pPr>
            <w:r w:rsidRPr="00C91A06">
              <w:rPr>
                <w:rFonts w:ascii="Arial Narrow" w:hAnsi="Arial Narrow"/>
              </w:rPr>
              <w:t>1</w:t>
            </w:r>
          </w:p>
        </w:tc>
        <w:tc>
          <w:tcPr>
            <w:tcW w:w="640" w:type="pct"/>
            <w:tcMar>
              <w:left w:w="28" w:type="dxa"/>
              <w:right w:w="28" w:type="dxa"/>
            </w:tcMar>
          </w:tcPr>
          <w:p w:rsidR="00843874" w:rsidRPr="00C91A06" w:rsidRDefault="00843874" w:rsidP="00F61566">
            <w:pPr>
              <w:pStyle w:val="Table"/>
              <w:keepNext/>
              <w:jc w:val="center"/>
              <w:rPr>
                <w:rFonts w:ascii="Arial Narrow" w:hAnsi="Arial Narrow"/>
              </w:rPr>
            </w:pPr>
            <w:r w:rsidRPr="00C91A06">
              <w:rPr>
                <w:rFonts w:ascii="Arial Narrow" w:hAnsi="Arial Narrow"/>
              </w:rPr>
              <w:t>60</w:t>
            </w:r>
          </w:p>
        </w:tc>
        <w:tc>
          <w:tcPr>
            <w:tcW w:w="640" w:type="pct"/>
            <w:tcMar>
              <w:left w:w="28" w:type="dxa"/>
              <w:right w:w="28" w:type="dxa"/>
            </w:tcMar>
          </w:tcPr>
          <w:p w:rsidR="00843874" w:rsidRPr="00C91A06" w:rsidRDefault="00843874" w:rsidP="00F61566">
            <w:pPr>
              <w:pStyle w:val="Table"/>
              <w:keepNext/>
              <w:jc w:val="center"/>
              <w:rPr>
                <w:rFonts w:ascii="Arial Narrow" w:hAnsi="Arial Narrow"/>
              </w:rPr>
            </w:pPr>
            <w:r w:rsidRPr="00C91A06">
              <w:rPr>
                <w:rFonts w:ascii="Arial Narrow" w:hAnsi="Arial Narrow"/>
              </w:rPr>
              <w:t>5</w:t>
            </w:r>
          </w:p>
        </w:tc>
        <w:tc>
          <w:tcPr>
            <w:tcW w:w="1440" w:type="pct"/>
            <w:tcMar>
              <w:left w:w="28" w:type="dxa"/>
              <w:right w:w="28" w:type="dxa"/>
            </w:tcMar>
          </w:tcPr>
          <w:p w:rsidR="00843874" w:rsidRPr="00C91A06" w:rsidRDefault="00843874" w:rsidP="00F61566">
            <w:pPr>
              <w:pStyle w:val="Table"/>
              <w:keepNext/>
              <w:rPr>
                <w:rFonts w:ascii="Arial Narrow" w:hAnsi="Arial Narrow"/>
              </w:rPr>
            </w:pPr>
            <w:r w:rsidRPr="00C91A06">
              <w:rPr>
                <w:rFonts w:ascii="Arial Narrow" w:hAnsi="Arial Narrow"/>
              </w:rPr>
              <w:t>Zydelig®</w:t>
            </w:r>
          </w:p>
          <w:p w:rsidR="00843874" w:rsidRPr="00C91A06" w:rsidRDefault="00843874" w:rsidP="00F61566">
            <w:pPr>
              <w:pStyle w:val="Table"/>
              <w:keepNext/>
              <w:rPr>
                <w:rFonts w:ascii="Arial Narrow" w:hAnsi="Arial Narrow"/>
              </w:rPr>
            </w:pPr>
            <w:r w:rsidRPr="00C91A06">
              <w:rPr>
                <w:rFonts w:ascii="Arial Narrow" w:hAnsi="Arial Narrow"/>
              </w:rPr>
              <w:t>Gilead Sciences Pty Ltd</w:t>
            </w:r>
          </w:p>
        </w:tc>
      </w:tr>
      <w:tr w:rsidR="00843874" w:rsidRPr="00C91A06" w:rsidTr="00CE7605">
        <w:tc>
          <w:tcPr>
            <w:tcW w:w="1637" w:type="pct"/>
            <w:tcMar>
              <w:left w:w="28" w:type="dxa"/>
              <w:right w:w="28" w:type="dxa"/>
            </w:tcMar>
          </w:tcPr>
          <w:p w:rsidR="00843874" w:rsidRPr="00C91A06" w:rsidRDefault="00843874" w:rsidP="00F61566">
            <w:pPr>
              <w:pStyle w:val="Table"/>
              <w:keepNext/>
              <w:rPr>
                <w:rFonts w:ascii="Arial Narrow" w:hAnsi="Arial Narrow"/>
              </w:rPr>
            </w:pPr>
            <w:r w:rsidRPr="00C91A06">
              <w:rPr>
                <w:rFonts w:ascii="Arial Narrow" w:hAnsi="Arial Narrow"/>
              </w:rPr>
              <w:t xml:space="preserve">IDELALISIB </w:t>
            </w:r>
          </w:p>
          <w:p w:rsidR="00843874" w:rsidRPr="00C91A06" w:rsidRDefault="00843874" w:rsidP="00F61566">
            <w:pPr>
              <w:pStyle w:val="Table"/>
              <w:keepNext/>
              <w:rPr>
                <w:rFonts w:ascii="Arial Narrow" w:hAnsi="Arial Narrow"/>
              </w:rPr>
            </w:pPr>
            <w:r w:rsidRPr="00C91A06">
              <w:rPr>
                <w:rFonts w:ascii="Arial Narrow" w:hAnsi="Arial Narrow"/>
              </w:rPr>
              <w:t xml:space="preserve">Oral tablet 100mg </w:t>
            </w:r>
          </w:p>
        </w:tc>
        <w:tc>
          <w:tcPr>
            <w:tcW w:w="642" w:type="pct"/>
            <w:tcMar>
              <w:left w:w="28" w:type="dxa"/>
              <w:right w:w="28" w:type="dxa"/>
            </w:tcMar>
          </w:tcPr>
          <w:p w:rsidR="00843874" w:rsidRPr="00C91A06" w:rsidRDefault="00843874" w:rsidP="00F61566">
            <w:pPr>
              <w:pStyle w:val="Table"/>
              <w:keepNext/>
              <w:jc w:val="center"/>
              <w:rPr>
                <w:rFonts w:ascii="Arial Narrow" w:hAnsi="Arial Narrow"/>
              </w:rPr>
            </w:pPr>
            <w:r w:rsidRPr="00C91A06">
              <w:rPr>
                <w:rFonts w:ascii="Arial Narrow" w:hAnsi="Arial Narrow"/>
              </w:rPr>
              <w:t>1</w:t>
            </w:r>
          </w:p>
        </w:tc>
        <w:tc>
          <w:tcPr>
            <w:tcW w:w="640" w:type="pct"/>
            <w:tcMar>
              <w:left w:w="28" w:type="dxa"/>
              <w:right w:w="28" w:type="dxa"/>
            </w:tcMar>
          </w:tcPr>
          <w:p w:rsidR="00843874" w:rsidRPr="00C91A06" w:rsidRDefault="00843874" w:rsidP="00F61566">
            <w:pPr>
              <w:pStyle w:val="Table"/>
              <w:keepNext/>
              <w:jc w:val="center"/>
              <w:rPr>
                <w:rFonts w:ascii="Arial Narrow" w:hAnsi="Arial Narrow"/>
              </w:rPr>
            </w:pPr>
            <w:r w:rsidRPr="00C91A06">
              <w:rPr>
                <w:rFonts w:ascii="Arial Narrow" w:hAnsi="Arial Narrow"/>
              </w:rPr>
              <w:t>60</w:t>
            </w:r>
          </w:p>
        </w:tc>
        <w:tc>
          <w:tcPr>
            <w:tcW w:w="640" w:type="pct"/>
            <w:tcMar>
              <w:left w:w="28" w:type="dxa"/>
              <w:right w:w="28" w:type="dxa"/>
            </w:tcMar>
          </w:tcPr>
          <w:p w:rsidR="00843874" w:rsidRPr="00C91A06" w:rsidRDefault="00843874" w:rsidP="00F61566">
            <w:pPr>
              <w:pStyle w:val="Table"/>
              <w:keepNext/>
              <w:jc w:val="center"/>
              <w:rPr>
                <w:rFonts w:ascii="Arial Narrow" w:hAnsi="Arial Narrow"/>
              </w:rPr>
            </w:pPr>
            <w:r w:rsidRPr="00C91A06">
              <w:rPr>
                <w:rFonts w:ascii="Arial Narrow" w:hAnsi="Arial Narrow"/>
              </w:rPr>
              <w:t>5</w:t>
            </w:r>
          </w:p>
        </w:tc>
        <w:tc>
          <w:tcPr>
            <w:tcW w:w="1440" w:type="pct"/>
            <w:tcMar>
              <w:left w:w="28" w:type="dxa"/>
              <w:right w:w="28" w:type="dxa"/>
            </w:tcMar>
          </w:tcPr>
          <w:p w:rsidR="00843874" w:rsidRPr="00C91A06" w:rsidRDefault="00843874" w:rsidP="00F61566">
            <w:pPr>
              <w:pStyle w:val="Table"/>
              <w:keepNext/>
              <w:rPr>
                <w:rFonts w:ascii="Arial Narrow" w:hAnsi="Arial Narrow"/>
              </w:rPr>
            </w:pPr>
            <w:r w:rsidRPr="00C91A06">
              <w:rPr>
                <w:rFonts w:ascii="Arial Narrow" w:hAnsi="Arial Narrow"/>
              </w:rPr>
              <w:t>Zydelig®</w:t>
            </w:r>
          </w:p>
          <w:p w:rsidR="00843874" w:rsidRPr="00C91A06" w:rsidRDefault="00843874" w:rsidP="00F61566">
            <w:pPr>
              <w:pStyle w:val="Table"/>
              <w:keepNext/>
              <w:rPr>
                <w:rFonts w:ascii="Arial Narrow" w:hAnsi="Arial Narrow"/>
              </w:rPr>
            </w:pPr>
            <w:r w:rsidRPr="00C91A06">
              <w:rPr>
                <w:rFonts w:ascii="Arial Narrow" w:hAnsi="Arial Narrow"/>
              </w:rPr>
              <w:t>Gilead Sciences Pty Ltd</w:t>
            </w:r>
          </w:p>
        </w:tc>
      </w:tr>
    </w:tbl>
    <w:tbl>
      <w:tblPr>
        <w:tblW w:w="4604" w:type="pct"/>
        <w:tblInd w:w="737" w:type="dxa"/>
        <w:tblLook w:val="0000" w:firstRow="0" w:lastRow="0" w:firstColumn="0" w:lastColumn="0" w:noHBand="0" w:noVBand="0"/>
      </w:tblPr>
      <w:tblGrid>
        <w:gridCol w:w="1611"/>
        <w:gridCol w:w="6753"/>
      </w:tblGrid>
      <w:tr w:rsidR="00843874" w:rsidRPr="00C91A06" w:rsidTr="003E2111">
        <w:trPr>
          <w:cantSplit/>
          <w:trHeight w:val="199"/>
        </w:trPr>
        <w:tc>
          <w:tcPr>
            <w:tcW w:w="963"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Severity:</w:t>
            </w:r>
          </w:p>
        </w:tc>
        <w:tc>
          <w:tcPr>
            <w:tcW w:w="4037"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Relapsed disease</w:t>
            </w:r>
          </w:p>
        </w:tc>
      </w:tr>
      <w:tr w:rsidR="00843874" w:rsidRPr="00C91A06" w:rsidTr="003E2111">
        <w:trPr>
          <w:cantSplit/>
          <w:trHeight w:val="103"/>
        </w:trPr>
        <w:tc>
          <w:tcPr>
            <w:tcW w:w="963"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Condition:</w:t>
            </w:r>
          </w:p>
        </w:tc>
        <w:tc>
          <w:tcPr>
            <w:tcW w:w="4037"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Chronic Lymphocytic Leukaemia</w:t>
            </w:r>
          </w:p>
        </w:tc>
      </w:tr>
      <w:tr w:rsidR="00843874" w:rsidRPr="00C91A06" w:rsidTr="003E2111">
        <w:trPr>
          <w:cantSplit/>
          <w:trHeight w:val="149"/>
        </w:trPr>
        <w:tc>
          <w:tcPr>
            <w:tcW w:w="963"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Treatment phase:</w:t>
            </w:r>
          </w:p>
        </w:tc>
        <w:tc>
          <w:tcPr>
            <w:tcW w:w="4037"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Initial and continuing treatment</w:t>
            </w:r>
          </w:p>
        </w:tc>
      </w:tr>
      <w:tr w:rsidR="00843874" w:rsidRPr="00C91A06" w:rsidTr="003E2111">
        <w:trPr>
          <w:cantSplit/>
          <w:trHeight w:val="60"/>
        </w:trPr>
        <w:tc>
          <w:tcPr>
            <w:tcW w:w="963"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Restriction:</w:t>
            </w:r>
          </w:p>
        </w:tc>
        <w:tc>
          <w:tcPr>
            <w:tcW w:w="4037"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Section 85 Authority required (STREAMLINED)</w:t>
            </w:r>
          </w:p>
        </w:tc>
      </w:tr>
      <w:tr w:rsidR="00843874" w:rsidRPr="00C91A06" w:rsidTr="003E2111">
        <w:trPr>
          <w:cantSplit/>
          <w:trHeight w:val="99"/>
        </w:trPr>
        <w:tc>
          <w:tcPr>
            <w:tcW w:w="963"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Treatment criteria:</w:t>
            </w:r>
          </w:p>
        </w:tc>
        <w:tc>
          <w:tcPr>
            <w:tcW w:w="4037"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The patient must have progressive disease despite previous treatment for CLL</w:t>
            </w:r>
          </w:p>
        </w:tc>
      </w:tr>
      <w:tr w:rsidR="00843874" w:rsidRPr="00C91A06" w:rsidTr="003E2111">
        <w:trPr>
          <w:cantSplit/>
          <w:trHeight w:val="360"/>
        </w:trPr>
        <w:tc>
          <w:tcPr>
            <w:tcW w:w="963"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Clinical criteria:</w:t>
            </w:r>
          </w:p>
        </w:tc>
        <w:tc>
          <w:tcPr>
            <w:tcW w:w="4037" w:type="pct"/>
            <w:tcBorders>
              <w:top w:val="single" w:sz="4" w:space="0" w:color="auto"/>
              <w:left w:val="single" w:sz="4" w:space="0" w:color="auto"/>
              <w:bottom w:val="single" w:sz="4" w:space="0" w:color="auto"/>
              <w:right w:val="single" w:sz="4" w:space="0" w:color="auto"/>
            </w:tcBorders>
            <w:tcMar>
              <w:left w:w="28" w:type="dxa"/>
              <w:right w:w="28" w:type="dxa"/>
            </w:tcMar>
          </w:tcPr>
          <w:p w:rsidR="00843874" w:rsidRPr="00C91A06" w:rsidRDefault="00843874" w:rsidP="00F61566">
            <w:pPr>
              <w:pStyle w:val="Table"/>
              <w:rPr>
                <w:rFonts w:ascii="Arial Narrow" w:hAnsi="Arial Narrow"/>
              </w:rPr>
            </w:pPr>
            <w:r w:rsidRPr="00C91A06">
              <w:rPr>
                <w:rFonts w:ascii="Arial Narrow" w:hAnsi="Arial Narrow"/>
              </w:rPr>
              <w:t>Administer idelalisib in combination with rituximab. Discontinue PBS subsidised treatment with idelalisib in patients who experience disease progression whilst on treatment.</w:t>
            </w:r>
          </w:p>
        </w:tc>
      </w:tr>
    </w:tbl>
    <w:p w:rsidR="00843874" w:rsidRDefault="00843874" w:rsidP="00F61566">
      <w:pPr>
        <w:pStyle w:val="TableFooter"/>
        <w:widowControl/>
        <w:ind w:firstLine="720"/>
      </w:pPr>
      <w:r>
        <w:t>CLL = chronic lymphocytic leukaemia; PBS = Pharmaceutical Benefits Scheme</w:t>
      </w:r>
    </w:p>
    <w:p w:rsidR="00617E12" w:rsidRDefault="00617E12" w:rsidP="00F61566">
      <w:pPr>
        <w:widowControl/>
        <w:ind w:left="720"/>
      </w:pPr>
    </w:p>
    <w:p w:rsidR="0091081C" w:rsidRPr="00164329" w:rsidRDefault="0091081C" w:rsidP="0091081C">
      <w:pPr>
        <w:pStyle w:val="ListParagraph"/>
        <w:widowControl/>
        <w:numPr>
          <w:ilvl w:val="1"/>
          <w:numId w:val="10"/>
        </w:numPr>
      </w:pPr>
      <w:r w:rsidRPr="00164329">
        <w:t xml:space="preserve">The commentary had identified a number of issues with the </w:t>
      </w:r>
      <w:r w:rsidR="0069529C" w:rsidRPr="00164329">
        <w:t xml:space="preserve">submission’s requested </w:t>
      </w:r>
      <w:r w:rsidRPr="00164329">
        <w:t>restriction including</w:t>
      </w:r>
      <w:r w:rsidR="00741A72" w:rsidRPr="00164329">
        <w:t xml:space="preserve"> that</w:t>
      </w:r>
      <w:r w:rsidRPr="00164329">
        <w:t xml:space="preserve">: </w:t>
      </w:r>
    </w:p>
    <w:p w:rsidR="0091081C" w:rsidRPr="00164329" w:rsidRDefault="0091081C" w:rsidP="00BB545F">
      <w:pPr>
        <w:pStyle w:val="ListParagraph"/>
        <w:widowControl/>
        <w:numPr>
          <w:ilvl w:val="0"/>
          <w:numId w:val="69"/>
        </w:numPr>
        <w:ind w:left="1276" w:hanging="425"/>
      </w:pPr>
      <w:r w:rsidRPr="00164329">
        <w:t>it was inconsistent with the clinical evidence</w:t>
      </w:r>
      <w:r w:rsidR="0069529C" w:rsidRPr="00164329">
        <w:t xml:space="preserve"> provided</w:t>
      </w:r>
      <w:r w:rsidRPr="00164329">
        <w:t>. Trial 312-0116 included patients who were less able to receive cytotoxic chemotherapy</w:t>
      </w:r>
      <w:r w:rsidR="00D36E25">
        <w:t xml:space="preserve"> (refer to paragraph 2.</w:t>
      </w:r>
      <w:r w:rsidR="00BF09B3">
        <w:t>5</w:t>
      </w:r>
      <w:r w:rsidR="00D36E25">
        <w:t>).</w:t>
      </w:r>
      <w:r w:rsidRPr="00164329">
        <w:t xml:space="preserve"> </w:t>
      </w:r>
    </w:p>
    <w:p w:rsidR="0091081C" w:rsidRPr="00164329" w:rsidRDefault="0091081C" w:rsidP="00BB545F">
      <w:pPr>
        <w:pStyle w:val="ListParagraph"/>
        <w:widowControl/>
        <w:numPr>
          <w:ilvl w:val="0"/>
          <w:numId w:val="69"/>
        </w:numPr>
        <w:ind w:left="1276" w:hanging="425"/>
      </w:pPr>
      <w:r w:rsidRPr="00164329">
        <w:t>it did</w:t>
      </w:r>
      <w:r w:rsidR="006222DF" w:rsidRPr="00164329">
        <w:t xml:space="preserve"> </w:t>
      </w:r>
      <w:r w:rsidRPr="00164329">
        <w:t>n</w:t>
      </w:r>
      <w:r w:rsidR="006222DF" w:rsidRPr="00164329">
        <w:t>o</w:t>
      </w:r>
      <w:r w:rsidRPr="00164329">
        <w:t xml:space="preserve">t align with the indication proposed in the </w:t>
      </w:r>
      <w:r w:rsidR="00DD3B03" w:rsidRPr="00164329">
        <w:t>Advisory Committee on Prescription Medicines (</w:t>
      </w:r>
      <w:r w:rsidRPr="00164329">
        <w:t>ACPM</w:t>
      </w:r>
      <w:r w:rsidR="00DD3B03" w:rsidRPr="00164329">
        <w:t>)</w:t>
      </w:r>
      <w:r w:rsidRPr="00164329">
        <w:t xml:space="preserve"> resolution, which was provided during the evaluation. </w:t>
      </w:r>
      <w:r w:rsidR="00755D7B" w:rsidRPr="00164329">
        <w:rPr>
          <w:szCs w:val="22"/>
        </w:rPr>
        <w:t xml:space="preserve">Idelalisib was TGA registered on 9 February 2015 for </w:t>
      </w:r>
      <w:r w:rsidR="009A19EB" w:rsidRPr="00164329">
        <w:rPr>
          <w:szCs w:val="22"/>
        </w:rPr>
        <w:t>a similar</w:t>
      </w:r>
      <w:r w:rsidR="00755D7B" w:rsidRPr="00164329">
        <w:rPr>
          <w:szCs w:val="22"/>
        </w:rPr>
        <w:t xml:space="preserve"> indication </w:t>
      </w:r>
      <w:r w:rsidR="009A19EB" w:rsidRPr="00164329">
        <w:rPr>
          <w:szCs w:val="22"/>
        </w:rPr>
        <w:t>to that</w:t>
      </w:r>
      <w:r w:rsidR="00755D7B" w:rsidRPr="00164329">
        <w:rPr>
          <w:szCs w:val="22"/>
        </w:rPr>
        <w:t xml:space="preserve"> recommended by the ACPM.</w:t>
      </w:r>
      <w:r w:rsidR="00755D7B" w:rsidRPr="00EC3769">
        <w:t xml:space="preserve"> </w:t>
      </w:r>
      <w:r w:rsidR="00755D7B" w:rsidRPr="00164329">
        <w:rPr>
          <w:szCs w:val="22"/>
        </w:rPr>
        <w:t xml:space="preserve">The TGA approved indication is:  </w:t>
      </w:r>
      <w:r w:rsidRPr="00164329">
        <w:t xml:space="preserve"> </w:t>
      </w:r>
    </w:p>
    <w:p w:rsidR="00085223" w:rsidRPr="00164329" w:rsidRDefault="0091081C" w:rsidP="0069529C">
      <w:pPr>
        <w:pStyle w:val="ListParagraph"/>
        <w:widowControl/>
        <w:ind w:left="1560"/>
      </w:pPr>
      <w:r w:rsidRPr="00164329">
        <w:t>In combination with rituximab, for the treatment of patients with chronic lymphocytic leukaemia (CLL)/</w:t>
      </w:r>
      <w:r w:rsidRPr="00164329">
        <w:rPr>
          <w:u w:val="single"/>
        </w:rPr>
        <w:t>small lymphocytic lymphoma (SLL) for whom chemo-immunotherapy is not considered suitable</w:t>
      </w:r>
      <w:r w:rsidRPr="00164329">
        <w:t>,</w:t>
      </w:r>
      <w:r w:rsidR="00085223" w:rsidRPr="00164329">
        <w:t xml:space="preserve"> either:</w:t>
      </w:r>
    </w:p>
    <w:p w:rsidR="00085223" w:rsidRPr="00164329" w:rsidRDefault="00085223" w:rsidP="0069529C">
      <w:pPr>
        <w:pStyle w:val="ListParagraph"/>
        <w:widowControl/>
        <w:ind w:left="1560"/>
      </w:pPr>
      <w:r w:rsidRPr="00164329">
        <w:t>-</w:t>
      </w:r>
      <w:r w:rsidRPr="00164329">
        <w:tab/>
      </w:r>
      <w:r w:rsidR="00755D7B" w:rsidRPr="00164329">
        <w:rPr>
          <w:u w:val="single"/>
        </w:rPr>
        <w:t>upon relapse after</w:t>
      </w:r>
      <w:r w:rsidR="00755D7B" w:rsidRPr="00755D7B">
        <w:t xml:space="preserve"> </w:t>
      </w:r>
      <w:r w:rsidRPr="00164329">
        <w:t>at least one prior therapy; or</w:t>
      </w:r>
    </w:p>
    <w:p w:rsidR="0091081C" w:rsidRPr="00164329" w:rsidRDefault="00085223" w:rsidP="00DB2401">
      <w:pPr>
        <w:pStyle w:val="ListParagraph"/>
        <w:widowControl/>
        <w:ind w:left="2160" w:hanging="600"/>
      </w:pPr>
      <w:r w:rsidRPr="00164329">
        <w:t>-</w:t>
      </w:r>
      <w:r w:rsidRPr="00164329">
        <w:tab/>
        <w:t>as first-line treatment in the presence of 17p deletion or TP53 mutation.</w:t>
      </w:r>
    </w:p>
    <w:p w:rsidR="00C314AD" w:rsidRPr="00164329" w:rsidRDefault="00C314AD" w:rsidP="00BB545F">
      <w:pPr>
        <w:pStyle w:val="PBACHeading1"/>
        <w:numPr>
          <w:ilvl w:val="0"/>
          <w:numId w:val="0"/>
        </w:numPr>
        <w:ind w:left="720"/>
      </w:pPr>
      <w:r w:rsidRPr="00164329">
        <w:rPr>
          <w:b w:val="0"/>
          <w:szCs w:val="20"/>
        </w:rPr>
        <w:t>(</w:t>
      </w:r>
      <w:r w:rsidR="0069529C" w:rsidRPr="00164329">
        <w:rPr>
          <w:b w:val="0"/>
          <w:szCs w:val="20"/>
        </w:rPr>
        <w:t>Underlining indicates the p</w:t>
      </w:r>
      <w:r w:rsidRPr="00164329">
        <w:rPr>
          <w:b w:val="0"/>
          <w:szCs w:val="20"/>
        </w:rPr>
        <w:t xml:space="preserve">roposed changes compared </w:t>
      </w:r>
      <w:r w:rsidR="00A73769">
        <w:rPr>
          <w:b w:val="0"/>
          <w:szCs w:val="20"/>
        </w:rPr>
        <w:t>with</w:t>
      </w:r>
      <w:r w:rsidRPr="00164329">
        <w:rPr>
          <w:b w:val="0"/>
          <w:szCs w:val="20"/>
        </w:rPr>
        <w:t xml:space="preserve"> the </w:t>
      </w:r>
      <w:r w:rsidR="00870360">
        <w:rPr>
          <w:b w:val="0"/>
          <w:szCs w:val="20"/>
        </w:rPr>
        <w:t xml:space="preserve">TGA </w:t>
      </w:r>
      <w:r w:rsidRPr="00164329">
        <w:rPr>
          <w:b w:val="0"/>
          <w:szCs w:val="20"/>
        </w:rPr>
        <w:t>indication</w:t>
      </w:r>
      <w:r w:rsidR="00870360">
        <w:rPr>
          <w:b w:val="0"/>
          <w:szCs w:val="20"/>
        </w:rPr>
        <w:t xml:space="preserve"> originally requested by the sponsor</w:t>
      </w:r>
      <w:r w:rsidRPr="00164329">
        <w:rPr>
          <w:b w:val="0"/>
          <w:szCs w:val="20"/>
        </w:rPr>
        <w:t>.)</w:t>
      </w:r>
    </w:p>
    <w:p w:rsidR="00755D7B" w:rsidRPr="00DF013F" w:rsidRDefault="00755D7B" w:rsidP="00BB545F">
      <w:pPr>
        <w:pStyle w:val="PBACHeading1"/>
        <w:numPr>
          <w:ilvl w:val="0"/>
          <w:numId w:val="0"/>
        </w:numPr>
        <w:ind w:left="720" w:hanging="720"/>
      </w:pPr>
    </w:p>
    <w:p w:rsidR="00345D79" w:rsidRPr="00DF013F" w:rsidRDefault="00345D79" w:rsidP="00E2048E">
      <w:pPr>
        <w:pStyle w:val="ListParagraph"/>
        <w:keepNext/>
        <w:keepLines/>
        <w:widowControl/>
        <w:numPr>
          <w:ilvl w:val="1"/>
          <w:numId w:val="10"/>
        </w:numPr>
      </w:pPr>
      <w:r w:rsidRPr="00164329">
        <w:lastRenderedPageBreak/>
        <w:t xml:space="preserve">To address these issues, </w:t>
      </w:r>
      <w:r w:rsidR="0069529C" w:rsidRPr="00164329">
        <w:t xml:space="preserve">a revised restriction was proposed in the </w:t>
      </w:r>
      <w:r w:rsidR="00E2048E" w:rsidRPr="00164329">
        <w:t>Pre</w:t>
      </w:r>
      <w:r w:rsidR="00E2048E" w:rsidRPr="00164329">
        <w:noBreakHyphen/>
        <w:t>Sub</w:t>
      </w:r>
      <w:r w:rsidR="00E2048E" w:rsidRPr="00164329">
        <w:noBreakHyphen/>
        <w:t>Committee Response</w:t>
      </w:r>
      <w:r w:rsidR="00E2048E" w:rsidRPr="00164329" w:rsidDel="0069529C">
        <w:t xml:space="preserve"> </w:t>
      </w:r>
      <w:r w:rsidR="00E2048E" w:rsidRPr="00164329">
        <w:t>(</w:t>
      </w:r>
      <w:r w:rsidRPr="00164329">
        <w:t>PSCR</w:t>
      </w:r>
      <w:r w:rsidR="00E2048E" w:rsidRPr="00164329">
        <w:t>)</w:t>
      </w:r>
      <w:r w:rsidRPr="00164329">
        <w:t>:</w:t>
      </w:r>
      <w:r w:rsidR="007A464A" w:rsidRPr="00164329">
        <w:t xml:space="preserve"> </w:t>
      </w:r>
    </w:p>
    <w:p w:rsidR="007A464A" w:rsidRPr="00F5159D" w:rsidRDefault="00345D79" w:rsidP="00BB545F">
      <w:pPr>
        <w:pStyle w:val="ListParagraph"/>
        <w:keepNext/>
        <w:keepLines/>
        <w:widowControl/>
      </w:pPr>
      <w:r w:rsidRPr="00164329">
        <w:t>‘</w:t>
      </w:r>
      <w:r w:rsidR="007A464A" w:rsidRPr="00164329">
        <w:t xml:space="preserve">‘Patients with CLL </w:t>
      </w:r>
      <w:r w:rsidR="007A464A" w:rsidRPr="00164329">
        <w:rPr>
          <w:u w:val="single"/>
        </w:rPr>
        <w:t>for whom chemo-immunotherapy is not considered suitable</w:t>
      </w:r>
      <w:r w:rsidR="007A464A" w:rsidRPr="00164329">
        <w:t>, upon relapse after at least one prior therapy’.</w:t>
      </w:r>
      <w:r w:rsidR="007A464A">
        <w:rPr>
          <w:i/>
        </w:rPr>
        <w:t xml:space="preserve"> </w:t>
      </w:r>
    </w:p>
    <w:p w:rsidR="007A464A" w:rsidRPr="00BA5DC3" w:rsidRDefault="007A464A" w:rsidP="00BB545F">
      <w:pPr>
        <w:pStyle w:val="ListParagraph"/>
        <w:widowControl/>
        <w:rPr>
          <w:szCs w:val="22"/>
        </w:rPr>
      </w:pPr>
    </w:p>
    <w:p w:rsidR="00BF09B3" w:rsidRPr="00ED0412" w:rsidRDefault="00BF09B3" w:rsidP="00BF09B3">
      <w:pPr>
        <w:pStyle w:val="ListParagraph"/>
        <w:numPr>
          <w:ilvl w:val="1"/>
          <w:numId w:val="10"/>
        </w:numPr>
      </w:pPr>
      <w:r w:rsidRPr="00ED0412">
        <w:t xml:space="preserve">The PSCR and pre-PBAC response stated that the sponsor is “willing to work with the PBAC to finalise the PBS restriction for idelalisib”. </w:t>
      </w:r>
    </w:p>
    <w:p w:rsidR="00BF09B3" w:rsidRPr="00ED0412" w:rsidRDefault="00BF09B3" w:rsidP="004F222B">
      <w:pPr>
        <w:pStyle w:val="ListParagraph"/>
        <w:widowControl/>
      </w:pPr>
    </w:p>
    <w:p w:rsidR="00BF09B3" w:rsidRPr="00ED0412" w:rsidRDefault="00BF09B3" w:rsidP="00BF09B3">
      <w:pPr>
        <w:pStyle w:val="ListParagraph"/>
        <w:widowControl/>
        <w:numPr>
          <w:ilvl w:val="1"/>
          <w:numId w:val="10"/>
        </w:numPr>
      </w:pPr>
      <w:r w:rsidRPr="00ED0412">
        <w:t>The PBAC noted that the inclusion criteria for Trial 312-0116 included:</w:t>
      </w:r>
    </w:p>
    <w:p w:rsidR="00BF09B3" w:rsidRPr="00ED0412" w:rsidRDefault="00BF09B3" w:rsidP="00BF09B3">
      <w:pPr>
        <w:pStyle w:val="ListParagraph"/>
        <w:widowControl/>
        <w:numPr>
          <w:ilvl w:val="0"/>
          <w:numId w:val="69"/>
        </w:numPr>
        <w:ind w:left="1276" w:hanging="425"/>
      </w:pPr>
      <w:r w:rsidRPr="00ED0412">
        <w:t>Patients with CLL that warranted treatment.</w:t>
      </w:r>
    </w:p>
    <w:p w:rsidR="00BF09B3" w:rsidRPr="00ED0412" w:rsidRDefault="00BF09B3" w:rsidP="00BF09B3">
      <w:pPr>
        <w:pStyle w:val="ListParagraph"/>
        <w:widowControl/>
        <w:numPr>
          <w:ilvl w:val="0"/>
          <w:numId w:val="69"/>
        </w:numPr>
        <w:ind w:left="1276" w:hanging="425"/>
      </w:pPr>
      <w:r w:rsidRPr="00ED0412">
        <w:t>Patients who were less able to receive cytotoxic chemotherapy therapy based on the presence of:</w:t>
      </w:r>
    </w:p>
    <w:p w:rsidR="00BF09B3" w:rsidRPr="00ED0412" w:rsidRDefault="00BF09B3" w:rsidP="00BF09B3">
      <w:pPr>
        <w:pStyle w:val="ListParagraph"/>
        <w:widowControl/>
        <w:numPr>
          <w:ilvl w:val="0"/>
          <w:numId w:val="79"/>
        </w:numPr>
      </w:pPr>
      <w:r w:rsidRPr="00ED0412">
        <w:t>≥ grade 3 neutropenia or thrombocytopenia attributable to cumulative myelotoxicity from prior administration of cytotoxic agents (as documented by bone marrow biopsy obtained since last prior therapy);</w:t>
      </w:r>
    </w:p>
    <w:p w:rsidR="00BF09B3" w:rsidRPr="00ED0412" w:rsidRDefault="00BF09B3" w:rsidP="00BF09B3">
      <w:pPr>
        <w:pStyle w:val="ListParagraph"/>
        <w:widowControl/>
        <w:numPr>
          <w:ilvl w:val="0"/>
          <w:numId w:val="79"/>
        </w:numPr>
      </w:pPr>
      <w:r w:rsidRPr="00ED0412">
        <w:t>Estimated creatinine clearance &lt; 60 mL/min; or</w:t>
      </w:r>
    </w:p>
    <w:p w:rsidR="00BF09B3" w:rsidRPr="00ED0412" w:rsidRDefault="00BF09B3" w:rsidP="00BF09B3">
      <w:pPr>
        <w:pStyle w:val="ListParagraph"/>
        <w:widowControl/>
        <w:numPr>
          <w:ilvl w:val="0"/>
          <w:numId w:val="79"/>
        </w:numPr>
      </w:pPr>
      <w:r w:rsidRPr="00ED0412">
        <w:t>Cumulative Illness Rating Scale (CIRS) score &gt; 6.</w:t>
      </w:r>
    </w:p>
    <w:p w:rsidR="00BF09B3" w:rsidRPr="00ED0412" w:rsidRDefault="00BF09B3" w:rsidP="00BF09B3">
      <w:pPr>
        <w:pStyle w:val="ListParagraph"/>
        <w:widowControl/>
        <w:numPr>
          <w:ilvl w:val="0"/>
          <w:numId w:val="69"/>
        </w:numPr>
        <w:ind w:left="1276" w:hanging="425"/>
      </w:pPr>
      <w:r w:rsidRPr="00ED0412">
        <w:t>Patients who experienced CLL progression within 24 months of their last prior therapy.</w:t>
      </w:r>
    </w:p>
    <w:p w:rsidR="00BF09B3" w:rsidRPr="00ED0412" w:rsidRDefault="00BF09B3" w:rsidP="00BF09B3">
      <w:pPr>
        <w:pStyle w:val="ListParagraph"/>
        <w:widowControl/>
        <w:numPr>
          <w:ilvl w:val="0"/>
          <w:numId w:val="69"/>
        </w:numPr>
        <w:ind w:left="1276" w:hanging="425"/>
      </w:pPr>
      <w:r w:rsidRPr="00ED0412">
        <w:t xml:space="preserve">Previous treatment must have included either a CD20 antibody based regimen or at least two previous cytotoxic regimens. </w:t>
      </w:r>
    </w:p>
    <w:p w:rsidR="00BF09B3" w:rsidRPr="00ED0412" w:rsidRDefault="00BF09B3" w:rsidP="00BF09B3">
      <w:pPr>
        <w:pStyle w:val="ListParagraph"/>
        <w:widowControl/>
        <w:numPr>
          <w:ilvl w:val="0"/>
          <w:numId w:val="69"/>
        </w:numPr>
        <w:ind w:left="1276" w:hanging="425"/>
      </w:pPr>
      <w:r w:rsidRPr="00ED0412">
        <w:t>The trial excluded those who did not benefit from or, had experienced rapid progression following, prior anti-CD20 therapy.</w:t>
      </w:r>
    </w:p>
    <w:p w:rsidR="00BF09B3" w:rsidRPr="00ED0412" w:rsidRDefault="00BF09B3" w:rsidP="00BF09B3">
      <w:pPr>
        <w:pStyle w:val="ListParagraph"/>
        <w:widowControl/>
      </w:pPr>
    </w:p>
    <w:p w:rsidR="00BF09B3" w:rsidRPr="00ED0412" w:rsidRDefault="00BF09B3" w:rsidP="00BF09B3">
      <w:pPr>
        <w:pStyle w:val="ListParagraph"/>
        <w:numPr>
          <w:ilvl w:val="1"/>
          <w:numId w:val="10"/>
        </w:numPr>
      </w:pPr>
      <w:r w:rsidRPr="00ED0412">
        <w:t>The PBAC noted the criteria used in the key trial to define patients who are “less able” to receive cytotoxic chemotherapy. However, the PBAC noted that a CIRS score of &gt; 6, low neutrophils, or low platelets alone would not necessarily preclude chemo-immunotherapy, and that creatinine clearance would not specifically identify patients who are unsuitable for chemo-immunotherapy. Therefore, the PBAC considered that narrower criteria would be required to restrict use to those patients who are truly unsuitable for chemo-immunotherapy.</w:t>
      </w:r>
    </w:p>
    <w:p w:rsidR="00BF09B3" w:rsidRPr="00ED0412" w:rsidRDefault="00BF09B3" w:rsidP="004F222B">
      <w:pPr>
        <w:pStyle w:val="ListParagraph"/>
        <w:widowControl/>
        <w:rPr>
          <w:szCs w:val="22"/>
        </w:rPr>
      </w:pPr>
    </w:p>
    <w:p w:rsidR="00320F4A" w:rsidRPr="00ED0412" w:rsidRDefault="00320F4A" w:rsidP="00D36E25">
      <w:pPr>
        <w:pStyle w:val="ListParagraph"/>
        <w:widowControl/>
        <w:numPr>
          <w:ilvl w:val="1"/>
          <w:numId w:val="10"/>
        </w:numPr>
        <w:rPr>
          <w:szCs w:val="22"/>
        </w:rPr>
      </w:pPr>
      <w:r w:rsidRPr="00ED0412">
        <w:rPr>
          <w:szCs w:val="22"/>
        </w:rPr>
        <w:t xml:space="preserve">The PSCR’s revised restriction </w:t>
      </w:r>
      <w:r w:rsidR="00D36E25" w:rsidRPr="00ED0412">
        <w:rPr>
          <w:szCs w:val="22"/>
        </w:rPr>
        <w:t>and the trial inclusion criteria are different to the</w:t>
      </w:r>
      <w:r w:rsidRPr="00ED0412">
        <w:rPr>
          <w:szCs w:val="22"/>
        </w:rPr>
        <w:t xml:space="preserve"> </w:t>
      </w:r>
      <w:r w:rsidR="00D36E25" w:rsidRPr="00ED0412">
        <w:rPr>
          <w:szCs w:val="22"/>
        </w:rPr>
        <w:t xml:space="preserve">TGA approved </w:t>
      </w:r>
      <w:r w:rsidRPr="00ED0412">
        <w:rPr>
          <w:szCs w:val="22"/>
        </w:rPr>
        <w:t xml:space="preserve">indication because </w:t>
      </w:r>
      <w:r w:rsidR="00D36E25" w:rsidRPr="00ED0412">
        <w:rPr>
          <w:szCs w:val="22"/>
        </w:rPr>
        <w:t>the TGA indication includes</w:t>
      </w:r>
      <w:r w:rsidR="00006A78" w:rsidRPr="00ED0412">
        <w:rPr>
          <w:szCs w:val="22"/>
        </w:rPr>
        <w:t>:</w:t>
      </w:r>
    </w:p>
    <w:p w:rsidR="00D36E25" w:rsidRPr="00ED0412" w:rsidRDefault="00D36E25" w:rsidP="00D36E25">
      <w:pPr>
        <w:pStyle w:val="ListParagraph"/>
        <w:keepNext/>
        <w:keepLines/>
        <w:widowControl/>
        <w:numPr>
          <w:ilvl w:val="0"/>
          <w:numId w:val="69"/>
        </w:numPr>
        <w:ind w:left="1276" w:hanging="425"/>
      </w:pPr>
      <w:r w:rsidRPr="00ED0412">
        <w:t>first-line treatment in the presence of 17p deletion or TP53 mutation, while patients in the trial had received previous treatment for CLL.</w:t>
      </w:r>
    </w:p>
    <w:p w:rsidR="00D36E25" w:rsidRPr="00ED0412" w:rsidRDefault="00D36E25" w:rsidP="00D36E25">
      <w:pPr>
        <w:pStyle w:val="ListParagraph"/>
        <w:keepNext/>
        <w:keepLines/>
        <w:widowControl/>
        <w:numPr>
          <w:ilvl w:val="0"/>
          <w:numId w:val="69"/>
        </w:numPr>
        <w:ind w:left="1276" w:hanging="425"/>
      </w:pPr>
      <w:r w:rsidRPr="00ED0412">
        <w:t xml:space="preserve">patients with SLL, while patients with SLL were not enrolled in the trial. </w:t>
      </w:r>
    </w:p>
    <w:p w:rsidR="00D36E25" w:rsidRPr="00ED0412" w:rsidRDefault="00D36E25" w:rsidP="00D36E25">
      <w:pPr>
        <w:widowControl/>
      </w:pPr>
    </w:p>
    <w:p w:rsidR="00D36E25" w:rsidRPr="00ED0412" w:rsidRDefault="00D36E25" w:rsidP="00D36E25">
      <w:pPr>
        <w:pStyle w:val="ListParagraph"/>
        <w:widowControl/>
        <w:numPr>
          <w:ilvl w:val="1"/>
          <w:numId w:val="10"/>
        </w:numPr>
      </w:pPr>
      <w:r w:rsidRPr="00ED0412">
        <w:t>The PBAC considered</w:t>
      </w:r>
      <w:r w:rsidRPr="00BA5DC3">
        <w:t xml:space="preserve"> </w:t>
      </w:r>
      <w:r w:rsidRPr="00ED0412">
        <w:t>that the restriction should limit use in patients with 17p deletions to those who are relapsed</w:t>
      </w:r>
      <w:r w:rsidR="009D222B" w:rsidRPr="00ED0412">
        <w:t xml:space="preserve"> or </w:t>
      </w:r>
      <w:r w:rsidRPr="00ED0412">
        <w:t xml:space="preserve">refractory. The PBAC noted that TP53 mutation testing is not yet routine or </w:t>
      </w:r>
      <w:r w:rsidR="009D222B" w:rsidRPr="00ED0412">
        <w:t xml:space="preserve">readily </w:t>
      </w:r>
      <w:r w:rsidRPr="00ED0412">
        <w:t>available</w:t>
      </w:r>
      <w:r w:rsidR="00BF09B3" w:rsidRPr="00ED0412">
        <w:t xml:space="preserve"> in clinical practice</w:t>
      </w:r>
      <w:r w:rsidRPr="00ED0412">
        <w:t xml:space="preserve">. Further, the PBAC considered that it was appropriate for the restriction to enable use in SLL, due to </w:t>
      </w:r>
      <w:r w:rsidR="00847845" w:rsidRPr="00ED0412">
        <w:t xml:space="preserve">the </w:t>
      </w:r>
      <w:r w:rsidRPr="00ED0412">
        <w:t xml:space="preserve">biological </w:t>
      </w:r>
      <w:r w:rsidR="009D222B" w:rsidRPr="00ED0412">
        <w:t xml:space="preserve">similarity </w:t>
      </w:r>
      <w:r w:rsidRPr="00ED0412">
        <w:t xml:space="preserve">between CLL and SLL. </w:t>
      </w:r>
    </w:p>
    <w:p w:rsidR="00D36E25" w:rsidRPr="007D1F93" w:rsidRDefault="00D36E25" w:rsidP="00D36E25">
      <w:pPr>
        <w:pStyle w:val="ListParagraph"/>
        <w:keepNext/>
        <w:keepLines/>
        <w:widowControl/>
        <w:rPr>
          <w:color w:val="FF0000"/>
        </w:rPr>
      </w:pPr>
    </w:p>
    <w:p w:rsidR="00F97A78" w:rsidRDefault="00843874" w:rsidP="00F61566">
      <w:pPr>
        <w:pStyle w:val="ListParagraph"/>
        <w:widowControl/>
        <w:numPr>
          <w:ilvl w:val="1"/>
          <w:numId w:val="10"/>
        </w:numPr>
        <w:rPr>
          <w:szCs w:val="22"/>
        </w:rPr>
      </w:pPr>
      <w:r w:rsidRPr="00843874">
        <w:rPr>
          <w:szCs w:val="22"/>
        </w:rPr>
        <w:t xml:space="preserve">The submission presented a cost-utility analysis of idelalisib plus rituximab compared </w:t>
      </w:r>
      <w:r w:rsidR="002F0792">
        <w:rPr>
          <w:szCs w:val="22"/>
        </w:rPr>
        <w:t>with</w:t>
      </w:r>
      <w:r w:rsidRPr="00843874">
        <w:rPr>
          <w:szCs w:val="22"/>
        </w:rPr>
        <w:t xml:space="preserve"> placebo plus rituximab.</w:t>
      </w:r>
    </w:p>
    <w:p w:rsidR="00B523C4" w:rsidRDefault="00B523C4" w:rsidP="00164329">
      <w:pPr>
        <w:pStyle w:val="ListParagraph"/>
        <w:widowControl/>
        <w:rPr>
          <w:szCs w:val="22"/>
        </w:rPr>
      </w:pPr>
    </w:p>
    <w:p w:rsidR="00B523C4" w:rsidRPr="00164329" w:rsidRDefault="00B523C4" w:rsidP="00164329">
      <w:pPr>
        <w:pStyle w:val="ListParagraph"/>
        <w:widowControl/>
        <w:rPr>
          <w:i/>
          <w:szCs w:val="22"/>
        </w:rPr>
      </w:pPr>
      <w:r w:rsidRPr="00164329">
        <w:rPr>
          <w:i/>
          <w:szCs w:val="22"/>
        </w:rPr>
        <w:t>For more detail on PBAC’s view, see section 7 “PBAC outcome”</w:t>
      </w:r>
    </w:p>
    <w:p w:rsidR="004E43B2" w:rsidRDefault="004E43B2" w:rsidP="00F61566">
      <w:pPr>
        <w:widowControl/>
      </w:pPr>
    </w:p>
    <w:p w:rsidR="00C73993" w:rsidRPr="00882085" w:rsidRDefault="00C73993" w:rsidP="00F61566">
      <w:pPr>
        <w:widowControl/>
      </w:pPr>
    </w:p>
    <w:p w:rsidR="00B50DB8" w:rsidRPr="00FE3A15" w:rsidRDefault="00B50DB8" w:rsidP="00F61566">
      <w:pPr>
        <w:pStyle w:val="PBACHeading1"/>
        <w:keepNext/>
      </w:pPr>
      <w:bookmarkStart w:id="6" w:name="_Toc409601140"/>
      <w:r w:rsidRPr="00FE3A15">
        <w:lastRenderedPageBreak/>
        <w:t>Background</w:t>
      </w:r>
      <w:bookmarkEnd w:id="6"/>
    </w:p>
    <w:p w:rsidR="00B60939" w:rsidRPr="00FE3A15" w:rsidRDefault="00B60939" w:rsidP="00F61566">
      <w:pPr>
        <w:keepNext/>
        <w:widowControl/>
        <w:rPr>
          <w:szCs w:val="22"/>
        </w:rPr>
      </w:pPr>
    </w:p>
    <w:p w:rsidR="00320F4A" w:rsidRPr="00164329" w:rsidRDefault="00B60939" w:rsidP="00320F4A">
      <w:pPr>
        <w:pStyle w:val="ListParagraph"/>
        <w:widowControl/>
        <w:numPr>
          <w:ilvl w:val="1"/>
          <w:numId w:val="10"/>
        </w:numPr>
        <w:rPr>
          <w:color w:val="FF0000"/>
        </w:rPr>
      </w:pPr>
      <w:r w:rsidRPr="00BB545F">
        <w:rPr>
          <w:szCs w:val="22"/>
        </w:rPr>
        <w:t>TGA status</w:t>
      </w:r>
      <w:r w:rsidR="00843874" w:rsidRPr="00BB545F">
        <w:rPr>
          <w:szCs w:val="22"/>
        </w:rPr>
        <w:t xml:space="preserve">: </w:t>
      </w:r>
      <w:r w:rsidRPr="00BB545F">
        <w:t xml:space="preserve">The submission was made under TGA/PBAC Parallel Process. </w:t>
      </w:r>
      <w:r w:rsidR="002C2BC1" w:rsidRPr="00BB545F">
        <w:t xml:space="preserve">The </w:t>
      </w:r>
      <w:r w:rsidR="00B46DCA" w:rsidRPr="00BB545F">
        <w:t xml:space="preserve">TGA’s </w:t>
      </w:r>
      <w:r w:rsidR="002C2BC1" w:rsidRPr="00FD2616">
        <w:t>C</w:t>
      </w:r>
      <w:r w:rsidR="00843874" w:rsidRPr="00FD2616">
        <w:t>linical Evaluation Report</w:t>
      </w:r>
      <w:r w:rsidR="00FE3A15" w:rsidRPr="00FD2616">
        <w:t>,</w:t>
      </w:r>
      <w:r w:rsidR="00796941" w:rsidRPr="00FD2616">
        <w:t xml:space="preserve"> </w:t>
      </w:r>
      <w:r w:rsidR="00B46DCA" w:rsidRPr="00FD2616">
        <w:t xml:space="preserve">Delegates Overview and </w:t>
      </w:r>
      <w:r w:rsidR="00F601D1" w:rsidRPr="00FD2616">
        <w:t>ACPM</w:t>
      </w:r>
      <w:r w:rsidR="007A6B08" w:rsidRPr="00FD2616">
        <w:t xml:space="preserve"> recommendation</w:t>
      </w:r>
      <w:r w:rsidR="00B46DCA" w:rsidRPr="00FD2616">
        <w:t xml:space="preserve"> were</w:t>
      </w:r>
      <w:r w:rsidRPr="00FD2616">
        <w:t xml:space="preserve"> available</w:t>
      </w:r>
      <w:r w:rsidR="002C2BC1" w:rsidRPr="00FD2616">
        <w:t xml:space="preserve"> </w:t>
      </w:r>
      <w:r w:rsidR="00870360">
        <w:t>during evaluation and at the time of ESC consideration</w:t>
      </w:r>
      <w:r w:rsidR="002C2BC1" w:rsidRPr="00FD2616">
        <w:t>.</w:t>
      </w:r>
      <w:r w:rsidR="00DD3B03" w:rsidRPr="00FD2616">
        <w:t xml:space="preserve"> As outlined above, the </w:t>
      </w:r>
      <w:r w:rsidR="00DD3B03" w:rsidRPr="00BA5DC3">
        <w:t>ACPM</w:t>
      </w:r>
      <w:r w:rsidR="00926F55" w:rsidRPr="00BA5DC3">
        <w:t xml:space="preserve"> </w:t>
      </w:r>
      <w:r w:rsidR="005E2825" w:rsidRPr="00BA5DC3">
        <w:t>recommended</w:t>
      </w:r>
      <w:r w:rsidR="00741A72" w:rsidRPr="00BA5DC3">
        <w:t xml:space="preserve"> </w:t>
      </w:r>
      <w:r w:rsidR="00926F55" w:rsidRPr="00BA5DC3">
        <w:t>a narrower indication than that originally proposed by the sponsor.</w:t>
      </w:r>
      <w:r w:rsidR="00177F32" w:rsidRPr="00BA5DC3">
        <w:t xml:space="preserve"> </w:t>
      </w:r>
      <w:r w:rsidR="00177F32" w:rsidRPr="00ED0412">
        <w:rPr>
          <w:szCs w:val="22"/>
        </w:rPr>
        <w:t>Id</w:t>
      </w:r>
      <w:r w:rsidR="00320F4A" w:rsidRPr="00ED0412">
        <w:rPr>
          <w:szCs w:val="22"/>
        </w:rPr>
        <w:t>elalisib was TGA registered on 9 February 2015</w:t>
      </w:r>
      <w:r w:rsidR="00320F4A" w:rsidRPr="00ED0412">
        <w:t>.</w:t>
      </w:r>
    </w:p>
    <w:p w:rsidR="00B60939" w:rsidRPr="00FD2616" w:rsidRDefault="00B60939" w:rsidP="00BB545F">
      <w:pPr>
        <w:pStyle w:val="ListParagraph"/>
        <w:widowControl/>
        <w:rPr>
          <w:szCs w:val="22"/>
        </w:rPr>
      </w:pPr>
    </w:p>
    <w:p w:rsidR="00741A72" w:rsidRPr="00164329" w:rsidRDefault="00741A72" w:rsidP="00BB545F">
      <w:pPr>
        <w:pStyle w:val="ListParagraph"/>
        <w:widowControl/>
        <w:numPr>
          <w:ilvl w:val="1"/>
          <w:numId w:val="10"/>
        </w:numPr>
        <w:rPr>
          <w:szCs w:val="22"/>
        </w:rPr>
      </w:pPr>
      <w:r w:rsidRPr="00164329">
        <w:rPr>
          <w:szCs w:val="22"/>
        </w:rPr>
        <w:t>The TGA indication state</w:t>
      </w:r>
      <w:r w:rsidR="00870360">
        <w:rPr>
          <w:szCs w:val="22"/>
        </w:rPr>
        <w:t>s</w:t>
      </w:r>
      <w:r w:rsidRPr="00164329">
        <w:rPr>
          <w:szCs w:val="22"/>
        </w:rPr>
        <w:t xml:space="preserve"> that idelalisib is for use in combination with rituximab in </w:t>
      </w:r>
      <w:r w:rsidR="000D5245" w:rsidRPr="00164329">
        <w:rPr>
          <w:szCs w:val="22"/>
        </w:rPr>
        <w:t>CLL</w:t>
      </w:r>
      <w:r w:rsidRPr="00164329">
        <w:rPr>
          <w:szCs w:val="22"/>
        </w:rPr>
        <w:t xml:space="preserve">. The pivotal trial used eight doses of rituximab. However the PBS subsidises up to six doses in this setting. It </w:t>
      </w:r>
      <w:r w:rsidR="00870360">
        <w:rPr>
          <w:szCs w:val="22"/>
        </w:rPr>
        <w:t>was</w:t>
      </w:r>
      <w:r w:rsidRPr="00164329">
        <w:rPr>
          <w:szCs w:val="22"/>
        </w:rPr>
        <w:t xml:space="preserve"> unclear</w:t>
      </w:r>
      <w:r w:rsidR="00870360">
        <w:rPr>
          <w:szCs w:val="22"/>
        </w:rPr>
        <w:t xml:space="preserve"> to the evaluator</w:t>
      </w:r>
      <w:r w:rsidRPr="00164329">
        <w:rPr>
          <w:szCs w:val="22"/>
        </w:rPr>
        <w:t xml:space="preserve"> how patients would obtain subsidised access to </w:t>
      </w:r>
      <w:r w:rsidR="006222DF" w:rsidRPr="00164329">
        <w:rPr>
          <w:szCs w:val="22"/>
        </w:rPr>
        <w:t xml:space="preserve">the two additional doses of rituximab. </w:t>
      </w:r>
    </w:p>
    <w:p w:rsidR="00741A72" w:rsidRPr="00FE3A15" w:rsidRDefault="00741A72" w:rsidP="00BB545F">
      <w:pPr>
        <w:pStyle w:val="ListParagraph"/>
        <w:widowControl/>
        <w:rPr>
          <w:szCs w:val="22"/>
        </w:rPr>
      </w:pPr>
    </w:p>
    <w:p w:rsidR="002C2775" w:rsidRPr="00FE3A15" w:rsidRDefault="00843874" w:rsidP="00F61566">
      <w:pPr>
        <w:pStyle w:val="ListParagraph"/>
        <w:widowControl/>
        <w:numPr>
          <w:ilvl w:val="1"/>
          <w:numId w:val="10"/>
        </w:numPr>
        <w:rPr>
          <w:szCs w:val="22"/>
        </w:rPr>
      </w:pPr>
      <w:r w:rsidRPr="00552AEC">
        <w:rPr>
          <w:szCs w:val="22"/>
        </w:rPr>
        <w:t xml:space="preserve">This </w:t>
      </w:r>
      <w:r w:rsidR="00425CB9">
        <w:rPr>
          <w:szCs w:val="22"/>
        </w:rPr>
        <w:t>medicine</w:t>
      </w:r>
      <w:r w:rsidRPr="00552AEC">
        <w:rPr>
          <w:szCs w:val="22"/>
        </w:rPr>
        <w:t xml:space="preserve"> ha</w:t>
      </w:r>
      <w:r w:rsidR="002C2BC1" w:rsidRPr="005014B8">
        <w:rPr>
          <w:szCs w:val="22"/>
        </w:rPr>
        <w:t>s</w:t>
      </w:r>
      <w:r w:rsidRPr="005014B8">
        <w:rPr>
          <w:szCs w:val="22"/>
        </w:rPr>
        <w:t xml:space="preserve"> not been considered by </w:t>
      </w:r>
      <w:r w:rsidR="002C2BC1" w:rsidRPr="00950846">
        <w:rPr>
          <w:szCs w:val="22"/>
        </w:rPr>
        <w:t xml:space="preserve">the </w:t>
      </w:r>
      <w:r w:rsidRPr="00950846">
        <w:rPr>
          <w:szCs w:val="22"/>
        </w:rPr>
        <w:t>PBAC previously.</w:t>
      </w:r>
      <w:r w:rsidR="00CE7605" w:rsidRPr="00950846">
        <w:rPr>
          <w:szCs w:val="22"/>
        </w:rPr>
        <w:t xml:space="preserve"> At the March 2015 PBAC meeting, </w:t>
      </w:r>
      <w:r w:rsidR="00CE7605" w:rsidRPr="00FE3A15">
        <w:rPr>
          <w:szCs w:val="22"/>
        </w:rPr>
        <w:t xml:space="preserve">idelalisib </w:t>
      </w:r>
      <w:r w:rsidR="009A19EB">
        <w:rPr>
          <w:szCs w:val="22"/>
        </w:rPr>
        <w:t>was</w:t>
      </w:r>
      <w:r w:rsidR="00FE3A15">
        <w:rPr>
          <w:szCs w:val="22"/>
        </w:rPr>
        <w:t xml:space="preserve"> also considered </w:t>
      </w:r>
      <w:r w:rsidR="00CE7605" w:rsidRPr="00FE3A15">
        <w:rPr>
          <w:szCs w:val="22"/>
        </w:rPr>
        <w:t>for the treatment of patients with refractory indolent non-Hodgkin lymphoma.</w:t>
      </w:r>
      <w:r w:rsidR="00072131" w:rsidRPr="00FE3A15">
        <w:rPr>
          <w:szCs w:val="22"/>
        </w:rPr>
        <w:t xml:space="preserve"> </w:t>
      </w:r>
    </w:p>
    <w:p w:rsidR="00E55BB5" w:rsidRDefault="00E55BB5" w:rsidP="00F61566">
      <w:pPr>
        <w:widowControl/>
      </w:pPr>
    </w:p>
    <w:p w:rsidR="00C73993" w:rsidRPr="00882085" w:rsidRDefault="00C73993" w:rsidP="00F61566">
      <w:pPr>
        <w:widowControl/>
      </w:pPr>
    </w:p>
    <w:p w:rsidR="00B50DB8" w:rsidRPr="00407F2D" w:rsidRDefault="00B50DB8" w:rsidP="00F61566">
      <w:pPr>
        <w:pStyle w:val="PBACHeading1"/>
        <w:keepNext/>
      </w:pPr>
      <w:bookmarkStart w:id="7" w:name="_Toc409601141"/>
      <w:r w:rsidRPr="00407F2D">
        <w:t>Clinical place for the proposed therapy</w:t>
      </w:r>
      <w:bookmarkEnd w:id="7"/>
    </w:p>
    <w:p w:rsidR="00B60939" w:rsidRPr="00882085" w:rsidRDefault="00B60939" w:rsidP="00F61566">
      <w:pPr>
        <w:keepNext/>
        <w:widowControl/>
        <w:rPr>
          <w:szCs w:val="22"/>
        </w:rPr>
      </w:pPr>
    </w:p>
    <w:p w:rsidR="00B60939" w:rsidRPr="0016058B" w:rsidRDefault="0016058B" w:rsidP="00F61566">
      <w:pPr>
        <w:pStyle w:val="ListParagraph"/>
        <w:keepNext/>
        <w:widowControl/>
        <w:numPr>
          <w:ilvl w:val="1"/>
          <w:numId w:val="10"/>
        </w:numPr>
        <w:rPr>
          <w:szCs w:val="22"/>
        </w:rPr>
      </w:pPr>
      <w:r w:rsidRPr="0016058B">
        <w:t xml:space="preserve">Idelalisib </w:t>
      </w:r>
      <w:r w:rsidR="00CE7605">
        <w:t>wa</w:t>
      </w:r>
      <w:r w:rsidRPr="0016058B">
        <w:t xml:space="preserve">s </w:t>
      </w:r>
      <w:r w:rsidR="008964CC">
        <w:t>evaluated</w:t>
      </w:r>
      <w:r w:rsidRPr="0016058B">
        <w:t xml:space="preserve"> as a second-line treatment for patients with relapsed CLL, which is a haematological B-cell malignancy. </w:t>
      </w:r>
    </w:p>
    <w:p w:rsidR="00894489" w:rsidRPr="002C2775" w:rsidRDefault="00894489" w:rsidP="00F61566">
      <w:pPr>
        <w:widowControl/>
        <w:rPr>
          <w:szCs w:val="22"/>
        </w:rPr>
      </w:pPr>
    </w:p>
    <w:p w:rsidR="00B60939" w:rsidRPr="00BB545F" w:rsidRDefault="0016058B" w:rsidP="00310281">
      <w:pPr>
        <w:pStyle w:val="ListParagraph"/>
        <w:widowControl/>
        <w:numPr>
          <w:ilvl w:val="1"/>
          <w:numId w:val="10"/>
        </w:numPr>
        <w:rPr>
          <w:szCs w:val="22"/>
        </w:rPr>
      </w:pPr>
      <w:r w:rsidRPr="0016058B">
        <w:rPr>
          <w:szCs w:val="22"/>
        </w:rPr>
        <w:t xml:space="preserve">The </w:t>
      </w:r>
      <w:r w:rsidR="008964CC">
        <w:rPr>
          <w:szCs w:val="22"/>
        </w:rPr>
        <w:t xml:space="preserve">evidence provided in the </w:t>
      </w:r>
      <w:r w:rsidRPr="0016058B">
        <w:rPr>
          <w:szCs w:val="22"/>
        </w:rPr>
        <w:t>submission</w:t>
      </w:r>
      <w:r w:rsidR="003E429C">
        <w:rPr>
          <w:szCs w:val="22"/>
        </w:rPr>
        <w:t xml:space="preserve"> and the </w:t>
      </w:r>
      <w:r w:rsidR="009A19EB">
        <w:rPr>
          <w:szCs w:val="22"/>
        </w:rPr>
        <w:t xml:space="preserve">approved </w:t>
      </w:r>
      <w:r w:rsidR="003E429C">
        <w:rPr>
          <w:szCs w:val="22"/>
        </w:rPr>
        <w:t>TGA indication suggest</w:t>
      </w:r>
      <w:r w:rsidRPr="0016058B">
        <w:rPr>
          <w:szCs w:val="22"/>
        </w:rPr>
        <w:t xml:space="preserve"> that </w:t>
      </w:r>
      <w:r w:rsidR="009A19EB">
        <w:rPr>
          <w:szCs w:val="22"/>
        </w:rPr>
        <w:t xml:space="preserve">the place in therapy for </w:t>
      </w:r>
      <w:r w:rsidRPr="0016058B">
        <w:rPr>
          <w:szCs w:val="22"/>
        </w:rPr>
        <w:t xml:space="preserve">idelalisib </w:t>
      </w:r>
      <w:r w:rsidR="009A19EB">
        <w:rPr>
          <w:szCs w:val="22"/>
        </w:rPr>
        <w:t>will be</w:t>
      </w:r>
      <w:r w:rsidRPr="00DF013F">
        <w:rPr>
          <w:szCs w:val="22"/>
        </w:rPr>
        <w:t xml:space="preserve"> in patients deemed unfit for further treatment with cytotoxic agents.</w:t>
      </w:r>
      <w:r w:rsidR="00A57C29" w:rsidRPr="00DF013F">
        <w:rPr>
          <w:szCs w:val="22"/>
        </w:rPr>
        <w:t xml:space="preserve"> The ESC noted that </w:t>
      </w:r>
      <w:r w:rsidR="006D0CB4" w:rsidRPr="00164329">
        <w:rPr>
          <w:szCs w:val="22"/>
        </w:rPr>
        <w:t xml:space="preserve">the </w:t>
      </w:r>
      <w:r w:rsidR="00310281" w:rsidRPr="00164329">
        <w:rPr>
          <w:szCs w:val="22"/>
        </w:rPr>
        <w:t>revised restriction proposed in the PSCR would</w:t>
      </w:r>
      <w:r w:rsidR="00870360">
        <w:rPr>
          <w:szCs w:val="22"/>
        </w:rPr>
        <w:t xml:space="preserve"> help</w:t>
      </w:r>
      <w:r w:rsidR="00310281" w:rsidRPr="00164329">
        <w:rPr>
          <w:szCs w:val="22"/>
        </w:rPr>
        <w:t xml:space="preserve"> limit use to this </w:t>
      </w:r>
      <w:r w:rsidR="00425CB9" w:rsidRPr="00164329">
        <w:rPr>
          <w:szCs w:val="22"/>
        </w:rPr>
        <w:t>patient population</w:t>
      </w:r>
      <w:r w:rsidR="00310281" w:rsidRPr="00164329">
        <w:rPr>
          <w:szCs w:val="22"/>
        </w:rPr>
        <w:t>.</w:t>
      </w:r>
    </w:p>
    <w:p w:rsidR="006D0CB4" w:rsidRPr="00DF013F" w:rsidRDefault="006D0CB4" w:rsidP="00BB545F">
      <w:pPr>
        <w:pStyle w:val="ListParagraph"/>
        <w:rPr>
          <w:szCs w:val="22"/>
        </w:rPr>
      </w:pPr>
    </w:p>
    <w:p w:rsidR="003B375A" w:rsidRPr="00164329" w:rsidRDefault="006D0CB4" w:rsidP="000734DB">
      <w:pPr>
        <w:pStyle w:val="ListParagraph"/>
        <w:numPr>
          <w:ilvl w:val="1"/>
          <w:numId w:val="10"/>
        </w:numPr>
        <w:rPr>
          <w:szCs w:val="22"/>
        </w:rPr>
      </w:pPr>
      <w:r w:rsidRPr="00164329">
        <w:rPr>
          <w:szCs w:val="22"/>
        </w:rPr>
        <w:t xml:space="preserve">The ESC </w:t>
      </w:r>
      <w:r w:rsidR="007D7FB6" w:rsidRPr="00164329">
        <w:rPr>
          <w:szCs w:val="22"/>
        </w:rPr>
        <w:t>considered</w:t>
      </w:r>
      <w:r w:rsidRPr="00164329">
        <w:rPr>
          <w:szCs w:val="22"/>
        </w:rPr>
        <w:t xml:space="preserve"> that the treatment algorithm for CLL is evolving</w:t>
      </w:r>
      <w:r w:rsidR="00D93786" w:rsidRPr="00164329">
        <w:rPr>
          <w:szCs w:val="22"/>
        </w:rPr>
        <w:t xml:space="preserve">, noting </w:t>
      </w:r>
      <w:r w:rsidR="007D7FB6" w:rsidRPr="00164329">
        <w:rPr>
          <w:szCs w:val="22"/>
        </w:rPr>
        <w:t>two recent changes. In November 2014, t</w:t>
      </w:r>
      <w:r w:rsidR="00D93786" w:rsidRPr="00164329">
        <w:rPr>
          <w:szCs w:val="22"/>
        </w:rPr>
        <w:t>he PBAC</w:t>
      </w:r>
      <w:r w:rsidR="007D7FB6" w:rsidRPr="00164329">
        <w:rPr>
          <w:szCs w:val="22"/>
        </w:rPr>
        <w:t xml:space="preserve"> recommended </w:t>
      </w:r>
      <w:r w:rsidR="003B375A" w:rsidRPr="00164329">
        <w:rPr>
          <w:szCs w:val="22"/>
        </w:rPr>
        <w:t>ofatumu</w:t>
      </w:r>
      <w:r w:rsidR="00D93786" w:rsidRPr="00164329">
        <w:rPr>
          <w:szCs w:val="22"/>
        </w:rPr>
        <w:t>m</w:t>
      </w:r>
      <w:r w:rsidR="003B375A" w:rsidRPr="00164329">
        <w:rPr>
          <w:szCs w:val="22"/>
        </w:rPr>
        <w:t xml:space="preserve">ab + chlorambucil for </w:t>
      </w:r>
      <w:r w:rsidR="007D7FB6" w:rsidRPr="00164329">
        <w:rPr>
          <w:szCs w:val="22"/>
        </w:rPr>
        <w:t xml:space="preserve">the </w:t>
      </w:r>
      <w:r w:rsidR="00D93786" w:rsidRPr="00164329">
        <w:rPr>
          <w:szCs w:val="22"/>
        </w:rPr>
        <w:t>first</w:t>
      </w:r>
      <w:r w:rsidR="00D93786" w:rsidRPr="00164329">
        <w:rPr>
          <w:szCs w:val="22"/>
        </w:rPr>
        <w:noBreakHyphen/>
        <w:t>line treatment</w:t>
      </w:r>
      <w:r w:rsidR="007D7FB6" w:rsidRPr="00164329">
        <w:rPr>
          <w:szCs w:val="22"/>
        </w:rPr>
        <w:t xml:space="preserve"> of CLL in patients who are</w:t>
      </w:r>
      <w:r w:rsidR="00D93786" w:rsidRPr="00164329">
        <w:rPr>
          <w:szCs w:val="22"/>
        </w:rPr>
        <w:t xml:space="preserve"> </w:t>
      </w:r>
      <w:r w:rsidR="000734DB" w:rsidRPr="00164329">
        <w:rPr>
          <w:szCs w:val="22"/>
        </w:rPr>
        <w:t>inappropriate for fludarabine based therapy</w:t>
      </w:r>
      <w:r w:rsidR="007D7FB6" w:rsidRPr="00164329">
        <w:rPr>
          <w:szCs w:val="22"/>
        </w:rPr>
        <w:t xml:space="preserve">. On </w:t>
      </w:r>
      <w:r w:rsidR="00D93786" w:rsidRPr="00164329">
        <w:rPr>
          <w:szCs w:val="22"/>
        </w:rPr>
        <w:t>1 December 2014</w:t>
      </w:r>
      <w:r w:rsidR="007D7FB6" w:rsidRPr="00164329">
        <w:rPr>
          <w:szCs w:val="22"/>
        </w:rPr>
        <w:t>,</w:t>
      </w:r>
      <w:r w:rsidR="00D93786" w:rsidRPr="00164329">
        <w:rPr>
          <w:szCs w:val="22"/>
        </w:rPr>
        <w:t xml:space="preserve"> </w:t>
      </w:r>
      <w:r w:rsidR="007D7FB6" w:rsidRPr="00164329">
        <w:rPr>
          <w:szCs w:val="22"/>
        </w:rPr>
        <w:t>r</w:t>
      </w:r>
      <w:r w:rsidR="00D93786" w:rsidRPr="00164329">
        <w:rPr>
          <w:szCs w:val="22"/>
        </w:rPr>
        <w:t xml:space="preserve">ituximab </w:t>
      </w:r>
      <w:r w:rsidR="007D7FB6" w:rsidRPr="00164329">
        <w:rPr>
          <w:szCs w:val="22"/>
        </w:rPr>
        <w:t xml:space="preserve">was listed </w:t>
      </w:r>
      <w:r w:rsidR="00D93786" w:rsidRPr="00164329">
        <w:rPr>
          <w:szCs w:val="22"/>
        </w:rPr>
        <w:t>for use in CLL in combination with chemotherapy</w:t>
      </w:r>
      <w:r w:rsidR="00425CB9" w:rsidRPr="00164329">
        <w:rPr>
          <w:szCs w:val="22"/>
        </w:rPr>
        <w:t>.</w:t>
      </w:r>
      <w:r w:rsidR="00D93786" w:rsidRPr="00164329">
        <w:rPr>
          <w:szCs w:val="22"/>
        </w:rPr>
        <w:t xml:space="preserve"> PBS-subsidised rituximab had previously been restricted to use in combination with </w:t>
      </w:r>
      <w:r w:rsidR="00D93786" w:rsidRPr="00164329">
        <w:t xml:space="preserve">fludarabine </w:t>
      </w:r>
      <w:r w:rsidR="000D5245" w:rsidRPr="00164329">
        <w:t>plus</w:t>
      </w:r>
      <w:r w:rsidR="00D93786" w:rsidRPr="00164329">
        <w:t xml:space="preserve"> cyclophosphamide.</w:t>
      </w:r>
    </w:p>
    <w:p w:rsidR="00E55BB5" w:rsidRDefault="00E55BB5" w:rsidP="00F61566">
      <w:pPr>
        <w:pStyle w:val="Header"/>
        <w:widowControl/>
        <w:rPr>
          <w:szCs w:val="22"/>
        </w:rPr>
      </w:pPr>
    </w:p>
    <w:p w:rsidR="00B523C4" w:rsidRPr="00164329" w:rsidRDefault="00B523C4" w:rsidP="00B523C4">
      <w:pPr>
        <w:pStyle w:val="ListParagraph"/>
        <w:widowControl/>
        <w:rPr>
          <w:i/>
          <w:szCs w:val="22"/>
        </w:rPr>
      </w:pPr>
      <w:r w:rsidRPr="00164329">
        <w:rPr>
          <w:i/>
          <w:szCs w:val="22"/>
        </w:rPr>
        <w:t>For more detail on PBAC’s view, see section 7 “PBAC outcome”</w:t>
      </w:r>
    </w:p>
    <w:p w:rsidR="00B523C4" w:rsidRDefault="00B523C4" w:rsidP="00F61566">
      <w:pPr>
        <w:pStyle w:val="Header"/>
        <w:widowControl/>
        <w:rPr>
          <w:szCs w:val="22"/>
        </w:rPr>
      </w:pPr>
    </w:p>
    <w:p w:rsidR="00F57BE8" w:rsidRPr="00882085" w:rsidRDefault="00F57BE8" w:rsidP="00F61566">
      <w:pPr>
        <w:pStyle w:val="Header"/>
        <w:widowControl/>
        <w:rPr>
          <w:szCs w:val="22"/>
        </w:rPr>
      </w:pPr>
    </w:p>
    <w:p w:rsidR="00B50DB8" w:rsidRPr="00407F2D" w:rsidRDefault="00B50DB8" w:rsidP="00F61566">
      <w:pPr>
        <w:pStyle w:val="Header"/>
        <w:keepNext/>
        <w:widowControl/>
        <w:numPr>
          <w:ilvl w:val="0"/>
          <w:numId w:val="10"/>
        </w:numPr>
        <w:tabs>
          <w:tab w:val="clear" w:pos="4513"/>
          <w:tab w:val="clear" w:pos="9026"/>
        </w:tabs>
        <w:rPr>
          <w:b/>
          <w:szCs w:val="22"/>
        </w:rPr>
      </w:pPr>
      <w:r w:rsidRPr="00407F2D">
        <w:rPr>
          <w:b/>
          <w:szCs w:val="22"/>
        </w:rPr>
        <w:t>Comparator</w:t>
      </w:r>
    </w:p>
    <w:p w:rsidR="00B60939" w:rsidRPr="00882085" w:rsidRDefault="00B60939" w:rsidP="00F61566">
      <w:pPr>
        <w:keepNext/>
        <w:widowControl/>
      </w:pPr>
    </w:p>
    <w:p w:rsidR="002C2775" w:rsidRPr="00BA5DC3" w:rsidRDefault="00D14CB2" w:rsidP="00925FED">
      <w:pPr>
        <w:pStyle w:val="ListParagraph"/>
        <w:keepNext/>
        <w:widowControl/>
        <w:numPr>
          <w:ilvl w:val="1"/>
          <w:numId w:val="10"/>
        </w:numPr>
        <w:rPr>
          <w:szCs w:val="22"/>
        </w:rPr>
      </w:pPr>
      <w:r>
        <w:t xml:space="preserve">The submission proposed </w:t>
      </w:r>
      <w:r w:rsidR="004E4D54">
        <w:t>r</w:t>
      </w:r>
      <w:r w:rsidR="00843874" w:rsidRPr="009832FA">
        <w:t>ituximab</w:t>
      </w:r>
      <w:r w:rsidR="00980371" w:rsidRPr="009832FA">
        <w:t xml:space="preserve"> monotherapy</w:t>
      </w:r>
      <w:r>
        <w:t xml:space="preserve"> as the comparator</w:t>
      </w:r>
      <w:r w:rsidR="00843874" w:rsidRPr="009832FA">
        <w:t>.</w:t>
      </w:r>
      <w:r w:rsidR="00843874" w:rsidRPr="009832FA">
        <w:rPr>
          <w:color w:val="3366FF"/>
        </w:rPr>
        <w:t xml:space="preserve"> </w:t>
      </w:r>
      <w:r w:rsidR="00F067A2" w:rsidRPr="009832FA">
        <w:t>T</w:t>
      </w:r>
      <w:r w:rsidR="00843874" w:rsidRPr="009832FA">
        <w:t xml:space="preserve">he evaluator </w:t>
      </w:r>
      <w:r w:rsidR="009A62E5">
        <w:t xml:space="preserve">considered that this was not </w:t>
      </w:r>
      <w:r w:rsidR="00F067A2" w:rsidRPr="009832FA">
        <w:t>the appropriate comparator</w:t>
      </w:r>
      <w:r w:rsidR="00D97569" w:rsidRPr="009832FA">
        <w:t xml:space="preserve"> </w:t>
      </w:r>
      <w:r w:rsidR="009A62E5">
        <w:t>because</w:t>
      </w:r>
      <w:r w:rsidR="00D97569" w:rsidRPr="009832FA">
        <w:t xml:space="preserve"> </w:t>
      </w:r>
      <w:r w:rsidR="00D97569" w:rsidRPr="00A57C29">
        <w:t xml:space="preserve">rituximab monotherapy </w:t>
      </w:r>
      <w:r w:rsidR="008964CC" w:rsidRPr="00A57C29">
        <w:t>i</w:t>
      </w:r>
      <w:r w:rsidR="00D97569" w:rsidRPr="00A57C29">
        <w:t>s not routinely us</w:t>
      </w:r>
      <w:r w:rsidR="008034E6" w:rsidRPr="00A57C29">
        <w:t>ed as a second-line treatment for</w:t>
      </w:r>
      <w:r w:rsidR="00D97569" w:rsidRPr="00A57C29">
        <w:t xml:space="preserve"> CLL</w:t>
      </w:r>
      <w:r w:rsidR="008964CC" w:rsidRPr="00A57C29">
        <w:t xml:space="preserve">. </w:t>
      </w:r>
      <w:r w:rsidR="008964CC" w:rsidRPr="00B7335C">
        <w:t>T</w:t>
      </w:r>
      <w:r w:rsidR="00CE7605" w:rsidRPr="00B7335C">
        <w:t xml:space="preserve">he </w:t>
      </w:r>
      <w:r w:rsidR="00FB3ACF" w:rsidRPr="00B7335C">
        <w:t xml:space="preserve">submission’s </w:t>
      </w:r>
      <w:r w:rsidR="00CE7605" w:rsidRPr="00B7335C">
        <w:t xml:space="preserve">proposed listing was not limited to patients </w:t>
      </w:r>
      <w:r w:rsidR="00B7335C">
        <w:t>who are unsuitable for</w:t>
      </w:r>
      <w:r w:rsidR="00CE7605" w:rsidRPr="00B7335C">
        <w:t xml:space="preserve"> chemotherapy </w:t>
      </w:r>
      <w:r w:rsidR="008964CC" w:rsidRPr="00B7335C">
        <w:t xml:space="preserve">and as such, </w:t>
      </w:r>
      <w:r w:rsidR="00B7335C">
        <w:t xml:space="preserve">the evaluation considered that </w:t>
      </w:r>
      <w:r w:rsidR="008964CC" w:rsidRPr="00B7335C">
        <w:t xml:space="preserve">an appropriate comparator </w:t>
      </w:r>
      <w:r w:rsidR="00381333" w:rsidRPr="00B7335C">
        <w:t>c</w:t>
      </w:r>
      <w:r w:rsidR="008964CC" w:rsidRPr="00B7335C">
        <w:t xml:space="preserve">ould have been rituximab </w:t>
      </w:r>
      <w:r w:rsidR="008964CC" w:rsidRPr="00870360">
        <w:t xml:space="preserve">in </w:t>
      </w:r>
      <w:r w:rsidR="008964CC" w:rsidRPr="00BA5DC3">
        <w:t>combination with chemotherapy</w:t>
      </w:r>
      <w:r w:rsidR="00F067A2" w:rsidRPr="00BA5DC3">
        <w:t>.</w:t>
      </w:r>
      <w:r w:rsidR="00B7335C" w:rsidRPr="00BA5DC3">
        <w:t xml:space="preserve"> </w:t>
      </w:r>
      <w:r w:rsidR="00B7335C" w:rsidRPr="00ED0412">
        <w:t>The PBAC agreed</w:t>
      </w:r>
      <w:r w:rsidR="00870360" w:rsidRPr="00ED0412">
        <w:t xml:space="preserve"> </w:t>
      </w:r>
      <w:r w:rsidR="00B7335C" w:rsidRPr="00ED0412">
        <w:t xml:space="preserve">that chemo-immunotherapy was the appropriate comparator for the </w:t>
      </w:r>
      <w:r w:rsidR="005B63D1" w:rsidRPr="00ED0412">
        <w:t xml:space="preserve">broader </w:t>
      </w:r>
      <w:r w:rsidR="00B7335C" w:rsidRPr="00ED0412">
        <w:t>population originally requested in the submission</w:t>
      </w:r>
      <w:r w:rsidR="00B7335C" w:rsidRPr="00BA5DC3">
        <w:t xml:space="preserve">. </w:t>
      </w:r>
    </w:p>
    <w:p w:rsidR="00E15A4F" w:rsidRPr="00950846" w:rsidRDefault="00E15A4F" w:rsidP="00DB2401">
      <w:pPr>
        <w:pStyle w:val="ListParagraph"/>
        <w:widowControl/>
        <w:rPr>
          <w:szCs w:val="22"/>
        </w:rPr>
      </w:pPr>
    </w:p>
    <w:p w:rsidR="00FB3ACF" w:rsidRPr="00164329" w:rsidRDefault="00FB3ACF" w:rsidP="00FB3ACF">
      <w:pPr>
        <w:pStyle w:val="ListParagraph"/>
        <w:numPr>
          <w:ilvl w:val="1"/>
          <w:numId w:val="10"/>
        </w:numPr>
      </w:pPr>
      <w:r w:rsidRPr="00164329">
        <w:t>The ESC</w:t>
      </w:r>
      <w:r w:rsidR="00870360">
        <w:t xml:space="preserve"> considered </w:t>
      </w:r>
      <w:r w:rsidRPr="00164329">
        <w:t xml:space="preserve">that rituximab monotherapy was </w:t>
      </w:r>
      <w:r w:rsidR="00E343DD" w:rsidRPr="00164329">
        <w:t xml:space="preserve">not </w:t>
      </w:r>
      <w:r w:rsidRPr="00164329">
        <w:t xml:space="preserve">the appropriate comparator </w:t>
      </w:r>
      <w:r w:rsidR="00E343DD" w:rsidRPr="00164329">
        <w:t xml:space="preserve">because </w:t>
      </w:r>
      <w:r w:rsidRPr="00164329">
        <w:t xml:space="preserve">rituximab monotherapy </w:t>
      </w:r>
      <w:r w:rsidR="001A5E67" w:rsidRPr="00164329">
        <w:t>is neither PBS-listed nor TGA</w:t>
      </w:r>
      <w:r w:rsidR="001A5E67" w:rsidRPr="00164329">
        <w:noBreakHyphen/>
      </w:r>
      <w:r w:rsidRPr="00164329">
        <w:t>approved</w:t>
      </w:r>
      <w:r w:rsidR="00E343DD" w:rsidRPr="00164329">
        <w:t xml:space="preserve"> </w:t>
      </w:r>
      <w:r w:rsidR="006222DF" w:rsidRPr="00164329">
        <w:t xml:space="preserve">for use </w:t>
      </w:r>
      <w:r w:rsidR="00E343DD" w:rsidRPr="00164329">
        <w:t xml:space="preserve">in </w:t>
      </w:r>
      <w:r w:rsidR="00E343DD" w:rsidRPr="00164329">
        <w:lastRenderedPageBreak/>
        <w:t>CLL</w:t>
      </w:r>
      <w:r w:rsidR="000D1E47" w:rsidRPr="00164329">
        <w:t xml:space="preserve">. </w:t>
      </w:r>
      <w:r w:rsidR="00003836" w:rsidRPr="00164329">
        <w:t xml:space="preserve">Further, </w:t>
      </w:r>
      <w:r w:rsidR="005922EB" w:rsidRPr="00164329">
        <w:t>e</w:t>
      </w:r>
      <w:r w:rsidR="000D1E47" w:rsidRPr="00164329">
        <w:t>xpert opinion</w:t>
      </w:r>
      <w:r w:rsidR="00003836" w:rsidRPr="00164329">
        <w:t xml:space="preserve"> was t</w:t>
      </w:r>
      <w:r w:rsidR="005922EB" w:rsidRPr="00164329">
        <w:t>hat</w:t>
      </w:r>
      <w:r w:rsidR="00E343DD" w:rsidRPr="00164329">
        <w:t xml:space="preserve"> rituximab is not routinely used as monotherapy in CLL in Australian clinical practice. </w:t>
      </w:r>
      <w:r w:rsidRPr="00164329">
        <w:t xml:space="preserve"> </w:t>
      </w:r>
    </w:p>
    <w:p w:rsidR="00FB3ACF" w:rsidRPr="00164329" w:rsidRDefault="00FB3ACF" w:rsidP="00BB545F">
      <w:pPr>
        <w:pStyle w:val="ListParagraph"/>
      </w:pPr>
    </w:p>
    <w:p w:rsidR="00695396" w:rsidRPr="00164329" w:rsidRDefault="00695396" w:rsidP="00695396">
      <w:pPr>
        <w:pStyle w:val="ListParagraph"/>
        <w:numPr>
          <w:ilvl w:val="1"/>
          <w:numId w:val="10"/>
        </w:numPr>
      </w:pPr>
      <w:r w:rsidRPr="00164329">
        <w:t>While the PSCR revised the restriction to limit idelalisib use to patients in whom chemo-immunotherapy is not considered suitable, the ESC considered that this would be interpreted in clinical practice as patients less able to tolerate chemo</w:t>
      </w:r>
      <w:r w:rsidRPr="00164329">
        <w:noBreakHyphen/>
        <w:t xml:space="preserve">immunotherapy. Expert opinion was that low doses of chemotherapy are often added to rituximab in patients less able to tolerate chemotherapy. Should use of idelalisib be restricted to patients truly unable to tolerate further chemotherapy, rituximab monotherapy and/or best supportive care may become more </w:t>
      </w:r>
      <w:r w:rsidR="00613837" w:rsidRPr="00164329">
        <w:t>important</w:t>
      </w:r>
      <w:r w:rsidRPr="00164329">
        <w:t xml:space="preserve"> comparators.  </w:t>
      </w:r>
    </w:p>
    <w:p w:rsidR="00695396" w:rsidRPr="00164329" w:rsidRDefault="00695396" w:rsidP="00695396">
      <w:pPr>
        <w:pStyle w:val="ListParagraph"/>
      </w:pPr>
    </w:p>
    <w:p w:rsidR="006D3607" w:rsidRPr="00164329" w:rsidRDefault="00695396" w:rsidP="00364505">
      <w:pPr>
        <w:pStyle w:val="ListParagraph"/>
        <w:widowControl/>
        <w:numPr>
          <w:ilvl w:val="1"/>
          <w:numId w:val="10"/>
        </w:numPr>
        <w:rPr>
          <w:szCs w:val="22"/>
        </w:rPr>
      </w:pPr>
      <w:r w:rsidRPr="00164329">
        <w:t>T</w:t>
      </w:r>
      <w:r w:rsidR="00FB3ACF" w:rsidRPr="00164329">
        <w:t xml:space="preserve">he </w:t>
      </w:r>
      <w:r w:rsidR="00950846" w:rsidRPr="00164329">
        <w:t xml:space="preserve">IPSOS </w:t>
      </w:r>
      <w:r w:rsidR="00472608" w:rsidRPr="00164329">
        <w:t xml:space="preserve">Oncology Monitor </w:t>
      </w:r>
      <w:r w:rsidR="00950846" w:rsidRPr="00164329">
        <w:t>data</w:t>
      </w:r>
      <w:r w:rsidR="00472608" w:rsidRPr="00164329">
        <w:t>set</w:t>
      </w:r>
      <w:r w:rsidR="0051310B" w:rsidRPr="00164329">
        <w:t xml:space="preserve"> (quarter 4 2012 - quarter 3 2013)</w:t>
      </w:r>
      <w:r w:rsidR="00472608" w:rsidRPr="00164329">
        <w:t xml:space="preserve"> </w:t>
      </w:r>
      <w:r w:rsidRPr="00164329">
        <w:t xml:space="preserve">found that fludarabine + cyclophosphamide + rituximab (FCR, which would include FCR-lite) was the most commonly used regimen in second and later lines of therapy (used in 30% of patients), while </w:t>
      </w:r>
      <w:r w:rsidR="00003836" w:rsidRPr="00164329">
        <w:t xml:space="preserve">rituximab monotherapy (± prednisone) was the second most commonly used regimen (used in 27% of patients). </w:t>
      </w:r>
      <w:r w:rsidRPr="00164329">
        <w:t xml:space="preserve">A range of other treatments also appeared to be used in this setting, including chlorambucil ± prednisone (11%) and cyclophosphamide ± prednisone (10%). </w:t>
      </w:r>
      <w:r w:rsidR="00003836" w:rsidRPr="00164329">
        <w:t>However, the submission provided limited information regarding the survey methodology and thus the ESC considered that the reliability of this source was unclear</w:t>
      </w:r>
      <w:r w:rsidR="00364505">
        <w:t>. While additional information was included in the pre-PBAC response, detailed information on the survey methodology and data collection w</w:t>
      </w:r>
      <w:r w:rsidR="00FF3A81">
        <w:t>ere</w:t>
      </w:r>
      <w:r w:rsidR="00364505">
        <w:t xml:space="preserve"> not provided. </w:t>
      </w:r>
      <w:r w:rsidR="00003836" w:rsidRPr="00164329">
        <w:t>The</w:t>
      </w:r>
      <w:r w:rsidR="00D93786" w:rsidRPr="00164329">
        <w:t xml:space="preserve"> </w:t>
      </w:r>
      <w:r w:rsidR="00243002" w:rsidRPr="00164329">
        <w:t xml:space="preserve">ESC noted that the IPSOS </w:t>
      </w:r>
      <w:r w:rsidR="00172698" w:rsidRPr="00164329">
        <w:t xml:space="preserve">data may not reflect current Australian </w:t>
      </w:r>
      <w:r w:rsidR="00A95C88" w:rsidRPr="00164329">
        <w:t>practice</w:t>
      </w:r>
      <w:r w:rsidR="00172698" w:rsidRPr="00164329">
        <w:t xml:space="preserve"> </w:t>
      </w:r>
      <w:r w:rsidR="009542E0" w:rsidRPr="00164329">
        <w:t xml:space="preserve">given </w:t>
      </w:r>
      <w:r w:rsidR="00A95C88" w:rsidRPr="00164329">
        <w:t>the rapidly evolving nature of the CLL</w:t>
      </w:r>
      <w:r w:rsidR="00172698" w:rsidRPr="00164329">
        <w:t xml:space="preserve"> </w:t>
      </w:r>
      <w:r w:rsidR="00D93786" w:rsidRPr="00164329">
        <w:t>treatment algorithm</w:t>
      </w:r>
      <w:r w:rsidR="00A95C88" w:rsidRPr="00164329">
        <w:t>.</w:t>
      </w:r>
      <w:r w:rsidR="009542E0" w:rsidRPr="00164329">
        <w:t xml:space="preserve"> </w:t>
      </w:r>
    </w:p>
    <w:p w:rsidR="0051310B" w:rsidRDefault="0051310B" w:rsidP="00BB545F">
      <w:pPr>
        <w:pStyle w:val="ListParagraph"/>
        <w:widowControl/>
        <w:rPr>
          <w:i/>
          <w:szCs w:val="22"/>
        </w:rPr>
      </w:pPr>
    </w:p>
    <w:p w:rsidR="00B523C4" w:rsidRPr="00164329" w:rsidRDefault="00B523C4" w:rsidP="00B523C4">
      <w:pPr>
        <w:pStyle w:val="ListParagraph"/>
        <w:widowControl/>
        <w:rPr>
          <w:i/>
          <w:szCs w:val="22"/>
        </w:rPr>
      </w:pPr>
      <w:r w:rsidRPr="00164329">
        <w:rPr>
          <w:i/>
          <w:szCs w:val="22"/>
        </w:rPr>
        <w:t>For more detail on PBAC’s view, see section 7 “PBAC outcome”</w:t>
      </w:r>
    </w:p>
    <w:p w:rsidR="00B523C4" w:rsidRPr="00925FED" w:rsidRDefault="00B523C4" w:rsidP="00BB545F">
      <w:pPr>
        <w:pStyle w:val="ListParagraph"/>
        <w:widowControl/>
        <w:rPr>
          <w:i/>
          <w:szCs w:val="22"/>
        </w:rPr>
      </w:pPr>
    </w:p>
    <w:p w:rsidR="005922EB" w:rsidRDefault="005922EB" w:rsidP="00BB545F">
      <w:pPr>
        <w:pStyle w:val="ListParagraph"/>
        <w:widowControl/>
        <w:rPr>
          <w:i/>
          <w:szCs w:val="22"/>
        </w:rPr>
      </w:pPr>
    </w:p>
    <w:p w:rsidR="00B50DB8" w:rsidRDefault="00BD6CF3" w:rsidP="00F61566">
      <w:pPr>
        <w:pStyle w:val="PBACHeading1"/>
        <w:keepNext/>
      </w:pPr>
      <w:bookmarkStart w:id="8" w:name="_Toc409601142"/>
      <w:r>
        <w:t>C</w:t>
      </w:r>
      <w:r w:rsidR="00B50DB8" w:rsidRPr="00407F2D">
        <w:t>onsideration of the evidence</w:t>
      </w:r>
      <w:bookmarkEnd w:id="8"/>
    </w:p>
    <w:p w:rsidR="00B523C4" w:rsidRPr="00407F2D" w:rsidRDefault="00B523C4" w:rsidP="00164329">
      <w:pPr>
        <w:pStyle w:val="PBACHeading1"/>
        <w:keepNext/>
        <w:numPr>
          <w:ilvl w:val="0"/>
          <w:numId w:val="0"/>
        </w:numPr>
        <w:ind w:left="720"/>
      </w:pPr>
    </w:p>
    <w:p w:rsidR="00B523C4" w:rsidRPr="00164329" w:rsidRDefault="00B523C4" w:rsidP="00164329">
      <w:pPr>
        <w:spacing w:after="200" w:line="276" w:lineRule="auto"/>
        <w:rPr>
          <w:b/>
          <w:bCs/>
          <w:szCs w:val="22"/>
        </w:rPr>
      </w:pPr>
      <w:r w:rsidRPr="00164329">
        <w:rPr>
          <w:b/>
          <w:bCs/>
          <w:szCs w:val="22"/>
        </w:rPr>
        <w:t>Sponsor hearing</w:t>
      </w:r>
    </w:p>
    <w:p w:rsidR="00B523C4" w:rsidRPr="00164329" w:rsidRDefault="00B523C4" w:rsidP="00164329">
      <w:pPr>
        <w:numPr>
          <w:ilvl w:val="1"/>
          <w:numId w:val="10"/>
        </w:numPr>
        <w:contextualSpacing/>
        <w:rPr>
          <w:bCs/>
          <w:szCs w:val="22"/>
        </w:rPr>
      </w:pPr>
      <w:r w:rsidRPr="00164329">
        <w:rPr>
          <w:bCs/>
          <w:szCs w:val="22"/>
        </w:rPr>
        <w:t>The</w:t>
      </w:r>
      <w:r w:rsidR="003375B0" w:rsidRPr="00164329">
        <w:rPr>
          <w:bCs/>
          <w:szCs w:val="22"/>
        </w:rPr>
        <w:t>re was no hearing for this item</w:t>
      </w:r>
      <w:r w:rsidRPr="00164329">
        <w:rPr>
          <w:bCs/>
          <w:szCs w:val="22"/>
        </w:rPr>
        <w:t>.</w:t>
      </w:r>
    </w:p>
    <w:p w:rsidR="00C73993" w:rsidRDefault="00C73993">
      <w:pPr>
        <w:widowControl/>
        <w:jc w:val="left"/>
        <w:rPr>
          <w:bCs/>
          <w:szCs w:val="22"/>
          <w:highlight w:val="yellow"/>
        </w:rPr>
      </w:pPr>
      <w:r>
        <w:rPr>
          <w:bCs/>
          <w:szCs w:val="22"/>
          <w:highlight w:val="yellow"/>
        </w:rPr>
        <w:br w:type="page"/>
      </w:r>
    </w:p>
    <w:p w:rsidR="00B523C4" w:rsidRPr="003A49F2" w:rsidRDefault="00B523C4" w:rsidP="00164329">
      <w:pPr>
        <w:rPr>
          <w:bCs/>
          <w:szCs w:val="22"/>
          <w:highlight w:val="yellow"/>
        </w:rPr>
      </w:pPr>
    </w:p>
    <w:p w:rsidR="00B523C4" w:rsidRPr="00BA5DC3" w:rsidRDefault="00B523C4" w:rsidP="00113F99">
      <w:pPr>
        <w:pStyle w:val="Heading2"/>
      </w:pPr>
      <w:r w:rsidRPr="00BA5DC3">
        <w:t>Consumer comments</w:t>
      </w:r>
    </w:p>
    <w:p w:rsidR="00113F99" w:rsidRDefault="00113F99" w:rsidP="00113F99">
      <w:pPr>
        <w:ind w:left="720"/>
        <w:contextualSpacing/>
        <w:rPr>
          <w:bCs/>
          <w:szCs w:val="22"/>
        </w:rPr>
      </w:pPr>
    </w:p>
    <w:p w:rsidR="00B523C4" w:rsidRPr="00ED0412" w:rsidRDefault="00B523C4" w:rsidP="00164329">
      <w:pPr>
        <w:numPr>
          <w:ilvl w:val="1"/>
          <w:numId w:val="10"/>
        </w:numPr>
        <w:contextualSpacing/>
        <w:rPr>
          <w:bCs/>
          <w:szCs w:val="22"/>
        </w:rPr>
      </w:pPr>
      <w:r w:rsidRPr="00ED0412">
        <w:rPr>
          <w:bCs/>
          <w:szCs w:val="22"/>
        </w:rPr>
        <w:t>The PBAC noted and welcom</w:t>
      </w:r>
      <w:r w:rsidR="003375B0" w:rsidRPr="00ED0412">
        <w:rPr>
          <w:bCs/>
          <w:szCs w:val="22"/>
        </w:rPr>
        <w:t xml:space="preserve">ed the input from individuals (5) </w:t>
      </w:r>
      <w:r w:rsidRPr="00ED0412">
        <w:rPr>
          <w:bCs/>
          <w:szCs w:val="22"/>
        </w:rPr>
        <w:t xml:space="preserve">via the Consumer Comments facility on the PBS website. The comments described a range of benefits of treatment with </w:t>
      </w:r>
      <w:r w:rsidR="003375B0" w:rsidRPr="00ED0412">
        <w:rPr>
          <w:bCs/>
          <w:szCs w:val="22"/>
        </w:rPr>
        <w:t>idelalisib</w:t>
      </w:r>
      <w:r w:rsidRPr="00ED0412">
        <w:rPr>
          <w:bCs/>
          <w:szCs w:val="22"/>
        </w:rPr>
        <w:t xml:space="preserve"> including</w:t>
      </w:r>
      <w:r w:rsidR="00FF494C" w:rsidRPr="00ED0412">
        <w:rPr>
          <w:bCs/>
          <w:szCs w:val="22"/>
        </w:rPr>
        <w:t xml:space="preserve"> that it </w:t>
      </w:r>
      <w:r w:rsidR="0016674A" w:rsidRPr="00ED0412">
        <w:rPr>
          <w:bCs/>
          <w:szCs w:val="22"/>
        </w:rPr>
        <w:t>pro</w:t>
      </w:r>
      <w:r w:rsidR="00E03799" w:rsidRPr="00ED0412">
        <w:rPr>
          <w:bCs/>
          <w:szCs w:val="22"/>
        </w:rPr>
        <w:t>long</w:t>
      </w:r>
      <w:r w:rsidR="00FF494C" w:rsidRPr="00ED0412">
        <w:rPr>
          <w:bCs/>
          <w:szCs w:val="22"/>
        </w:rPr>
        <w:t>s r</w:t>
      </w:r>
      <w:r w:rsidR="003375B0" w:rsidRPr="00ED0412">
        <w:rPr>
          <w:bCs/>
          <w:szCs w:val="22"/>
        </w:rPr>
        <w:t xml:space="preserve">emission, </w:t>
      </w:r>
      <w:r w:rsidR="0016674A" w:rsidRPr="00ED0412">
        <w:rPr>
          <w:bCs/>
          <w:szCs w:val="22"/>
        </w:rPr>
        <w:t>improve</w:t>
      </w:r>
      <w:r w:rsidR="00FF494C" w:rsidRPr="00ED0412">
        <w:rPr>
          <w:bCs/>
          <w:szCs w:val="22"/>
        </w:rPr>
        <w:t>s</w:t>
      </w:r>
      <w:r w:rsidR="0016674A" w:rsidRPr="00ED0412">
        <w:rPr>
          <w:bCs/>
          <w:szCs w:val="22"/>
        </w:rPr>
        <w:t xml:space="preserve"> quality of life and provid</w:t>
      </w:r>
      <w:r w:rsidR="00FF494C" w:rsidRPr="00ED0412">
        <w:rPr>
          <w:bCs/>
          <w:szCs w:val="22"/>
        </w:rPr>
        <w:t>es</w:t>
      </w:r>
      <w:r w:rsidR="0016674A" w:rsidRPr="00ED0412">
        <w:rPr>
          <w:bCs/>
          <w:szCs w:val="22"/>
        </w:rPr>
        <w:t xml:space="preserve"> another </w:t>
      </w:r>
      <w:r w:rsidR="00FF494C" w:rsidRPr="00ED0412">
        <w:rPr>
          <w:bCs/>
          <w:szCs w:val="22"/>
        </w:rPr>
        <w:t xml:space="preserve">treatment </w:t>
      </w:r>
      <w:r w:rsidR="0016674A" w:rsidRPr="00ED0412">
        <w:rPr>
          <w:bCs/>
          <w:szCs w:val="22"/>
        </w:rPr>
        <w:t>option while</w:t>
      </w:r>
      <w:r w:rsidR="00D75BE2" w:rsidRPr="00ED0412">
        <w:rPr>
          <w:bCs/>
          <w:szCs w:val="22"/>
        </w:rPr>
        <w:t xml:space="preserve"> patients a</w:t>
      </w:r>
      <w:r w:rsidR="0016674A" w:rsidRPr="00ED0412">
        <w:rPr>
          <w:bCs/>
          <w:szCs w:val="22"/>
        </w:rPr>
        <w:t>wait</w:t>
      </w:r>
      <w:r w:rsidR="00D75BE2" w:rsidRPr="00ED0412">
        <w:rPr>
          <w:bCs/>
          <w:szCs w:val="22"/>
        </w:rPr>
        <w:t xml:space="preserve"> the development of a </w:t>
      </w:r>
      <w:r w:rsidR="0016674A" w:rsidRPr="00ED0412">
        <w:rPr>
          <w:bCs/>
          <w:szCs w:val="22"/>
        </w:rPr>
        <w:t>potential cure</w:t>
      </w:r>
      <w:r w:rsidR="00D75BE2" w:rsidRPr="00ED0412">
        <w:rPr>
          <w:bCs/>
          <w:szCs w:val="22"/>
        </w:rPr>
        <w:t>.</w:t>
      </w:r>
      <w:r w:rsidR="0016674A" w:rsidRPr="00ED0412">
        <w:rPr>
          <w:bCs/>
          <w:szCs w:val="22"/>
        </w:rPr>
        <w:t xml:space="preserve"> </w:t>
      </w:r>
      <w:r w:rsidR="003375B0" w:rsidRPr="00ED0412">
        <w:rPr>
          <w:bCs/>
          <w:szCs w:val="22"/>
        </w:rPr>
        <w:t xml:space="preserve"> </w:t>
      </w:r>
      <w:r w:rsidRPr="00ED0412">
        <w:rPr>
          <w:bCs/>
          <w:szCs w:val="22"/>
        </w:rPr>
        <w:t xml:space="preserve"> </w:t>
      </w:r>
    </w:p>
    <w:p w:rsidR="00C130A3" w:rsidRPr="00ED0412" w:rsidRDefault="00C130A3" w:rsidP="00164329">
      <w:pPr>
        <w:ind w:left="720"/>
        <w:contextualSpacing/>
        <w:rPr>
          <w:bCs/>
          <w:szCs w:val="22"/>
        </w:rPr>
      </w:pPr>
    </w:p>
    <w:p w:rsidR="00C130A3" w:rsidRPr="00ED0412" w:rsidRDefault="00C130A3" w:rsidP="00C130A3">
      <w:pPr>
        <w:widowControl/>
        <w:numPr>
          <w:ilvl w:val="1"/>
          <w:numId w:val="10"/>
        </w:numPr>
        <w:contextualSpacing/>
        <w:rPr>
          <w:bCs/>
          <w:szCs w:val="22"/>
        </w:rPr>
      </w:pPr>
      <w:r w:rsidRPr="00ED0412">
        <w:rPr>
          <w:bCs/>
          <w:szCs w:val="22"/>
        </w:rPr>
        <w:t xml:space="preserve">Representatives of the PBAC met with Lymphoma Australia prior to the PBAC meeting, and reported the following key points to the PBAC in relation to the agenda items for CLL and indolent NHL:  </w:t>
      </w:r>
    </w:p>
    <w:p w:rsidR="00C130A3" w:rsidRPr="00ED0412" w:rsidRDefault="00C130A3" w:rsidP="00C130A3">
      <w:pPr>
        <w:ind w:left="720"/>
        <w:contextualSpacing/>
        <w:rPr>
          <w:bCs/>
          <w:szCs w:val="22"/>
        </w:rPr>
      </w:pPr>
    </w:p>
    <w:p w:rsidR="00C130A3" w:rsidRPr="00ED0412" w:rsidRDefault="00C130A3" w:rsidP="00C130A3">
      <w:pPr>
        <w:widowControl/>
        <w:numPr>
          <w:ilvl w:val="0"/>
          <w:numId w:val="80"/>
        </w:numPr>
        <w:contextualSpacing/>
        <w:rPr>
          <w:bCs/>
          <w:szCs w:val="22"/>
        </w:rPr>
      </w:pPr>
      <w:r w:rsidRPr="00ED0412">
        <w:rPr>
          <w:bCs/>
          <w:szCs w:val="22"/>
        </w:rPr>
        <w:t>Consumers place high importance on having access to the best available treatments. Where cure is not possible, the eventual goal would be to enable indolent lymphomas and CLL to be treated as chronic diseases. Ultimately patients may die of conditions unrelated to their lymphoma</w:t>
      </w:r>
      <w:r w:rsidR="009D222B" w:rsidRPr="00ED0412">
        <w:rPr>
          <w:bCs/>
          <w:szCs w:val="22"/>
        </w:rPr>
        <w:t xml:space="preserve"> or CLL</w:t>
      </w:r>
      <w:r w:rsidRPr="00ED0412">
        <w:rPr>
          <w:bCs/>
          <w:szCs w:val="22"/>
        </w:rPr>
        <w:t>.</w:t>
      </w:r>
    </w:p>
    <w:p w:rsidR="00C130A3" w:rsidRPr="00ED0412" w:rsidRDefault="00C130A3" w:rsidP="00C130A3">
      <w:pPr>
        <w:ind w:left="720"/>
        <w:contextualSpacing/>
        <w:rPr>
          <w:bCs/>
          <w:szCs w:val="22"/>
        </w:rPr>
      </w:pPr>
    </w:p>
    <w:p w:rsidR="00C130A3" w:rsidRPr="00ED0412" w:rsidRDefault="00C130A3" w:rsidP="00C130A3">
      <w:pPr>
        <w:widowControl/>
        <w:numPr>
          <w:ilvl w:val="0"/>
          <w:numId w:val="80"/>
        </w:numPr>
        <w:contextualSpacing/>
        <w:rPr>
          <w:bCs/>
          <w:szCs w:val="22"/>
        </w:rPr>
      </w:pPr>
      <w:r w:rsidRPr="00ED0412">
        <w:rPr>
          <w:bCs/>
          <w:szCs w:val="22"/>
        </w:rPr>
        <w:t xml:space="preserve">Patients may relapse multiple times in the course of the disease, and will be treated on relapse. As PBS subsidy may influence the choice of treatment, subsidising the most clinically effective treatments is critical to ensure the best value for the taxpayer. </w:t>
      </w:r>
    </w:p>
    <w:p w:rsidR="00C130A3" w:rsidRPr="00ED0412" w:rsidRDefault="00C130A3" w:rsidP="00C130A3">
      <w:pPr>
        <w:ind w:left="720"/>
        <w:contextualSpacing/>
        <w:rPr>
          <w:bCs/>
          <w:szCs w:val="22"/>
        </w:rPr>
      </w:pPr>
    </w:p>
    <w:p w:rsidR="00C130A3" w:rsidRPr="00ED0412" w:rsidRDefault="00C130A3" w:rsidP="00C130A3">
      <w:pPr>
        <w:widowControl/>
        <w:numPr>
          <w:ilvl w:val="0"/>
          <w:numId w:val="80"/>
        </w:numPr>
        <w:contextualSpacing/>
        <w:rPr>
          <w:bCs/>
          <w:szCs w:val="22"/>
        </w:rPr>
      </w:pPr>
      <w:r w:rsidRPr="00ED0412">
        <w:rPr>
          <w:bCs/>
          <w:szCs w:val="22"/>
        </w:rPr>
        <w:t xml:space="preserve">Patients may be diagnosed at a young age and live for years after diagnosis, and therefore place a high value on </w:t>
      </w:r>
      <w:r w:rsidR="00F57BE8" w:rsidRPr="00ED0412">
        <w:rPr>
          <w:bCs/>
          <w:szCs w:val="22"/>
        </w:rPr>
        <w:t>progression-free survival (</w:t>
      </w:r>
      <w:r w:rsidRPr="00ED0412">
        <w:rPr>
          <w:bCs/>
          <w:szCs w:val="22"/>
        </w:rPr>
        <w:t>PFS</w:t>
      </w:r>
      <w:r w:rsidR="00F57BE8" w:rsidRPr="00ED0412">
        <w:rPr>
          <w:bCs/>
          <w:szCs w:val="22"/>
        </w:rPr>
        <w:t>)</w:t>
      </w:r>
      <w:r w:rsidRPr="00ED0412">
        <w:rPr>
          <w:bCs/>
          <w:szCs w:val="22"/>
        </w:rPr>
        <w:t>. Patients who are well during the progression</w:t>
      </w:r>
      <w:r w:rsidR="00F57BE8" w:rsidRPr="00ED0412">
        <w:rPr>
          <w:bCs/>
          <w:szCs w:val="22"/>
        </w:rPr>
        <w:t>-</w:t>
      </w:r>
      <w:r w:rsidRPr="00ED0412">
        <w:rPr>
          <w:bCs/>
          <w:szCs w:val="22"/>
        </w:rPr>
        <w:t>free period can resume day-to day functions including participating in the workforce and family life. In this context, the decision for the patient rests on a balance of the PFS gained against the quality of life impacts of drug toxicity. The psychological impact of patients’ fear of relapse can have a highly detrimental effect on their quality of life.</w:t>
      </w:r>
    </w:p>
    <w:p w:rsidR="00C130A3" w:rsidRPr="00ED0412" w:rsidRDefault="00C130A3" w:rsidP="00C130A3">
      <w:pPr>
        <w:ind w:left="720"/>
        <w:contextualSpacing/>
        <w:rPr>
          <w:bCs/>
          <w:szCs w:val="22"/>
        </w:rPr>
      </w:pPr>
    </w:p>
    <w:p w:rsidR="00C130A3" w:rsidRPr="00ED0412" w:rsidRDefault="00C130A3" w:rsidP="00C130A3">
      <w:pPr>
        <w:ind w:left="720"/>
        <w:contextualSpacing/>
        <w:rPr>
          <w:bCs/>
          <w:szCs w:val="22"/>
        </w:rPr>
      </w:pPr>
      <w:r w:rsidRPr="00ED0412">
        <w:rPr>
          <w:bCs/>
          <w:szCs w:val="22"/>
        </w:rPr>
        <w:t>The PBAC noted and welcomed this input. The PBAC recognises that a drug may be useful even when it does not provide a survival advantage, but does provide quality of life benefits. In terms of using PFS to value the benefits of a drug, the PBAC recalled that some of the most informative submissions seen to date have presented economic models that incorporate the impacts on quality of life when patients are in a PFS state, capturing the fact that PFS is not a homogenous state. It was noted that exploring how patients could provide more input to rigorous measurement of Quality of Life would be valuable in future consumer submissions.</w:t>
      </w:r>
    </w:p>
    <w:p w:rsidR="00C35E58" w:rsidRPr="00A640BF" w:rsidRDefault="00C35E58" w:rsidP="00F61566">
      <w:pPr>
        <w:keepNext/>
        <w:widowControl/>
      </w:pPr>
    </w:p>
    <w:p w:rsidR="00B60939" w:rsidRPr="00C73993" w:rsidRDefault="00B60939" w:rsidP="00F61566">
      <w:pPr>
        <w:pStyle w:val="Heading2"/>
        <w:keepNext/>
        <w:widowControl/>
      </w:pPr>
      <w:bookmarkStart w:id="9" w:name="_Toc409601143"/>
      <w:r w:rsidRPr="00C73993">
        <w:t>Clinical trials</w:t>
      </w:r>
      <w:bookmarkEnd w:id="9"/>
    </w:p>
    <w:p w:rsidR="00B60939" w:rsidRPr="00882085" w:rsidRDefault="00B60939" w:rsidP="00F61566">
      <w:pPr>
        <w:keepNext/>
        <w:widowControl/>
        <w:rPr>
          <w:szCs w:val="22"/>
        </w:rPr>
      </w:pPr>
    </w:p>
    <w:p w:rsidR="007F1017" w:rsidRPr="00B50DB8" w:rsidRDefault="00D97569" w:rsidP="00F61566">
      <w:pPr>
        <w:pStyle w:val="ListParagraph"/>
        <w:keepNext/>
        <w:widowControl/>
        <w:numPr>
          <w:ilvl w:val="1"/>
          <w:numId w:val="10"/>
        </w:numPr>
        <w:rPr>
          <w:szCs w:val="22"/>
        </w:rPr>
      </w:pPr>
      <w:r>
        <w:t>The submission wa</w:t>
      </w:r>
      <w:r w:rsidR="00862502" w:rsidRPr="00862502">
        <w:t xml:space="preserve">s based on one head-to-head trial comparing </w:t>
      </w:r>
      <w:r>
        <w:t xml:space="preserve">idelalisib plus rituximab </w:t>
      </w:r>
      <w:r w:rsidR="00862502" w:rsidRPr="00862502">
        <w:t xml:space="preserve">to </w:t>
      </w:r>
      <w:r>
        <w:t>placebo plus rituximab</w:t>
      </w:r>
      <w:r w:rsidR="00862502" w:rsidRPr="00862502">
        <w:t xml:space="preserve"> (n</w:t>
      </w:r>
      <w:r>
        <w:t xml:space="preserve"> </w:t>
      </w:r>
      <w:r w:rsidR="00862502" w:rsidRPr="00862502">
        <w:t>=</w:t>
      </w:r>
      <w:r>
        <w:t xml:space="preserve"> 220</w:t>
      </w:r>
      <w:r w:rsidR="00862502" w:rsidRPr="00862502">
        <w:t>).</w:t>
      </w:r>
    </w:p>
    <w:p w:rsidR="00862502" w:rsidRPr="00862502" w:rsidRDefault="00862502" w:rsidP="00F61566">
      <w:pPr>
        <w:widowControl/>
        <w:rPr>
          <w:szCs w:val="22"/>
        </w:rPr>
      </w:pPr>
    </w:p>
    <w:p w:rsidR="00862502" w:rsidRPr="00B50DB8" w:rsidRDefault="00862502" w:rsidP="00F61566">
      <w:pPr>
        <w:pStyle w:val="ListParagraph"/>
        <w:widowControl/>
        <w:numPr>
          <w:ilvl w:val="1"/>
          <w:numId w:val="10"/>
        </w:numPr>
        <w:rPr>
          <w:szCs w:val="22"/>
        </w:rPr>
      </w:pPr>
      <w:r w:rsidRPr="00B50DB8">
        <w:rPr>
          <w:szCs w:val="22"/>
        </w:rPr>
        <w:t xml:space="preserve">Details of the trial presented in the submission are provided in </w:t>
      </w:r>
      <w:r w:rsidR="00C13DCB">
        <w:rPr>
          <w:szCs w:val="22"/>
        </w:rPr>
        <w:t>the table below</w:t>
      </w:r>
      <w:r w:rsidRPr="00B50DB8">
        <w:rPr>
          <w:szCs w:val="22"/>
        </w:rPr>
        <w:t>.</w:t>
      </w:r>
    </w:p>
    <w:p w:rsidR="00862502" w:rsidRPr="00862502" w:rsidRDefault="00862502" w:rsidP="00F61566">
      <w:pPr>
        <w:widowControl/>
        <w:rPr>
          <w:szCs w:val="22"/>
        </w:rPr>
      </w:pPr>
    </w:p>
    <w:p w:rsidR="008F120A" w:rsidRDefault="008F120A" w:rsidP="00F61566">
      <w:pPr>
        <w:keepNext/>
        <w:widowControl/>
        <w:ind w:firstLine="720"/>
        <w:rPr>
          <w:rStyle w:val="CommentReference"/>
        </w:rPr>
      </w:pPr>
      <w:r w:rsidRPr="000812CA">
        <w:rPr>
          <w:rStyle w:val="CommentReference"/>
        </w:rPr>
        <w:lastRenderedPageBreak/>
        <w:t>T</w:t>
      </w:r>
      <w:r w:rsidR="00D97569">
        <w:rPr>
          <w:rStyle w:val="CommentReference"/>
        </w:rPr>
        <w:t xml:space="preserve">he </w:t>
      </w:r>
      <w:r w:rsidR="007F3753">
        <w:rPr>
          <w:rStyle w:val="CommentReference"/>
        </w:rPr>
        <w:t xml:space="preserve">direct randomised </w:t>
      </w:r>
      <w:r w:rsidR="00D97569">
        <w:rPr>
          <w:rStyle w:val="CommentReference"/>
        </w:rPr>
        <w:t>t</w:t>
      </w:r>
      <w:r w:rsidRPr="000812CA">
        <w:rPr>
          <w:rStyle w:val="CommentReference"/>
        </w:rPr>
        <w:t>rial presented</w:t>
      </w:r>
      <w:r w:rsidR="007D1F93">
        <w:rPr>
          <w:rStyle w:val="CommentReference"/>
        </w:rPr>
        <w:t xml:space="preserve"> </w:t>
      </w:r>
      <w:r w:rsidRPr="000812CA">
        <w:rPr>
          <w:rStyle w:val="CommentReference"/>
        </w:rPr>
        <w:t>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 a direct randomised trial presented in the submission"/>
      </w:tblPr>
      <w:tblGrid>
        <w:gridCol w:w="851"/>
        <w:gridCol w:w="5102"/>
        <w:gridCol w:w="2392"/>
      </w:tblGrid>
      <w:tr w:rsidR="00382D47" w:rsidRPr="004E2ADC" w:rsidTr="00413D29">
        <w:trPr>
          <w:cantSplit/>
          <w:tblHeader/>
        </w:trPr>
        <w:tc>
          <w:tcPr>
            <w:tcW w:w="510" w:type="pct"/>
          </w:tcPr>
          <w:p w:rsidR="00382D47" w:rsidRPr="004E2ADC" w:rsidRDefault="00382D47" w:rsidP="00F61566">
            <w:pPr>
              <w:keepNext/>
              <w:widowControl/>
              <w:tabs>
                <w:tab w:val="left" w:pos="952"/>
              </w:tabs>
              <w:jc w:val="left"/>
              <w:rPr>
                <w:rFonts w:ascii="Arial Narrow" w:hAnsi="Arial Narrow"/>
                <w:b/>
                <w:sz w:val="20"/>
              </w:rPr>
            </w:pPr>
            <w:r w:rsidRPr="004E2ADC">
              <w:rPr>
                <w:rFonts w:ascii="Arial Narrow" w:hAnsi="Arial Narrow"/>
                <w:b/>
                <w:sz w:val="20"/>
              </w:rPr>
              <w:t>Trial ID</w:t>
            </w:r>
            <w:r>
              <w:rPr>
                <w:rFonts w:ascii="Arial Narrow" w:hAnsi="Arial Narrow"/>
                <w:b/>
                <w:sz w:val="20"/>
              </w:rPr>
              <w:tab/>
            </w:r>
          </w:p>
        </w:tc>
        <w:tc>
          <w:tcPr>
            <w:tcW w:w="3057" w:type="pct"/>
          </w:tcPr>
          <w:p w:rsidR="00382D47" w:rsidRPr="004E2ADC" w:rsidRDefault="00413D29" w:rsidP="00F61566">
            <w:pPr>
              <w:keepNext/>
              <w:widowControl/>
              <w:jc w:val="center"/>
              <w:rPr>
                <w:rFonts w:ascii="Arial Narrow" w:hAnsi="Arial Narrow"/>
                <w:b/>
                <w:sz w:val="20"/>
              </w:rPr>
            </w:pPr>
            <w:r>
              <w:rPr>
                <w:rFonts w:ascii="Arial Narrow" w:hAnsi="Arial Narrow"/>
                <w:b/>
                <w:sz w:val="20"/>
              </w:rPr>
              <w:t>Protocol title/</w:t>
            </w:r>
            <w:r w:rsidR="00382D47" w:rsidRPr="004E2ADC">
              <w:rPr>
                <w:rFonts w:ascii="Arial Narrow" w:hAnsi="Arial Narrow"/>
                <w:b/>
                <w:sz w:val="20"/>
              </w:rPr>
              <w:t>Publication title</w:t>
            </w:r>
          </w:p>
        </w:tc>
        <w:tc>
          <w:tcPr>
            <w:tcW w:w="1433" w:type="pct"/>
          </w:tcPr>
          <w:p w:rsidR="00382D47" w:rsidRPr="004E2ADC" w:rsidRDefault="00382D47" w:rsidP="00F61566">
            <w:pPr>
              <w:keepNext/>
              <w:widowControl/>
              <w:jc w:val="center"/>
              <w:rPr>
                <w:rFonts w:ascii="Arial Narrow" w:hAnsi="Arial Narrow"/>
                <w:b/>
                <w:sz w:val="20"/>
              </w:rPr>
            </w:pPr>
            <w:r w:rsidRPr="004E2ADC">
              <w:rPr>
                <w:rFonts w:ascii="Arial Narrow" w:hAnsi="Arial Narrow"/>
                <w:b/>
                <w:sz w:val="20"/>
              </w:rPr>
              <w:t>Publication citation</w:t>
            </w:r>
          </w:p>
        </w:tc>
      </w:tr>
      <w:tr w:rsidR="00382D47" w:rsidRPr="004E2ADC" w:rsidTr="00413D29">
        <w:trPr>
          <w:cantSplit/>
          <w:tblHeader/>
        </w:trPr>
        <w:tc>
          <w:tcPr>
            <w:tcW w:w="5000" w:type="pct"/>
            <w:gridSpan w:val="3"/>
          </w:tcPr>
          <w:p w:rsidR="00382D47" w:rsidRPr="004E2ADC" w:rsidRDefault="00382D47" w:rsidP="00F61566">
            <w:pPr>
              <w:keepNext/>
              <w:widowControl/>
              <w:jc w:val="left"/>
              <w:rPr>
                <w:rFonts w:ascii="Arial Narrow" w:hAnsi="Arial Narrow"/>
                <w:b/>
                <w:sz w:val="20"/>
              </w:rPr>
            </w:pPr>
            <w:r>
              <w:rPr>
                <w:rFonts w:ascii="Arial Narrow" w:hAnsi="Arial Narrow"/>
                <w:b/>
                <w:sz w:val="20"/>
              </w:rPr>
              <w:t>Direct randomised trial</w:t>
            </w:r>
          </w:p>
        </w:tc>
      </w:tr>
      <w:tr w:rsidR="00382D47" w:rsidRPr="004E2ADC" w:rsidTr="00413D29">
        <w:tc>
          <w:tcPr>
            <w:tcW w:w="510" w:type="pct"/>
            <w:vMerge w:val="restart"/>
          </w:tcPr>
          <w:p w:rsidR="00382D47" w:rsidRDefault="00382D47" w:rsidP="00F61566">
            <w:pPr>
              <w:keepNext/>
              <w:widowControl/>
              <w:jc w:val="left"/>
              <w:rPr>
                <w:rFonts w:ascii="Arial Narrow" w:hAnsi="Arial Narrow"/>
                <w:sz w:val="20"/>
              </w:rPr>
            </w:pPr>
            <w:r>
              <w:rPr>
                <w:rFonts w:ascii="Arial Narrow" w:hAnsi="Arial Narrow"/>
                <w:sz w:val="20"/>
              </w:rPr>
              <w:t>312-0116</w:t>
            </w:r>
          </w:p>
          <w:p w:rsidR="00B523C4" w:rsidRDefault="00B523C4" w:rsidP="00F61566">
            <w:pPr>
              <w:keepNext/>
              <w:widowControl/>
              <w:jc w:val="left"/>
              <w:rPr>
                <w:rFonts w:ascii="Arial Narrow" w:hAnsi="Arial Narrow"/>
                <w:sz w:val="20"/>
              </w:rPr>
            </w:pPr>
          </w:p>
          <w:p w:rsidR="00B523C4" w:rsidRDefault="00B523C4" w:rsidP="00F61566">
            <w:pPr>
              <w:keepNext/>
              <w:widowControl/>
              <w:jc w:val="left"/>
              <w:rPr>
                <w:rFonts w:ascii="Arial Narrow" w:hAnsi="Arial Narrow"/>
                <w:sz w:val="20"/>
              </w:rPr>
            </w:pPr>
          </w:p>
          <w:p w:rsidR="00B523C4" w:rsidRDefault="00B523C4" w:rsidP="00F61566">
            <w:pPr>
              <w:keepNext/>
              <w:widowControl/>
              <w:jc w:val="left"/>
              <w:rPr>
                <w:rFonts w:ascii="Arial Narrow" w:hAnsi="Arial Narrow"/>
                <w:sz w:val="20"/>
              </w:rPr>
            </w:pPr>
          </w:p>
          <w:p w:rsidR="00B523C4" w:rsidRPr="004E2ADC" w:rsidRDefault="00B523C4" w:rsidP="00F61566">
            <w:pPr>
              <w:keepNext/>
              <w:widowControl/>
              <w:jc w:val="left"/>
              <w:rPr>
                <w:rFonts w:ascii="Arial Narrow" w:hAnsi="Arial Narrow"/>
                <w:sz w:val="20"/>
              </w:rPr>
            </w:pPr>
            <w:r w:rsidRPr="00D40132">
              <w:rPr>
                <w:rFonts w:ascii="Arial Narrow" w:hAnsi="Arial Narrow"/>
                <w:sz w:val="20"/>
              </w:rPr>
              <w:t>Furman</w:t>
            </w:r>
          </w:p>
        </w:tc>
        <w:tc>
          <w:tcPr>
            <w:tcW w:w="3057" w:type="pct"/>
          </w:tcPr>
          <w:p w:rsidR="00382D47" w:rsidRPr="008A72EB" w:rsidRDefault="00382D47" w:rsidP="00F61566">
            <w:pPr>
              <w:keepNext/>
              <w:widowControl/>
              <w:jc w:val="left"/>
              <w:rPr>
                <w:rFonts w:ascii="Arial Narrow" w:hAnsi="Arial Narrow"/>
                <w:sz w:val="20"/>
              </w:rPr>
            </w:pPr>
            <w:r>
              <w:rPr>
                <w:rFonts w:ascii="Arial Narrow" w:hAnsi="Arial Narrow"/>
                <w:sz w:val="20"/>
              </w:rPr>
              <w:t>A phase III, randomised, double-blind, placebo-controlled study evaluating the efficacy and safety of idelalisib (GS-1101) in combination with rituximab for previously treated chronic lymphocytic leukemia.</w:t>
            </w:r>
          </w:p>
        </w:tc>
        <w:tc>
          <w:tcPr>
            <w:tcW w:w="1433" w:type="pct"/>
          </w:tcPr>
          <w:p w:rsidR="00382D47" w:rsidRPr="00382D47" w:rsidRDefault="00382D47" w:rsidP="00F61566">
            <w:pPr>
              <w:keepNext/>
              <w:widowControl/>
              <w:jc w:val="left"/>
              <w:rPr>
                <w:rFonts w:ascii="Arial Narrow" w:hAnsi="Arial Narrow"/>
                <w:sz w:val="20"/>
              </w:rPr>
            </w:pPr>
            <w:r>
              <w:rPr>
                <w:rFonts w:ascii="Arial Narrow" w:hAnsi="Arial Narrow"/>
                <w:sz w:val="20"/>
              </w:rPr>
              <w:t>23 November 2013</w:t>
            </w:r>
            <w:r w:rsidR="00413D29">
              <w:rPr>
                <w:rFonts w:ascii="Arial Narrow" w:hAnsi="Arial Narrow"/>
                <w:sz w:val="20"/>
              </w:rPr>
              <w:t xml:space="preserve">; </w:t>
            </w:r>
            <w:r>
              <w:rPr>
                <w:rFonts w:ascii="Arial Narrow" w:hAnsi="Arial Narrow"/>
                <w:sz w:val="20"/>
              </w:rPr>
              <w:t>Second interim clinical study report</w:t>
            </w:r>
            <w:r w:rsidR="00413D29">
              <w:rPr>
                <w:rFonts w:ascii="Arial Narrow" w:hAnsi="Arial Narrow"/>
                <w:sz w:val="20"/>
              </w:rPr>
              <w:t xml:space="preserve">; </w:t>
            </w:r>
            <w:r>
              <w:rPr>
                <w:rFonts w:ascii="Arial Narrow" w:hAnsi="Arial Narrow"/>
                <w:sz w:val="20"/>
              </w:rPr>
              <w:t>Study No: GS-US-312-0116</w:t>
            </w:r>
          </w:p>
        </w:tc>
      </w:tr>
      <w:tr w:rsidR="00382D47" w:rsidRPr="00D40132" w:rsidTr="00413D29">
        <w:tc>
          <w:tcPr>
            <w:tcW w:w="510" w:type="pct"/>
            <w:vMerge/>
          </w:tcPr>
          <w:p w:rsidR="00382D47" w:rsidRPr="004E2ADC" w:rsidRDefault="00382D47" w:rsidP="00F61566">
            <w:pPr>
              <w:keepNext/>
              <w:widowControl/>
              <w:jc w:val="left"/>
              <w:rPr>
                <w:rFonts w:ascii="Arial Narrow" w:hAnsi="Arial Narrow"/>
                <w:sz w:val="20"/>
              </w:rPr>
            </w:pPr>
          </w:p>
        </w:tc>
        <w:tc>
          <w:tcPr>
            <w:tcW w:w="3057" w:type="pct"/>
          </w:tcPr>
          <w:p w:rsidR="00382D47" w:rsidRPr="00D40132" w:rsidRDefault="00382D47" w:rsidP="00F61566">
            <w:pPr>
              <w:keepNext/>
              <w:widowControl/>
              <w:jc w:val="left"/>
              <w:rPr>
                <w:rFonts w:ascii="Arial Narrow" w:hAnsi="Arial Narrow"/>
                <w:b/>
                <w:sz w:val="20"/>
              </w:rPr>
            </w:pPr>
            <w:r w:rsidRPr="00D40132">
              <w:rPr>
                <w:rFonts w:ascii="Arial Narrow" w:hAnsi="Arial Narrow"/>
                <w:sz w:val="20"/>
              </w:rPr>
              <w:t>Idelalisib and rituximab in relapsed chronic lymphocytic leukemia.</w:t>
            </w:r>
          </w:p>
        </w:tc>
        <w:tc>
          <w:tcPr>
            <w:tcW w:w="1433" w:type="pct"/>
          </w:tcPr>
          <w:p w:rsidR="00382D47" w:rsidRPr="00D40132" w:rsidRDefault="00382D47" w:rsidP="00F61566">
            <w:pPr>
              <w:keepNext/>
              <w:widowControl/>
              <w:jc w:val="left"/>
              <w:rPr>
                <w:rFonts w:ascii="Arial Narrow" w:hAnsi="Arial Narrow"/>
                <w:sz w:val="20"/>
              </w:rPr>
            </w:pPr>
            <w:r w:rsidRPr="00D40132">
              <w:rPr>
                <w:rFonts w:ascii="Arial Narrow" w:hAnsi="Arial Narrow"/>
                <w:sz w:val="20"/>
              </w:rPr>
              <w:t xml:space="preserve">N Eng J Med; </w:t>
            </w:r>
            <w:r w:rsidR="00FE3A15" w:rsidRPr="00D40132">
              <w:rPr>
                <w:rFonts w:ascii="Arial Narrow" w:hAnsi="Arial Narrow"/>
                <w:sz w:val="20"/>
              </w:rPr>
              <w:t>2</w:t>
            </w:r>
            <w:r w:rsidRPr="00D40132">
              <w:rPr>
                <w:rFonts w:ascii="Arial Narrow" w:hAnsi="Arial Narrow"/>
                <w:sz w:val="20"/>
              </w:rPr>
              <w:t>014;370(11):997-1007.</w:t>
            </w:r>
          </w:p>
        </w:tc>
      </w:tr>
    </w:tbl>
    <w:p w:rsidR="00382D47" w:rsidRPr="00D13A3E" w:rsidRDefault="00382D47" w:rsidP="00F61566">
      <w:pPr>
        <w:pStyle w:val="TableFooter"/>
        <w:keepNext/>
        <w:widowControl/>
        <w:ind w:firstLine="720"/>
      </w:pPr>
      <w:r w:rsidRPr="00BB545F">
        <w:t>Source: Table B.3, p44 of the submission</w:t>
      </w:r>
    </w:p>
    <w:p w:rsidR="00382D47" w:rsidRDefault="00382D47" w:rsidP="00F61566">
      <w:pPr>
        <w:widowControl/>
        <w:ind w:firstLine="720"/>
        <w:rPr>
          <w:rStyle w:val="CommentReference"/>
        </w:rPr>
      </w:pPr>
    </w:p>
    <w:p w:rsidR="00862502" w:rsidRPr="00B50DB8" w:rsidRDefault="008F120A" w:rsidP="00C35E58">
      <w:pPr>
        <w:pStyle w:val="ListParagraph"/>
        <w:keepNext/>
        <w:keepLines/>
        <w:widowControl/>
        <w:numPr>
          <w:ilvl w:val="1"/>
          <w:numId w:val="10"/>
        </w:numPr>
        <w:rPr>
          <w:szCs w:val="22"/>
        </w:rPr>
      </w:pPr>
      <w:r w:rsidRPr="00B50DB8">
        <w:rPr>
          <w:szCs w:val="22"/>
        </w:rPr>
        <w:t xml:space="preserve">The key features of the direct randomised trial are summarised in </w:t>
      </w:r>
      <w:r w:rsidR="00C13DCB">
        <w:rPr>
          <w:szCs w:val="22"/>
        </w:rPr>
        <w:t>the table below</w:t>
      </w:r>
      <w:r w:rsidRPr="00B50DB8">
        <w:rPr>
          <w:szCs w:val="22"/>
        </w:rPr>
        <w:t>.</w:t>
      </w:r>
    </w:p>
    <w:p w:rsidR="007F1017" w:rsidRDefault="007F1017" w:rsidP="00C35E58">
      <w:pPr>
        <w:keepNext/>
        <w:keepLines/>
        <w:widowControl/>
        <w:rPr>
          <w:szCs w:val="22"/>
        </w:rPr>
      </w:pPr>
    </w:p>
    <w:p w:rsidR="007F1017" w:rsidRPr="00E2771E" w:rsidRDefault="007F1017" w:rsidP="00C35E58">
      <w:pPr>
        <w:keepNext/>
        <w:keepLines/>
        <w:widowControl/>
        <w:ind w:firstLine="720"/>
        <w:rPr>
          <w:rStyle w:val="CommentReference"/>
        </w:rPr>
      </w:pPr>
      <w:r w:rsidRPr="00E2771E">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from the clinical trial"/>
      </w:tblPr>
      <w:tblGrid>
        <w:gridCol w:w="849"/>
        <w:gridCol w:w="426"/>
        <w:gridCol w:w="1559"/>
        <w:gridCol w:w="853"/>
        <w:gridCol w:w="2268"/>
        <w:gridCol w:w="1000"/>
        <w:gridCol w:w="1390"/>
      </w:tblGrid>
      <w:tr w:rsidR="00E22A0D" w:rsidRPr="00E2771E" w:rsidTr="00731014">
        <w:tc>
          <w:tcPr>
            <w:tcW w:w="509" w:type="pct"/>
            <w:shd w:val="clear" w:color="auto" w:fill="auto"/>
            <w:vAlign w:val="center"/>
          </w:tcPr>
          <w:p w:rsidR="007F1017" w:rsidRPr="00E2771E" w:rsidRDefault="007F1017" w:rsidP="00C35E58">
            <w:pPr>
              <w:keepNext/>
              <w:keepLines/>
              <w:widowControl/>
              <w:jc w:val="left"/>
              <w:rPr>
                <w:rFonts w:ascii="Arial Narrow" w:hAnsi="Arial Narrow"/>
                <w:b/>
                <w:sz w:val="20"/>
                <w:lang w:val="en-US"/>
              </w:rPr>
            </w:pPr>
            <w:r w:rsidRPr="00E2771E">
              <w:rPr>
                <w:rFonts w:ascii="Arial Narrow" w:hAnsi="Arial Narrow"/>
                <w:b/>
                <w:sz w:val="20"/>
                <w:lang w:val="en-US"/>
              </w:rPr>
              <w:t>Trial</w:t>
            </w:r>
          </w:p>
        </w:tc>
        <w:tc>
          <w:tcPr>
            <w:tcW w:w="255" w:type="pct"/>
            <w:shd w:val="clear" w:color="auto" w:fill="auto"/>
            <w:vAlign w:val="center"/>
          </w:tcPr>
          <w:p w:rsidR="007F1017" w:rsidRPr="00E2771E" w:rsidRDefault="007F1017" w:rsidP="00C35E58">
            <w:pPr>
              <w:keepNext/>
              <w:keepLines/>
              <w:widowControl/>
              <w:jc w:val="center"/>
              <w:rPr>
                <w:rFonts w:ascii="Arial Narrow" w:hAnsi="Arial Narrow"/>
                <w:b/>
                <w:sz w:val="20"/>
                <w:lang w:val="en-US"/>
              </w:rPr>
            </w:pPr>
            <w:r w:rsidRPr="00E2771E">
              <w:rPr>
                <w:rFonts w:ascii="Arial Narrow" w:hAnsi="Arial Narrow"/>
                <w:b/>
                <w:sz w:val="20"/>
                <w:lang w:val="en-US"/>
              </w:rPr>
              <w:t>N</w:t>
            </w:r>
          </w:p>
        </w:tc>
        <w:tc>
          <w:tcPr>
            <w:tcW w:w="934" w:type="pct"/>
            <w:shd w:val="clear" w:color="auto" w:fill="auto"/>
            <w:vAlign w:val="center"/>
          </w:tcPr>
          <w:p w:rsidR="00DB2482" w:rsidRDefault="007F1017" w:rsidP="00C35E58">
            <w:pPr>
              <w:keepNext/>
              <w:keepLines/>
              <w:widowControl/>
              <w:jc w:val="center"/>
              <w:rPr>
                <w:rFonts w:ascii="Arial Narrow" w:hAnsi="Arial Narrow"/>
                <w:b/>
                <w:sz w:val="20"/>
                <w:lang w:val="en-US"/>
              </w:rPr>
            </w:pPr>
            <w:r w:rsidRPr="00E2771E">
              <w:rPr>
                <w:rFonts w:ascii="Arial Narrow" w:hAnsi="Arial Narrow"/>
                <w:b/>
                <w:sz w:val="20"/>
                <w:lang w:val="en-US"/>
              </w:rPr>
              <w:t xml:space="preserve">Design/ </w:t>
            </w:r>
          </w:p>
          <w:p w:rsidR="007F1017" w:rsidRPr="00E2771E" w:rsidRDefault="00DB2482" w:rsidP="00C35E58">
            <w:pPr>
              <w:keepNext/>
              <w:keepLines/>
              <w:widowControl/>
              <w:jc w:val="center"/>
              <w:rPr>
                <w:rFonts w:ascii="Arial Narrow" w:hAnsi="Arial Narrow"/>
                <w:b/>
                <w:sz w:val="20"/>
                <w:lang w:val="en-US"/>
              </w:rPr>
            </w:pPr>
            <w:r>
              <w:rPr>
                <w:rFonts w:ascii="Arial Narrow" w:hAnsi="Arial Narrow"/>
                <w:b/>
                <w:sz w:val="20"/>
                <w:lang w:val="en-US"/>
              </w:rPr>
              <w:t>D</w:t>
            </w:r>
            <w:r w:rsidR="007F1017" w:rsidRPr="00E2771E">
              <w:rPr>
                <w:rFonts w:ascii="Arial Narrow" w:hAnsi="Arial Narrow"/>
                <w:b/>
                <w:sz w:val="20"/>
                <w:lang w:val="en-US"/>
              </w:rPr>
              <w:t>uration</w:t>
            </w:r>
          </w:p>
        </w:tc>
        <w:tc>
          <w:tcPr>
            <w:tcW w:w="511" w:type="pct"/>
            <w:shd w:val="clear" w:color="auto" w:fill="auto"/>
            <w:vAlign w:val="center"/>
          </w:tcPr>
          <w:p w:rsidR="007F1017" w:rsidRPr="00E2771E" w:rsidRDefault="007F1017" w:rsidP="00C35E58">
            <w:pPr>
              <w:keepNext/>
              <w:keepLines/>
              <w:widowControl/>
              <w:jc w:val="center"/>
              <w:rPr>
                <w:rFonts w:ascii="Arial Narrow" w:hAnsi="Arial Narrow"/>
                <w:b/>
                <w:sz w:val="20"/>
                <w:lang w:val="en-US"/>
              </w:rPr>
            </w:pPr>
            <w:r w:rsidRPr="00E2771E">
              <w:rPr>
                <w:rFonts w:ascii="Arial Narrow" w:hAnsi="Arial Narrow"/>
                <w:b/>
                <w:sz w:val="20"/>
                <w:lang w:val="en-US"/>
              </w:rPr>
              <w:t>Risk of bias</w:t>
            </w:r>
          </w:p>
        </w:tc>
        <w:tc>
          <w:tcPr>
            <w:tcW w:w="1359" w:type="pct"/>
            <w:shd w:val="clear" w:color="auto" w:fill="auto"/>
            <w:vAlign w:val="center"/>
          </w:tcPr>
          <w:p w:rsidR="007F1017" w:rsidRPr="00E2771E" w:rsidRDefault="007F1017" w:rsidP="00C35E58">
            <w:pPr>
              <w:keepNext/>
              <w:keepLines/>
              <w:widowControl/>
              <w:jc w:val="center"/>
              <w:rPr>
                <w:rFonts w:ascii="Arial Narrow" w:hAnsi="Arial Narrow"/>
                <w:b/>
                <w:sz w:val="20"/>
                <w:lang w:val="en-US"/>
              </w:rPr>
            </w:pPr>
            <w:r w:rsidRPr="00E2771E">
              <w:rPr>
                <w:rFonts w:ascii="Arial Narrow" w:hAnsi="Arial Narrow"/>
                <w:b/>
                <w:sz w:val="20"/>
                <w:lang w:val="en-US"/>
              </w:rPr>
              <w:t>Patient population</w:t>
            </w:r>
          </w:p>
        </w:tc>
        <w:tc>
          <w:tcPr>
            <w:tcW w:w="599" w:type="pct"/>
            <w:shd w:val="clear" w:color="auto" w:fill="auto"/>
            <w:vAlign w:val="center"/>
          </w:tcPr>
          <w:p w:rsidR="007F1017" w:rsidRPr="00E2771E" w:rsidRDefault="00DB2482" w:rsidP="00C35E58">
            <w:pPr>
              <w:keepNext/>
              <w:keepLines/>
              <w:widowControl/>
              <w:jc w:val="center"/>
              <w:rPr>
                <w:rFonts w:ascii="Arial Narrow" w:hAnsi="Arial Narrow"/>
                <w:b/>
                <w:sz w:val="20"/>
                <w:lang w:val="en-US"/>
              </w:rPr>
            </w:pPr>
            <w:r>
              <w:rPr>
                <w:rFonts w:ascii="Arial Narrow" w:hAnsi="Arial Narrow"/>
                <w:b/>
                <w:sz w:val="20"/>
                <w:lang w:val="en-US"/>
              </w:rPr>
              <w:t>Outcome</w:t>
            </w:r>
            <w:r w:rsidR="007F1017" w:rsidRPr="00E2771E">
              <w:rPr>
                <w:rFonts w:ascii="Arial Narrow" w:hAnsi="Arial Narrow"/>
                <w:b/>
                <w:sz w:val="20"/>
                <w:lang w:val="en-US"/>
              </w:rPr>
              <w:t>s</w:t>
            </w:r>
          </w:p>
        </w:tc>
        <w:tc>
          <w:tcPr>
            <w:tcW w:w="833" w:type="pct"/>
            <w:shd w:val="clear" w:color="auto" w:fill="auto"/>
            <w:vAlign w:val="center"/>
          </w:tcPr>
          <w:p w:rsidR="007F1017" w:rsidRPr="00E2771E" w:rsidRDefault="007F1017" w:rsidP="00C35E58">
            <w:pPr>
              <w:keepNext/>
              <w:keepLines/>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7F1017" w:rsidRPr="00E2771E" w:rsidTr="00E22A0D">
        <w:tc>
          <w:tcPr>
            <w:tcW w:w="5000" w:type="pct"/>
            <w:gridSpan w:val="7"/>
            <w:shd w:val="clear" w:color="auto" w:fill="auto"/>
            <w:vAlign w:val="center"/>
          </w:tcPr>
          <w:p w:rsidR="007F1017" w:rsidRPr="00E2771E" w:rsidRDefault="00425BEE" w:rsidP="00C35E58">
            <w:pPr>
              <w:keepNext/>
              <w:keepLines/>
              <w:widowControl/>
              <w:jc w:val="left"/>
              <w:rPr>
                <w:rFonts w:ascii="Arial Narrow" w:hAnsi="Arial Narrow"/>
                <w:b/>
                <w:sz w:val="20"/>
                <w:lang w:val="en-US"/>
              </w:rPr>
            </w:pPr>
            <w:r>
              <w:rPr>
                <w:rFonts w:ascii="Arial Narrow" w:hAnsi="Arial Narrow"/>
                <w:b/>
                <w:sz w:val="20"/>
                <w:lang w:val="en-US"/>
              </w:rPr>
              <w:t>Idelalisib plus rituximab vs. placebo plus rituximab</w:t>
            </w:r>
          </w:p>
        </w:tc>
      </w:tr>
      <w:tr w:rsidR="00E22A0D" w:rsidRPr="00E2771E" w:rsidTr="00731014">
        <w:trPr>
          <w:trHeight w:val="451"/>
        </w:trPr>
        <w:tc>
          <w:tcPr>
            <w:tcW w:w="509" w:type="pct"/>
            <w:shd w:val="clear" w:color="auto" w:fill="auto"/>
            <w:vAlign w:val="center"/>
          </w:tcPr>
          <w:p w:rsidR="007F1017" w:rsidRPr="00E2771E" w:rsidRDefault="00425BEE" w:rsidP="00C35E58">
            <w:pPr>
              <w:keepNext/>
              <w:keepLines/>
              <w:widowControl/>
              <w:jc w:val="left"/>
              <w:rPr>
                <w:rFonts w:ascii="Arial Narrow" w:hAnsi="Arial Narrow"/>
                <w:sz w:val="20"/>
                <w:lang w:val="en-US"/>
              </w:rPr>
            </w:pPr>
            <w:r>
              <w:rPr>
                <w:rFonts w:ascii="Arial Narrow" w:hAnsi="Arial Narrow"/>
                <w:sz w:val="20"/>
                <w:lang w:val="en-US"/>
              </w:rPr>
              <w:t>312-0116</w:t>
            </w:r>
          </w:p>
        </w:tc>
        <w:tc>
          <w:tcPr>
            <w:tcW w:w="255" w:type="pct"/>
            <w:shd w:val="clear" w:color="auto" w:fill="auto"/>
            <w:vAlign w:val="center"/>
          </w:tcPr>
          <w:p w:rsidR="007F1017" w:rsidRPr="00E2771E" w:rsidRDefault="00425BEE" w:rsidP="00C35E58">
            <w:pPr>
              <w:keepNext/>
              <w:keepLines/>
              <w:widowControl/>
              <w:jc w:val="center"/>
              <w:rPr>
                <w:rFonts w:ascii="Arial Narrow" w:hAnsi="Arial Narrow"/>
                <w:sz w:val="20"/>
                <w:lang w:val="en-US"/>
              </w:rPr>
            </w:pPr>
            <w:r>
              <w:rPr>
                <w:rFonts w:ascii="Arial Narrow" w:hAnsi="Arial Narrow"/>
                <w:sz w:val="20"/>
                <w:lang w:val="en-US"/>
              </w:rPr>
              <w:t>220</w:t>
            </w:r>
          </w:p>
        </w:tc>
        <w:tc>
          <w:tcPr>
            <w:tcW w:w="934" w:type="pct"/>
            <w:shd w:val="clear" w:color="auto" w:fill="auto"/>
            <w:vAlign w:val="center"/>
          </w:tcPr>
          <w:p w:rsidR="007F1017" w:rsidRDefault="00425BEE" w:rsidP="00C35E58">
            <w:pPr>
              <w:keepNext/>
              <w:keepLines/>
              <w:widowControl/>
              <w:jc w:val="center"/>
              <w:rPr>
                <w:rFonts w:ascii="Arial Narrow" w:hAnsi="Arial Narrow"/>
                <w:sz w:val="20"/>
                <w:lang w:val="en-US"/>
              </w:rPr>
            </w:pPr>
            <w:r>
              <w:rPr>
                <w:rFonts w:ascii="Arial Narrow" w:hAnsi="Arial Narrow"/>
                <w:sz w:val="20"/>
                <w:lang w:val="en-US"/>
              </w:rPr>
              <w:t xml:space="preserve">R, DB, MC, </w:t>
            </w:r>
            <w:r w:rsidR="00DB2482">
              <w:rPr>
                <w:rFonts w:ascii="Arial Narrow" w:hAnsi="Arial Narrow"/>
                <w:sz w:val="20"/>
                <w:lang w:val="en-US"/>
              </w:rPr>
              <w:t>PC</w:t>
            </w:r>
          </w:p>
          <w:p w:rsidR="00DB2482" w:rsidRPr="00E2771E" w:rsidRDefault="003B01BC" w:rsidP="00C35E58">
            <w:pPr>
              <w:keepNext/>
              <w:keepLines/>
              <w:widowControl/>
              <w:jc w:val="center"/>
              <w:rPr>
                <w:rFonts w:ascii="Arial Narrow" w:hAnsi="Arial Narrow"/>
                <w:sz w:val="20"/>
                <w:lang w:val="en-US"/>
              </w:rPr>
            </w:pPr>
            <w:r>
              <w:rPr>
                <w:rFonts w:ascii="Arial Narrow" w:hAnsi="Arial Narrow"/>
                <w:sz w:val="20"/>
                <w:lang w:val="en-US"/>
              </w:rPr>
              <w:t>Approx</w:t>
            </w:r>
            <w:r w:rsidR="0050523C">
              <w:rPr>
                <w:rFonts w:ascii="Arial Narrow" w:hAnsi="Arial Narrow"/>
                <w:sz w:val="20"/>
                <w:lang w:val="en-US"/>
              </w:rPr>
              <w:t>.</w:t>
            </w:r>
            <w:r>
              <w:rPr>
                <w:rFonts w:ascii="Arial Narrow" w:hAnsi="Arial Narrow"/>
                <w:sz w:val="20"/>
                <w:lang w:val="en-US"/>
              </w:rPr>
              <w:t xml:space="preserve"> 6</w:t>
            </w:r>
            <w:r w:rsidR="00DB2482">
              <w:rPr>
                <w:rFonts w:ascii="Arial Narrow" w:hAnsi="Arial Narrow"/>
                <w:sz w:val="20"/>
                <w:lang w:val="en-US"/>
              </w:rPr>
              <w:t xml:space="preserve"> months</w:t>
            </w:r>
          </w:p>
        </w:tc>
        <w:tc>
          <w:tcPr>
            <w:tcW w:w="511" w:type="pct"/>
            <w:shd w:val="clear" w:color="auto" w:fill="auto"/>
            <w:vAlign w:val="center"/>
          </w:tcPr>
          <w:p w:rsidR="007F1017" w:rsidRPr="00E2771E" w:rsidRDefault="00DB2482" w:rsidP="00C35E58">
            <w:pPr>
              <w:keepNext/>
              <w:keepLines/>
              <w:widowControl/>
              <w:jc w:val="center"/>
              <w:rPr>
                <w:rFonts w:ascii="Arial Narrow" w:hAnsi="Arial Narrow"/>
                <w:sz w:val="20"/>
                <w:lang w:val="en-US"/>
              </w:rPr>
            </w:pPr>
            <w:r>
              <w:rPr>
                <w:rFonts w:ascii="Arial Narrow" w:hAnsi="Arial Narrow"/>
                <w:sz w:val="20"/>
                <w:lang w:val="en-US"/>
              </w:rPr>
              <w:t>Low</w:t>
            </w:r>
          </w:p>
        </w:tc>
        <w:tc>
          <w:tcPr>
            <w:tcW w:w="1359" w:type="pct"/>
            <w:shd w:val="clear" w:color="auto" w:fill="auto"/>
            <w:vAlign w:val="center"/>
          </w:tcPr>
          <w:p w:rsidR="00DB2482" w:rsidRDefault="00DB2482" w:rsidP="00C35E58">
            <w:pPr>
              <w:keepNext/>
              <w:keepLines/>
              <w:widowControl/>
              <w:jc w:val="center"/>
              <w:rPr>
                <w:rFonts w:ascii="Arial Narrow" w:hAnsi="Arial Narrow"/>
                <w:sz w:val="20"/>
                <w:lang w:val="en-US"/>
              </w:rPr>
            </w:pPr>
            <w:r>
              <w:rPr>
                <w:rFonts w:ascii="Arial Narrow" w:hAnsi="Arial Narrow"/>
                <w:sz w:val="20"/>
                <w:lang w:val="en-US"/>
              </w:rPr>
              <w:t>Relapsed</w:t>
            </w:r>
          </w:p>
          <w:p w:rsidR="007F1017" w:rsidRPr="00E2771E" w:rsidRDefault="00DB2482" w:rsidP="00C35E58">
            <w:pPr>
              <w:keepNext/>
              <w:keepLines/>
              <w:widowControl/>
              <w:jc w:val="center"/>
              <w:rPr>
                <w:rFonts w:ascii="Arial Narrow" w:hAnsi="Arial Narrow"/>
                <w:sz w:val="20"/>
                <w:lang w:val="en-US"/>
              </w:rPr>
            </w:pPr>
            <w:r>
              <w:rPr>
                <w:rFonts w:ascii="Arial Narrow" w:hAnsi="Arial Narrow"/>
                <w:sz w:val="20"/>
                <w:lang w:val="en-US"/>
              </w:rPr>
              <w:t>Less able for chemotherapy</w:t>
            </w:r>
          </w:p>
        </w:tc>
        <w:tc>
          <w:tcPr>
            <w:tcW w:w="599" w:type="pct"/>
            <w:shd w:val="clear" w:color="auto" w:fill="auto"/>
            <w:vAlign w:val="center"/>
          </w:tcPr>
          <w:p w:rsidR="007F1017" w:rsidRPr="00E2771E" w:rsidRDefault="00DB2482" w:rsidP="00C35E58">
            <w:pPr>
              <w:keepNext/>
              <w:keepLines/>
              <w:widowControl/>
              <w:jc w:val="center"/>
              <w:rPr>
                <w:rFonts w:ascii="Arial Narrow" w:hAnsi="Arial Narrow"/>
                <w:sz w:val="20"/>
                <w:lang w:val="en-US"/>
              </w:rPr>
            </w:pPr>
            <w:r>
              <w:rPr>
                <w:rFonts w:ascii="Arial Narrow" w:hAnsi="Arial Narrow"/>
                <w:sz w:val="20"/>
                <w:lang w:val="en-US"/>
              </w:rPr>
              <w:t>PFS, OS</w:t>
            </w:r>
          </w:p>
        </w:tc>
        <w:tc>
          <w:tcPr>
            <w:tcW w:w="833" w:type="pct"/>
            <w:shd w:val="clear" w:color="auto" w:fill="auto"/>
            <w:vAlign w:val="center"/>
          </w:tcPr>
          <w:p w:rsidR="007F1017" w:rsidRPr="00E2771E" w:rsidRDefault="00DB2482" w:rsidP="00C35E58">
            <w:pPr>
              <w:keepNext/>
              <w:keepLines/>
              <w:widowControl/>
              <w:jc w:val="center"/>
              <w:rPr>
                <w:rFonts w:ascii="Arial Narrow" w:hAnsi="Arial Narrow"/>
                <w:sz w:val="20"/>
                <w:lang w:val="en-US"/>
              </w:rPr>
            </w:pPr>
            <w:r>
              <w:rPr>
                <w:rFonts w:ascii="Arial Narrow" w:hAnsi="Arial Narrow"/>
                <w:sz w:val="20"/>
                <w:lang w:val="en-US"/>
              </w:rPr>
              <w:t>Yes</w:t>
            </w:r>
          </w:p>
        </w:tc>
      </w:tr>
    </w:tbl>
    <w:p w:rsidR="00731014" w:rsidRPr="0072416F" w:rsidRDefault="00731014" w:rsidP="00C35E58">
      <w:pPr>
        <w:pStyle w:val="TableFooter"/>
        <w:keepNext/>
        <w:keepLines/>
        <w:widowControl/>
        <w:ind w:firstLine="720"/>
      </w:pPr>
      <w:r w:rsidRPr="0072416F">
        <w:t>Source: compiled during the evaluation</w:t>
      </w:r>
    </w:p>
    <w:p w:rsidR="007F1017" w:rsidRPr="0072416F" w:rsidRDefault="007F1017" w:rsidP="00C35E58">
      <w:pPr>
        <w:pStyle w:val="TableFooter"/>
        <w:keepNext/>
        <w:keepLines/>
        <w:widowControl/>
        <w:ind w:left="720"/>
      </w:pPr>
      <w:r w:rsidRPr="0072416F">
        <w:t>DB</w:t>
      </w:r>
      <w:r w:rsidR="00DB2482">
        <w:t xml:space="preserve"> </w:t>
      </w:r>
      <w:r w:rsidRPr="0072416F">
        <w:t>=</w:t>
      </w:r>
      <w:r w:rsidR="00DB2482">
        <w:t xml:space="preserve"> </w:t>
      </w:r>
      <w:r w:rsidRPr="0072416F">
        <w:t>double blind; MC</w:t>
      </w:r>
      <w:r w:rsidR="00DB2482">
        <w:t xml:space="preserve"> </w:t>
      </w:r>
      <w:r w:rsidRPr="0072416F">
        <w:t>=</w:t>
      </w:r>
      <w:r w:rsidR="00DB2482">
        <w:t xml:space="preserve"> </w:t>
      </w:r>
      <w:r w:rsidRPr="0072416F">
        <w:t>multi-centre; OS</w:t>
      </w:r>
      <w:r w:rsidR="00DB2482">
        <w:t xml:space="preserve"> </w:t>
      </w:r>
      <w:r w:rsidRPr="0072416F">
        <w:t>=</w:t>
      </w:r>
      <w:r w:rsidR="00DB2482">
        <w:t xml:space="preserve"> </w:t>
      </w:r>
      <w:r w:rsidRPr="0072416F">
        <w:t xml:space="preserve">overall survival; </w:t>
      </w:r>
      <w:r w:rsidR="00DB2482">
        <w:t xml:space="preserve">PC = placebo controlled; </w:t>
      </w:r>
      <w:r w:rsidRPr="0072416F">
        <w:t>PFS</w:t>
      </w:r>
      <w:r w:rsidR="00DB2482">
        <w:t xml:space="preserve"> </w:t>
      </w:r>
      <w:r w:rsidRPr="0072416F">
        <w:t>=</w:t>
      </w:r>
      <w:r w:rsidR="00DB2482">
        <w:t xml:space="preserve"> </w:t>
      </w:r>
      <w:r w:rsidRPr="0072416F">
        <w:t>progression-free survival; R</w:t>
      </w:r>
      <w:r w:rsidR="00DB2482">
        <w:t xml:space="preserve"> </w:t>
      </w:r>
      <w:r w:rsidRPr="0072416F">
        <w:t>=</w:t>
      </w:r>
      <w:r w:rsidR="00DB2482">
        <w:t xml:space="preserve"> </w:t>
      </w:r>
      <w:r w:rsidR="00731014">
        <w:t>randomised</w:t>
      </w:r>
    </w:p>
    <w:p w:rsidR="007F1017" w:rsidRPr="00C13DCB" w:rsidRDefault="007F1017" w:rsidP="00F61566">
      <w:pPr>
        <w:widowControl/>
      </w:pPr>
    </w:p>
    <w:p w:rsidR="007F1017" w:rsidRPr="003B01BC" w:rsidRDefault="00D97569" w:rsidP="00164329">
      <w:pPr>
        <w:pStyle w:val="ListParagraph"/>
        <w:widowControl/>
        <w:numPr>
          <w:ilvl w:val="1"/>
          <w:numId w:val="10"/>
        </w:numPr>
      </w:pPr>
      <w:r w:rsidRPr="003B01BC">
        <w:t xml:space="preserve">The trial was stopped after a median duration of </w:t>
      </w:r>
      <w:r w:rsidR="003B01BC" w:rsidRPr="003B01BC">
        <w:t>follow-up of 6.1 months for the idelalisib plus rituximab arm and 4.4 months for the placebo plus rituximab arm due to meeting predefined efficacy criteria.</w:t>
      </w:r>
    </w:p>
    <w:p w:rsidR="007F1017" w:rsidRPr="00164329" w:rsidRDefault="007F1017" w:rsidP="00F61566">
      <w:pPr>
        <w:widowControl/>
      </w:pPr>
    </w:p>
    <w:p w:rsidR="001C5441" w:rsidRPr="00164329" w:rsidRDefault="00CD0956" w:rsidP="004E4D54">
      <w:pPr>
        <w:pStyle w:val="ListParagraph"/>
        <w:widowControl/>
        <w:numPr>
          <w:ilvl w:val="1"/>
          <w:numId w:val="10"/>
        </w:numPr>
      </w:pPr>
      <w:r w:rsidRPr="00164329">
        <w:t xml:space="preserve">Patients with disease progression were eligible to enrol in </w:t>
      </w:r>
      <w:r w:rsidR="00FE44DA" w:rsidRPr="00164329">
        <w:t>the follow-up</w:t>
      </w:r>
      <w:r w:rsidRPr="00164329">
        <w:t xml:space="preserve"> 312-</w:t>
      </w:r>
      <w:r w:rsidR="00D14CB2" w:rsidRPr="00164329">
        <w:t>0</w:t>
      </w:r>
      <w:r w:rsidRPr="00164329">
        <w:t>117</w:t>
      </w:r>
      <w:r w:rsidR="00FE44DA" w:rsidRPr="00164329">
        <w:t xml:space="preserve"> study</w:t>
      </w:r>
      <w:r w:rsidRPr="00164329">
        <w:t xml:space="preserve">, which was a double-blind continuation study, where patients in the idelalisib plus rituximab group received a higher idelalisib dose and patients in the placebo plus rituximab group received the standard idelalisib dose. </w:t>
      </w:r>
      <w:r w:rsidR="00FA744D" w:rsidRPr="00164329">
        <w:t>However, t</w:t>
      </w:r>
      <w:r w:rsidRPr="00164329">
        <w:t>he clinical trial report of 312</w:t>
      </w:r>
      <w:r w:rsidR="001C5441" w:rsidRPr="00164329">
        <w:noBreakHyphen/>
      </w:r>
      <w:r w:rsidRPr="00164329">
        <w:t xml:space="preserve">0117 was not provided in the submission. </w:t>
      </w:r>
    </w:p>
    <w:p w:rsidR="001C5441" w:rsidRPr="00DF013F" w:rsidRDefault="001C5441" w:rsidP="001C5441">
      <w:pPr>
        <w:pStyle w:val="PBACHeading1"/>
        <w:numPr>
          <w:ilvl w:val="0"/>
          <w:numId w:val="0"/>
        </w:numPr>
        <w:ind w:left="720" w:hanging="720"/>
      </w:pPr>
    </w:p>
    <w:p w:rsidR="003645E8" w:rsidRPr="00164329" w:rsidRDefault="003645E8" w:rsidP="001C5441">
      <w:pPr>
        <w:pStyle w:val="ListParagraph"/>
        <w:widowControl/>
        <w:numPr>
          <w:ilvl w:val="1"/>
          <w:numId w:val="10"/>
        </w:numPr>
      </w:pPr>
      <w:r w:rsidRPr="00164329">
        <w:t>Whilst cross-over was permitted in the follow-up 312</w:t>
      </w:r>
      <w:r w:rsidR="00FA744D" w:rsidRPr="00164329">
        <w:noBreakHyphen/>
      </w:r>
      <w:r w:rsidRPr="00164329">
        <w:t xml:space="preserve">0117 study (46.4% of patients in the rituximab monotherapy comparator arm </w:t>
      </w:r>
      <w:r w:rsidR="00FE44DA" w:rsidRPr="00164329">
        <w:t xml:space="preserve">of 312-0116 </w:t>
      </w:r>
      <w:r w:rsidRPr="00164329">
        <w:t>progressed</w:t>
      </w:r>
      <w:r w:rsidR="001C5441" w:rsidRPr="00164329">
        <w:t xml:space="preserve">, and </w:t>
      </w:r>
      <w:r w:rsidR="00B40B0B" w:rsidRPr="00164329">
        <w:t xml:space="preserve">80% of these patients </w:t>
      </w:r>
      <w:r w:rsidR="001C5441" w:rsidRPr="00164329">
        <w:t>cross</w:t>
      </w:r>
      <w:r w:rsidR="00B40B0B" w:rsidRPr="00164329">
        <w:t>ed</w:t>
      </w:r>
      <w:r w:rsidR="001C5441" w:rsidRPr="00164329">
        <w:t>-over to receive the standard idelalisib dose in combination with rituximab</w:t>
      </w:r>
      <w:r w:rsidRPr="00164329">
        <w:t xml:space="preserve">), the truncated trial duration meant there was very little cumulative follow-up in subjects who crossed-over. No </w:t>
      </w:r>
      <w:r w:rsidR="00425CB9" w:rsidRPr="00164329">
        <w:t xml:space="preserve">analysis with statistical </w:t>
      </w:r>
      <w:r w:rsidRPr="00164329">
        <w:t xml:space="preserve">adjustment </w:t>
      </w:r>
      <w:r w:rsidR="00425CB9" w:rsidRPr="00164329">
        <w:t xml:space="preserve">for cross-over </w:t>
      </w:r>
      <w:r w:rsidRPr="00164329">
        <w:t>was provided.</w:t>
      </w:r>
      <w:r w:rsidR="00EC4301" w:rsidRPr="00164329">
        <w:t xml:space="preserve"> </w:t>
      </w:r>
    </w:p>
    <w:p w:rsidR="003645E8" w:rsidRDefault="003645E8" w:rsidP="00F61566">
      <w:pPr>
        <w:widowControl/>
      </w:pPr>
    </w:p>
    <w:p w:rsidR="00B523C4" w:rsidRPr="00164329" w:rsidRDefault="00B523C4" w:rsidP="00B523C4">
      <w:pPr>
        <w:pStyle w:val="ListParagraph"/>
        <w:widowControl/>
        <w:rPr>
          <w:i/>
          <w:szCs w:val="22"/>
        </w:rPr>
      </w:pPr>
      <w:r w:rsidRPr="00164329">
        <w:rPr>
          <w:i/>
          <w:szCs w:val="22"/>
        </w:rPr>
        <w:t>For more detail on PBAC’s view, see section 7 “PBAC outcome”</w:t>
      </w:r>
      <w:r w:rsidR="00C23CF5">
        <w:rPr>
          <w:i/>
          <w:szCs w:val="22"/>
        </w:rPr>
        <w:t>.</w:t>
      </w:r>
    </w:p>
    <w:p w:rsidR="00B523C4" w:rsidRDefault="00B523C4" w:rsidP="00F61566">
      <w:pPr>
        <w:widowControl/>
      </w:pPr>
    </w:p>
    <w:p w:rsidR="00B60939" w:rsidRPr="00C73993" w:rsidRDefault="00B60939" w:rsidP="00F61566">
      <w:pPr>
        <w:pStyle w:val="Heading2"/>
        <w:keepNext/>
        <w:widowControl/>
      </w:pPr>
      <w:bookmarkStart w:id="10" w:name="_Toc409601144"/>
      <w:r w:rsidRPr="00C73993">
        <w:t>Comparative effectiveness</w:t>
      </w:r>
      <w:bookmarkEnd w:id="10"/>
    </w:p>
    <w:p w:rsidR="00B60939" w:rsidRPr="00882085" w:rsidRDefault="00B60939" w:rsidP="00F61566">
      <w:pPr>
        <w:keepNext/>
        <w:widowControl/>
        <w:rPr>
          <w:szCs w:val="22"/>
        </w:rPr>
      </w:pPr>
    </w:p>
    <w:p w:rsidR="006C7BD4" w:rsidRDefault="00413D29" w:rsidP="00F61566">
      <w:pPr>
        <w:pStyle w:val="ListParagraph"/>
        <w:keepNext/>
        <w:widowControl/>
        <w:numPr>
          <w:ilvl w:val="1"/>
          <w:numId w:val="10"/>
        </w:numPr>
        <w:rPr>
          <w:szCs w:val="22"/>
        </w:rPr>
      </w:pPr>
      <w:r>
        <w:rPr>
          <w:szCs w:val="22"/>
        </w:rPr>
        <w:t>R</w:t>
      </w:r>
      <w:r w:rsidR="00F11840" w:rsidRPr="00F11840">
        <w:rPr>
          <w:szCs w:val="22"/>
        </w:rPr>
        <w:t>esults of the primary outcome, progression</w:t>
      </w:r>
      <w:r w:rsidR="00F57BE8">
        <w:rPr>
          <w:szCs w:val="22"/>
        </w:rPr>
        <w:t>-</w:t>
      </w:r>
      <w:r w:rsidR="00F11840" w:rsidRPr="00F11840">
        <w:rPr>
          <w:szCs w:val="22"/>
        </w:rPr>
        <w:t xml:space="preserve">free survival, are presented in </w:t>
      </w:r>
      <w:r w:rsidR="00D75BE2">
        <w:rPr>
          <w:szCs w:val="22"/>
        </w:rPr>
        <w:t>the table below.</w:t>
      </w:r>
    </w:p>
    <w:p w:rsidR="006C7BD4" w:rsidRDefault="006C7BD4" w:rsidP="006C7BD4">
      <w:pPr>
        <w:pStyle w:val="ListParagraph"/>
        <w:rPr>
          <w:szCs w:val="22"/>
        </w:rPr>
      </w:pPr>
    </w:p>
    <w:p w:rsidR="006C7BD4" w:rsidRPr="00164329" w:rsidRDefault="006C7BD4" w:rsidP="00C23CF5">
      <w:pPr>
        <w:pStyle w:val="ListParagraph"/>
        <w:keepNext/>
        <w:keepLines/>
        <w:numPr>
          <w:ilvl w:val="1"/>
          <w:numId w:val="10"/>
        </w:numPr>
        <w:rPr>
          <w:szCs w:val="22"/>
        </w:rPr>
      </w:pPr>
      <w:r w:rsidRPr="00164329">
        <w:rPr>
          <w:szCs w:val="22"/>
        </w:rPr>
        <w:lastRenderedPageBreak/>
        <w:t xml:space="preserve">The submission used data from the second interim analysis of Trial 312-0116 (6.1 months median duration of follow-up in the idelalisib </w:t>
      </w:r>
      <w:r w:rsidR="006101EC" w:rsidRPr="00164329">
        <w:rPr>
          <w:szCs w:val="22"/>
        </w:rPr>
        <w:t>plus</w:t>
      </w:r>
      <w:r w:rsidRPr="00164329">
        <w:rPr>
          <w:szCs w:val="22"/>
        </w:rPr>
        <w:t xml:space="preserve"> rituximab arm). The </w:t>
      </w:r>
      <w:r w:rsidR="00C23CF5">
        <w:rPr>
          <w:szCs w:val="22"/>
        </w:rPr>
        <w:t xml:space="preserve">final analysis included an additional two months of follow-up data. Extracts of data from the final analysis were provided in the </w:t>
      </w:r>
      <w:r w:rsidRPr="00164329">
        <w:rPr>
          <w:szCs w:val="22"/>
        </w:rPr>
        <w:t>PSCR</w:t>
      </w:r>
      <w:r w:rsidR="00C23CF5">
        <w:rPr>
          <w:szCs w:val="22"/>
        </w:rPr>
        <w:t xml:space="preserve"> and Pre-PBAC response. However, the </w:t>
      </w:r>
      <w:r w:rsidRPr="00164329">
        <w:rPr>
          <w:szCs w:val="22"/>
        </w:rPr>
        <w:t xml:space="preserve">Clinical Study Report </w:t>
      </w:r>
      <w:r w:rsidR="006101EC" w:rsidRPr="00164329">
        <w:rPr>
          <w:szCs w:val="22"/>
        </w:rPr>
        <w:t>w</w:t>
      </w:r>
      <w:r w:rsidRPr="00164329">
        <w:rPr>
          <w:szCs w:val="22"/>
        </w:rPr>
        <w:t>as not provided</w:t>
      </w:r>
      <w:r w:rsidR="00D75BE2">
        <w:rPr>
          <w:szCs w:val="22"/>
        </w:rPr>
        <w:t xml:space="preserve"> and therefore</w:t>
      </w:r>
      <w:r w:rsidRPr="00164329">
        <w:rPr>
          <w:szCs w:val="22"/>
        </w:rPr>
        <w:t xml:space="preserve"> this data </w:t>
      </w:r>
      <w:r w:rsidR="00A95C88" w:rsidRPr="00164329">
        <w:rPr>
          <w:szCs w:val="22"/>
        </w:rPr>
        <w:t>could not</w:t>
      </w:r>
      <w:r w:rsidRPr="00164329">
        <w:rPr>
          <w:szCs w:val="22"/>
        </w:rPr>
        <w:t xml:space="preserve"> be </w:t>
      </w:r>
      <w:r w:rsidR="00C23CF5">
        <w:rPr>
          <w:szCs w:val="22"/>
        </w:rPr>
        <w:t xml:space="preserve">evaluated and </w:t>
      </w:r>
      <w:r w:rsidRPr="00164329">
        <w:rPr>
          <w:szCs w:val="22"/>
        </w:rPr>
        <w:t>verified.</w:t>
      </w:r>
      <w:r w:rsidR="00555FD3">
        <w:rPr>
          <w:szCs w:val="22"/>
        </w:rPr>
        <w:t xml:space="preserve"> </w:t>
      </w:r>
    </w:p>
    <w:p w:rsidR="007F1017" w:rsidRDefault="007F1017" w:rsidP="00F61566">
      <w:pPr>
        <w:widowControl/>
        <w:rPr>
          <w:szCs w:val="22"/>
        </w:rPr>
      </w:pPr>
    </w:p>
    <w:p w:rsidR="007F1017" w:rsidRDefault="007F1017" w:rsidP="00F61566">
      <w:pPr>
        <w:keepNext/>
        <w:widowControl/>
        <w:ind w:firstLine="720"/>
        <w:rPr>
          <w:rStyle w:val="CommentReference"/>
        </w:rPr>
      </w:pPr>
      <w:r w:rsidRPr="001F7361">
        <w:rPr>
          <w:rStyle w:val="CommentReference"/>
        </w:rPr>
        <w:t xml:space="preserve">Table </w:t>
      </w:r>
      <w:r w:rsidR="00157843">
        <w:rPr>
          <w:rStyle w:val="CommentReference"/>
        </w:rPr>
        <w:t>3</w:t>
      </w:r>
      <w:r>
        <w:rPr>
          <w:rStyle w:val="CommentReference"/>
        </w:rPr>
        <w:t xml:space="preserve">: </w:t>
      </w:r>
      <w:r w:rsidRPr="001F7361">
        <w:rPr>
          <w:rStyle w:val="CommentReference"/>
        </w:rPr>
        <w:t xml:space="preserve">Results of </w:t>
      </w:r>
      <w:r w:rsidR="00EF142B">
        <w:rPr>
          <w:rStyle w:val="CommentReference"/>
        </w:rPr>
        <w:t>progression</w:t>
      </w:r>
      <w:r w:rsidR="00F57BE8">
        <w:rPr>
          <w:rStyle w:val="CommentReference"/>
        </w:rPr>
        <w:t>-</w:t>
      </w:r>
      <w:r w:rsidR="00EF142B">
        <w:rPr>
          <w:rStyle w:val="CommentReference"/>
        </w:rPr>
        <w:t>free survival</w:t>
      </w:r>
      <w:r w:rsidRPr="001F7361">
        <w:rPr>
          <w:rStyle w:val="CommentReference"/>
        </w:rPr>
        <w:t xml:space="preserve"> </w:t>
      </w:r>
      <w:r w:rsidR="00FD0266">
        <w:rPr>
          <w:rStyle w:val="CommentReference"/>
        </w:rPr>
        <w:t>from Trial 312-0116</w:t>
      </w:r>
      <w:r w:rsidRPr="001F7361">
        <w:rPr>
          <w:rStyle w:val="CommentReference"/>
        </w:rPr>
        <w:t xml:space="preserve"> </w:t>
      </w:r>
      <w:r w:rsidR="00C07B65">
        <w:rPr>
          <w:rStyle w:val="CommentReference"/>
        </w:rPr>
        <w:t>(</w:t>
      </w:r>
      <w:r w:rsidR="00C07B65" w:rsidRPr="00C07B65">
        <w:rPr>
          <w:rStyle w:val="CommentReference"/>
        </w:rPr>
        <w:t>second interim analysis</w:t>
      </w:r>
      <w:r w:rsidR="00C07B65">
        <w:rPr>
          <w:rStyle w:val="CommentReference"/>
        </w:rPr>
        <w: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Comparative effectiveness"/>
      </w:tblPr>
      <w:tblGrid>
        <w:gridCol w:w="3543"/>
        <w:gridCol w:w="2267"/>
        <w:gridCol w:w="2535"/>
      </w:tblGrid>
      <w:tr w:rsidR="00EF142B" w:rsidRPr="00E2771E" w:rsidTr="00C07B65">
        <w:trPr>
          <w:cantSplit/>
          <w:tblHeader/>
        </w:trPr>
        <w:tc>
          <w:tcPr>
            <w:tcW w:w="2123" w:type="pct"/>
            <w:shd w:val="clear" w:color="auto" w:fill="auto"/>
            <w:vAlign w:val="center"/>
          </w:tcPr>
          <w:p w:rsidR="00EF142B" w:rsidRPr="00E2771E" w:rsidRDefault="00EF142B" w:rsidP="00F61566">
            <w:pPr>
              <w:keepNext/>
              <w:widowControl/>
              <w:jc w:val="left"/>
              <w:rPr>
                <w:rFonts w:ascii="Arial Narrow" w:hAnsi="Arial Narrow"/>
                <w:b/>
                <w:sz w:val="20"/>
                <w:lang w:val="en-US"/>
              </w:rPr>
            </w:pPr>
            <w:r w:rsidRPr="00E2771E">
              <w:rPr>
                <w:rFonts w:ascii="Arial Narrow" w:hAnsi="Arial Narrow"/>
                <w:b/>
                <w:sz w:val="20"/>
                <w:lang w:val="en-US"/>
              </w:rPr>
              <w:t>Trial ID</w:t>
            </w:r>
          </w:p>
        </w:tc>
        <w:tc>
          <w:tcPr>
            <w:tcW w:w="1358" w:type="pct"/>
            <w:shd w:val="clear" w:color="auto" w:fill="auto"/>
            <w:vAlign w:val="center"/>
          </w:tcPr>
          <w:p w:rsidR="00EF142B" w:rsidRDefault="00EF142B" w:rsidP="00F61566">
            <w:pPr>
              <w:keepNext/>
              <w:widowControl/>
              <w:jc w:val="center"/>
              <w:rPr>
                <w:rFonts w:ascii="Arial Narrow" w:hAnsi="Arial Narrow"/>
                <w:b/>
                <w:sz w:val="20"/>
                <w:lang w:val="en-US"/>
              </w:rPr>
            </w:pPr>
            <w:r>
              <w:rPr>
                <w:rFonts w:ascii="Arial Narrow" w:hAnsi="Arial Narrow"/>
                <w:b/>
                <w:sz w:val="20"/>
                <w:lang w:val="en-US"/>
              </w:rPr>
              <w:t>Idelalisib + rituximab</w:t>
            </w:r>
          </w:p>
          <w:p w:rsidR="00EF142B" w:rsidRPr="00E2771E" w:rsidRDefault="00EF142B" w:rsidP="00F61566">
            <w:pPr>
              <w:keepNext/>
              <w:widowControl/>
              <w:jc w:val="center"/>
              <w:rPr>
                <w:rFonts w:ascii="Arial Narrow" w:hAnsi="Arial Narrow"/>
                <w:b/>
                <w:sz w:val="20"/>
                <w:lang w:val="en-US"/>
              </w:rPr>
            </w:pPr>
            <w:r>
              <w:rPr>
                <w:rFonts w:ascii="Arial Narrow" w:hAnsi="Arial Narrow"/>
                <w:b/>
                <w:sz w:val="20"/>
                <w:lang w:val="en-US"/>
              </w:rPr>
              <w:t>(n = 110)</w:t>
            </w:r>
          </w:p>
        </w:tc>
        <w:tc>
          <w:tcPr>
            <w:tcW w:w="1518" w:type="pct"/>
            <w:shd w:val="clear" w:color="auto" w:fill="auto"/>
            <w:vAlign w:val="center"/>
          </w:tcPr>
          <w:p w:rsidR="00EF142B" w:rsidRDefault="00EF142B" w:rsidP="00F61566">
            <w:pPr>
              <w:keepNext/>
              <w:widowControl/>
              <w:jc w:val="center"/>
              <w:rPr>
                <w:rFonts w:ascii="Arial Narrow" w:hAnsi="Arial Narrow"/>
                <w:b/>
                <w:sz w:val="20"/>
                <w:lang w:val="en-US"/>
              </w:rPr>
            </w:pPr>
            <w:r>
              <w:rPr>
                <w:rFonts w:ascii="Arial Narrow" w:hAnsi="Arial Narrow"/>
                <w:b/>
                <w:sz w:val="20"/>
                <w:lang w:val="en-US"/>
              </w:rPr>
              <w:t>Placebo + rituximab</w:t>
            </w:r>
          </w:p>
          <w:p w:rsidR="00EF142B" w:rsidRPr="00E2771E" w:rsidRDefault="00EF142B" w:rsidP="00F61566">
            <w:pPr>
              <w:keepNext/>
              <w:widowControl/>
              <w:jc w:val="center"/>
              <w:rPr>
                <w:rFonts w:ascii="Arial Narrow" w:hAnsi="Arial Narrow"/>
                <w:b/>
                <w:sz w:val="20"/>
                <w:lang w:val="en-US"/>
              </w:rPr>
            </w:pPr>
            <w:r>
              <w:rPr>
                <w:rFonts w:ascii="Arial Narrow" w:hAnsi="Arial Narrow"/>
                <w:b/>
                <w:sz w:val="20"/>
                <w:lang w:val="en-US"/>
              </w:rPr>
              <w:t>(n = 110)</w:t>
            </w:r>
          </w:p>
        </w:tc>
      </w:tr>
      <w:tr w:rsidR="00EF142B" w:rsidRPr="00E2771E" w:rsidTr="00C07B65">
        <w:trPr>
          <w:cantSplit/>
        </w:trPr>
        <w:tc>
          <w:tcPr>
            <w:tcW w:w="2123" w:type="pct"/>
            <w:shd w:val="clear" w:color="auto" w:fill="auto"/>
            <w:vAlign w:val="center"/>
          </w:tcPr>
          <w:p w:rsidR="00EF142B" w:rsidRDefault="00EF142B" w:rsidP="00F61566">
            <w:pPr>
              <w:keepNext/>
              <w:widowControl/>
              <w:jc w:val="left"/>
              <w:rPr>
                <w:rFonts w:ascii="Arial Narrow" w:hAnsi="Arial Narrow"/>
                <w:sz w:val="20"/>
                <w:lang w:val="en-US"/>
              </w:rPr>
            </w:pPr>
            <w:r>
              <w:rPr>
                <w:rFonts w:ascii="Arial Narrow" w:hAnsi="Arial Narrow"/>
                <w:sz w:val="20"/>
                <w:lang w:val="en-US"/>
              </w:rPr>
              <w:t>Median duration of follow-up (months)</w:t>
            </w:r>
          </w:p>
        </w:tc>
        <w:tc>
          <w:tcPr>
            <w:tcW w:w="1358" w:type="pct"/>
            <w:shd w:val="clear" w:color="auto" w:fill="auto"/>
            <w:vAlign w:val="center"/>
          </w:tcPr>
          <w:p w:rsidR="00EF142B" w:rsidRDefault="00EF142B" w:rsidP="00F61566">
            <w:pPr>
              <w:keepNext/>
              <w:widowControl/>
              <w:jc w:val="center"/>
              <w:rPr>
                <w:rFonts w:ascii="Arial Narrow" w:hAnsi="Arial Narrow"/>
                <w:sz w:val="20"/>
                <w:lang w:val="en-US"/>
              </w:rPr>
            </w:pPr>
            <w:r>
              <w:rPr>
                <w:rFonts w:ascii="Arial Narrow" w:hAnsi="Arial Narrow"/>
                <w:sz w:val="20"/>
                <w:lang w:val="en-US"/>
              </w:rPr>
              <w:t>6.1</w:t>
            </w:r>
          </w:p>
        </w:tc>
        <w:tc>
          <w:tcPr>
            <w:tcW w:w="1518" w:type="pct"/>
            <w:shd w:val="clear" w:color="auto" w:fill="auto"/>
            <w:vAlign w:val="center"/>
          </w:tcPr>
          <w:p w:rsidR="00EF142B" w:rsidRDefault="00EF142B" w:rsidP="00F61566">
            <w:pPr>
              <w:keepNext/>
              <w:widowControl/>
              <w:jc w:val="center"/>
              <w:rPr>
                <w:rFonts w:ascii="Arial Narrow" w:hAnsi="Arial Narrow"/>
                <w:sz w:val="20"/>
                <w:lang w:val="en-US"/>
              </w:rPr>
            </w:pPr>
            <w:r>
              <w:rPr>
                <w:rFonts w:ascii="Arial Narrow" w:hAnsi="Arial Narrow"/>
                <w:sz w:val="20"/>
                <w:lang w:val="en-US"/>
              </w:rPr>
              <w:t>4.4</w:t>
            </w:r>
          </w:p>
        </w:tc>
      </w:tr>
      <w:tr w:rsidR="00EF142B" w:rsidRPr="00E2771E" w:rsidTr="00C07B65">
        <w:trPr>
          <w:cantSplit/>
        </w:trPr>
        <w:tc>
          <w:tcPr>
            <w:tcW w:w="2123" w:type="pct"/>
            <w:shd w:val="clear" w:color="auto" w:fill="auto"/>
            <w:vAlign w:val="center"/>
          </w:tcPr>
          <w:p w:rsidR="00EF142B" w:rsidRPr="00E2771E" w:rsidRDefault="00EF142B" w:rsidP="00C07B65">
            <w:pPr>
              <w:keepNext/>
              <w:widowControl/>
              <w:jc w:val="left"/>
              <w:rPr>
                <w:rFonts w:ascii="Arial Narrow" w:hAnsi="Arial Narrow"/>
                <w:sz w:val="20"/>
                <w:lang w:val="en-US"/>
              </w:rPr>
            </w:pPr>
            <w:r>
              <w:rPr>
                <w:rFonts w:ascii="Arial Narrow" w:hAnsi="Arial Narrow"/>
                <w:sz w:val="20"/>
                <w:lang w:val="en-US"/>
              </w:rPr>
              <w:t>Patients with events; n/N (%)</w:t>
            </w:r>
            <w:r w:rsidR="00152B7B" w:rsidRPr="00164329">
              <w:rPr>
                <w:rFonts w:ascii="Arial Narrow" w:hAnsi="Arial Narrow"/>
                <w:strike/>
                <w:sz w:val="20"/>
                <w:lang w:val="en-US"/>
              </w:rPr>
              <w:t xml:space="preserve"> </w:t>
            </w:r>
          </w:p>
        </w:tc>
        <w:tc>
          <w:tcPr>
            <w:tcW w:w="1358" w:type="pct"/>
            <w:shd w:val="clear" w:color="auto" w:fill="auto"/>
            <w:vAlign w:val="center"/>
          </w:tcPr>
          <w:p w:rsidR="00EF142B" w:rsidRPr="00E2771E" w:rsidRDefault="00EF142B" w:rsidP="00F61566">
            <w:pPr>
              <w:keepNext/>
              <w:widowControl/>
              <w:jc w:val="center"/>
              <w:rPr>
                <w:rFonts w:ascii="Arial Narrow" w:hAnsi="Arial Narrow"/>
                <w:sz w:val="20"/>
                <w:lang w:val="en-US"/>
              </w:rPr>
            </w:pPr>
            <w:r>
              <w:rPr>
                <w:rFonts w:ascii="Arial Narrow" w:hAnsi="Arial Narrow"/>
                <w:sz w:val="20"/>
                <w:lang w:val="en-US"/>
              </w:rPr>
              <w:t>16</w:t>
            </w:r>
            <w:r w:rsidR="002B5D05">
              <w:rPr>
                <w:rFonts w:ascii="Arial Narrow" w:hAnsi="Arial Narrow"/>
                <w:sz w:val="20"/>
                <w:lang w:val="en-US"/>
              </w:rPr>
              <w:t xml:space="preserve"> </w:t>
            </w:r>
            <w:r>
              <w:rPr>
                <w:rFonts w:ascii="Arial Narrow" w:hAnsi="Arial Narrow"/>
                <w:sz w:val="20"/>
                <w:lang w:val="en-US"/>
              </w:rPr>
              <w:t>(14.5%)</w:t>
            </w:r>
          </w:p>
        </w:tc>
        <w:tc>
          <w:tcPr>
            <w:tcW w:w="1518" w:type="pct"/>
            <w:shd w:val="clear" w:color="auto" w:fill="auto"/>
            <w:vAlign w:val="center"/>
          </w:tcPr>
          <w:p w:rsidR="00EF142B" w:rsidRPr="00E2771E" w:rsidRDefault="00EF142B" w:rsidP="00F61566">
            <w:pPr>
              <w:keepNext/>
              <w:widowControl/>
              <w:jc w:val="center"/>
              <w:rPr>
                <w:rFonts w:ascii="Arial Narrow" w:hAnsi="Arial Narrow"/>
                <w:sz w:val="20"/>
                <w:lang w:val="en-US"/>
              </w:rPr>
            </w:pPr>
            <w:r>
              <w:rPr>
                <w:rFonts w:ascii="Arial Narrow" w:hAnsi="Arial Narrow"/>
                <w:sz w:val="20"/>
                <w:lang w:val="en-US"/>
              </w:rPr>
              <w:t>59 (53.6%)</w:t>
            </w:r>
          </w:p>
        </w:tc>
      </w:tr>
      <w:tr w:rsidR="00EF142B" w:rsidRPr="00E2771E" w:rsidTr="00C07B65">
        <w:trPr>
          <w:cantSplit/>
        </w:trPr>
        <w:tc>
          <w:tcPr>
            <w:tcW w:w="2123" w:type="pct"/>
            <w:shd w:val="clear" w:color="auto" w:fill="auto"/>
            <w:vAlign w:val="center"/>
          </w:tcPr>
          <w:p w:rsidR="00EF142B" w:rsidRDefault="00EF142B" w:rsidP="00F61566">
            <w:pPr>
              <w:keepNext/>
              <w:widowControl/>
              <w:jc w:val="left"/>
              <w:rPr>
                <w:rFonts w:ascii="Arial Narrow" w:hAnsi="Arial Narrow"/>
                <w:sz w:val="20"/>
                <w:lang w:val="en-US"/>
              </w:rPr>
            </w:pPr>
            <w:r>
              <w:rPr>
                <w:rFonts w:ascii="Arial Narrow" w:hAnsi="Arial Narrow"/>
                <w:sz w:val="20"/>
                <w:lang w:val="en-US"/>
              </w:rPr>
              <w:t>Patients censored; n/N (%)</w:t>
            </w:r>
          </w:p>
          <w:p w:rsidR="00EF142B" w:rsidRDefault="00EF142B" w:rsidP="00F61566">
            <w:pPr>
              <w:keepNext/>
              <w:widowControl/>
              <w:ind w:firstLine="114"/>
              <w:jc w:val="left"/>
              <w:rPr>
                <w:rFonts w:ascii="Arial Narrow" w:hAnsi="Arial Narrow"/>
                <w:sz w:val="20"/>
                <w:lang w:val="en-US"/>
              </w:rPr>
            </w:pPr>
            <w:r>
              <w:rPr>
                <w:rFonts w:ascii="Arial Narrow" w:hAnsi="Arial Narrow"/>
                <w:sz w:val="20"/>
                <w:lang w:val="en-US"/>
              </w:rPr>
              <w:t>Ongoing</w:t>
            </w:r>
          </w:p>
          <w:p w:rsidR="00EF142B" w:rsidRPr="00E2771E" w:rsidRDefault="00EF142B" w:rsidP="00F61566">
            <w:pPr>
              <w:keepNext/>
              <w:widowControl/>
              <w:ind w:firstLine="114"/>
              <w:jc w:val="left"/>
              <w:rPr>
                <w:rFonts w:ascii="Arial Narrow" w:hAnsi="Arial Narrow"/>
                <w:sz w:val="20"/>
                <w:lang w:val="en-US"/>
              </w:rPr>
            </w:pPr>
            <w:r>
              <w:rPr>
                <w:rFonts w:ascii="Arial Narrow" w:hAnsi="Arial Narrow"/>
                <w:sz w:val="20"/>
                <w:lang w:val="en-US"/>
              </w:rPr>
              <w:t>Discontinued without event</w:t>
            </w:r>
          </w:p>
        </w:tc>
        <w:tc>
          <w:tcPr>
            <w:tcW w:w="1358" w:type="pct"/>
            <w:shd w:val="clear" w:color="auto" w:fill="auto"/>
            <w:vAlign w:val="center"/>
          </w:tcPr>
          <w:p w:rsidR="00EF142B" w:rsidRDefault="00EF142B" w:rsidP="00F61566">
            <w:pPr>
              <w:keepNext/>
              <w:widowControl/>
              <w:jc w:val="center"/>
              <w:rPr>
                <w:rFonts w:ascii="Arial Narrow" w:hAnsi="Arial Narrow"/>
                <w:sz w:val="20"/>
                <w:lang w:val="en-US"/>
              </w:rPr>
            </w:pPr>
            <w:r>
              <w:rPr>
                <w:rFonts w:ascii="Arial Narrow" w:hAnsi="Arial Narrow"/>
                <w:sz w:val="20"/>
                <w:lang w:val="en-US"/>
              </w:rPr>
              <w:t>94 (85.5%)</w:t>
            </w:r>
          </w:p>
          <w:p w:rsidR="00EF142B" w:rsidRDefault="00EF142B" w:rsidP="00F61566">
            <w:pPr>
              <w:keepNext/>
              <w:widowControl/>
              <w:jc w:val="center"/>
              <w:rPr>
                <w:rFonts w:ascii="Arial Narrow" w:hAnsi="Arial Narrow"/>
                <w:sz w:val="20"/>
                <w:lang w:val="en-US"/>
              </w:rPr>
            </w:pPr>
            <w:r>
              <w:rPr>
                <w:rFonts w:ascii="Arial Narrow" w:hAnsi="Arial Narrow"/>
                <w:sz w:val="20"/>
                <w:lang w:val="en-US"/>
              </w:rPr>
              <w:t>82 (74.5%)</w:t>
            </w:r>
          </w:p>
          <w:p w:rsidR="00EF142B" w:rsidRPr="00E2771E" w:rsidRDefault="00EF142B" w:rsidP="00F61566">
            <w:pPr>
              <w:keepNext/>
              <w:widowControl/>
              <w:jc w:val="center"/>
              <w:rPr>
                <w:rFonts w:ascii="Arial Narrow" w:hAnsi="Arial Narrow"/>
                <w:sz w:val="20"/>
                <w:lang w:val="en-US"/>
              </w:rPr>
            </w:pPr>
            <w:r>
              <w:rPr>
                <w:rFonts w:ascii="Arial Narrow" w:hAnsi="Arial Narrow"/>
                <w:sz w:val="20"/>
                <w:lang w:val="en-US"/>
              </w:rPr>
              <w:t>12 (10.9%)</w:t>
            </w:r>
          </w:p>
        </w:tc>
        <w:tc>
          <w:tcPr>
            <w:tcW w:w="1518" w:type="pct"/>
            <w:shd w:val="clear" w:color="auto" w:fill="auto"/>
            <w:vAlign w:val="center"/>
          </w:tcPr>
          <w:p w:rsidR="00EF142B" w:rsidRDefault="00EF142B" w:rsidP="00F61566">
            <w:pPr>
              <w:keepNext/>
              <w:widowControl/>
              <w:jc w:val="center"/>
              <w:rPr>
                <w:rFonts w:ascii="Arial Narrow" w:hAnsi="Arial Narrow"/>
                <w:sz w:val="20"/>
                <w:lang w:val="en-US"/>
              </w:rPr>
            </w:pPr>
            <w:r>
              <w:rPr>
                <w:rFonts w:ascii="Arial Narrow" w:hAnsi="Arial Narrow"/>
                <w:sz w:val="20"/>
                <w:lang w:val="en-US"/>
              </w:rPr>
              <w:t>51 (46.6%)</w:t>
            </w:r>
          </w:p>
          <w:p w:rsidR="00EF142B" w:rsidRDefault="00EF142B" w:rsidP="00F61566">
            <w:pPr>
              <w:keepNext/>
              <w:widowControl/>
              <w:jc w:val="center"/>
              <w:rPr>
                <w:rFonts w:ascii="Arial Narrow" w:hAnsi="Arial Narrow"/>
                <w:sz w:val="20"/>
                <w:lang w:val="en-US"/>
              </w:rPr>
            </w:pPr>
            <w:r>
              <w:rPr>
                <w:rFonts w:ascii="Arial Narrow" w:hAnsi="Arial Narrow"/>
                <w:sz w:val="20"/>
                <w:lang w:val="en-US"/>
              </w:rPr>
              <w:t>46 (41.8%)</w:t>
            </w:r>
          </w:p>
          <w:p w:rsidR="00EF142B" w:rsidRPr="00E2771E" w:rsidRDefault="00EF142B" w:rsidP="00F61566">
            <w:pPr>
              <w:keepNext/>
              <w:widowControl/>
              <w:jc w:val="center"/>
              <w:rPr>
                <w:rFonts w:ascii="Arial Narrow" w:hAnsi="Arial Narrow"/>
                <w:sz w:val="20"/>
                <w:lang w:val="en-US"/>
              </w:rPr>
            </w:pPr>
            <w:r>
              <w:rPr>
                <w:rFonts w:ascii="Arial Narrow" w:hAnsi="Arial Narrow"/>
                <w:sz w:val="20"/>
                <w:lang w:val="en-US"/>
              </w:rPr>
              <w:t>5 (4.5%)</w:t>
            </w:r>
          </w:p>
        </w:tc>
      </w:tr>
      <w:tr w:rsidR="00EF142B" w:rsidRPr="00E2771E" w:rsidTr="00C07B65">
        <w:trPr>
          <w:cantSplit/>
        </w:trPr>
        <w:tc>
          <w:tcPr>
            <w:tcW w:w="2123" w:type="pct"/>
            <w:shd w:val="clear" w:color="auto" w:fill="auto"/>
            <w:vAlign w:val="center"/>
          </w:tcPr>
          <w:p w:rsidR="00EF142B" w:rsidRPr="00E2771E" w:rsidRDefault="00EF142B" w:rsidP="00F61566">
            <w:pPr>
              <w:keepNext/>
              <w:widowControl/>
              <w:jc w:val="left"/>
              <w:rPr>
                <w:rFonts w:ascii="Arial Narrow" w:hAnsi="Arial Narrow"/>
                <w:sz w:val="20"/>
                <w:lang w:val="en-US"/>
              </w:rPr>
            </w:pPr>
            <w:r>
              <w:rPr>
                <w:rFonts w:ascii="Arial Narrow" w:hAnsi="Arial Narrow"/>
                <w:sz w:val="20"/>
                <w:lang w:val="en-US"/>
              </w:rPr>
              <w:t>KM estimates (months); median (95% CI)</w:t>
            </w:r>
          </w:p>
        </w:tc>
        <w:tc>
          <w:tcPr>
            <w:tcW w:w="1358" w:type="pct"/>
            <w:shd w:val="clear" w:color="auto" w:fill="auto"/>
            <w:vAlign w:val="center"/>
          </w:tcPr>
          <w:p w:rsidR="00EF142B" w:rsidRPr="00E2771E" w:rsidRDefault="00EF142B" w:rsidP="00F61566">
            <w:pPr>
              <w:keepNext/>
              <w:widowControl/>
              <w:jc w:val="center"/>
              <w:rPr>
                <w:rFonts w:ascii="Arial Narrow" w:hAnsi="Arial Narrow"/>
                <w:sz w:val="20"/>
                <w:lang w:val="en-US"/>
              </w:rPr>
            </w:pPr>
            <w:r>
              <w:rPr>
                <w:rFonts w:ascii="Arial Narrow" w:hAnsi="Arial Narrow"/>
                <w:sz w:val="20"/>
                <w:lang w:val="en-US"/>
              </w:rPr>
              <w:t>NR (10.7, NR)</w:t>
            </w:r>
          </w:p>
        </w:tc>
        <w:tc>
          <w:tcPr>
            <w:tcW w:w="1518" w:type="pct"/>
            <w:shd w:val="clear" w:color="auto" w:fill="auto"/>
            <w:vAlign w:val="center"/>
          </w:tcPr>
          <w:p w:rsidR="00EF142B" w:rsidRPr="00E2771E" w:rsidRDefault="00EF142B" w:rsidP="00F61566">
            <w:pPr>
              <w:keepNext/>
              <w:widowControl/>
              <w:jc w:val="center"/>
              <w:rPr>
                <w:rFonts w:ascii="Arial Narrow" w:hAnsi="Arial Narrow"/>
                <w:sz w:val="20"/>
                <w:lang w:val="en-US"/>
              </w:rPr>
            </w:pPr>
            <w:r>
              <w:rPr>
                <w:rFonts w:ascii="Arial Narrow" w:hAnsi="Arial Narrow"/>
                <w:sz w:val="20"/>
                <w:lang w:val="en-US"/>
              </w:rPr>
              <w:t>5.5 (3.8, 7.1)</w:t>
            </w:r>
          </w:p>
        </w:tc>
      </w:tr>
      <w:tr w:rsidR="00EF142B" w:rsidRPr="00E2771E" w:rsidTr="006C7BD4">
        <w:trPr>
          <w:cantSplit/>
        </w:trPr>
        <w:tc>
          <w:tcPr>
            <w:tcW w:w="2123" w:type="pct"/>
            <w:shd w:val="clear" w:color="auto" w:fill="auto"/>
            <w:vAlign w:val="center"/>
          </w:tcPr>
          <w:p w:rsidR="00EF142B" w:rsidRPr="007D5098" w:rsidRDefault="00EF142B" w:rsidP="00F61566">
            <w:pPr>
              <w:keepNext/>
              <w:widowControl/>
              <w:jc w:val="left"/>
              <w:rPr>
                <w:rFonts w:ascii="Arial Narrow" w:hAnsi="Arial Narrow"/>
                <w:sz w:val="20"/>
                <w:lang w:val="en-US"/>
              </w:rPr>
            </w:pPr>
            <w:r w:rsidRPr="007D5098">
              <w:rPr>
                <w:rFonts w:ascii="Arial Narrow" w:hAnsi="Arial Narrow"/>
                <w:sz w:val="20"/>
                <w:lang w:val="en-US"/>
              </w:rPr>
              <w:t>Adjusted HR (95% CI)</w:t>
            </w:r>
          </w:p>
        </w:tc>
        <w:tc>
          <w:tcPr>
            <w:tcW w:w="2877" w:type="pct"/>
            <w:gridSpan w:val="2"/>
            <w:shd w:val="clear" w:color="auto" w:fill="auto"/>
            <w:vAlign w:val="center"/>
          </w:tcPr>
          <w:p w:rsidR="00EF142B" w:rsidRPr="007D5098" w:rsidRDefault="00EF142B" w:rsidP="00F61566">
            <w:pPr>
              <w:keepNext/>
              <w:widowControl/>
              <w:jc w:val="center"/>
              <w:rPr>
                <w:rFonts w:ascii="Arial Narrow" w:hAnsi="Arial Narrow"/>
                <w:b/>
                <w:sz w:val="20"/>
                <w:lang w:val="en-US"/>
              </w:rPr>
            </w:pPr>
            <w:r w:rsidRPr="007D5098">
              <w:rPr>
                <w:rFonts w:ascii="Arial Narrow" w:hAnsi="Arial Narrow"/>
                <w:b/>
                <w:sz w:val="20"/>
                <w:lang w:val="en-US"/>
              </w:rPr>
              <w:t>0.18 (0.10, 0.32)</w:t>
            </w:r>
          </w:p>
        </w:tc>
      </w:tr>
    </w:tbl>
    <w:p w:rsidR="00A10214" w:rsidRPr="00A10214" w:rsidRDefault="00A10214" w:rsidP="00B73E47">
      <w:pPr>
        <w:widowControl/>
        <w:ind w:left="709"/>
        <w:rPr>
          <w:rFonts w:ascii="Arial Narrow" w:hAnsi="Arial Narrow"/>
          <w:snapToGrid/>
          <w:sz w:val="18"/>
          <w:szCs w:val="18"/>
          <w:lang w:eastAsia="en-AU"/>
        </w:rPr>
      </w:pPr>
      <w:r w:rsidRPr="00A10214">
        <w:rPr>
          <w:rFonts w:ascii="Arial Narrow" w:hAnsi="Arial Narrow"/>
          <w:snapToGrid/>
          <w:sz w:val="18"/>
          <w:szCs w:val="18"/>
          <w:lang w:eastAsia="en-AU"/>
        </w:rPr>
        <w:t>Source</w:t>
      </w:r>
      <w:r w:rsidR="00B73E47" w:rsidRPr="00B73E47">
        <w:rPr>
          <w:rFonts w:ascii="Arial Narrow" w:hAnsi="Arial Narrow"/>
          <w:snapToGrid/>
          <w:sz w:val="18"/>
          <w:szCs w:val="18"/>
          <w:lang w:eastAsia="en-AU"/>
        </w:rPr>
        <w:t>: Table B.17, p65 of the submission</w:t>
      </w:r>
      <w:r w:rsidRPr="00A10214">
        <w:rPr>
          <w:rFonts w:ascii="Arial Narrow" w:hAnsi="Arial Narrow"/>
          <w:snapToGrid/>
          <w:sz w:val="18"/>
          <w:szCs w:val="18"/>
          <w:lang w:eastAsia="en-AU"/>
        </w:rPr>
        <w:t>: Table B.6.1 of the evaluation report</w:t>
      </w:r>
    </w:p>
    <w:p w:rsidR="00A10214" w:rsidRDefault="00A10214" w:rsidP="006C7BD4">
      <w:pPr>
        <w:ind w:left="709"/>
        <w:rPr>
          <w:rFonts w:ascii="Arial Narrow" w:hAnsi="Arial Narrow"/>
          <w:snapToGrid/>
          <w:sz w:val="18"/>
          <w:szCs w:val="18"/>
          <w:lang w:eastAsia="en-AU"/>
        </w:rPr>
      </w:pPr>
      <w:r w:rsidRPr="00A10214">
        <w:rPr>
          <w:rFonts w:ascii="Arial Narrow" w:hAnsi="Arial Narrow"/>
          <w:snapToGrid/>
          <w:sz w:val="18"/>
          <w:szCs w:val="18"/>
          <w:lang w:eastAsia="en-AU"/>
        </w:rPr>
        <w:t>CI = confidence interval; HR = hazard ratio; KM = Kaplan Meier; NR = not reached</w:t>
      </w:r>
      <w:r w:rsidR="00B73E47">
        <w:rPr>
          <w:rFonts w:ascii="Arial Narrow" w:hAnsi="Arial Narrow"/>
          <w:snapToGrid/>
          <w:sz w:val="18"/>
          <w:szCs w:val="18"/>
          <w:lang w:eastAsia="en-AU"/>
        </w:rPr>
        <w:t>.</w:t>
      </w:r>
      <w:r>
        <w:t xml:space="preserve"> </w:t>
      </w:r>
      <w:r w:rsidRPr="006C7BD4">
        <w:rPr>
          <w:rFonts w:ascii="Arial Narrow" w:hAnsi="Arial Narrow"/>
          <w:b/>
          <w:snapToGrid/>
          <w:sz w:val="18"/>
          <w:szCs w:val="18"/>
          <w:lang w:eastAsia="en-AU"/>
        </w:rPr>
        <w:t>Bold</w:t>
      </w:r>
      <w:r w:rsidRPr="006C7BD4">
        <w:rPr>
          <w:rFonts w:ascii="Arial Narrow" w:hAnsi="Arial Narrow"/>
          <w:snapToGrid/>
          <w:sz w:val="18"/>
          <w:szCs w:val="18"/>
          <w:lang w:eastAsia="en-AU"/>
        </w:rPr>
        <w:t xml:space="preserve"> = significant result</w:t>
      </w:r>
    </w:p>
    <w:p w:rsidR="00A10214" w:rsidRDefault="00A10214" w:rsidP="00F61566">
      <w:pPr>
        <w:pStyle w:val="TableFooter"/>
        <w:widowControl/>
        <w:ind w:firstLine="720"/>
      </w:pPr>
    </w:p>
    <w:p w:rsidR="00B523C4" w:rsidRPr="00164329" w:rsidRDefault="00B523C4" w:rsidP="00B523C4">
      <w:pPr>
        <w:pStyle w:val="ListParagraph"/>
        <w:widowControl/>
        <w:rPr>
          <w:i/>
          <w:szCs w:val="22"/>
        </w:rPr>
      </w:pPr>
      <w:r w:rsidRPr="00164329">
        <w:rPr>
          <w:i/>
          <w:szCs w:val="22"/>
        </w:rPr>
        <w:t>For more detail on PBAC’s view, see section 7 “PBAC outcome”</w:t>
      </w:r>
    </w:p>
    <w:p w:rsidR="006C7BD4" w:rsidRDefault="006C7BD4" w:rsidP="00F61566">
      <w:pPr>
        <w:pStyle w:val="TableFooter"/>
        <w:widowControl/>
        <w:ind w:firstLine="720"/>
      </w:pPr>
    </w:p>
    <w:p w:rsidR="00B60939" w:rsidRPr="00C73993" w:rsidRDefault="00B60939" w:rsidP="00F61566">
      <w:pPr>
        <w:pStyle w:val="Heading2"/>
        <w:keepNext/>
        <w:widowControl/>
      </w:pPr>
      <w:bookmarkStart w:id="11" w:name="_Toc409601145"/>
      <w:r w:rsidRPr="00C73993">
        <w:t>Comparative harms</w:t>
      </w:r>
      <w:bookmarkEnd w:id="11"/>
    </w:p>
    <w:p w:rsidR="00B60939" w:rsidRPr="00882085" w:rsidRDefault="00B60939" w:rsidP="00F61566">
      <w:pPr>
        <w:keepNext/>
        <w:widowControl/>
        <w:ind w:left="720" w:hanging="720"/>
        <w:rPr>
          <w:szCs w:val="22"/>
        </w:rPr>
      </w:pPr>
    </w:p>
    <w:p w:rsidR="007F3753" w:rsidRPr="007F3753" w:rsidRDefault="007F3753" w:rsidP="00F61566">
      <w:pPr>
        <w:pStyle w:val="ListParagraph"/>
        <w:keepNext/>
        <w:widowControl/>
        <w:numPr>
          <w:ilvl w:val="1"/>
          <w:numId w:val="10"/>
        </w:numPr>
        <w:rPr>
          <w:szCs w:val="22"/>
        </w:rPr>
      </w:pPr>
      <w:r w:rsidRPr="007F3753">
        <w:t xml:space="preserve">The incidence of treatment emergent adverse events occurring </w:t>
      </w:r>
      <w:r w:rsidR="008034E6">
        <w:t xml:space="preserve">in </w:t>
      </w:r>
      <w:r w:rsidRPr="007F3753">
        <w:t>at least 10% of participants was similar across both treatment arms of Tri</w:t>
      </w:r>
      <w:r w:rsidR="00425CB9">
        <w:t>a</w:t>
      </w:r>
      <w:r w:rsidRPr="007F3753">
        <w:t xml:space="preserve">l 312-0116. Idelalisib plus rituximab resulted in significantly increased rates </w:t>
      </w:r>
      <w:r w:rsidR="00104C27">
        <w:t xml:space="preserve">of </w:t>
      </w:r>
      <w:r w:rsidRPr="007F3753">
        <w:t>pyrexia.</w:t>
      </w:r>
    </w:p>
    <w:p w:rsidR="007F3753" w:rsidRDefault="007F3753" w:rsidP="00F61566">
      <w:pPr>
        <w:pStyle w:val="ListParagraph"/>
        <w:widowControl/>
        <w:rPr>
          <w:color w:val="3366FF"/>
        </w:rPr>
      </w:pPr>
    </w:p>
    <w:p w:rsidR="00B60939" w:rsidRPr="007F3753" w:rsidRDefault="007F3753" w:rsidP="00F61566">
      <w:pPr>
        <w:pStyle w:val="ListParagraph"/>
        <w:widowControl/>
        <w:rPr>
          <w:szCs w:val="22"/>
        </w:rPr>
      </w:pPr>
      <w:r w:rsidRPr="007F3753">
        <w:t>Idelalisib ha</w:t>
      </w:r>
      <w:r w:rsidR="0050523C">
        <w:t>s</w:t>
      </w:r>
      <w:r w:rsidRPr="007F3753">
        <w:t xml:space="preserve"> a FDA boxed warning </w:t>
      </w:r>
      <w:r w:rsidR="0050523C">
        <w:t xml:space="preserve">based on longer term analyses </w:t>
      </w:r>
      <w:r w:rsidRPr="007F3753">
        <w:t>stating that treatment can result in fatal and serious toxicities including hepatotoxicity, severe diarrhoea or colitis, pneumonitis and intestinal perforation.</w:t>
      </w:r>
      <w:r w:rsidR="00131A75">
        <w:t xml:space="preserve"> </w:t>
      </w:r>
      <w:r w:rsidR="00131A75" w:rsidRPr="00131A75">
        <w:t>The ACPM</w:t>
      </w:r>
      <w:r w:rsidR="00F95202">
        <w:t xml:space="preserve"> recommended that pharmacovigila</w:t>
      </w:r>
      <w:r w:rsidR="00131A75" w:rsidRPr="00131A75">
        <w:t>nce was required for</w:t>
      </w:r>
      <w:r w:rsidR="00BE37EF">
        <w:t xml:space="preserve"> anaphylaxis,</w:t>
      </w:r>
      <w:r w:rsidR="00131A75" w:rsidRPr="00131A75">
        <w:t xml:space="preserve"> intestinal perforation and progressive multifocal leukoencephalopathy.</w:t>
      </w:r>
    </w:p>
    <w:p w:rsidR="00B60939" w:rsidRDefault="00AA22CE" w:rsidP="00F61566">
      <w:pPr>
        <w:pStyle w:val="ListParagraph"/>
        <w:widowControl/>
        <w:ind w:left="0"/>
        <w:rPr>
          <w:szCs w:val="22"/>
        </w:rPr>
      </w:pPr>
      <w:r>
        <w:rPr>
          <w:szCs w:val="22"/>
        </w:rPr>
        <w:t xml:space="preserve"> </w:t>
      </w:r>
    </w:p>
    <w:p w:rsidR="00654225" w:rsidRPr="00164329" w:rsidRDefault="00654225" w:rsidP="00D75BE2">
      <w:pPr>
        <w:pStyle w:val="ListParagraph"/>
        <w:keepNext/>
        <w:widowControl/>
        <w:numPr>
          <w:ilvl w:val="1"/>
          <w:numId w:val="10"/>
        </w:numPr>
        <w:rPr>
          <w:szCs w:val="22"/>
        </w:rPr>
      </w:pPr>
      <w:r w:rsidRPr="00164329">
        <w:rPr>
          <w:szCs w:val="22"/>
        </w:rPr>
        <w:t xml:space="preserve">A comparison of the incidence of adverse events (≥ Grade 3) at the second interim and final analyses is presented in </w:t>
      </w:r>
      <w:r w:rsidR="00D75BE2">
        <w:rPr>
          <w:szCs w:val="22"/>
        </w:rPr>
        <w:t>the table below.</w:t>
      </w:r>
      <w:r w:rsidRPr="00164329">
        <w:rPr>
          <w:szCs w:val="22"/>
        </w:rPr>
        <w:t xml:space="preserve"> The additional two months of follow-up data indicated that longer term use of idelalisib resulted in an increase in </w:t>
      </w:r>
      <w:r w:rsidR="00D54894">
        <w:rPr>
          <w:szCs w:val="22"/>
        </w:rPr>
        <w:t xml:space="preserve">some </w:t>
      </w:r>
      <w:r w:rsidRPr="00164329">
        <w:rPr>
          <w:szCs w:val="22"/>
        </w:rPr>
        <w:t xml:space="preserve">adverse events </w:t>
      </w:r>
      <w:r w:rsidR="00D54894">
        <w:rPr>
          <w:szCs w:val="22"/>
        </w:rPr>
        <w:t>such as diarrhoea and colitis</w:t>
      </w:r>
      <w:r w:rsidR="00D75BE2">
        <w:rPr>
          <w:szCs w:val="22"/>
        </w:rPr>
        <w:t xml:space="preserve"> </w:t>
      </w:r>
      <w:r w:rsidR="00D75BE2" w:rsidRPr="00D75BE2">
        <w:rPr>
          <w:szCs w:val="22"/>
        </w:rPr>
        <w:t xml:space="preserve">(noting </w:t>
      </w:r>
      <w:r w:rsidR="005D367D" w:rsidRPr="00D75BE2">
        <w:rPr>
          <w:szCs w:val="22"/>
        </w:rPr>
        <w:t>th</w:t>
      </w:r>
      <w:r w:rsidR="005D367D">
        <w:rPr>
          <w:szCs w:val="22"/>
        </w:rPr>
        <w:t>ese</w:t>
      </w:r>
      <w:r w:rsidR="005D367D" w:rsidRPr="00D75BE2">
        <w:rPr>
          <w:szCs w:val="22"/>
        </w:rPr>
        <w:t xml:space="preserve"> </w:t>
      </w:r>
      <w:r w:rsidR="00D75BE2" w:rsidRPr="00D75BE2">
        <w:rPr>
          <w:szCs w:val="22"/>
        </w:rPr>
        <w:t>data could not be verified)</w:t>
      </w:r>
      <w:r w:rsidR="00D54894">
        <w:rPr>
          <w:szCs w:val="22"/>
        </w:rPr>
        <w:t>.</w:t>
      </w:r>
      <w:r w:rsidRPr="00164329">
        <w:rPr>
          <w:szCs w:val="22"/>
        </w:rPr>
        <w:t xml:space="preserve"> </w:t>
      </w:r>
    </w:p>
    <w:p w:rsidR="00654225" w:rsidRDefault="00654225" w:rsidP="00F61566">
      <w:pPr>
        <w:pStyle w:val="ListParagraph"/>
        <w:widowControl/>
        <w:ind w:left="0"/>
        <w:rPr>
          <w:szCs w:val="22"/>
        </w:rPr>
      </w:pPr>
    </w:p>
    <w:p w:rsidR="006C7BD4" w:rsidRPr="00164329" w:rsidRDefault="00BE3064" w:rsidP="00164329">
      <w:pPr>
        <w:keepNext/>
        <w:keepLines/>
        <w:widowControl/>
        <w:ind w:left="720"/>
        <w:jc w:val="left"/>
        <w:rPr>
          <w:rFonts w:ascii="Arial Narrow" w:hAnsi="Arial Narrow"/>
          <w:b/>
          <w:snapToGrid/>
          <w:sz w:val="20"/>
          <w:lang w:eastAsia="en-AU"/>
        </w:rPr>
      </w:pPr>
      <w:r>
        <w:rPr>
          <w:rFonts w:ascii="Arial Narrow" w:hAnsi="Arial Narrow"/>
          <w:b/>
          <w:snapToGrid/>
          <w:sz w:val="20"/>
          <w:lang w:eastAsia="en-AU"/>
        </w:rPr>
        <w:lastRenderedPageBreak/>
        <w:t>A</w:t>
      </w:r>
      <w:r w:rsidR="006C7BD4" w:rsidRPr="00164329">
        <w:rPr>
          <w:rFonts w:ascii="Arial Narrow" w:hAnsi="Arial Narrow"/>
          <w:b/>
          <w:snapToGrid/>
          <w:sz w:val="20"/>
          <w:lang w:eastAsia="en-AU"/>
        </w:rPr>
        <w:t>dverse events (≥ Grade 3) in Trial 312-0116: a comparison between the 2</w:t>
      </w:r>
      <w:r w:rsidR="006C7BD4" w:rsidRPr="00164329">
        <w:rPr>
          <w:rFonts w:ascii="Arial Narrow" w:hAnsi="Arial Narrow"/>
          <w:b/>
          <w:snapToGrid/>
          <w:sz w:val="20"/>
          <w:vertAlign w:val="superscript"/>
          <w:lang w:eastAsia="en-AU"/>
        </w:rPr>
        <w:t>nd</w:t>
      </w:r>
      <w:r w:rsidR="006C7BD4" w:rsidRPr="00164329">
        <w:rPr>
          <w:rFonts w:ascii="Arial Narrow" w:hAnsi="Arial Narrow"/>
          <w:b/>
          <w:snapToGrid/>
          <w:sz w:val="20"/>
          <w:lang w:eastAsia="en-AU"/>
        </w:rPr>
        <w:t xml:space="preserve"> interim and the final analyses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arative harms - adverse events"/>
      </w:tblPr>
      <w:tblGrid>
        <w:gridCol w:w="1415"/>
        <w:gridCol w:w="1846"/>
        <w:gridCol w:w="1592"/>
        <w:gridCol w:w="1845"/>
        <w:gridCol w:w="1648"/>
      </w:tblGrid>
      <w:tr w:rsidR="006C7BD4" w:rsidRPr="003D1C51" w:rsidTr="007D7FB6">
        <w:trPr>
          <w:cantSplit/>
          <w:tblHeader/>
        </w:trPr>
        <w:tc>
          <w:tcPr>
            <w:tcW w:w="1060" w:type="dxa"/>
            <w:vMerge w:val="restart"/>
            <w:shd w:val="clear" w:color="auto" w:fill="auto"/>
            <w:tcMar>
              <w:left w:w="28" w:type="dxa"/>
              <w:right w:w="28" w:type="dxa"/>
            </w:tcMar>
          </w:tcPr>
          <w:p w:rsidR="006C7BD4" w:rsidRPr="00164329" w:rsidRDefault="006C7BD4" w:rsidP="00164329">
            <w:pPr>
              <w:keepNext/>
              <w:keepLines/>
              <w:rPr>
                <w:rFonts w:ascii="Arial Narrow" w:hAnsi="Arial Narrow"/>
                <w:snapToGrid/>
                <w:sz w:val="20"/>
                <w:lang w:eastAsia="en-AU"/>
              </w:rPr>
            </w:pPr>
          </w:p>
        </w:tc>
        <w:tc>
          <w:tcPr>
            <w:tcW w:w="3614" w:type="dxa"/>
            <w:gridSpan w:val="2"/>
            <w:shd w:val="clear" w:color="auto" w:fill="auto"/>
            <w:tcMar>
              <w:left w:w="28" w:type="dxa"/>
              <w:right w:w="28" w:type="dxa"/>
            </w:tcMar>
          </w:tcPr>
          <w:p w:rsidR="006C7BD4" w:rsidRPr="00164329" w:rsidRDefault="006C7BD4" w:rsidP="00164329">
            <w:pPr>
              <w:keepNext/>
              <w:keepLines/>
              <w:jc w:val="center"/>
              <w:rPr>
                <w:rFonts w:ascii="Arial Narrow" w:hAnsi="Arial Narrow"/>
                <w:b/>
                <w:snapToGrid/>
                <w:sz w:val="20"/>
                <w:lang w:eastAsia="en-AU"/>
              </w:rPr>
            </w:pPr>
            <w:r w:rsidRPr="00164329">
              <w:rPr>
                <w:rFonts w:ascii="Arial Narrow" w:hAnsi="Arial Narrow"/>
                <w:b/>
                <w:snapToGrid/>
                <w:sz w:val="20"/>
                <w:lang w:eastAsia="en-AU"/>
              </w:rPr>
              <w:t>Idelalisib + rituximab</w:t>
            </w:r>
          </w:p>
        </w:tc>
        <w:tc>
          <w:tcPr>
            <w:tcW w:w="3672" w:type="dxa"/>
            <w:gridSpan w:val="2"/>
            <w:shd w:val="clear" w:color="auto" w:fill="auto"/>
            <w:tcMar>
              <w:left w:w="28" w:type="dxa"/>
              <w:right w:w="28" w:type="dxa"/>
            </w:tcMar>
          </w:tcPr>
          <w:p w:rsidR="006C7BD4" w:rsidRPr="00164329" w:rsidRDefault="006C7BD4" w:rsidP="00164329">
            <w:pPr>
              <w:keepNext/>
              <w:keepLines/>
              <w:jc w:val="center"/>
              <w:rPr>
                <w:rFonts w:ascii="Arial Narrow" w:hAnsi="Arial Narrow"/>
                <w:b/>
                <w:snapToGrid/>
                <w:sz w:val="20"/>
                <w:lang w:eastAsia="en-AU"/>
              </w:rPr>
            </w:pPr>
            <w:r w:rsidRPr="00164329">
              <w:rPr>
                <w:rFonts w:ascii="Arial Narrow" w:hAnsi="Arial Narrow"/>
                <w:b/>
                <w:snapToGrid/>
                <w:sz w:val="20"/>
                <w:lang w:eastAsia="en-AU"/>
              </w:rPr>
              <w:t>Placebo + rituximab</w:t>
            </w:r>
          </w:p>
        </w:tc>
      </w:tr>
      <w:tr w:rsidR="006C7BD4" w:rsidRPr="003D1C51" w:rsidTr="007D7FB6">
        <w:trPr>
          <w:cantSplit/>
          <w:tblHeader/>
        </w:trPr>
        <w:tc>
          <w:tcPr>
            <w:tcW w:w="1060" w:type="dxa"/>
            <w:vMerge/>
            <w:shd w:val="clear" w:color="auto" w:fill="auto"/>
            <w:tcMar>
              <w:left w:w="28" w:type="dxa"/>
              <w:right w:w="28" w:type="dxa"/>
            </w:tcMar>
          </w:tcPr>
          <w:p w:rsidR="006C7BD4" w:rsidRPr="00164329" w:rsidRDefault="006C7BD4" w:rsidP="00164329">
            <w:pPr>
              <w:keepNext/>
              <w:keepLines/>
              <w:rPr>
                <w:rFonts w:ascii="Arial Narrow" w:hAnsi="Arial Narrow"/>
                <w:snapToGrid/>
                <w:sz w:val="20"/>
                <w:lang w:eastAsia="en-AU"/>
              </w:rPr>
            </w:pPr>
          </w:p>
        </w:tc>
        <w:tc>
          <w:tcPr>
            <w:tcW w:w="1945" w:type="dxa"/>
            <w:shd w:val="clear" w:color="auto" w:fill="auto"/>
            <w:tcMar>
              <w:left w:w="28" w:type="dxa"/>
              <w:right w:w="28" w:type="dxa"/>
            </w:tcMar>
          </w:tcPr>
          <w:p w:rsidR="006C7BD4" w:rsidRPr="00164329" w:rsidRDefault="006C7BD4" w:rsidP="00164329">
            <w:pPr>
              <w:keepNext/>
              <w:keepLines/>
              <w:jc w:val="center"/>
              <w:rPr>
                <w:rFonts w:ascii="Arial Narrow" w:hAnsi="Arial Narrow"/>
                <w:b/>
                <w:snapToGrid/>
                <w:sz w:val="20"/>
                <w:lang w:eastAsia="en-AU"/>
              </w:rPr>
            </w:pPr>
            <w:r w:rsidRPr="00164329">
              <w:rPr>
                <w:rFonts w:ascii="Arial Narrow" w:hAnsi="Arial Narrow"/>
                <w:b/>
                <w:snapToGrid/>
                <w:sz w:val="20"/>
                <w:lang w:eastAsia="en-AU"/>
              </w:rPr>
              <w:t>2</w:t>
            </w:r>
            <w:r w:rsidRPr="00164329">
              <w:rPr>
                <w:rFonts w:ascii="Arial Narrow" w:hAnsi="Arial Narrow"/>
                <w:b/>
                <w:snapToGrid/>
                <w:sz w:val="20"/>
                <w:vertAlign w:val="superscript"/>
                <w:lang w:eastAsia="en-AU"/>
              </w:rPr>
              <w:t>nd</w:t>
            </w:r>
            <w:r w:rsidRPr="00164329">
              <w:rPr>
                <w:rFonts w:ascii="Arial Narrow" w:hAnsi="Arial Narrow"/>
                <w:b/>
                <w:snapToGrid/>
                <w:sz w:val="20"/>
                <w:lang w:eastAsia="en-AU"/>
              </w:rPr>
              <w:t xml:space="preserve"> interim analysis</w:t>
            </w:r>
          </w:p>
        </w:tc>
        <w:tc>
          <w:tcPr>
            <w:tcW w:w="1669" w:type="dxa"/>
            <w:shd w:val="clear" w:color="auto" w:fill="auto"/>
            <w:tcMar>
              <w:left w:w="28" w:type="dxa"/>
              <w:right w:w="28" w:type="dxa"/>
            </w:tcMar>
          </w:tcPr>
          <w:p w:rsidR="006C7BD4" w:rsidRPr="00164329" w:rsidRDefault="006C7BD4" w:rsidP="00164329">
            <w:pPr>
              <w:keepNext/>
              <w:keepLines/>
              <w:jc w:val="center"/>
              <w:rPr>
                <w:rFonts w:ascii="Arial Narrow" w:hAnsi="Arial Narrow"/>
                <w:b/>
                <w:snapToGrid/>
                <w:sz w:val="20"/>
                <w:lang w:eastAsia="en-AU"/>
              </w:rPr>
            </w:pPr>
            <w:r w:rsidRPr="00164329">
              <w:rPr>
                <w:rFonts w:ascii="Arial Narrow" w:hAnsi="Arial Narrow"/>
                <w:b/>
                <w:snapToGrid/>
                <w:sz w:val="20"/>
                <w:lang w:eastAsia="en-AU"/>
              </w:rPr>
              <w:t>Final analysis</w:t>
            </w:r>
          </w:p>
        </w:tc>
        <w:tc>
          <w:tcPr>
            <w:tcW w:w="1943" w:type="dxa"/>
            <w:shd w:val="clear" w:color="auto" w:fill="auto"/>
            <w:tcMar>
              <w:left w:w="28" w:type="dxa"/>
              <w:right w:w="28" w:type="dxa"/>
            </w:tcMar>
          </w:tcPr>
          <w:p w:rsidR="006C7BD4" w:rsidRPr="00164329" w:rsidRDefault="006C7BD4" w:rsidP="00164329">
            <w:pPr>
              <w:keepNext/>
              <w:keepLines/>
              <w:jc w:val="center"/>
              <w:rPr>
                <w:rFonts w:ascii="Arial Narrow" w:hAnsi="Arial Narrow"/>
                <w:b/>
                <w:snapToGrid/>
                <w:sz w:val="20"/>
                <w:lang w:eastAsia="en-AU"/>
              </w:rPr>
            </w:pPr>
            <w:r w:rsidRPr="00164329">
              <w:rPr>
                <w:rFonts w:ascii="Arial Narrow" w:hAnsi="Arial Narrow"/>
                <w:b/>
                <w:snapToGrid/>
                <w:sz w:val="20"/>
                <w:lang w:eastAsia="en-AU"/>
              </w:rPr>
              <w:t>2</w:t>
            </w:r>
            <w:r w:rsidRPr="00164329">
              <w:rPr>
                <w:rFonts w:ascii="Arial Narrow" w:hAnsi="Arial Narrow"/>
                <w:b/>
                <w:snapToGrid/>
                <w:sz w:val="20"/>
                <w:vertAlign w:val="superscript"/>
                <w:lang w:eastAsia="en-AU"/>
              </w:rPr>
              <w:t>nd</w:t>
            </w:r>
            <w:r w:rsidRPr="00164329">
              <w:rPr>
                <w:rFonts w:ascii="Arial Narrow" w:hAnsi="Arial Narrow"/>
                <w:b/>
                <w:snapToGrid/>
                <w:sz w:val="20"/>
                <w:lang w:eastAsia="en-AU"/>
              </w:rPr>
              <w:t xml:space="preserve"> interim analysis</w:t>
            </w:r>
          </w:p>
        </w:tc>
        <w:tc>
          <w:tcPr>
            <w:tcW w:w="1729" w:type="dxa"/>
            <w:shd w:val="clear" w:color="auto" w:fill="auto"/>
            <w:tcMar>
              <w:left w:w="28" w:type="dxa"/>
              <w:right w:w="28" w:type="dxa"/>
            </w:tcMar>
          </w:tcPr>
          <w:p w:rsidR="006C7BD4" w:rsidRPr="00164329" w:rsidRDefault="006C7BD4" w:rsidP="00164329">
            <w:pPr>
              <w:keepNext/>
              <w:keepLines/>
              <w:jc w:val="center"/>
              <w:rPr>
                <w:rFonts w:ascii="Arial Narrow" w:hAnsi="Arial Narrow"/>
                <w:b/>
                <w:snapToGrid/>
                <w:sz w:val="20"/>
                <w:lang w:eastAsia="en-AU"/>
              </w:rPr>
            </w:pPr>
            <w:r w:rsidRPr="00164329">
              <w:rPr>
                <w:rFonts w:ascii="Arial Narrow" w:hAnsi="Arial Narrow"/>
                <w:b/>
                <w:snapToGrid/>
                <w:sz w:val="20"/>
                <w:lang w:eastAsia="en-AU"/>
              </w:rPr>
              <w:t>Final analysis</w:t>
            </w:r>
          </w:p>
        </w:tc>
      </w:tr>
      <w:tr w:rsidR="006C7BD4" w:rsidRPr="003D1C51" w:rsidTr="007D7FB6">
        <w:tc>
          <w:tcPr>
            <w:tcW w:w="1060" w:type="dxa"/>
            <w:shd w:val="clear" w:color="auto" w:fill="auto"/>
            <w:tcMar>
              <w:left w:w="28" w:type="dxa"/>
              <w:right w:w="28" w:type="dxa"/>
            </w:tcMar>
          </w:tcPr>
          <w:p w:rsidR="006C7BD4" w:rsidRPr="00164329" w:rsidRDefault="006C7BD4" w:rsidP="00164329">
            <w:pPr>
              <w:keepNext/>
              <w:keepLines/>
              <w:rPr>
                <w:rFonts w:ascii="Arial Narrow" w:hAnsi="Arial Narrow"/>
                <w:snapToGrid/>
                <w:sz w:val="20"/>
                <w:lang w:eastAsia="en-AU"/>
              </w:rPr>
            </w:pPr>
            <w:r w:rsidRPr="00164329">
              <w:rPr>
                <w:rFonts w:ascii="Arial Narrow" w:hAnsi="Arial Narrow"/>
                <w:snapToGrid/>
                <w:sz w:val="20"/>
                <w:lang w:eastAsia="en-AU"/>
              </w:rPr>
              <w:t>Neutropenia</w:t>
            </w:r>
          </w:p>
        </w:tc>
        <w:tc>
          <w:tcPr>
            <w:tcW w:w="1945"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21.8%</w:t>
            </w:r>
          </w:p>
        </w:tc>
        <w:tc>
          <w:tcPr>
            <w:tcW w:w="1669"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22.7%</w:t>
            </w:r>
          </w:p>
        </w:tc>
        <w:tc>
          <w:tcPr>
            <w:tcW w:w="1943"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12.0%</w:t>
            </w:r>
          </w:p>
        </w:tc>
        <w:tc>
          <w:tcPr>
            <w:tcW w:w="1729"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16.7%</w:t>
            </w:r>
          </w:p>
        </w:tc>
      </w:tr>
      <w:tr w:rsidR="006C7BD4" w:rsidRPr="003D1C51" w:rsidTr="007D7FB6">
        <w:tc>
          <w:tcPr>
            <w:tcW w:w="1060" w:type="dxa"/>
            <w:shd w:val="clear" w:color="auto" w:fill="auto"/>
            <w:tcMar>
              <w:left w:w="28" w:type="dxa"/>
              <w:right w:w="28" w:type="dxa"/>
            </w:tcMar>
          </w:tcPr>
          <w:p w:rsidR="006C7BD4" w:rsidRPr="00164329" w:rsidRDefault="006C7BD4" w:rsidP="00164329">
            <w:pPr>
              <w:keepNext/>
              <w:keepLines/>
              <w:rPr>
                <w:rFonts w:ascii="Arial Narrow" w:hAnsi="Arial Narrow"/>
                <w:snapToGrid/>
                <w:sz w:val="20"/>
                <w:lang w:eastAsia="en-AU"/>
              </w:rPr>
            </w:pPr>
            <w:r w:rsidRPr="00164329">
              <w:rPr>
                <w:rFonts w:ascii="Arial Narrow" w:hAnsi="Arial Narrow"/>
                <w:snapToGrid/>
                <w:sz w:val="20"/>
                <w:lang w:eastAsia="en-AU"/>
              </w:rPr>
              <w:t>Febrile neutropenia</w:t>
            </w:r>
          </w:p>
        </w:tc>
        <w:tc>
          <w:tcPr>
            <w:tcW w:w="1945"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4.5%</w:t>
            </w:r>
          </w:p>
        </w:tc>
        <w:tc>
          <w:tcPr>
            <w:tcW w:w="1669"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4.5%</w:t>
            </w:r>
          </w:p>
        </w:tc>
        <w:tc>
          <w:tcPr>
            <w:tcW w:w="1943"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3.7%</w:t>
            </w:r>
          </w:p>
        </w:tc>
        <w:tc>
          <w:tcPr>
            <w:tcW w:w="1729"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4.6%</w:t>
            </w:r>
          </w:p>
        </w:tc>
      </w:tr>
      <w:tr w:rsidR="006C7BD4" w:rsidRPr="003D1C51" w:rsidTr="007D7FB6">
        <w:tc>
          <w:tcPr>
            <w:tcW w:w="1060" w:type="dxa"/>
            <w:shd w:val="clear" w:color="auto" w:fill="auto"/>
            <w:tcMar>
              <w:left w:w="28" w:type="dxa"/>
              <w:right w:w="28" w:type="dxa"/>
            </w:tcMar>
          </w:tcPr>
          <w:p w:rsidR="006C7BD4" w:rsidRPr="00164329" w:rsidRDefault="006C7BD4" w:rsidP="00164329">
            <w:pPr>
              <w:keepNext/>
              <w:keepLines/>
              <w:rPr>
                <w:rFonts w:ascii="Arial Narrow" w:hAnsi="Arial Narrow"/>
                <w:snapToGrid/>
                <w:sz w:val="20"/>
                <w:lang w:eastAsia="en-AU"/>
              </w:rPr>
            </w:pPr>
            <w:r w:rsidRPr="00164329">
              <w:rPr>
                <w:rFonts w:ascii="Arial Narrow" w:hAnsi="Arial Narrow"/>
                <w:snapToGrid/>
                <w:sz w:val="20"/>
                <w:lang w:eastAsia="en-AU"/>
              </w:rPr>
              <w:t>Anaemia</w:t>
            </w:r>
          </w:p>
        </w:tc>
        <w:tc>
          <w:tcPr>
            <w:tcW w:w="1945"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4.5%</w:t>
            </w:r>
          </w:p>
        </w:tc>
        <w:tc>
          <w:tcPr>
            <w:tcW w:w="1669"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7.3%</w:t>
            </w:r>
          </w:p>
        </w:tc>
        <w:tc>
          <w:tcPr>
            <w:tcW w:w="1943"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6.5%</w:t>
            </w:r>
          </w:p>
        </w:tc>
        <w:tc>
          <w:tcPr>
            <w:tcW w:w="1729" w:type="dxa"/>
            <w:shd w:val="clear" w:color="auto" w:fill="auto"/>
            <w:tcMar>
              <w:left w:w="28" w:type="dxa"/>
              <w:right w:w="28" w:type="dxa"/>
            </w:tcMar>
          </w:tcPr>
          <w:p w:rsidR="006C7BD4" w:rsidRPr="00164329" w:rsidRDefault="006C7BD4" w:rsidP="00164329">
            <w:pPr>
              <w:keepNext/>
              <w:keepLines/>
              <w:jc w:val="center"/>
              <w:rPr>
                <w:rFonts w:ascii="Arial Narrow" w:hAnsi="Arial Narrow"/>
                <w:snapToGrid/>
                <w:sz w:val="20"/>
                <w:lang w:eastAsia="en-AU"/>
              </w:rPr>
            </w:pPr>
            <w:r w:rsidRPr="00164329">
              <w:rPr>
                <w:rFonts w:ascii="Arial Narrow" w:hAnsi="Arial Narrow"/>
                <w:snapToGrid/>
                <w:sz w:val="20"/>
                <w:lang w:eastAsia="en-AU"/>
              </w:rPr>
              <w:t>6.5%</w:t>
            </w:r>
          </w:p>
        </w:tc>
      </w:tr>
      <w:tr w:rsidR="006C7BD4" w:rsidRPr="003D1C51" w:rsidTr="007D7FB6">
        <w:tc>
          <w:tcPr>
            <w:tcW w:w="1060" w:type="dxa"/>
            <w:shd w:val="clear" w:color="auto" w:fill="auto"/>
            <w:tcMar>
              <w:left w:w="28" w:type="dxa"/>
              <w:right w:w="28" w:type="dxa"/>
            </w:tcMar>
          </w:tcPr>
          <w:p w:rsidR="006C7BD4" w:rsidRPr="00164329" w:rsidRDefault="006C7BD4" w:rsidP="00164329">
            <w:pPr>
              <w:keepNext/>
              <w:keepLines/>
              <w:widowControl/>
              <w:rPr>
                <w:rFonts w:ascii="Arial Narrow" w:hAnsi="Arial Narrow"/>
                <w:snapToGrid/>
                <w:sz w:val="20"/>
                <w:lang w:eastAsia="en-AU"/>
              </w:rPr>
            </w:pPr>
            <w:r w:rsidRPr="00164329">
              <w:rPr>
                <w:rFonts w:ascii="Arial Narrow" w:hAnsi="Arial Narrow"/>
                <w:snapToGrid/>
                <w:sz w:val="20"/>
                <w:lang w:eastAsia="en-AU"/>
              </w:rPr>
              <w:t>Thrombocytopenia</w:t>
            </w:r>
          </w:p>
        </w:tc>
        <w:tc>
          <w:tcPr>
            <w:tcW w:w="1945"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2.7%</w:t>
            </w:r>
          </w:p>
        </w:tc>
        <w:tc>
          <w:tcPr>
            <w:tcW w:w="166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3.6%</w:t>
            </w:r>
          </w:p>
        </w:tc>
        <w:tc>
          <w:tcPr>
            <w:tcW w:w="1943"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4.6%</w:t>
            </w:r>
          </w:p>
        </w:tc>
        <w:tc>
          <w:tcPr>
            <w:tcW w:w="172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3.7%</w:t>
            </w:r>
          </w:p>
        </w:tc>
      </w:tr>
      <w:tr w:rsidR="006C7BD4" w:rsidRPr="003D1C51" w:rsidTr="007D7FB6">
        <w:tc>
          <w:tcPr>
            <w:tcW w:w="1060" w:type="dxa"/>
            <w:shd w:val="clear" w:color="auto" w:fill="auto"/>
            <w:tcMar>
              <w:left w:w="28" w:type="dxa"/>
              <w:right w:w="28" w:type="dxa"/>
            </w:tcMar>
          </w:tcPr>
          <w:p w:rsidR="006C7BD4" w:rsidRPr="00164329" w:rsidRDefault="006C7BD4" w:rsidP="00164329">
            <w:pPr>
              <w:keepNext/>
              <w:keepLines/>
              <w:widowControl/>
              <w:rPr>
                <w:rFonts w:ascii="Arial Narrow" w:hAnsi="Arial Narrow"/>
                <w:snapToGrid/>
                <w:sz w:val="20"/>
                <w:lang w:eastAsia="en-AU"/>
              </w:rPr>
            </w:pPr>
            <w:r w:rsidRPr="00164329">
              <w:rPr>
                <w:rFonts w:ascii="Arial Narrow" w:hAnsi="Arial Narrow"/>
                <w:snapToGrid/>
                <w:sz w:val="20"/>
                <w:lang w:eastAsia="en-AU"/>
              </w:rPr>
              <w:t>Pneumonia</w:t>
            </w:r>
          </w:p>
        </w:tc>
        <w:tc>
          <w:tcPr>
            <w:tcW w:w="1945"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10.9%</w:t>
            </w:r>
          </w:p>
        </w:tc>
        <w:tc>
          <w:tcPr>
            <w:tcW w:w="166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13.6%</w:t>
            </w:r>
          </w:p>
        </w:tc>
        <w:tc>
          <w:tcPr>
            <w:tcW w:w="1943"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10.2%</w:t>
            </w:r>
          </w:p>
        </w:tc>
        <w:tc>
          <w:tcPr>
            <w:tcW w:w="172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10.2%</w:t>
            </w:r>
          </w:p>
        </w:tc>
      </w:tr>
      <w:tr w:rsidR="006C7BD4" w:rsidRPr="003D1C51" w:rsidTr="007D7FB6">
        <w:tc>
          <w:tcPr>
            <w:tcW w:w="1060" w:type="dxa"/>
            <w:shd w:val="clear" w:color="auto" w:fill="auto"/>
            <w:tcMar>
              <w:left w:w="28" w:type="dxa"/>
              <w:right w:w="28" w:type="dxa"/>
            </w:tcMar>
          </w:tcPr>
          <w:p w:rsidR="006C7BD4" w:rsidRPr="00164329" w:rsidRDefault="006C7BD4" w:rsidP="00164329">
            <w:pPr>
              <w:keepNext/>
              <w:keepLines/>
              <w:widowControl/>
              <w:rPr>
                <w:rFonts w:ascii="Arial Narrow" w:hAnsi="Arial Narrow"/>
                <w:snapToGrid/>
                <w:sz w:val="20"/>
                <w:lang w:eastAsia="en-AU"/>
              </w:rPr>
            </w:pPr>
            <w:r w:rsidRPr="00164329">
              <w:rPr>
                <w:rFonts w:ascii="Arial Narrow" w:hAnsi="Arial Narrow"/>
                <w:snapToGrid/>
                <w:sz w:val="20"/>
                <w:lang w:eastAsia="en-AU"/>
              </w:rPr>
              <w:t>Sepsis</w:t>
            </w:r>
          </w:p>
        </w:tc>
        <w:tc>
          <w:tcPr>
            <w:tcW w:w="1945"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3.6%</w:t>
            </w:r>
          </w:p>
        </w:tc>
        <w:tc>
          <w:tcPr>
            <w:tcW w:w="166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5.5%</w:t>
            </w:r>
          </w:p>
        </w:tc>
        <w:tc>
          <w:tcPr>
            <w:tcW w:w="1943"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2.8%</w:t>
            </w:r>
          </w:p>
        </w:tc>
        <w:tc>
          <w:tcPr>
            <w:tcW w:w="172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2.8%</w:t>
            </w:r>
          </w:p>
        </w:tc>
      </w:tr>
      <w:tr w:rsidR="006C7BD4" w:rsidRPr="003D1C51" w:rsidTr="007D7FB6">
        <w:tc>
          <w:tcPr>
            <w:tcW w:w="1060" w:type="dxa"/>
            <w:shd w:val="clear" w:color="auto" w:fill="auto"/>
            <w:tcMar>
              <w:left w:w="28" w:type="dxa"/>
              <w:right w:w="28" w:type="dxa"/>
            </w:tcMar>
          </w:tcPr>
          <w:p w:rsidR="006C7BD4" w:rsidRPr="00164329" w:rsidRDefault="006C7BD4" w:rsidP="00164329">
            <w:pPr>
              <w:keepNext/>
              <w:keepLines/>
              <w:widowControl/>
              <w:rPr>
                <w:rFonts w:ascii="Arial Narrow" w:hAnsi="Arial Narrow"/>
                <w:snapToGrid/>
                <w:sz w:val="20"/>
                <w:lang w:eastAsia="en-AU"/>
              </w:rPr>
            </w:pPr>
            <w:r w:rsidRPr="00164329">
              <w:rPr>
                <w:rFonts w:ascii="Arial Narrow" w:hAnsi="Arial Narrow"/>
                <w:snapToGrid/>
                <w:sz w:val="20"/>
                <w:lang w:eastAsia="en-AU"/>
              </w:rPr>
              <w:t>Diarrhoea</w:t>
            </w:r>
          </w:p>
        </w:tc>
        <w:tc>
          <w:tcPr>
            <w:tcW w:w="1945"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3.6%</w:t>
            </w:r>
          </w:p>
        </w:tc>
        <w:tc>
          <w:tcPr>
            <w:tcW w:w="166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9.1%</w:t>
            </w:r>
          </w:p>
        </w:tc>
        <w:tc>
          <w:tcPr>
            <w:tcW w:w="1943"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0</w:t>
            </w:r>
          </w:p>
        </w:tc>
        <w:tc>
          <w:tcPr>
            <w:tcW w:w="172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0</w:t>
            </w:r>
          </w:p>
        </w:tc>
      </w:tr>
      <w:tr w:rsidR="006C7BD4" w:rsidRPr="003D1C51" w:rsidTr="007D7FB6">
        <w:tc>
          <w:tcPr>
            <w:tcW w:w="1060" w:type="dxa"/>
            <w:shd w:val="clear" w:color="auto" w:fill="auto"/>
            <w:tcMar>
              <w:left w:w="28" w:type="dxa"/>
              <w:right w:w="28" w:type="dxa"/>
            </w:tcMar>
          </w:tcPr>
          <w:p w:rsidR="006C7BD4" w:rsidRPr="00164329" w:rsidRDefault="006C7BD4" w:rsidP="00164329">
            <w:pPr>
              <w:keepNext/>
              <w:keepLines/>
              <w:widowControl/>
              <w:rPr>
                <w:rFonts w:ascii="Arial Narrow" w:hAnsi="Arial Narrow"/>
                <w:snapToGrid/>
                <w:sz w:val="20"/>
                <w:lang w:eastAsia="en-AU"/>
              </w:rPr>
            </w:pPr>
            <w:r w:rsidRPr="00164329">
              <w:rPr>
                <w:rFonts w:ascii="Arial Narrow" w:hAnsi="Arial Narrow"/>
                <w:snapToGrid/>
                <w:sz w:val="20"/>
                <w:lang w:eastAsia="en-AU"/>
              </w:rPr>
              <w:t>Colitis</w:t>
            </w:r>
          </w:p>
        </w:tc>
        <w:tc>
          <w:tcPr>
            <w:tcW w:w="1945"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2.7%</w:t>
            </w:r>
          </w:p>
        </w:tc>
        <w:tc>
          <w:tcPr>
            <w:tcW w:w="166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4.5%</w:t>
            </w:r>
          </w:p>
        </w:tc>
        <w:tc>
          <w:tcPr>
            <w:tcW w:w="1943"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0</w:t>
            </w:r>
          </w:p>
        </w:tc>
        <w:tc>
          <w:tcPr>
            <w:tcW w:w="1729" w:type="dxa"/>
            <w:shd w:val="clear" w:color="auto" w:fill="auto"/>
            <w:tcMar>
              <w:left w:w="28" w:type="dxa"/>
              <w:right w:w="28" w:type="dxa"/>
            </w:tcMar>
          </w:tcPr>
          <w:p w:rsidR="006C7BD4" w:rsidRPr="00164329" w:rsidRDefault="006C7BD4" w:rsidP="00164329">
            <w:pPr>
              <w:keepNext/>
              <w:keepLines/>
              <w:widowControl/>
              <w:jc w:val="center"/>
              <w:rPr>
                <w:rFonts w:ascii="Arial Narrow" w:hAnsi="Arial Narrow"/>
                <w:snapToGrid/>
                <w:sz w:val="20"/>
                <w:lang w:eastAsia="en-AU"/>
              </w:rPr>
            </w:pPr>
            <w:r w:rsidRPr="00164329">
              <w:rPr>
                <w:rFonts w:ascii="Arial Narrow" w:hAnsi="Arial Narrow"/>
                <w:snapToGrid/>
                <w:sz w:val="20"/>
                <w:lang w:eastAsia="en-AU"/>
              </w:rPr>
              <w:t>0</w:t>
            </w:r>
          </w:p>
        </w:tc>
      </w:tr>
    </w:tbl>
    <w:p w:rsidR="006C7BD4" w:rsidRPr="00485583" w:rsidRDefault="006C7BD4" w:rsidP="00164329">
      <w:pPr>
        <w:keepNext/>
        <w:keepLines/>
        <w:widowControl/>
        <w:ind w:left="709"/>
        <w:rPr>
          <w:rFonts w:ascii="Arial Narrow" w:hAnsi="Arial Narrow"/>
          <w:i/>
          <w:snapToGrid/>
          <w:sz w:val="18"/>
          <w:szCs w:val="18"/>
          <w:lang w:eastAsia="en-AU"/>
        </w:rPr>
      </w:pPr>
      <w:r w:rsidRPr="00485583">
        <w:rPr>
          <w:rFonts w:ascii="Arial Narrow" w:hAnsi="Arial Narrow"/>
          <w:i/>
          <w:snapToGrid/>
          <w:sz w:val="18"/>
          <w:szCs w:val="18"/>
          <w:lang w:eastAsia="en-AU"/>
        </w:rPr>
        <w:t>Source: Table 4 of the Pre-Sub-Committee Response</w:t>
      </w:r>
    </w:p>
    <w:p w:rsidR="006C7BD4" w:rsidRPr="00485583" w:rsidRDefault="006C7BD4" w:rsidP="00164329">
      <w:pPr>
        <w:keepNext/>
        <w:keepLines/>
        <w:ind w:left="709"/>
        <w:rPr>
          <w:rFonts w:ascii="Arial Narrow" w:hAnsi="Arial Narrow"/>
          <w:i/>
          <w:sz w:val="18"/>
        </w:rPr>
      </w:pPr>
      <w:r w:rsidRPr="00485583">
        <w:rPr>
          <w:rFonts w:ascii="Arial Narrow" w:hAnsi="Arial Narrow"/>
          <w:i/>
          <w:snapToGrid/>
          <w:sz w:val="18"/>
          <w:szCs w:val="18"/>
          <w:vertAlign w:val="superscript"/>
          <w:lang w:eastAsia="en-AU"/>
        </w:rPr>
        <w:t>a</w:t>
      </w:r>
      <w:r w:rsidRPr="00485583">
        <w:rPr>
          <w:rFonts w:ascii="Arial Narrow" w:hAnsi="Arial Narrow"/>
          <w:i/>
          <w:sz w:val="18"/>
        </w:rPr>
        <w:t xml:space="preserve">The source documentation was not provided with the PSCR and therefore the information could not be verified. </w:t>
      </w:r>
    </w:p>
    <w:p w:rsidR="00A10214" w:rsidRDefault="00A10214" w:rsidP="00164329">
      <w:pPr>
        <w:pStyle w:val="ListParagraph"/>
        <w:keepNext/>
        <w:keepLines/>
        <w:widowControl/>
        <w:ind w:left="0"/>
        <w:rPr>
          <w:i/>
          <w:szCs w:val="22"/>
        </w:rPr>
      </w:pPr>
    </w:p>
    <w:p w:rsidR="00B523C4" w:rsidRPr="007D5098" w:rsidRDefault="00B523C4" w:rsidP="00C73993">
      <w:pPr>
        <w:pStyle w:val="ListParagraph"/>
        <w:widowControl/>
        <w:rPr>
          <w:i/>
          <w:szCs w:val="22"/>
        </w:rPr>
      </w:pPr>
      <w:r w:rsidRPr="00164329">
        <w:rPr>
          <w:i/>
          <w:szCs w:val="22"/>
        </w:rPr>
        <w:t>For more detail on PBAC’s view, see section 7 “PBAC outcome”</w:t>
      </w:r>
    </w:p>
    <w:p w:rsidR="004A69CC" w:rsidRDefault="004A69CC" w:rsidP="00F61566">
      <w:pPr>
        <w:pStyle w:val="ListParagraph"/>
        <w:widowControl/>
        <w:ind w:left="0"/>
        <w:rPr>
          <w:szCs w:val="22"/>
        </w:rPr>
      </w:pPr>
    </w:p>
    <w:p w:rsidR="007F1017" w:rsidRPr="00C73993" w:rsidRDefault="007F1017" w:rsidP="00F61566">
      <w:pPr>
        <w:pStyle w:val="Heading2"/>
        <w:keepNext/>
        <w:widowControl/>
        <w:rPr>
          <w:szCs w:val="22"/>
        </w:rPr>
      </w:pPr>
      <w:bookmarkStart w:id="12" w:name="_Toc409601146"/>
      <w:r w:rsidRPr="00C73993">
        <w:t>Benefits/harms</w:t>
      </w:r>
      <w:bookmarkEnd w:id="12"/>
    </w:p>
    <w:p w:rsidR="007F1017" w:rsidRDefault="007F1017" w:rsidP="00F61566">
      <w:pPr>
        <w:keepNext/>
        <w:widowControl/>
      </w:pPr>
    </w:p>
    <w:p w:rsidR="00EC00C9" w:rsidRPr="003D1C51" w:rsidRDefault="00EC00C9" w:rsidP="00F61566">
      <w:pPr>
        <w:pStyle w:val="ListParagraph"/>
        <w:keepNext/>
        <w:widowControl/>
        <w:numPr>
          <w:ilvl w:val="1"/>
          <w:numId w:val="10"/>
        </w:numPr>
        <w:rPr>
          <w:szCs w:val="22"/>
        </w:rPr>
      </w:pPr>
      <w:r w:rsidRPr="00B50DB8">
        <w:rPr>
          <w:szCs w:val="22"/>
        </w:rPr>
        <w:t xml:space="preserve">A summary of the comparative benefits and harms for </w:t>
      </w:r>
      <w:r w:rsidR="00EF142B">
        <w:rPr>
          <w:szCs w:val="22"/>
        </w:rPr>
        <w:t xml:space="preserve">idelalisib plus rituximab </w:t>
      </w:r>
      <w:r w:rsidRPr="00B50DB8">
        <w:rPr>
          <w:szCs w:val="22"/>
        </w:rPr>
        <w:t xml:space="preserve">versus </w:t>
      </w:r>
      <w:r w:rsidR="00EF142B">
        <w:rPr>
          <w:szCs w:val="22"/>
        </w:rPr>
        <w:t>placebo plus rituximab</w:t>
      </w:r>
      <w:r w:rsidRPr="00B50DB8">
        <w:rPr>
          <w:szCs w:val="22"/>
        </w:rPr>
        <w:t xml:space="preserve"> is presented </w:t>
      </w:r>
      <w:r w:rsidR="008034E6">
        <w:rPr>
          <w:szCs w:val="22"/>
        </w:rPr>
        <w:t xml:space="preserve">in </w:t>
      </w:r>
      <w:r w:rsidR="00756A7F">
        <w:rPr>
          <w:szCs w:val="22"/>
        </w:rPr>
        <w:t>the table</w:t>
      </w:r>
      <w:r w:rsidRPr="00B50DB8">
        <w:rPr>
          <w:szCs w:val="22"/>
        </w:rPr>
        <w:t xml:space="preserve"> below</w:t>
      </w:r>
      <w:r w:rsidR="009851F5">
        <w:rPr>
          <w:szCs w:val="22"/>
        </w:rPr>
        <w:t xml:space="preserve"> </w:t>
      </w:r>
      <w:r w:rsidR="009851F5" w:rsidRPr="00164329">
        <w:rPr>
          <w:szCs w:val="22"/>
        </w:rPr>
        <w:t xml:space="preserve">(based on </w:t>
      </w:r>
      <w:r w:rsidR="00DD1334" w:rsidRPr="00164329">
        <w:rPr>
          <w:szCs w:val="22"/>
        </w:rPr>
        <w:t xml:space="preserve">the </w:t>
      </w:r>
      <w:r w:rsidR="009851F5" w:rsidRPr="00164329">
        <w:rPr>
          <w:szCs w:val="22"/>
        </w:rPr>
        <w:t>second interim analysis results).</w:t>
      </w:r>
    </w:p>
    <w:p w:rsidR="00162913" w:rsidRDefault="00162913" w:rsidP="00F61566">
      <w:pPr>
        <w:widowControl/>
      </w:pPr>
    </w:p>
    <w:p w:rsidR="00B62715" w:rsidRDefault="00B62715" w:rsidP="00F61566">
      <w:pPr>
        <w:keepNext/>
        <w:widowControl/>
        <w:ind w:left="720"/>
        <w:rPr>
          <w:rStyle w:val="CommentReference"/>
        </w:rPr>
      </w:pPr>
      <w:r w:rsidRPr="00A578DC">
        <w:rPr>
          <w:rStyle w:val="CommentReference"/>
        </w:rPr>
        <w:t xml:space="preserve">Summary of comparative benefits and harms for </w:t>
      </w:r>
      <w:r w:rsidR="002B5D05">
        <w:rPr>
          <w:rStyle w:val="CommentReference"/>
        </w:rPr>
        <w:t>idelalisib plus rituximab and placebo plus rituximab from Trial 312-0116</w:t>
      </w:r>
      <w:r w:rsidR="006101EC">
        <w:rPr>
          <w:rStyle w:val="CommentReference"/>
        </w:rPr>
        <w:t xml:space="preserve"> (based on the second interim analysis results)</w:t>
      </w:r>
    </w:p>
    <w:tbl>
      <w:tblPr>
        <w:tblStyle w:val="TableGrid"/>
        <w:tblW w:w="4625" w:type="pct"/>
        <w:tblInd w:w="698" w:type="dxa"/>
        <w:tblLayout w:type="fixed"/>
        <w:tblCellMar>
          <w:left w:w="28" w:type="dxa"/>
          <w:right w:w="28" w:type="dxa"/>
        </w:tblCellMar>
        <w:tblLook w:val="04A0" w:firstRow="1" w:lastRow="0" w:firstColumn="1" w:lastColumn="0" w:noHBand="0" w:noVBand="1"/>
        <w:tblCaption w:val="Comparative benefits and harms"/>
      </w:tblPr>
      <w:tblGrid>
        <w:gridCol w:w="1170"/>
        <w:gridCol w:w="990"/>
        <w:gridCol w:w="1133"/>
        <w:gridCol w:w="711"/>
        <w:gridCol w:w="706"/>
        <w:gridCol w:w="1138"/>
        <w:gridCol w:w="995"/>
        <w:gridCol w:w="146"/>
        <w:gridCol w:w="1413"/>
      </w:tblGrid>
      <w:tr w:rsidR="00413D29" w:rsidRPr="00E2771E" w:rsidTr="00413D29">
        <w:trPr>
          <w:cantSplit/>
        </w:trPr>
        <w:tc>
          <w:tcPr>
            <w:tcW w:w="5000" w:type="pct"/>
            <w:gridSpan w:val="9"/>
            <w:shd w:val="clear" w:color="auto" w:fill="auto"/>
            <w:vAlign w:val="center"/>
          </w:tcPr>
          <w:p w:rsidR="00413D29" w:rsidRPr="00E2771E" w:rsidRDefault="00413D29" w:rsidP="00F61566">
            <w:pPr>
              <w:keepNext/>
              <w:widowControl/>
              <w:jc w:val="left"/>
              <w:rPr>
                <w:rFonts w:ascii="Arial Narrow" w:hAnsi="Arial Narrow"/>
                <w:b/>
                <w:color w:val="000000"/>
                <w:sz w:val="20"/>
                <w:szCs w:val="18"/>
              </w:rPr>
            </w:pPr>
            <w:r>
              <w:rPr>
                <w:rFonts w:ascii="Arial Narrow" w:hAnsi="Arial Narrow"/>
                <w:b/>
                <w:color w:val="000000"/>
                <w:sz w:val="20"/>
                <w:szCs w:val="18"/>
              </w:rPr>
              <w:t>BENEFITS</w:t>
            </w:r>
          </w:p>
        </w:tc>
      </w:tr>
      <w:tr w:rsidR="00743728" w:rsidRPr="00E2771E" w:rsidTr="00164329">
        <w:trPr>
          <w:cantSplit/>
        </w:trPr>
        <w:tc>
          <w:tcPr>
            <w:tcW w:w="1286" w:type="pct"/>
            <w:gridSpan w:val="2"/>
            <w:shd w:val="clear" w:color="auto" w:fill="auto"/>
            <w:vAlign w:val="center"/>
          </w:tcPr>
          <w:p w:rsidR="00B62715" w:rsidRPr="00E2771E" w:rsidRDefault="00B62715" w:rsidP="00F61566">
            <w:pPr>
              <w:keepNext/>
              <w:widowControl/>
              <w:jc w:val="left"/>
              <w:rPr>
                <w:rFonts w:ascii="Arial Narrow" w:hAnsi="Arial Narrow"/>
                <w:color w:val="000000"/>
                <w:sz w:val="20"/>
                <w:szCs w:val="18"/>
              </w:rPr>
            </w:pPr>
          </w:p>
        </w:tc>
        <w:tc>
          <w:tcPr>
            <w:tcW w:w="1097" w:type="pct"/>
            <w:gridSpan w:val="2"/>
            <w:vAlign w:val="center"/>
          </w:tcPr>
          <w:p w:rsidR="00B62715" w:rsidRPr="00E2771E" w:rsidRDefault="002B5D05" w:rsidP="00F61566">
            <w:pPr>
              <w:keepNext/>
              <w:widowControl/>
              <w:jc w:val="center"/>
              <w:rPr>
                <w:rFonts w:ascii="Arial Narrow" w:hAnsi="Arial Narrow"/>
                <w:b/>
                <w:color w:val="000000"/>
                <w:sz w:val="20"/>
                <w:szCs w:val="18"/>
              </w:rPr>
            </w:pPr>
            <w:r>
              <w:rPr>
                <w:rFonts w:ascii="Arial Narrow" w:hAnsi="Arial Narrow"/>
                <w:b/>
                <w:color w:val="000000"/>
                <w:sz w:val="20"/>
                <w:szCs w:val="18"/>
              </w:rPr>
              <w:t>Idelalisib + rituximab</w:t>
            </w:r>
          </w:p>
        </w:tc>
        <w:tc>
          <w:tcPr>
            <w:tcW w:w="1097" w:type="pct"/>
            <w:gridSpan w:val="2"/>
            <w:vAlign w:val="center"/>
          </w:tcPr>
          <w:p w:rsidR="00B62715" w:rsidRPr="00E2771E" w:rsidRDefault="002B5D05" w:rsidP="00F61566">
            <w:pPr>
              <w:keepNext/>
              <w:widowControl/>
              <w:jc w:val="center"/>
              <w:rPr>
                <w:rFonts w:ascii="Arial Narrow" w:hAnsi="Arial Narrow"/>
                <w:b/>
                <w:color w:val="000000"/>
                <w:sz w:val="20"/>
                <w:szCs w:val="18"/>
              </w:rPr>
            </w:pPr>
            <w:r>
              <w:rPr>
                <w:rFonts w:ascii="Arial Narrow" w:hAnsi="Arial Narrow"/>
                <w:b/>
                <w:color w:val="000000"/>
                <w:sz w:val="20"/>
                <w:szCs w:val="18"/>
              </w:rPr>
              <w:t>Placebo + rituximab</w:t>
            </w:r>
          </w:p>
        </w:tc>
        <w:tc>
          <w:tcPr>
            <w:tcW w:w="679" w:type="pct"/>
            <w:gridSpan w:val="2"/>
            <w:vAlign w:val="center"/>
          </w:tcPr>
          <w:p w:rsidR="00B62715" w:rsidRPr="00E2771E" w:rsidRDefault="00B62715" w:rsidP="00F61566">
            <w:pPr>
              <w:keepNext/>
              <w:widowControl/>
              <w:jc w:val="center"/>
              <w:rPr>
                <w:rFonts w:ascii="Arial Narrow" w:hAnsi="Arial Narrow"/>
                <w:b/>
                <w:color w:val="000000"/>
                <w:sz w:val="20"/>
                <w:szCs w:val="18"/>
              </w:rPr>
            </w:pPr>
            <w:r w:rsidRPr="00E2771E">
              <w:rPr>
                <w:rFonts w:ascii="Arial Narrow" w:hAnsi="Arial Narrow"/>
                <w:b/>
                <w:color w:val="000000"/>
                <w:sz w:val="20"/>
                <w:szCs w:val="18"/>
              </w:rPr>
              <w:t>Absolute Difference</w:t>
            </w:r>
          </w:p>
        </w:tc>
        <w:tc>
          <w:tcPr>
            <w:tcW w:w="840" w:type="pct"/>
            <w:vAlign w:val="center"/>
          </w:tcPr>
          <w:p w:rsidR="00B62715" w:rsidRPr="00E2771E" w:rsidRDefault="00B62715" w:rsidP="00F61566">
            <w:pPr>
              <w:keepNext/>
              <w:widowControl/>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2B5D05" w:rsidRPr="00E2771E" w:rsidTr="00413D29">
        <w:trPr>
          <w:cantSplit/>
        </w:trPr>
        <w:tc>
          <w:tcPr>
            <w:tcW w:w="5000" w:type="pct"/>
            <w:gridSpan w:val="9"/>
            <w:shd w:val="clear" w:color="auto" w:fill="auto"/>
            <w:vAlign w:val="center"/>
          </w:tcPr>
          <w:p w:rsidR="002B5D05" w:rsidRPr="00E2771E" w:rsidRDefault="002B5D05" w:rsidP="00F61566">
            <w:pPr>
              <w:keepNext/>
              <w:widowControl/>
              <w:jc w:val="left"/>
              <w:rPr>
                <w:rFonts w:ascii="Arial Narrow" w:hAnsi="Arial Narrow"/>
                <w:b/>
                <w:color w:val="000000"/>
                <w:sz w:val="20"/>
                <w:szCs w:val="18"/>
              </w:rPr>
            </w:pPr>
            <w:r w:rsidRPr="00E2771E">
              <w:rPr>
                <w:rFonts w:ascii="Arial Narrow" w:hAnsi="Arial Narrow"/>
                <w:b/>
                <w:color w:val="000000"/>
                <w:sz w:val="20"/>
                <w:szCs w:val="18"/>
              </w:rPr>
              <w:t>P</w:t>
            </w:r>
            <w:r>
              <w:rPr>
                <w:rFonts w:ascii="Arial Narrow" w:hAnsi="Arial Narrow"/>
                <w:b/>
                <w:color w:val="000000"/>
                <w:sz w:val="20"/>
                <w:szCs w:val="18"/>
              </w:rPr>
              <w:t>rogression free survival</w:t>
            </w:r>
            <w:r w:rsidR="00C73678">
              <w:rPr>
                <w:rFonts w:ascii="Arial Narrow" w:hAnsi="Arial Narrow"/>
                <w:b/>
                <w:color w:val="000000"/>
                <w:sz w:val="20"/>
                <w:szCs w:val="18"/>
              </w:rPr>
              <w:t xml:space="preserve"> *</w:t>
            </w:r>
          </w:p>
        </w:tc>
      </w:tr>
      <w:tr w:rsidR="00743728" w:rsidRPr="00E2771E" w:rsidTr="00164329">
        <w:trPr>
          <w:cantSplit/>
        </w:trPr>
        <w:tc>
          <w:tcPr>
            <w:tcW w:w="1286" w:type="pct"/>
            <w:gridSpan w:val="2"/>
            <w:shd w:val="clear" w:color="auto" w:fill="auto"/>
            <w:vAlign w:val="center"/>
          </w:tcPr>
          <w:p w:rsidR="00B62715" w:rsidRPr="00E2771E" w:rsidRDefault="002B5D05" w:rsidP="00F61566">
            <w:pPr>
              <w:keepNext/>
              <w:widowControl/>
              <w:jc w:val="left"/>
              <w:rPr>
                <w:rFonts w:ascii="Arial Narrow" w:hAnsi="Arial Narrow"/>
                <w:color w:val="000000"/>
                <w:sz w:val="20"/>
                <w:szCs w:val="18"/>
              </w:rPr>
            </w:pPr>
            <w:r>
              <w:rPr>
                <w:rFonts w:ascii="Arial Narrow" w:hAnsi="Arial Narrow"/>
                <w:color w:val="000000"/>
                <w:sz w:val="20"/>
                <w:szCs w:val="18"/>
              </w:rPr>
              <w:t>Progressed disease; n/N (%)</w:t>
            </w:r>
          </w:p>
        </w:tc>
        <w:tc>
          <w:tcPr>
            <w:tcW w:w="1097" w:type="pct"/>
            <w:gridSpan w:val="2"/>
          </w:tcPr>
          <w:p w:rsidR="00B62715" w:rsidRPr="00E2771E" w:rsidRDefault="00743728" w:rsidP="00F61566">
            <w:pPr>
              <w:keepNext/>
              <w:widowControl/>
              <w:jc w:val="center"/>
              <w:rPr>
                <w:rFonts w:ascii="Arial Narrow" w:hAnsi="Arial Narrow"/>
                <w:sz w:val="20"/>
              </w:rPr>
            </w:pPr>
            <w:r>
              <w:rPr>
                <w:rFonts w:ascii="Arial Narrow" w:hAnsi="Arial Narrow"/>
                <w:sz w:val="20"/>
              </w:rPr>
              <w:t>16</w:t>
            </w:r>
            <w:r w:rsidR="002B5D05">
              <w:rPr>
                <w:rFonts w:ascii="Arial Narrow" w:hAnsi="Arial Narrow"/>
                <w:sz w:val="20"/>
              </w:rPr>
              <w:t>/110 (</w:t>
            </w:r>
            <w:r>
              <w:rPr>
                <w:rFonts w:ascii="Arial Narrow" w:hAnsi="Arial Narrow"/>
                <w:sz w:val="20"/>
              </w:rPr>
              <w:t>14.5</w:t>
            </w:r>
            <w:r w:rsidR="002B5D05">
              <w:rPr>
                <w:rFonts w:ascii="Arial Narrow" w:hAnsi="Arial Narrow"/>
                <w:sz w:val="20"/>
              </w:rPr>
              <w:t>%)</w:t>
            </w:r>
          </w:p>
        </w:tc>
        <w:tc>
          <w:tcPr>
            <w:tcW w:w="1097" w:type="pct"/>
            <w:gridSpan w:val="2"/>
          </w:tcPr>
          <w:p w:rsidR="00B62715" w:rsidRPr="00E2771E" w:rsidRDefault="002B5D05" w:rsidP="00F61566">
            <w:pPr>
              <w:keepNext/>
              <w:widowControl/>
              <w:jc w:val="center"/>
              <w:rPr>
                <w:rFonts w:ascii="Arial Narrow" w:hAnsi="Arial Narrow"/>
                <w:sz w:val="20"/>
              </w:rPr>
            </w:pPr>
            <w:r>
              <w:rPr>
                <w:rFonts w:ascii="Arial Narrow" w:hAnsi="Arial Narrow"/>
                <w:sz w:val="20"/>
              </w:rPr>
              <w:t>5</w:t>
            </w:r>
            <w:r w:rsidR="00743728">
              <w:rPr>
                <w:rFonts w:ascii="Arial Narrow" w:hAnsi="Arial Narrow"/>
                <w:sz w:val="20"/>
              </w:rPr>
              <w:t>9</w:t>
            </w:r>
            <w:r>
              <w:rPr>
                <w:rFonts w:ascii="Arial Narrow" w:hAnsi="Arial Narrow"/>
                <w:sz w:val="20"/>
              </w:rPr>
              <w:t>/110 (</w:t>
            </w:r>
            <w:r w:rsidR="00743728">
              <w:rPr>
                <w:rFonts w:ascii="Arial Narrow" w:hAnsi="Arial Narrow"/>
                <w:sz w:val="20"/>
              </w:rPr>
              <w:t>53.6</w:t>
            </w:r>
            <w:r>
              <w:rPr>
                <w:rFonts w:ascii="Arial Narrow" w:hAnsi="Arial Narrow"/>
                <w:sz w:val="20"/>
              </w:rPr>
              <w:t>%)</w:t>
            </w:r>
          </w:p>
        </w:tc>
        <w:tc>
          <w:tcPr>
            <w:tcW w:w="679" w:type="pct"/>
            <w:gridSpan w:val="2"/>
            <w:vAlign w:val="center"/>
          </w:tcPr>
          <w:p w:rsidR="00B62715" w:rsidRPr="00E2771E" w:rsidRDefault="00B62715" w:rsidP="00F61566">
            <w:pPr>
              <w:keepNext/>
              <w:widowControl/>
              <w:jc w:val="center"/>
              <w:rPr>
                <w:rFonts w:ascii="Arial Narrow" w:hAnsi="Arial Narrow"/>
                <w:color w:val="000000"/>
                <w:sz w:val="20"/>
                <w:szCs w:val="18"/>
              </w:rPr>
            </w:pPr>
            <w:r w:rsidRPr="00E2771E">
              <w:rPr>
                <w:rFonts w:ascii="Arial Narrow" w:hAnsi="Arial Narrow"/>
                <w:color w:val="000000"/>
                <w:sz w:val="20"/>
                <w:szCs w:val="18"/>
              </w:rPr>
              <w:t>-</w:t>
            </w:r>
          </w:p>
        </w:tc>
        <w:tc>
          <w:tcPr>
            <w:tcW w:w="840" w:type="pct"/>
            <w:vAlign w:val="center"/>
          </w:tcPr>
          <w:p w:rsidR="00B62715" w:rsidRPr="00701D9E" w:rsidRDefault="002B5D05" w:rsidP="00F61566">
            <w:pPr>
              <w:keepNext/>
              <w:widowControl/>
              <w:jc w:val="center"/>
              <w:rPr>
                <w:rFonts w:ascii="Arial Narrow" w:hAnsi="Arial Narrow"/>
                <w:b/>
                <w:color w:val="000000"/>
                <w:sz w:val="20"/>
                <w:szCs w:val="18"/>
              </w:rPr>
            </w:pPr>
            <w:r w:rsidRPr="00701D9E">
              <w:rPr>
                <w:rFonts w:ascii="Arial Narrow" w:hAnsi="Arial Narrow"/>
                <w:b/>
                <w:color w:val="000000"/>
                <w:sz w:val="20"/>
                <w:szCs w:val="18"/>
              </w:rPr>
              <w:t>0.18 (0.10, 0.32)</w:t>
            </w:r>
          </w:p>
        </w:tc>
      </w:tr>
      <w:tr w:rsidR="00743728" w:rsidRPr="00E2771E" w:rsidTr="00164329">
        <w:trPr>
          <w:cantSplit/>
        </w:trPr>
        <w:tc>
          <w:tcPr>
            <w:tcW w:w="1286" w:type="pct"/>
            <w:gridSpan w:val="2"/>
            <w:shd w:val="clear" w:color="auto" w:fill="auto"/>
            <w:vAlign w:val="center"/>
          </w:tcPr>
          <w:p w:rsidR="00B62715" w:rsidRPr="00E2771E" w:rsidRDefault="00B62715" w:rsidP="00F61566">
            <w:pPr>
              <w:keepNext/>
              <w:widowControl/>
              <w:jc w:val="left"/>
              <w:rPr>
                <w:rFonts w:ascii="Arial Narrow" w:hAnsi="Arial Narrow"/>
                <w:color w:val="000000"/>
                <w:sz w:val="20"/>
                <w:szCs w:val="18"/>
              </w:rPr>
            </w:pPr>
            <w:r w:rsidRPr="00E2771E">
              <w:rPr>
                <w:rFonts w:ascii="Arial Narrow" w:hAnsi="Arial Narrow"/>
                <w:color w:val="000000"/>
                <w:sz w:val="20"/>
                <w:szCs w:val="18"/>
              </w:rPr>
              <w:t>Median (m</w:t>
            </w:r>
            <w:r w:rsidR="002B5D05">
              <w:rPr>
                <w:rFonts w:ascii="Arial Narrow" w:hAnsi="Arial Narrow"/>
                <w:color w:val="000000"/>
                <w:sz w:val="20"/>
                <w:szCs w:val="18"/>
              </w:rPr>
              <w:t>on</w:t>
            </w:r>
            <w:r w:rsidRPr="00E2771E">
              <w:rPr>
                <w:rFonts w:ascii="Arial Narrow" w:hAnsi="Arial Narrow"/>
                <w:color w:val="000000"/>
                <w:sz w:val="20"/>
                <w:szCs w:val="18"/>
              </w:rPr>
              <w:t>ths)</w:t>
            </w:r>
          </w:p>
        </w:tc>
        <w:tc>
          <w:tcPr>
            <w:tcW w:w="1097" w:type="pct"/>
            <w:gridSpan w:val="2"/>
          </w:tcPr>
          <w:p w:rsidR="00B62715" w:rsidRPr="00E2771E" w:rsidRDefault="002B5D05" w:rsidP="00F61566">
            <w:pPr>
              <w:keepNext/>
              <w:widowControl/>
              <w:jc w:val="center"/>
              <w:rPr>
                <w:rFonts w:ascii="Arial Narrow" w:hAnsi="Arial Narrow"/>
                <w:sz w:val="20"/>
              </w:rPr>
            </w:pPr>
            <w:r>
              <w:rPr>
                <w:rFonts w:ascii="Arial Narrow" w:hAnsi="Arial Narrow"/>
                <w:sz w:val="20"/>
              </w:rPr>
              <w:t>NR (10.7, NR)</w:t>
            </w:r>
          </w:p>
        </w:tc>
        <w:tc>
          <w:tcPr>
            <w:tcW w:w="1097" w:type="pct"/>
            <w:gridSpan w:val="2"/>
          </w:tcPr>
          <w:p w:rsidR="00B62715" w:rsidRPr="00E2771E" w:rsidRDefault="002B5D05" w:rsidP="00F61566">
            <w:pPr>
              <w:keepNext/>
              <w:widowControl/>
              <w:jc w:val="center"/>
              <w:rPr>
                <w:rFonts w:ascii="Arial Narrow" w:hAnsi="Arial Narrow"/>
                <w:sz w:val="20"/>
              </w:rPr>
            </w:pPr>
            <w:r>
              <w:rPr>
                <w:rFonts w:ascii="Arial Narrow" w:hAnsi="Arial Narrow"/>
                <w:sz w:val="20"/>
              </w:rPr>
              <w:t>5.5 (3.8, 7.1)</w:t>
            </w:r>
          </w:p>
        </w:tc>
        <w:tc>
          <w:tcPr>
            <w:tcW w:w="679" w:type="pct"/>
            <w:gridSpan w:val="2"/>
            <w:vAlign w:val="center"/>
          </w:tcPr>
          <w:p w:rsidR="00B62715" w:rsidRPr="00E2771E" w:rsidRDefault="002B5D05" w:rsidP="00F61566">
            <w:pPr>
              <w:keepNext/>
              <w:widowControl/>
              <w:jc w:val="center"/>
              <w:rPr>
                <w:rFonts w:ascii="Arial Narrow" w:hAnsi="Arial Narrow"/>
                <w:color w:val="000000"/>
                <w:sz w:val="20"/>
                <w:szCs w:val="18"/>
              </w:rPr>
            </w:pPr>
            <w:r>
              <w:rPr>
                <w:rFonts w:ascii="Arial Narrow" w:hAnsi="Arial Narrow"/>
                <w:color w:val="000000"/>
                <w:sz w:val="20"/>
                <w:szCs w:val="18"/>
              </w:rPr>
              <w:t>NC</w:t>
            </w:r>
          </w:p>
        </w:tc>
        <w:tc>
          <w:tcPr>
            <w:tcW w:w="840" w:type="pct"/>
            <w:vAlign w:val="center"/>
          </w:tcPr>
          <w:p w:rsidR="00B62715" w:rsidRPr="00E2771E" w:rsidRDefault="00B62715" w:rsidP="00F61566">
            <w:pPr>
              <w:keepNext/>
              <w:widowControl/>
              <w:jc w:val="center"/>
              <w:rPr>
                <w:rFonts w:ascii="Arial Narrow" w:hAnsi="Arial Narrow"/>
                <w:color w:val="000000"/>
                <w:sz w:val="20"/>
                <w:szCs w:val="18"/>
              </w:rPr>
            </w:pPr>
            <w:r w:rsidRPr="00E2771E">
              <w:rPr>
                <w:rFonts w:ascii="Arial Narrow" w:hAnsi="Arial Narrow"/>
                <w:color w:val="000000"/>
                <w:sz w:val="20"/>
                <w:szCs w:val="18"/>
              </w:rPr>
              <w:t>-</w:t>
            </w:r>
          </w:p>
        </w:tc>
      </w:tr>
      <w:tr w:rsidR="002B5D05" w:rsidRPr="00E2771E" w:rsidTr="00413D29">
        <w:trPr>
          <w:cantSplit/>
        </w:trPr>
        <w:tc>
          <w:tcPr>
            <w:tcW w:w="5000" w:type="pct"/>
            <w:gridSpan w:val="9"/>
            <w:shd w:val="clear" w:color="auto" w:fill="auto"/>
            <w:vAlign w:val="center"/>
          </w:tcPr>
          <w:p w:rsidR="002B5D05" w:rsidRPr="002B5D05" w:rsidRDefault="002B5D05" w:rsidP="00F61566">
            <w:pPr>
              <w:keepNext/>
              <w:widowControl/>
              <w:jc w:val="left"/>
              <w:rPr>
                <w:rFonts w:ascii="Arial Narrow" w:hAnsi="Arial Narrow"/>
                <w:b/>
                <w:color w:val="000000"/>
                <w:sz w:val="20"/>
                <w:szCs w:val="18"/>
              </w:rPr>
            </w:pPr>
            <w:r w:rsidRPr="002B5D05">
              <w:rPr>
                <w:rFonts w:ascii="Arial Narrow" w:hAnsi="Arial Narrow"/>
                <w:b/>
                <w:color w:val="000000"/>
                <w:sz w:val="20"/>
                <w:szCs w:val="18"/>
              </w:rPr>
              <w:t>Overall survival</w:t>
            </w:r>
            <w:r w:rsidR="00C73678">
              <w:rPr>
                <w:rFonts w:ascii="Arial Narrow" w:hAnsi="Arial Narrow"/>
                <w:b/>
                <w:color w:val="000000"/>
                <w:sz w:val="20"/>
                <w:szCs w:val="18"/>
              </w:rPr>
              <w:t xml:space="preserve"> *</w:t>
            </w:r>
          </w:p>
        </w:tc>
      </w:tr>
      <w:tr w:rsidR="002B5D05" w:rsidRPr="00E2771E" w:rsidTr="00164329">
        <w:trPr>
          <w:cantSplit/>
        </w:trPr>
        <w:tc>
          <w:tcPr>
            <w:tcW w:w="1286" w:type="pct"/>
            <w:gridSpan w:val="2"/>
            <w:shd w:val="clear" w:color="auto" w:fill="auto"/>
            <w:vAlign w:val="center"/>
          </w:tcPr>
          <w:p w:rsidR="002B5D05" w:rsidRPr="00E2771E" w:rsidRDefault="002B5D05" w:rsidP="00F61566">
            <w:pPr>
              <w:keepNext/>
              <w:widowControl/>
              <w:jc w:val="left"/>
              <w:rPr>
                <w:rFonts w:ascii="Arial Narrow" w:hAnsi="Arial Narrow"/>
                <w:color w:val="000000"/>
                <w:sz w:val="20"/>
                <w:szCs w:val="18"/>
              </w:rPr>
            </w:pPr>
            <w:r>
              <w:rPr>
                <w:rFonts w:ascii="Arial Narrow" w:hAnsi="Arial Narrow"/>
                <w:color w:val="000000"/>
                <w:sz w:val="20"/>
                <w:szCs w:val="18"/>
              </w:rPr>
              <w:t>Died; n/N (%)</w:t>
            </w:r>
          </w:p>
        </w:tc>
        <w:tc>
          <w:tcPr>
            <w:tcW w:w="1097" w:type="pct"/>
            <w:gridSpan w:val="2"/>
          </w:tcPr>
          <w:p w:rsidR="002B5D05" w:rsidRDefault="002B5D05" w:rsidP="00F61566">
            <w:pPr>
              <w:keepNext/>
              <w:widowControl/>
              <w:jc w:val="center"/>
              <w:rPr>
                <w:rFonts w:ascii="Arial Narrow" w:hAnsi="Arial Narrow"/>
                <w:sz w:val="20"/>
              </w:rPr>
            </w:pPr>
            <w:r>
              <w:rPr>
                <w:rFonts w:ascii="Arial Narrow" w:hAnsi="Arial Narrow"/>
                <w:sz w:val="20"/>
              </w:rPr>
              <w:t>6/110 (5.5%)</w:t>
            </w:r>
          </w:p>
        </w:tc>
        <w:tc>
          <w:tcPr>
            <w:tcW w:w="1097" w:type="pct"/>
            <w:gridSpan w:val="2"/>
          </w:tcPr>
          <w:p w:rsidR="002B5D05" w:rsidRDefault="002B5D05" w:rsidP="00F61566">
            <w:pPr>
              <w:keepNext/>
              <w:widowControl/>
              <w:jc w:val="center"/>
              <w:rPr>
                <w:rFonts w:ascii="Arial Narrow" w:hAnsi="Arial Narrow"/>
                <w:sz w:val="20"/>
              </w:rPr>
            </w:pPr>
            <w:r>
              <w:rPr>
                <w:rFonts w:ascii="Arial Narrow" w:hAnsi="Arial Narrow"/>
                <w:sz w:val="20"/>
              </w:rPr>
              <w:t>20/110 (18.2%)</w:t>
            </w:r>
          </w:p>
        </w:tc>
        <w:tc>
          <w:tcPr>
            <w:tcW w:w="679" w:type="pct"/>
            <w:gridSpan w:val="2"/>
            <w:vAlign w:val="center"/>
          </w:tcPr>
          <w:p w:rsidR="002B5D05" w:rsidRPr="00E2771E" w:rsidRDefault="002B5D05" w:rsidP="00F61566">
            <w:pPr>
              <w:keepNext/>
              <w:widowControl/>
              <w:jc w:val="center"/>
              <w:rPr>
                <w:rFonts w:ascii="Arial Narrow" w:hAnsi="Arial Narrow"/>
                <w:color w:val="000000"/>
                <w:sz w:val="20"/>
                <w:szCs w:val="18"/>
              </w:rPr>
            </w:pPr>
            <w:r>
              <w:rPr>
                <w:rFonts w:ascii="Arial Narrow" w:hAnsi="Arial Narrow"/>
                <w:color w:val="000000"/>
                <w:sz w:val="20"/>
                <w:szCs w:val="18"/>
              </w:rPr>
              <w:t>-</w:t>
            </w:r>
          </w:p>
        </w:tc>
        <w:tc>
          <w:tcPr>
            <w:tcW w:w="840" w:type="pct"/>
            <w:vAlign w:val="center"/>
          </w:tcPr>
          <w:p w:rsidR="002B5D05" w:rsidRPr="00701D9E" w:rsidRDefault="002B5D05" w:rsidP="00F61566">
            <w:pPr>
              <w:keepNext/>
              <w:widowControl/>
              <w:jc w:val="center"/>
              <w:rPr>
                <w:rFonts w:ascii="Arial Narrow" w:hAnsi="Arial Narrow"/>
                <w:b/>
                <w:color w:val="000000"/>
                <w:sz w:val="20"/>
                <w:szCs w:val="18"/>
              </w:rPr>
            </w:pPr>
            <w:r w:rsidRPr="00701D9E">
              <w:rPr>
                <w:rFonts w:ascii="Arial Narrow" w:hAnsi="Arial Narrow"/>
                <w:b/>
                <w:color w:val="000000"/>
                <w:sz w:val="20"/>
                <w:szCs w:val="18"/>
              </w:rPr>
              <w:t>0.28 (0.11, 0.69)</w:t>
            </w:r>
          </w:p>
        </w:tc>
      </w:tr>
      <w:tr w:rsidR="00B62715" w:rsidRPr="00E2771E" w:rsidTr="00413D29">
        <w:trPr>
          <w:cantSplit/>
        </w:trPr>
        <w:tc>
          <w:tcPr>
            <w:tcW w:w="5000" w:type="pct"/>
            <w:gridSpan w:val="9"/>
            <w:tcBorders>
              <w:top w:val="double" w:sz="4" w:space="0" w:color="auto"/>
            </w:tcBorders>
            <w:shd w:val="clear" w:color="auto" w:fill="auto"/>
            <w:vAlign w:val="center"/>
          </w:tcPr>
          <w:p w:rsidR="00B62715" w:rsidRPr="00E2771E" w:rsidRDefault="00B62715" w:rsidP="00F61566">
            <w:pPr>
              <w:keepNext/>
              <w:widowControl/>
              <w:jc w:val="left"/>
              <w:rPr>
                <w:rFonts w:ascii="Arial Narrow" w:hAnsi="Arial Narrow"/>
                <w:b/>
                <w:color w:val="000000"/>
                <w:sz w:val="20"/>
                <w:szCs w:val="18"/>
              </w:rPr>
            </w:pPr>
            <w:r w:rsidRPr="00E2771E">
              <w:rPr>
                <w:rFonts w:ascii="Arial Narrow" w:hAnsi="Arial Narrow"/>
                <w:b/>
                <w:color w:val="000000"/>
                <w:sz w:val="20"/>
                <w:szCs w:val="18"/>
              </w:rPr>
              <w:t>H</w:t>
            </w:r>
            <w:r w:rsidR="002B5D05">
              <w:rPr>
                <w:rFonts w:ascii="Arial Narrow" w:hAnsi="Arial Narrow"/>
                <w:b/>
                <w:color w:val="000000"/>
                <w:sz w:val="20"/>
                <w:szCs w:val="18"/>
              </w:rPr>
              <w:t>ARMS</w:t>
            </w:r>
          </w:p>
        </w:tc>
      </w:tr>
      <w:tr w:rsidR="00743728" w:rsidRPr="00E2771E" w:rsidTr="00164329">
        <w:trPr>
          <w:cantSplit/>
          <w:trHeight w:val="70"/>
        </w:trPr>
        <w:tc>
          <w:tcPr>
            <w:tcW w:w="697" w:type="pct"/>
            <w:vMerge w:val="restart"/>
            <w:shd w:val="clear" w:color="auto" w:fill="auto"/>
            <w:vAlign w:val="center"/>
          </w:tcPr>
          <w:p w:rsidR="00B62715" w:rsidRPr="00E2771E" w:rsidRDefault="00BE3064" w:rsidP="00F61566">
            <w:pPr>
              <w:keepNext/>
              <w:widowControl/>
              <w:jc w:val="left"/>
              <w:rPr>
                <w:rFonts w:ascii="Arial Narrow" w:hAnsi="Arial Narrow"/>
                <w:b/>
                <w:color w:val="000000"/>
                <w:sz w:val="20"/>
                <w:szCs w:val="18"/>
              </w:rPr>
            </w:pPr>
            <w:r w:rsidRPr="009825E3">
              <w:rPr>
                <w:rFonts w:ascii="Arial Narrow" w:hAnsi="Arial Narrow"/>
                <w:b/>
                <w:color w:val="000000"/>
                <w:sz w:val="20"/>
                <w:szCs w:val="18"/>
              </w:rPr>
              <w:t>Treatment emergent harms</w:t>
            </w:r>
          </w:p>
        </w:tc>
        <w:tc>
          <w:tcPr>
            <w:tcW w:w="589" w:type="pct"/>
            <w:vMerge w:val="restart"/>
            <w:vAlign w:val="center"/>
          </w:tcPr>
          <w:p w:rsidR="00B62715" w:rsidRPr="00E2771E" w:rsidRDefault="00B53B58" w:rsidP="00F61566">
            <w:pPr>
              <w:keepNext/>
              <w:widowControl/>
              <w:jc w:val="center"/>
              <w:rPr>
                <w:rFonts w:ascii="Arial Narrow" w:hAnsi="Arial Narrow"/>
                <w:b/>
                <w:color w:val="000000"/>
                <w:sz w:val="20"/>
                <w:szCs w:val="18"/>
              </w:rPr>
            </w:pPr>
            <w:r>
              <w:rPr>
                <w:rFonts w:ascii="Arial Narrow" w:hAnsi="Arial Narrow"/>
                <w:b/>
                <w:color w:val="000000"/>
                <w:sz w:val="20"/>
                <w:szCs w:val="18"/>
              </w:rPr>
              <w:t>Idelalisib + rituximab</w:t>
            </w:r>
          </w:p>
        </w:tc>
        <w:tc>
          <w:tcPr>
            <w:tcW w:w="674" w:type="pct"/>
            <w:vMerge w:val="restart"/>
            <w:vAlign w:val="center"/>
          </w:tcPr>
          <w:p w:rsidR="00B62715" w:rsidRPr="00E2771E" w:rsidRDefault="00B53B58" w:rsidP="00F61566">
            <w:pPr>
              <w:keepNext/>
              <w:widowControl/>
              <w:jc w:val="center"/>
              <w:rPr>
                <w:rFonts w:ascii="Arial Narrow" w:hAnsi="Arial Narrow"/>
                <w:b/>
                <w:color w:val="000000"/>
                <w:sz w:val="20"/>
                <w:szCs w:val="18"/>
              </w:rPr>
            </w:pPr>
            <w:r>
              <w:rPr>
                <w:rFonts w:ascii="Arial Narrow" w:hAnsi="Arial Narrow"/>
                <w:b/>
                <w:color w:val="000000"/>
                <w:sz w:val="20"/>
                <w:szCs w:val="18"/>
              </w:rPr>
              <w:t>Placebo + rituximab</w:t>
            </w:r>
          </w:p>
        </w:tc>
        <w:tc>
          <w:tcPr>
            <w:tcW w:w="843" w:type="pct"/>
            <w:gridSpan w:val="2"/>
            <w:vMerge w:val="restart"/>
            <w:vAlign w:val="center"/>
          </w:tcPr>
          <w:p w:rsidR="00B62715" w:rsidRPr="00E2771E" w:rsidRDefault="00B62715" w:rsidP="00F61566">
            <w:pPr>
              <w:keepNext/>
              <w:widowControl/>
              <w:jc w:val="center"/>
              <w:rPr>
                <w:rFonts w:ascii="Arial Narrow" w:hAnsi="Arial Narrow"/>
                <w:b/>
                <w:color w:val="000000"/>
                <w:sz w:val="20"/>
                <w:szCs w:val="18"/>
              </w:rPr>
            </w:pPr>
            <w:r w:rsidRPr="00E2771E">
              <w:rPr>
                <w:rFonts w:ascii="Arial Narrow" w:hAnsi="Arial Narrow"/>
                <w:b/>
                <w:color w:val="000000"/>
                <w:sz w:val="20"/>
                <w:szCs w:val="18"/>
              </w:rPr>
              <w:t>RR</w:t>
            </w:r>
          </w:p>
          <w:p w:rsidR="00B62715" w:rsidRPr="00E2771E" w:rsidRDefault="00B62715" w:rsidP="00F61566">
            <w:pPr>
              <w:keepNext/>
              <w:widowControl/>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269" w:type="pct"/>
            <w:gridSpan w:val="2"/>
            <w:vAlign w:val="center"/>
          </w:tcPr>
          <w:p w:rsidR="00B62715" w:rsidRPr="00E2771E" w:rsidRDefault="00B62715" w:rsidP="00F61566">
            <w:pPr>
              <w:keepNext/>
              <w:widowControl/>
              <w:jc w:val="center"/>
              <w:rPr>
                <w:rFonts w:ascii="Arial Narrow" w:hAnsi="Arial Narrow"/>
                <w:b/>
                <w:color w:val="000000"/>
                <w:sz w:val="20"/>
                <w:szCs w:val="18"/>
              </w:rPr>
            </w:pPr>
            <w:r w:rsidRPr="00E2771E">
              <w:rPr>
                <w:rFonts w:ascii="Arial Narrow" w:hAnsi="Arial Narrow"/>
                <w:b/>
                <w:color w:val="000000"/>
                <w:sz w:val="20"/>
                <w:szCs w:val="18"/>
              </w:rPr>
              <w:t>Event rate/100 patients</w:t>
            </w:r>
            <w:r w:rsidR="00743728">
              <w:rPr>
                <w:rFonts w:ascii="Arial Narrow" w:hAnsi="Arial Narrow"/>
                <w:b/>
                <w:color w:val="000000"/>
                <w:sz w:val="20"/>
                <w:szCs w:val="18"/>
              </w:rPr>
              <w:t xml:space="preserve"> </w:t>
            </w:r>
            <w:r w:rsidRPr="00E2771E">
              <w:rPr>
                <w:rFonts w:ascii="Arial Narrow" w:hAnsi="Arial Narrow"/>
                <w:b/>
                <w:color w:val="000000"/>
                <w:sz w:val="20"/>
                <w:szCs w:val="18"/>
              </w:rPr>
              <w:t xml:space="preserve">* </w:t>
            </w:r>
          </w:p>
        </w:tc>
        <w:tc>
          <w:tcPr>
            <w:tcW w:w="928" w:type="pct"/>
            <w:gridSpan w:val="2"/>
            <w:vMerge w:val="restart"/>
            <w:vAlign w:val="center"/>
          </w:tcPr>
          <w:p w:rsidR="00B62715" w:rsidRPr="00E2771E" w:rsidRDefault="00B62715" w:rsidP="00F61566">
            <w:pPr>
              <w:keepNext/>
              <w:widowControl/>
              <w:jc w:val="center"/>
              <w:rPr>
                <w:rFonts w:ascii="Arial Narrow" w:hAnsi="Arial Narrow"/>
                <w:b/>
                <w:color w:val="000000"/>
                <w:sz w:val="20"/>
                <w:szCs w:val="18"/>
              </w:rPr>
            </w:pPr>
            <w:r w:rsidRPr="00E2771E">
              <w:rPr>
                <w:rFonts w:ascii="Arial Narrow" w:hAnsi="Arial Narrow"/>
                <w:b/>
                <w:color w:val="000000"/>
                <w:sz w:val="20"/>
                <w:szCs w:val="18"/>
              </w:rPr>
              <w:t>RD</w:t>
            </w:r>
          </w:p>
          <w:p w:rsidR="00B62715" w:rsidRPr="00E2771E" w:rsidRDefault="00B62715" w:rsidP="00F61566">
            <w:pPr>
              <w:keepNext/>
              <w:widowControl/>
              <w:jc w:val="center"/>
              <w:rPr>
                <w:rFonts w:ascii="Arial Narrow" w:hAnsi="Arial Narrow"/>
                <w:b/>
                <w:color w:val="000000"/>
                <w:sz w:val="20"/>
                <w:szCs w:val="18"/>
              </w:rPr>
            </w:pPr>
            <w:r w:rsidRPr="00E2771E">
              <w:rPr>
                <w:rFonts w:ascii="Arial Narrow" w:hAnsi="Arial Narrow"/>
                <w:b/>
                <w:color w:val="000000"/>
                <w:sz w:val="20"/>
                <w:szCs w:val="18"/>
              </w:rPr>
              <w:t>(95% CI)</w:t>
            </w:r>
          </w:p>
        </w:tc>
      </w:tr>
      <w:tr w:rsidR="00743728" w:rsidRPr="00E2771E" w:rsidTr="00164329">
        <w:trPr>
          <w:cantSplit/>
          <w:trHeight w:val="390"/>
        </w:trPr>
        <w:tc>
          <w:tcPr>
            <w:tcW w:w="697" w:type="pct"/>
            <w:vMerge/>
            <w:shd w:val="clear" w:color="auto" w:fill="auto"/>
            <w:vAlign w:val="center"/>
          </w:tcPr>
          <w:p w:rsidR="00B62715" w:rsidRPr="00E2771E" w:rsidRDefault="00B62715" w:rsidP="00F61566">
            <w:pPr>
              <w:keepNext/>
              <w:widowControl/>
              <w:jc w:val="left"/>
              <w:rPr>
                <w:rFonts w:ascii="Arial Narrow" w:hAnsi="Arial Narrow"/>
                <w:b/>
                <w:color w:val="000000"/>
                <w:sz w:val="20"/>
                <w:szCs w:val="18"/>
              </w:rPr>
            </w:pPr>
          </w:p>
        </w:tc>
        <w:tc>
          <w:tcPr>
            <w:tcW w:w="589" w:type="pct"/>
            <w:vMerge/>
            <w:vAlign w:val="center"/>
          </w:tcPr>
          <w:p w:rsidR="00B62715" w:rsidRPr="00E2771E" w:rsidRDefault="00B62715" w:rsidP="00F61566">
            <w:pPr>
              <w:keepNext/>
              <w:widowControl/>
              <w:jc w:val="center"/>
              <w:rPr>
                <w:rFonts w:ascii="Arial Narrow" w:hAnsi="Arial Narrow"/>
                <w:b/>
                <w:color w:val="000000"/>
                <w:sz w:val="20"/>
                <w:szCs w:val="18"/>
              </w:rPr>
            </w:pPr>
          </w:p>
        </w:tc>
        <w:tc>
          <w:tcPr>
            <w:tcW w:w="674" w:type="pct"/>
            <w:vMerge/>
            <w:vAlign w:val="center"/>
          </w:tcPr>
          <w:p w:rsidR="00B62715" w:rsidRPr="00E2771E" w:rsidRDefault="00B62715" w:rsidP="00F61566">
            <w:pPr>
              <w:keepNext/>
              <w:widowControl/>
              <w:jc w:val="center"/>
              <w:rPr>
                <w:rFonts w:ascii="Arial Narrow" w:hAnsi="Arial Narrow"/>
                <w:b/>
                <w:color w:val="000000"/>
                <w:sz w:val="20"/>
                <w:szCs w:val="18"/>
              </w:rPr>
            </w:pPr>
          </w:p>
        </w:tc>
        <w:tc>
          <w:tcPr>
            <w:tcW w:w="843" w:type="pct"/>
            <w:gridSpan w:val="2"/>
            <w:vMerge/>
            <w:vAlign w:val="center"/>
          </w:tcPr>
          <w:p w:rsidR="00B62715" w:rsidRPr="00E2771E" w:rsidRDefault="00B62715" w:rsidP="00F61566">
            <w:pPr>
              <w:keepNext/>
              <w:widowControl/>
              <w:jc w:val="center"/>
              <w:rPr>
                <w:rFonts w:ascii="Arial Narrow" w:hAnsi="Arial Narrow"/>
                <w:b/>
                <w:color w:val="000000"/>
                <w:sz w:val="20"/>
                <w:szCs w:val="18"/>
              </w:rPr>
            </w:pPr>
          </w:p>
        </w:tc>
        <w:tc>
          <w:tcPr>
            <w:tcW w:w="677" w:type="pct"/>
            <w:vAlign w:val="center"/>
          </w:tcPr>
          <w:p w:rsidR="00B62715" w:rsidRPr="00E2771E" w:rsidRDefault="00B53B58" w:rsidP="00F61566">
            <w:pPr>
              <w:keepNext/>
              <w:widowControl/>
              <w:jc w:val="center"/>
              <w:rPr>
                <w:rFonts w:ascii="Arial Narrow" w:hAnsi="Arial Narrow"/>
                <w:b/>
                <w:color w:val="000000"/>
                <w:sz w:val="20"/>
                <w:szCs w:val="18"/>
              </w:rPr>
            </w:pPr>
            <w:r>
              <w:rPr>
                <w:rFonts w:ascii="Arial Narrow" w:hAnsi="Arial Narrow"/>
                <w:b/>
                <w:color w:val="000000"/>
                <w:sz w:val="20"/>
                <w:szCs w:val="18"/>
              </w:rPr>
              <w:t>Idelalisib + rituximab</w:t>
            </w:r>
          </w:p>
        </w:tc>
        <w:tc>
          <w:tcPr>
            <w:tcW w:w="592" w:type="pct"/>
            <w:vAlign w:val="center"/>
          </w:tcPr>
          <w:p w:rsidR="00B62715" w:rsidRPr="00E2771E" w:rsidRDefault="00B53B58" w:rsidP="00F61566">
            <w:pPr>
              <w:keepNext/>
              <w:widowControl/>
              <w:jc w:val="center"/>
              <w:rPr>
                <w:rFonts w:ascii="Arial Narrow" w:hAnsi="Arial Narrow"/>
                <w:b/>
                <w:color w:val="000000"/>
                <w:sz w:val="20"/>
                <w:szCs w:val="18"/>
              </w:rPr>
            </w:pPr>
            <w:r>
              <w:rPr>
                <w:rFonts w:ascii="Arial Narrow" w:hAnsi="Arial Narrow"/>
                <w:b/>
                <w:color w:val="000000"/>
                <w:sz w:val="20"/>
                <w:szCs w:val="18"/>
              </w:rPr>
              <w:t>Placebo + rituximab</w:t>
            </w:r>
          </w:p>
        </w:tc>
        <w:tc>
          <w:tcPr>
            <w:tcW w:w="928" w:type="pct"/>
            <w:gridSpan w:val="2"/>
            <w:vMerge/>
            <w:vAlign w:val="center"/>
          </w:tcPr>
          <w:p w:rsidR="00B62715" w:rsidRPr="00E2771E" w:rsidRDefault="00B62715" w:rsidP="00F61566">
            <w:pPr>
              <w:keepNext/>
              <w:widowControl/>
              <w:jc w:val="center"/>
              <w:rPr>
                <w:rFonts w:ascii="Arial Narrow" w:hAnsi="Arial Narrow"/>
                <w:b/>
                <w:color w:val="000000"/>
                <w:sz w:val="20"/>
                <w:szCs w:val="18"/>
              </w:rPr>
            </w:pPr>
          </w:p>
        </w:tc>
      </w:tr>
      <w:tr w:rsidR="00817797" w:rsidRPr="00E2771E" w:rsidTr="00164329">
        <w:trPr>
          <w:cantSplit/>
        </w:trPr>
        <w:tc>
          <w:tcPr>
            <w:tcW w:w="697" w:type="pct"/>
            <w:shd w:val="clear" w:color="auto" w:fill="auto"/>
            <w:vAlign w:val="center"/>
          </w:tcPr>
          <w:p w:rsidR="00817797" w:rsidRPr="00E2771E" w:rsidRDefault="00817797" w:rsidP="00F61566">
            <w:pPr>
              <w:keepNext/>
              <w:widowControl/>
              <w:jc w:val="left"/>
              <w:rPr>
                <w:rFonts w:ascii="Arial Narrow" w:hAnsi="Arial Narrow"/>
                <w:color w:val="000000"/>
                <w:sz w:val="20"/>
                <w:szCs w:val="18"/>
              </w:rPr>
            </w:pPr>
            <w:r>
              <w:rPr>
                <w:rFonts w:ascii="Arial Narrow" w:hAnsi="Arial Narrow"/>
                <w:color w:val="000000"/>
                <w:szCs w:val="18"/>
              </w:rPr>
              <w:t>Neutropenia</w:t>
            </w:r>
          </w:p>
        </w:tc>
        <w:tc>
          <w:tcPr>
            <w:tcW w:w="589" w:type="pct"/>
            <w:vAlign w:val="center"/>
          </w:tcPr>
          <w:p w:rsidR="00817797" w:rsidRPr="00164329" w:rsidRDefault="00817797" w:rsidP="00F61566">
            <w:pPr>
              <w:keepNext/>
              <w:widowControl/>
              <w:jc w:val="center"/>
              <w:rPr>
                <w:rFonts w:ascii="Arial Narrow" w:hAnsi="Arial Narrow"/>
                <w:color w:val="000000"/>
                <w:sz w:val="20"/>
                <w:szCs w:val="18"/>
                <w:highlight w:val="yellow"/>
              </w:rPr>
            </w:pPr>
            <w:r>
              <w:rPr>
                <w:rFonts w:ascii="Arial Narrow" w:hAnsi="Arial Narrow"/>
                <w:color w:val="000000"/>
                <w:szCs w:val="18"/>
              </w:rPr>
              <w:t>30/110</w:t>
            </w:r>
          </w:p>
        </w:tc>
        <w:tc>
          <w:tcPr>
            <w:tcW w:w="674" w:type="pct"/>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18/108</w:t>
            </w:r>
          </w:p>
        </w:tc>
        <w:tc>
          <w:tcPr>
            <w:tcW w:w="843" w:type="pct"/>
            <w:gridSpan w:val="2"/>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1.64 (0.97, 2.75)</w:t>
            </w:r>
          </w:p>
        </w:tc>
        <w:tc>
          <w:tcPr>
            <w:tcW w:w="677" w:type="pct"/>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27.3</w:t>
            </w:r>
          </w:p>
        </w:tc>
        <w:tc>
          <w:tcPr>
            <w:tcW w:w="592" w:type="pct"/>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16.7</w:t>
            </w:r>
          </w:p>
        </w:tc>
        <w:tc>
          <w:tcPr>
            <w:tcW w:w="928" w:type="pct"/>
            <w:gridSpan w:val="2"/>
            <w:vAlign w:val="center"/>
          </w:tcPr>
          <w:p w:rsidR="00817797" w:rsidRPr="00CE7605" w:rsidRDefault="00817797" w:rsidP="00F61566">
            <w:pPr>
              <w:keepNext/>
              <w:widowControl/>
              <w:jc w:val="center"/>
              <w:rPr>
                <w:rFonts w:ascii="Arial Narrow" w:hAnsi="Arial Narrow"/>
                <w:b/>
                <w:color w:val="000000"/>
                <w:sz w:val="20"/>
                <w:szCs w:val="18"/>
              </w:rPr>
            </w:pPr>
            <w:r>
              <w:rPr>
                <w:rFonts w:ascii="Arial Narrow" w:hAnsi="Arial Narrow"/>
                <w:color w:val="000000"/>
                <w:szCs w:val="18"/>
              </w:rPr>
              <w:t>0.11 (-0.00, 0.22)</w:t>
            </w:r>
          </w:p>
        </w:tc>
      </w:tr>
      <w:tr w:rsidR="00817797" w:rsidRPr="00E2771E" w:rsidTr="00164329">
        <w:trPr>
          <w:cantSplit/>
        </w:trPr>
        <w:tc>
          <w:tcPr>
            <w:tcW w:w="697" w:type="pct"/>
            <w:shd w:val="clear" w:color="auto" w:fill="auto"/>
            <w:vAlign w:val="center"/>
          </w:tcPr>
          <w:p w:rsidR="00817797" w:rsidRPr="00E2771E" w:rsidRDefault="00817797" w:rsidP="00F61566">
            <w:pPr>
              <w:keepNext/>
              <w:widowControl/>
              <w:jc w:val="left"/>
              <w:rPr>
                <w:rFonts w:ascii="Arial Narrow" w:hAnsi="Arial Narrow"/>
                <w:color w:val="000000"/>
                <w:sz w:val="20"/>
                <w:szCs w:val="18"/>
              </w:rPr>
            </w:pPr>
            <w:r>
              <w:rPr>
                <w:rFonts w:ascii="Arial Narrow" w:hAnsi="Arial Narrow"/>
                <w:color w:val="000000"/>
                <w:szCs w:val="18"/>
              </w:rPr>
              <w:t>Diarrhoea</w:t>
            </w:r>
          </w:p>
        </w:tc>
        <w:tc>
          <w:tcPr>
            <w:tcW w:w="589" w:type="pct"/>
            <w:vAlign w:val="center"/>
          </w:tcPr>
          <w:p w:rsidR="00817797" w:rsidRPr="00164329" w:rsidRDefault="00817797" w:rsidP="00F61566">
            <w:pPr>
              <w:keepNext/>
              <w:widowControl/>
              <w:jc w:val="center"/>
              <w:rPr>
                <w:rFonts w:ascii="Arial Narrow" w:hAnsi="Arial Narrow"/>
                <w:color w:val="000000"/>
                <w:sz w:val="20"/>
                <w:szCs w:val="18"/>
                <w:highlight w:val="yellow"/>
              </w:rPr>
            </w:pPr>
            <w:r>
              <w:rPr>
                <w:rFonts w:ascii="Arial Narrow" w:hAnsi="Arial Narrow"/>
                <w:color w:val="000000"/>
                <w:szCs w:val="18"/>
              </w:rPr>
              <w:t>21/110</w:t>
            </w:r>
          </w:p>
        </w:tc>
        <w:tc>
          <w:tcPr>
            <w:tcW w:w="674" w:type="pct"/>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16/108</w:t>
            </w:r>
          </w:p>
        </w:tc>
        <w:tc>
          <w:tcPr>
            <w:tcW w:w="843" w:type="pct"/>
            <w:gridSpan w:val="2"/>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1.29 (0.71, 2.33)</w:t>
            </w:r>
          </w:p>
        </w:tc>
        <w:tc>
          <w:tcPr>
            <w:tcW w:w="677" w:type="pct"/>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19.1</w:t>
            </w:r>
          </w:p>
        </w:tc>
        <w:tc>
          <w:tcPr>
            <w:tcW w:w="592" w:type="pct"/>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14.8</w:t>
            </w:r>
          </w:p>
        </w:tc>
        <w:tc>
          <w:tcPr>
            <w:tcW w:w="928" w:type="pct"/>
            <w:gridSpan w:val="2"/>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0.04 (-0.06, 0.14)</w:t>
            </w:r>
          </w:p>
        </w:tc>
      </w:tr>
      <w:tr w:rsidR="00817797" w:rsidRPr="00E2771E" w:rsidTr="00164329">
        <w:trPr>
          <w:cantSplit/>
        </w:trPr>
        <w:tc>
          <w:tcPr>
            <w:tcW w:w="697" w:type="pct"/>
            <w:shd w:val="clear" w:color="auto" w:fill="auto"/>
            <w:vAlign w:val="center"/>
          </w:tcPr>
          <w:p w:rsidR="00817797" w:rsidRPr="00E2771E" w:rsidRDefault="00817797" w:rsidP="00F61566">
            <w:pPr>
              <w:keepNext/>
              <w:widowControl/>
              <w:jc w:val="left"/>
              <w:rPr>
                <w:rFonts w:ascii="Arial Narrow" w:hAnsi="Arial Narrow"/>
                <w:color w:val="000000"/>
                <w:sz w:val="20"/>
                <w:szCs w:val="18"/>
              </w:rPr>
            </w:pPr>
            <w:r>
              <w:rPr>
                <w:rFonts w:ascii="Arial Narrow" w:hAnsi="Arial Narrow"/>
                <w:color w:val="000000"/>
                <w:szCs w:val="18"/>
              </w:rPr>
              <w:t>Pyrexia</w:t>
            </w:r>
          </w:p>
        </w:tc>
        <w:tc>
          <w:tcPr>
            <w:tcW w:w="589" w:type="pct"/>
            <w:vAlign w:val="center"/>
          </w:tcPr>
          <w:p w:rsidR="00817797" w:rsidRPr="00164329" w:rsidRDefault="00817797" w:rsidP="00F61566">
            <w:pPr>
              <w:keepNext/>
              <w:widowControl/>
              <w:jc w:val="center"/>
              <w:rPr>
                <w:rFonts w:ascii="Arial Narrow" w:hAnsi="Arial Narrow"/>
                <w:color w:val="000000"/>
                <w:sz w:val="20"/>
                <w:szCs w:val="18"/>
                <w:highlight w:val="yellow"/>
              </w:rPr>
            </w:pPr>
            <w:r>
              <w:rPr>
                <w:rFonts w:ascii="Arial Narrow" w:hAnsi="Arial Narrow"/>
                <w:color w:val="000000"/>
                <w:szCs w:val="18"/>
              </w:rPr>
              <w:t>38/110</w:t>
            </w:r>
          </w:p>
        </w:tc>
        <w:tc>
          <w:tcPr>
            <w:tcW w:w="674" w:type="pct"/>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18/108</w:t>
            </w:r>
          </w:p>
        </w:tc>
        <w:tc>
          <w:tcPr>
            <w:tcW w:w="843" w:type="pct"/>
            <w:gridSpan w:val="2"/>
            <w:vAlign w:val="center"/>
          </w:tcPr>
          <w:p w:rsidR="00817797" w:rsidRPr="00701D9E" w:rsidRDefault="00817797" w:rsidP="00F61566">
            <w:pPr>
              <w:keepNext/>
              <w:widowControl/>
              <w:jc w:val="center"/>
              <w:rPr>
                <w:rFonts w:ascii="Arial Narrow" w:hAnsi="Arial Narrow"/>
                <w:b/>
                <w:color w:val="000000"/>
                <w:sz w:val="20"/>
                <w:szCs w:val="18"/>
              </w:rPr>
            </w:pPr>
            <w:r>
              <w:rPr>
                <w:rFonts w:ascii="Arial Narrow" w:hAnsi="Arial Narrow"/>
                <w:b/>
                <w:color w:val="000000"/>
                <w:szCs w:val="18"/>
              </w:rPr>
              <w:t>2.07 (1.26, 2.40)</w:t>
            </w:r>
          </w:p>
        </w:tc>
        <w:tc>
          <w:tcPr>
            <w:tcW w:w="677" w:type="pct"/>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34.5</w:t>
            </w:r>
          </w:p>
        </w:tc>
        <w:tc>
          <w:tcPr>
            <w:tcW w:w="592" w:type="pct"/>
            <w:vAlign w:val="center"/>
          </w:tcPr>
          <w:p w:rsidR="00817797" w:rsidRPr="00E2771E" w:rsidRDefault="00817797" w:rsidP="00F61566">
            <w:pPr>
              <w:keepNext/>
              <w:widowControl/>
              <w:jc w:val="center"/>
              <w:rPr>
                <w:rFonts w:ascii="Arial Narrow" w:hAnsi="Arial Narrow"/>
                <w:color w:val="000000"/>
                <w:sz w:val="20"/>
                <w:szCs w:val="18"/>
              </w:rPr>
            </w:pPr>
            <w:r>
              <w:rPr>
                <w:rFonts w:ascii="Arial Narrow" w:hAnsi="Arial Narrow"/>
                <w:color w:val="000000"/>
                <w:szCs w:val="18"/>
              </w:rPr>
              <w:t>16.7</w:t>
            </w:r>
          </w:p>
        </w:tc>
        <w:tc>
          <w:tcPr>
            <w:tcW w:w="928" w:type="pct"/>
            <w:gridSpan w:val="2"/>
            <w:vAlign w:val="center"/>
          </w:tcPr>
          <w:p w:rsidR="00817797" w:rsidRPr="00701D9E" w:rsidRDefault="00817797" w:rsidP="00F61566">
            <w:pPr>
              <w:keepNext/>
              <w:widowControl/>
              <w:jc w:val="center"/>
              <w:rPr>
                <w:rFonts w:ascii="Arial Narrow" w:hAnsi="Arial Narrow"/>
                <w:b/>
                <w:color w:val="000000"/>
                <w:sz w:val="20"/>
                <w:szCs w:val="18"/>
              </w:rPr>
            </w:pPr>
            <w:r>
              <w:rPr>
                <w:rFonts w:ascii="Arial Narrow" w:hAnsi="Arial Narrow"/>
                <w:b/>
                <w:color w:val="000000"/>
                <w:szCs w:val="18"/>
              </w:rPr>
              <w:t>0.18 (0.07, 0.29)</w:t>
            </w:r>
          </w:p>
        </w:tc>
      </w:tr>
    </w:tbl>
    <w:p w:rsidR="00B62715" w:rsidRPr="0072416F" w:rsidRDefault="00B62715" w:rsidP="00F61566">
      <w:pPr>
        <w:pStyle w:val="TableFooter"/>
        <w:widowControl/>
        <w:ind w:left="720"/>
      </w:pPr>
      <w:r w:rsidRPr="0072416F">
        <w:t>* Median</w:t>
      </w:r>
      <w:r w:rsidR="00743728">
        <w:t xml:space="preserve"> d</w:t>
      </w:r>
      <w:r w:rsidRPr="0072416F">
        <w:t>uration of follow-up</w:t>
      </w:r>
      <w:r w:rsidR="00743728">
        <w:t>: idelalisib plus rituximab = 6.1 months; placebo plus rituximab = 4.4 months</w:t>
      </w:r>
    </w:p>
    <w:p w:rsidR="00B62715" w:rsidRPr="00164329" w:rsidRDefault="00B62715" w:rsidP="00F61566">
      <w:pPr>
        <w:pStyle w:val="TableFooter"/>
        <w:widowControl/>
        <w:ind w:firstLine="720"/>
        <w:rPr>
          <w:i/>
        </w:rPr>
      </w:pPr>
      <w:r w:rsidRPr="006C7BD4">
        <w:t xml:space="preserve">Source: </w:t>
      </w:r>
      <w:r w:rsidR="00743728" w:rsidRPr="006C7BD4">
        <w:t>Tables B.16, p64 and B.23, p75 of the submission</w:t>
      </w:r>
      <w:r w:rsidR="00817797">
        <w:t xml:space="preserve">. </w:t>
      </w:r>
    </w:p>
    <w:p w:rsidR="00743728" w:rsidRPr="0072416F" w:rsidRDefault="00743728" w:rsidP="00F61566">
      <w:pPr>
        <w:pStyle w:val="TableFooter"/>
        <w:widowControl/>
        <w:ind w:left="720"/>
      </w:pPr>
      <w:r>
        <w:t>CI = confidence interval; HR = hazard ratio; NC = not calculated; NR = not reported; RD = risk difference</w:t>
      </w:r>
      <w:r w:rsidR="00701D9E">
        <w:t xml:space="preserve">; </w:t>
      </w:r>
      <w:r>
        <w:t>RR = relative risk</w:t>
      </w:r>
      <w:r w:rsidR="00701D9E">
        <w:t xml:space="preserve">; </w:t>
      </w:r>
      <w:r w:rsidR="00701D9E" w:rsidRPr="00701D9E">
        <w:rPr>
          <w:b/>
        </w:rPr>
        <w:t>Bold</w:t>
      </w:r>
      <w:r w:rsidR="00701D9E">
        <w:t xml:space="preserve"> = significant result</w:t>
      </w:r>
    </w:p>
    <w:p w:rsidR="00BE3064" w:rsidRDefault="00BE3064" w:rsidP="00F61566">
      <w:pPr>
        <w:widowControl/>
      </w:pPr>
    </w:p>
    <w:p w:rsidR="00FC1884" w:rsidRPr="009742A6" w:rsidRDefault="009742A6" w:rsidP="007D5098">
      <w:pPr>
        <w:pStyle w:val="ListParagraph"/>
        <w:widowControl/>
        <w:numPr>
          <w:ilvl w:val="1"/>
          <w:numId w:val="10"/>
        </w:numPr>
        <w:rPr>
          <w:szCs w:val="22"/>
        </w:rPr>
      </w:pPr>
      <w:r>
        <w:t xml:space="preserve">On the basis of </w:t>
      </w:r>
      <w:r w:rsidR="00EC00C9" w:rsidRPr="00CF6EE4">
        <w:t>direct comparison evidence presented by the submission,</w:t>
      </w:r>
      <w:r w:rsidR="007D5098" w:rsidRPr="007D5098">
        <w:t xml:space="preserve"> </w:t>
      </w:r>
      <w:r w:rsidR="007D5098">
        <w:t xml:space="preserve">over a </w:t>
      </w:r>
      <w:r w:rsidR="007D5098" w:rsidRPr="007D5098">
        <w:t>median duration of follow-up of 6.1 months</w:t>
      </w:r>
      <w:r w:rsidR="007D5098">
        <w:t>,</w:t>
      </w:r>
      <w:r w:rsidR="00EC00C9" w:rsidRPr="00CF6EE4">
        <w:t xml:space="preserve"> for every 100 patients treated with </w:t>
      </w:r>
      <w:r>
        <w:t>idelalisib plus rituximab</w:t>
      </w:r>
      <w:r w:rsidR="00EC00C9" w:rsidRPr="00CF6EE4">
        <w:t xml:space="preserve"> in comparison to </w:t>
      </w:r>
      <w:r>
        <w:t>placebo plus rituximab:</w:t>
      </w:r>
    </w:p>
    <w:p w:rsidR="009742A6" w:rsidRDefault="009742A6" w:rsidP="00F61566">
      <w:pPr>
        <w:pStyle w:val="ListParagraph"/>
        <w:widowControl/>
        <w:numPr>
          <w:ilvl w:val="0"/>
          <w:numId w:val="9"/>
        </w:numPr>
        <w:ind w:left="993" w:hanging="284"/>
      </w:pPr>
      <w:r>
        <w:t>Approximately 39 fewer patients would have progressed disease.</w:t>
      </w:r>
    </w:p>
    <w:p w:rsidR="009742A6" w:rsidRDefault="009742A6" w:rsidP="00F61566">
      <w:pPr>
        <w:pStyle w:val="ListParagraph"/>
        <w:widowControl/>
        <w:numPr>
          <w:ilvl w:val="0"/>
          <w:numId w:val="9"/>
        </w:numPr>
        <w:ind w:left="993" w:hanging="284"/>
      </w:pPr>
      <w:r>
        <w:t xml:space="preserve">Approximately </w:t>
      </w:r>
      <w:r w:rsidR="00E22B2B">
        <w:t>13 fewer patients would have died</w:t>
      </w:r>
      <w:r w:rsidR="007D5098">
        <w:t>.</w:t>
      </w:r>
    </w:p>
    <w:p w:rsidR="00FC1884" w:rsidRDefault="00FC1884" w:rsidP="00817797">
      <w:pPr>
        <w:pStyle w:val="ListParagraph"/>
        <w:widowControl/>
        <w:numPr>
          <w:ilvl w:val="0"/>
          <w:numId w:val="9"/>
        </w:numPr>
        <w:ind w:left="993" w:hanging="284"/>
      </w:pPr>
      <w:r w:rsidRPr="00CF6EE4">
        <w:t xml:space="preserve">Approximately </w:t>
      </w:r>
      <w:r w:rsidR="009742A6">
        <w:t xml:space="preserve">18 additional </w:t>
      </w:r>
      <w:r w:rsidRPr="00CF6EE4">
        <w:t xml:space="preserve">patients would have </w:t>
      </w:r>
      <w:r w:rsidR="00DE7C00">
        <w:t>fever (</w:t>
      </w:r>
      <w:r w:rsidR="009742A6">
        <w:t>pyrexia</w:t>
      </w:r>
      <w:r w:rsidR="00DE7C00">
        <w:t>)</w:t>
      </w:r>
      <w:r w:rsidR="009742A6">
        <w:t>.</w:t>
      </w:r>
    </w:p>
    <w:p w:rsidR="005D367D" w:rsidRDefault="005D367D" w:rsidP="00E70AB0">
      <w:pPr>
        <w:widowControl/>
      </w:pPr>
    </w:p>
    <w:p w:rsidR="005D367D" w:rsidRPr="00CF6EE4" w:rsidRDefault="005D367D" w:rsidP="00E70AB0">
      <w:pPr>
        <w:pStyle w:val="ListParagraph"/>
        <w:widowControl/>
        <w:numPr>
          <w:ilvl w:val="1"/>
          <w:numId w:val="10"/>
        </w:numPr>
      </w:pPr>
      <w:r>
        <w:lastRenderedPageBreak/>
        <w:t>For every 100 patients treated with idelalisib plus rituximab</w:t>
      </w:r>
      <w:r w:rsidR="001B509F">
        <w:t>, over a median duration of follow</w:t>
      </w:r>
      <w:r w:rsidR="00E70AB0">
        <w:t>-</w:t>
      </w:r>
      <w:r w:rsidR="001B509F">
        <w:t xml:space="preserve">up of </w:t>
      </w:r>
      <w:r w:rsidR="00E70AB0">
        <w:t>8.3 months</w:t>
      </w:r>
      <w:r w:rsidR="001B509F">
        <w:t xml:space="preserve">, approximately 9 will experience significant diarrhoea and 4 or 5 will develop colitis, two side effects that were not seen in patients treated with rituximab alone </w:t>
      </w:r>
    </w:p>
    <w:p w:rsidR="00B60939" w:rsidRDefault="00B60939" w:rsidP="00F61566">
      <w:pPr>
        <w:pStyle w:val="ListParagraph"/>
        <w:widowControl/>
        <w:rPr>
          <w:szCs w:val="22"/>
        </w:rPr>
      </w:pPr>
    </w:p>
    <w:p w:rsidR="00B523C4" w:rsidRPr="00843874" w:rsidRDefault="00B523C4" w:rsidP="00B523C4">
      <w:pPr>
        <w:pStyle w:val="ListParagraph"/>
        <w:widowControl/>
        <w:rPr>
          <w:szCs w:val="22"/>
        </w:rPr>
      </w:pPr>
      <w:r w:rsidRPr="00164329">
        <w:rPr>
          <w:i/>
          <w:szCs w:val="22"/>
        </w:rPr>
        <w:t>For more detail on PBAC’s view, see section 7 “PBAC outcome</w:t>
      </w:r>
      <w:r w:rsidRPr="00B523C4">
        <w:rPr>
          <w:szCs w:val="22"/>
        </w:rPr>
        <w:t>”</w:t>
      </w:r>
    </w:p>
    <w:p w:rsidR="00B523C4" w:rsidRDefault="00B523C4" w:rsidP="00F61566">
      <w:pPr>
        <w:pStyle w:val="ListParagraph"/>
        <w:widowControl/>
        <w:rPr>
          <w:szCs w:val="22"/>
        </w:rPr>
      </w:pPr>
    </w:p>
    <w:p w:rsidR="00B60939" w:rsidRPr="00C73993" w:rsidRDefault="00B60939" w:rsidP="00F61566">
      <w:pPr>
        <w:pStyle w:val="Heading2"/>
        <w:keepNext/>
        <w:widowControl/>
      </w:pPr>
      <w:bookmarkStart w:id="13" w:name="_Toc409601147"/>
      <w:r w:rsidRPr="00C73993">
        <w:t>Clinical claim</w:t>
      </w:r>
      <w:bookmarkEnd w:id="13"/>
    </w:p>
    <w:p w:rsidR="00B60939" w:rsidRPr="00882085" w:rsidRDefault="00B60939" w:rsidP="00F61566">
      <w:pPr>
        <w:keepNext/>
        <w:widowControl/>
        <w:ind w:left="720" w:hanging="720"/>
        <w:rPr>
          <w:szCs w:val="22"/>
        </w:rPr>
      </w:pPr>
    </w:p>
    <w:p w:rsidR="00F46470" w:rsidRPr="00F46470" w:rsidRDefault="00E22B2B" w:rsidP="00F61566">
      <w:pPr>
        <w:pStyle w:val="ListParagraph"/>
        <w:keepNext/>
        <w:widowControl/>
        <w:numPr>
          <w:ilvl w:val="1"/>
          <w:numId w:val="10"/>
        </w:numPr>
        <w:rPr>
          <w:szCs w:val="22"/>
        </w:rPr>
      </w:pPr>
      <w:r>
        <w:t>The submission described</w:t>
      </w:r>
      <w:r w:rsidRPr="00D13A3E">
        <w:t xml:space="preserve"> </w:t>
      </w:r>
      <w:r>
        <w:t>idelalisib plus rituximab</w:t>
      </w:r>
      <w:r w:rsidRPr="00D13A3E">
        <w:t xml:space="preserve"> as </w:t>
      </w:r>
      <w:r w:rsidR="00980371">
        <w:t xml:space="preserve">having </w:t>
      </w:r>
      <w:r w:rsidRPr="00D13A3E">
        <w:t xml:space="preserve">superior comparative effectiveness and non-inferior comparative safety over </w:t>
      </w:r>
      <w:r>
        <w:t>rituximab monotherapy</w:t>
      </w:r>
      <w:r w:rsidR="00F46470">
        <w:t>.</w:t>
      </w:r>
    </w:p>
    <w:p w:rsidR="00F46470" w:rsidRDefault="00F46470" w:rsidP="00F61566">
      <w:pPr>
        <w:pStyle w:val="ListParagraph"/>
        <w:widowControl/>
      </w:pPr>
    </w:p>
    <w:p w:rsidR="00F46470" w:rsidRPr="009832FA" w:rsidRDefault="00F46470" w:rsidP="006C7BD4">
      <w:pPr>
        <w:pStyle w:val="ListParagraph"/>
        <w:keepNext/>
        <w:widowControl/>
        <w:numPr>
          <w:ilvl w:val="1"/>
          <w:numId w:val="10"/>
        </w:numPr>
      </w:pPr>
      <w:r w:rsidRPr="009832FA">
        <w:t xml:space="preserve">The </w:t>
      </w:r>
      <w:r w:rsidR="005620B1">
        <w:t xml:space="preserve">evaluator considered that the </w:t>
      </w:r>
      <w:r w:rsidRPr="009832FA">
        <w:t>claim of superior comparative effectiveness was adequately supported by data from Trial 312-0116.</w:t>
      </w:r>
    </w:p>
    <w:p w:rsidR="00F46470" w:rsidRPr="009832FA" w:rsidRDefault="00F46470" w:rsidP="00F61566">
      <w:pPr>
        <w:pStyle w:val="ListParagraph"/>
        <w:widowControl/>
        <w:numPr>
          <w:ilvl w:val="0"/>
          <w:numId w:val="3"/>
        </w:numPr>
      </w:pPr>
      <w:r w:rsidRPr="009832FA">
        <w:t>Idelalisib plus rituximab showed superior progression</w:t>
      </w:r>
      <w:r w:rsidR="00722F0C">
        <w:t>-</w:t>
      </w:r>
      <w:r w:rsidRPr="009832FA">
        <w:t xml:space="preserve">free survival </w:t>
      </w:r>
      <w:r w:rsidR="00CE7605" w:rsidRPr="009832FA">
        <w:t xml:space="preserve">and overall survival benefits compared </w:t>
      </w:r>
      <w:r w:rsidR="002F0792">
        <w:t>with</w:t>
      </w:r>
      <w:r w:rsidR="00CE7605" w:rsidRPr="009832FA">
        <w:t xml:space="preserve"> </w:t>
      </w:r>
      <w:r w:rsidRPr="009832FA">
        <w:t>placebo plus rituximab.</w:t>
      </w:r>
    </w:p>
    <w:p w:rsidR="00F46470" w:rsidRPr="009832FA" w:rsidRDefault="00F46470" w:rsidP="00F61566">
      <w:pPr>
        <w:widowControl/>
        <w:tabs>
          <w:tab w:val="left" w:pos="2332"/>
        </w:tabs>
        <w:ind w:left="360" w:firstLine="360"/>
      </w:pPr>
      <w:r w:rsidRPr="009832FA">
        <w:t>However</w:t>
      </w:r>
      <w:r w:rsidR="005620B1">
        <w:t xml:space="preserve"> the evaluator considered that</w:t>
      </w:r>
      <w:r w:rsidRPr="009832FA">
        <w:t>:</w:t>
      </w:r>
      <w:r w:rsidR="00700380" w:rsidRPr="009832FA">
        <w:tab/>
      </w:r>
    </w:p>
    <w:p w:rsidR="00F46470" w:rsidRPr="009832FA" w:rsidRDefault="00F46470" w:rsidP="00F61566">
      <w:pPr>
        <w:pStyle w:val="ListParagraph"/>
        <w:widowControl/>
        <w:numPr>
          <w:ilvl w:val="0"/>
          <w:numId w:val="3"/>
        </w:numPr>
      </w:pPr>
      <w:r w:rsidRPr="009832FA">
        <w:t>The claim of superiority was only valid in patients who were less able to tolerate additional chemotherapy; and</w:t>
      </w:r>
    </w:p>
    <w:p w:rsidR="00F46470" w:rsidRPr="009832FA" w:rsidRDefault="00F46470" w:rsidP="00F61566">
      <w:pPr>
        <w:pStyle w:val="ListParagraph"/>
        <w:widowControl/>
        <w:numPr>
          <w:ilvl w:val="0"/>
          <w:numId w:val="3"/>
        </w:numPr>
      </w:pPr>
      <w:r w:rsidRPr="009832FA">
        <w:t xml:space="preserve">The claim of superiority </w:t>
      </w:r>
      <w:r w:rsidR="00295839" w:rsidRPr="009832FA">
        <w:t>i</w:t>
      </w:r>
      <w:r w:rsidR="0050523C" w:rsidRPr="009832FA">
        <w:t xml:space="preserve">s only valid if </w:t>
      </w:r>
      <w:r w:rsidRPr="009832FA">
        <w:t xml:space="preserve">rituximab monotherapy (and the rituximab dosing regimen used in Trial 312-0116) </w:t>
      </w:r>
      <w:r w:rsidR="005620B1">
        <w:t>i</w:t>
      </w:r>
      <w:r w:rsidR="0050523C" w:rsidRPr="009832FA">
        <w:t xml:space="preserve">s </w:t>
      </w:r>
      <w:r w:rsidR="00104C27">
        <w:t xml:space="preserve">considered to be </w:t>
      </w:r>
      <w:r w:rsidR="0050523C" w:rsidRPr="009832FA">
        <w:t>an</w:t>
      </w:r>
      <w:r w:rsidR="002E70C4" w:rsidRPr="009832FA">
        <w:t xml:space="preserve"> appropriate comparator</w:t>
      </w:r>
      <w:r w:rsidR="00295839" w:rsidRPr="009832FA">
        <w:t>.</w:t>
      </w:r>
    </w:p>
    <w:p w:rsidR="00F46470" w:rsidRPr="00164329" w:rsidRDefault="00F46470" w:rsidP="00F61566">
      <w:pPr>
        <w:widowControl/>
        <w:ind w:left="720"/>
      </w:pPr>
    </w:p>
    <w:p w:rsidR="001E7C73" w:rsidRPr="00DF013F" w:rsidRDefault="001E7C73" w:rsidP="00152B7B">
      <w:pPr>
        <w:pStyle w:val="ListParagraph"/>
        <w:keepNext/>
        <w:widowControl/>
        <w:numPr>
          <w:ilvl w:val="1"/>
          <w:numId w:val="10"/>
        </w:numPr>
      </w:pPr>
      <w:r w:rsidRPr="00164329">
        <w:t xml:space="preserve">The ESC </w:t>
      </w:r>
      <w:r w:rsidR="00C460DF" w:rsidRPr="00164329">
        <w:t>considered</w:t>
      </w:r>
      <w:r w:rsidRPr="00164329">
        <w:t xml:space="preserve"> that the claim of superior comparative effectiveness </w:t>
      </w:r>
      <w:r w:rsidR="00BF4E42" w:rsidRPr="00164329">
        <w:t>may not have been</w:t>
      </w:r>
      <w:r w:rsidRPr="00164329">
        <w:t xml:space="preserve"> adequately supported because:</w:t>
      </w:r>
    </w:p>
    <w:p w:rsidR="00152B7B" w:rsidRPr="00DF013F" w:rsidRDefault="00152B7B" w:rsidP="007511D9">
      <w:pPr>
        <w:pStyle w:val="ListParagraph"/>
        <w:widowControl/>
        <w:numPr>
          <w:ilvl w:val="0"/>
          <w:numId w:val="3"/>
        </w:numPr>
      </w:pPr>
      <w:r w:rsidRPr="00164329">
        <w:t xml:space="preserve">The results presented are compared </w:t>
      </w:r>
      <w:r w:rsidR="002F0792">
        <w:t>with</w:t>
      </w:r>
      <w:r w:rsidRPr="00164329">
        <w:t xml:space="preserve"> rituximab monotherapy. </w:t>
      </w:r>
      <w:r w:rsidR="007511D9">
        <w:t xml:space="preserve">For </w:t>
      </w:r>
      <w:r w:rsidR="007511D9" w:rsidRPr="007511D9">
        <w:t xml:space="preserve">the population requested in the submission </w:t>
      </w:r>
      <w:r w:rsidR="007511D9">
        <w:t>(i.e. patients who</w:t>
      </w:r>
      <w:r w:rsidR="007511D9" w:rsidRPr="007511D9">
        <w:t xml:space="preserve"> may have been suitable for chemo-immunotherapy</w:t>
      </w:r>
      <w:r w:rsidR="007511D9">
        <w:t xml:space="preserve">), </w:t>
      </w:r>
      <w:r w:rsidRPr="00164329">
        <w:t xml:space="preserve">the relative efficacy </w:t>
      </w:r>
      <w:r w:rsidR="00C460DF" w:rsidRPr="00164329">
        <w:t xml:space="preserve">of idelalisib plus rituximab </w:t>
      </w:r>
      <w:r w:rsidRPr="00164329">
        <w:t xml:space="preserve">was likely to have been overestimated compared </w:t>
      </w:r>
      <w:r w:rsidR="002F0792">
        <w:t>with</w:t>
      </w:r>
      <w:r w:rsidRPr="00164329">
        <w:t xml:space="preserve"> rituximab plus low</w:t>
      </w:r>
      <w:r w:rsidRPr="00164329">
        <w:noBreakHyphen/>
        <w:t>dose chemotherapy</w:t>
      </w:r>
      <w:r w:rsidR="00BF4E42" w:rsidRPr="00164329">
        <w:t>; and</w:t>
      </w:r>
      <w:r w:rsidRPr="00164329">
        <w:t xml:space="preserve"> </w:t>
      </w:r>
    </w:p>
    <w:p w:rsidR="001E7C73" w:rsidRPr="00DF013F" w:rsidRDefault="001E7C73" w:rsidP="006C7BD4">
      <w:pPr>
        <w:pStyle w:val="ListParagraph"/>
        <w:widowControl/>
        <w:numPr>
          <w:ilvl w:val="0"/>
          <w:numId w:val="3"/>
        </w:numPr>
      </w:pPr>
      <w:r w:rsidRPr="00164329">
        <w:t xml:space="preserve">The duration of follow-up of </w:t>
      </w:r>
      <w:r w:rsidR="001B106A" w:rsidRPr="00164329">
        <w:t>Tr</w:t>
      </w:r>
      <w:r w:rsidRPr="00164329">
        <w:t>ial</w:t>
      </w:r>
      <w:r w:rsidR="001B106A" w:rsidRPr="00164329">
        <w:t xml:space="preserve"> 312-0116</w:t>
      </w:r>
      <w:r w:rsidRPr="00164329">
        <w:t xml:space="preserve"> was short (approximately six months, with an additional two months provided in the PSCR) and overall survival results were premature (5.5% and 18.2 % of patients had died in the idelalisib </w:t>
      </w:r>
      <w:r w:rsidR="00C460DF" w:rsidRPr="00164329">
        <w:t>plus rituximab, and the rituximab plus</w:t>
      </w:r>
      <w:r w:rsidRPr="00164329">
        <w:t xml:space="preserve"> placebo arm, respectively).</w:t>
      </w:r>
    </w:p>
    <w:p w:rsidR="00C460DF" w:rsidRDefault="00C460DF" w:rsidP="00152B7B">
      <w:pPr>
        <w:pStyle w:val="TableFooter"/>
        <w:widowControl/>
        <w:ind w:firstLine="720"/>
      </w:pPr>
    </w:p>
    <w:p w:rsidR="00F46470" w:rsidRPr="009832FA" w:rsidRDefault="00F46470" w:rsidP="006C7BD4">
      <w:pPr>
        <w:pStyle w:val="ListParagraph"/>
        <w:keepNext/>
        <w:widowControl/>
        <w:numPr>
          <w:ilvl w:val="1"/>
          <w:numId w:val="10"/>
        </w:numPr>
      </w:pPr>
      <w:r w:rsidRPr="00BF4E42">
        <w:t>The</w:t>
      </w:r>
      <w:r w:rsidR="005620B1">
        <w:t xml:space="preserve"> evaluator considered that the </w:t>
      </w:r>
      <w:r w:rsidRPr="009832FA">
        <w:t>claim of non-inferior comparative safety may not have been reasonable</w:t>
      </w:r>
      <w:r w:rsidR="008034E6" w:rsidRPr="009832FA">
        <w:t xml:space="preserve"> </w:t>
      </w:r>
      <w:r w:rsidR="005014B8">
        <w:t>because</w:t>
      </w:r>
      <w:r w:rsidRPr="009832FA">
        <w:t>:</w:t>
      </w:r>
    </w:p>
    <w:p w:rsidR="00F46470" w:rsidRPr="009832FA" w:rsidRDefault="00F46470" w:rsidP="00F61566">
      <w:pPr>
        <w:pStyle w:val="ListParagraph"/>
        <w:widowControl/>
        <w:numPr>
          <w:ilvl w:val="0"/>
          <w:numId w:val="17"/>
        </w:numPr>
      </w:pPr>
      <w:r w:rsidRPr="009832FA">
        <w:t xml:space="preserve">The short duration of follow-up meant the identification of long term adverse events with idelalisib was not </w:t>
      </w:r>
      <w:r w:rsidR="008034E6" w:rsidRPr="009832FA">
        <w:t>possible;</w:t>
      </w:r>
    </w:p>
    <w:p w:rsidR="00F46470" w:rsidRPr="009832FA" w:rsidRDefault="00F46470" w:rsidP="00F61566">
      <w:pPr>
        <w:pStyle w:val="ListParagraph"/>
        <w:widowControl/>
        <w:numPr>
          <w:ilvl w:val="0"/>
          <w:numId w:val="17"/>
        </w:numPr>
      </w:pPr>
      <w:r w:rsidRPr="009832FA">
        <w:t>The dosing regimen of rituximab in the trial differed to the approved Australian dosing regimen, making safety comparisons with the wider CLL</w:t>
      </w:r>
      <w:r w:rsidR="008034E6" w:rsidRPr="009832FA">
        <w:t xml:space="preserve"> rituximab population difficult; and</w:t>
      </w:r>
    </w:p>
    <w:p w:rsidR="002E70C4" w:rsidRPr="009832FA" w:rsidRDefault="002E70C4" w:rsidP="00F61566">
      <w:pPr>
        <w:pStyle w:val="ListParagraph"/>
        <w:widowControl/>
        <w:numPr>
          <w:ilvl w:val="0"/>
          <w:numId w:val="17"/>
        </w:numPr>
      </w:pPr>
      <w:r w:rsidRPr="009832FA">
        <w:t>Long</w:t>
      </w:r>
      <w:r w:rsidR="00D40132">
        <w:t>er</w:t>
      </w:r>
      <w:r w:rsidRPr="009832FA">
        <w:t xml:space="preserve"> term idelalisib treatment has resulted in fatal and/or serious hepatotoxicity, severe diarrhoea or colitis, pneumonitis and intestinal perforation.</w:t>
      </w:r>
    </w:p>
    <w:p w:rsidR="00F46470" w:rsidRPr="00164329" w:rsidRDefault="00F46470" w:rsidP="00F61566">
      <w:pPr>
        <w:widowControl/>
        <w:ind w:left="720"/>
      </w:pPr>
    </w:p>
    <w:p w:rsidR="00AD1140" w:rsidRPr="00164329" w:rsidRDefault="00AD1140" w:rsidP="00AD1140">
      <w:pPr>
        <w:pStyle w:val="ListParagraph"/>
        <w:keepNext/>
        <w:widowControl/>
        <w:numPr>
          <w:ilvl w:val="1"/>
          <w:numId w:val="10"/>
        </w:numPr>
        <w:rPr>
          <w:szCs w:val="22"/>
        </w:rPr>
      </w:pPr>
      <w:r w:rsidRPr="00164329">
        <w:rPr>
          <w:szCs w:val="22"/>
        </w:rPr>
        <w:t xml:space="preserve">The ESC agreed that the claim of non-inferior comparative safety was not adequately supported and further </w:t>
      </w:r>
      <w:r w:rsidR="00C502D7" w:rsidRPr="00164329">
        <w:rPr>
          <w:szCs w:val="22"/>
        </w:rPr>
        <w:t>considered that</w:t>
      </w:r>
      <w:r w:rsidRPr="00164329">
        <w:rPr>
          <w:szCs w:val="22"/>
        </w:rPr>
        <w:t>:</w:t>
      </w:r>
    </w:p>
    <w:p w:rsidR="0036735E" w:rsidRPr="00ED0412" w:rsidRDefault="0036735E" w:rsidP="0036735E">
      <w:pPr>
        <w:pStyle w:val="ListParagraph"/>
        <w:widowControl/>
        <w:numPr>
          <w:ilvl w:val="0"/>
          <w:numId w:val="3"/>
        </w:numPr>
      </w:pPr>
      <w:r>
        <w:t>t</w:t>
      </w:r>
      <w:r w:rsidRPr="0036735E">
        <w:t xml:space="preserve">he results presented are compared with rituximab monotherapy. For the population requested in the </w:t>
      </w:r>
      <w:r w:rsidRPr="00ED0412">
        <w:t xml:space="preserve">submission (i.e. patients who may have been suitable for chemo-immunotherapy), the comparative harm of idelalisib plus rituximab was </w:t>
      </w:r>
      <w:r w:rsidRPr="00ED0412">
        <w:lastRenderedPageBreak/>
        <w:t xml:space="preserve">likely to have been </w:t>
      </w:r>
      <w:r w:rsidR="00ED0412" w:rsidRPr="00ED0412">
        <w:t xml:space="preserve">overestimated </w:t>
      </w:r>
      <w:r w:rsidRPr="00ED0412">
        <w:t>compared with rituximab plus low dose chemotherapy</w:t>
      </w:r>
      <w:r w:rsidR="0098187A" w:rsidRPr="00ED0412">
        <w:t>;</w:t>
      </w:r>
    </w:p>
    <w:p w:rsidR="000E0ABD" w:rsidRPr="0036735E" w:rsidRDefault="000E0ABD" w:rsidP="0036735E">
      <w:pPr>
        <w:pStyle w:val="ListParagraph"/>
        <w:widowControl/>
        <w:numPr>
          <w:ilvl w:val="0"/>
          <w:numId w:val="3"/>
        </w:numPr>
        <w:rPr>
          <w:szCs w:val="22"/>
        </w:rPr>
      </w:pPr>
      <w:r w:rsidRPr="00164329">
        <w:rPr>
          <w:szCs w:val="22"/>
        </w:rPr>
        <w:t>the short duration of the pivotal trial made it difficult to identify potential long term safety effects. The PSCR stated that ‘severe diarrhoea is typically a late-onset event, and may not have occurred by the time of the second interim analysis of</w:t>
      </w:r>
      <w:r w:rsidRPr="0036735E">
        <w:rPr>
          <w:i/>
          <w:szCs w:val="22"/>
        </w:rPr>
        <w:t xml:space="preserve"> </w:t>
      </w:r>
      <w:r w:rsidRPr="00164329">
        <w:rPr>
          <w:szCs w:val="22"/>
        </w:rPr>
        <w:t xml:space="preserve">study 312-0116’ (that is, the data-set provided in the submission). </w:t>
      </w:r>
      <w:r w:rsidR="00C460DF" w:rsidRPr="00164329">
        <w:rPr>
          <w:szCs w:val="22"/>
        </w:rPr>
        <w:t>T</w:t>
      </w:r>
      <w:r w:rsidRPr="00164329">
        <w:rPr>
          <w:szCs w:val="22"/>
        </w:rPr>
        <w:t xml:space="preserve">he additional two months of follow-up </w:t>
      </w:r>
      <w:r w:rsidR="00C460DF" w:rsidRPr="00164329">
        <w:rPr>
          <w:szCs w:val="22"/>
        </w:rPr>
        <w:t xml:space="preserve">data provided in the PSCR </w:t>
      </w:r>
      <w:r w:rsidRPr="00164329">
        <w:rPr>
          <w:szCs w:val="22"/>
        </w:rPr>
        <w:t xml:space="preserve">indicated that longer term use of idelalisib resulted in an increase in </w:t>
      </w:r>
      <w:r w:rsidR="0036735E" w:rsidRPr="0036735E">
        <w:rPr>
          <w:szCs w:val="22"/>
        </w:rPr>
        <w:t xml:space="preserve">some </w:t>
      </w:r>
      <w:r w:rsidRPr="00164329">
        <w:rPr>
          <w:szCs w:val="22"/>
        </w:rPr>
        <w:t xml:space="preserve">adverse events, </w:t>
      </w:r>
      <w:r w:rsidR="00C460DF" w:rsidRPr="00164329">
        <w:rPr>
          <w:szCs w:val="22"/>
        </w:rPr>
        <w:t xml:space="preserve">as shown in </w:t>
      </w:r>
      <w:r w:rsidR="0036735E" w:rsidRPr="0036735E">
        <w:rPr>
          <w:szCs w:val="22"/>
        </w:rPr>
        <w:t>p</w:t>
      </w:r>
      <w:r w:rsidR="0002303B" w:rsidRPr="0036735E">
        <w:rPr>
          <w:szCs w:val="22"/>
        </w:rPr>
        <w:t xml:space="preserve">aragraph </w:t>
      </w:r>
      <w:r w:rsidR="0002303B" w:rsidRPr="00164329">
        <w:rPr>
          <w:szCs w:val="22"/>
        </w:rPr>
        <w:t>6.</w:t>
      </w:r>
      <w:r w:rsidR="0036735E" w:rsidRPr="00164329">
        <w:rPr>
          <w:szCs w:val="22"/>
        </w:rPr>
        <w:t>1</w:t>
      </w:r>
      <w:r w:rsidR="00C35E58">
        <w:rPr>
          <w:szCs w:val="22"/>
        </w:rPr>
        <w:t>3</w:t>
      </w:r>
      <w:r w:rsidR="00C460DF" w:rsidRPr="00164329">
        <w:rPr>
          <w:szCs w:val="22"/>
        </w:rPr>
        <w:t>.</w:t>
      </w:r>
      <w:r w:rsidR="0002303B" w:rsidRPr="0036735E">
        <w:rPr>
          <w:szCs w:val="22"/>
        </w:rPr>
        <w:t xml:space="preserve"> </w:t>
      </w:r>
      <w:r w:rsidR="00C460DF" w:rsidRPr="00164329">
        <w:rPr>
          <w:szCs w:val="22"/>
        </w:rPr>
        <w:t xml:space="preserve"> </w:t>
      </w:r>
      <w:r w:rsidR="0002303B" w:rsidRPr="0036735E">
        <w:rPr>
          <w:szCs w:val="22"/>
        </w:rPr>
        <w:t>The ESC concluded that the longer term safety outcomes were not known.</w:t>
      </w:r>
    </w:p>
    <w:p w:rsidR="00DB289C" w:rsidRDefault="00DB289C" w:rsidP="00DB2401">
      <w:pPr>
        <w:pStyle w:val="ListParagraph"/>
        <w:widowControl/>
        <w:ind w:left="0"/>
      </w:pPr>
    </w:p>
    <w:p w:rsidR="005620B1" w:rsidRPr="008E5E89" w:rsidRDefault="005620B1" w:rsidP="005620B1">
      <w:pPr>
        <w:pStyle w:val="ListParagraph"/>
        <w:widowControl/>
        <w:rPr>
          <w:i/>
          <w:szCs w:val="22"/>
        </w:rPr>
      </w:pPr>
      <w:r w:rsidRPr="008E5E89">
        <w:rPr>
          <w:i/>
          <w:szCs w:val="22"/>
        </w:rPr>
        <w:t>For more detail on PBAC’s view, see section 7 “PBAC outcome”</w:t>
      </w:r>
    </w:p>
    <w:p w:rsidR="005620B1" w:rsidRPr="00164329" w:rsidRDefault="005620B1" w:rsidP="00DB2401">
      <w:pPr>
        <w:pStyle w:val="ListParagraph"/>
        <w:widowControl/>
        <w:ind w:left="0"/>
      </w:pPr>
    </w:p>
    <w:p w:rsidR="001E7C73" w:rsidRPr="00164329" w:rsidRDefault="00610EF8" w:rsidP="006C7BD4">
      <w:pPr>
        <w:widowControl/>
        <w:rPr>
          <w:u w:val="single"/>
        </w:rPr>
      </w:pPr>
      <w:r w:rsidRPr="00164329">
        <w:rPr>
          <w:u w:val="single"/>
        </w:rPr>
        <w:t>Translation issues</w:t>
      </w:r>
    </w:p>
    <w:p w:rsidR="00336E6C" w:rsidRPr="00164329" w:rsidRDefault="00336E6C" w:rsidP="006C7BD4">
      <w:pPr>
        <w:widowControl/>
        <w:rPr>
          <w:u w:val="single"/>
        </w:rPr>
      </w:pPr>
    </w:p>
    <w:p w:rsidR="001E7C73" w:rsidRDefault="004A408F" w:rsidP="00F35F05">
      <w:pPr>
        <w:pStyle w:val="ListParagraph"/>
        <w:keepNext/>
        <w:widowControl/>
        <w:numPr>
          <w:ilvl w:val="1"/>
          <w:numId w:val="10"/>
        </w:numPr>
      </w:pPr>
      <w:r w:rsidRPr="00164329">
        <w:t>T</w:t>
      </w:r>
      <w:r w:rsidR="001E7C73" w:rsidRPr="00164329">
        <w:t xml:space="preserve">he submission claimed that </w:t>
      </w:r>
      <w:r w:rsidRPr="00164329">
        <w:t>because</w:t>
      </w:r>
      <w:r w:rsidR="001E7C73" w:rsidRPr="00164329">
        <w:t xml:space="preserve"> the trial patients were sicker, less fit </w:t>
      </w:r>
      <w:r w:rsidRPr="00164329">
        <w:t xml:space="preserve">and more heavily pre-treated </w:t>
      </w:r>
      <w:r w:rsidR="001E7C73" w:rsidRPr="00164329">
        <w:t xml:space="preserve">than the proposed PBS population, they represented the most pessimistic outcomes and that PBS-funded patients would </w:t>
      </w:r>
      <w:r w:rsidRPr="00164329">
        <w:t>experience</w:t>
      </w:r>
      <w:r w:rsidR="001E7C73" w:rsidRPr="00164329">
        <w:t xml:space="preserve"> better outcomes. However, the ESC considered that the impact of this</w:t>
      </w:r>
      <w:r w:rsidR="00425CB9" w:rsidRPr="00164329">
        <w:t xml:space="preserve"> difference</w:t>
      </w:r>
      <w:r w:rsidR="001E7C73" w:rsidRPr="00164329">
        <w:t xml:space="preserve"> on the </w:t>
      </w:r>
      <w:r w:rsidRPr="00164329">
        <w:t xml:space="preserve">incremental </w:t>
      </w:r>
      <w:r w:rsidR="001E7C73" w:rsidRPr="00164329">
        <w:t>effectiveness of idelalisib is unknown and not necessarily biased against idelalisib as argued in the submission. Further,</w:t>
      </w:r>
      <w:r w:rsidR="00626DE5" w:rsidRPr="00164329">
        <w:t xml:space="preserve"> </w:t>
      </w:r>
      <w:r w:rsidR="001E7C73" w:rsidRPr="00164329">
        <w:t xml:space="preserve">the </w:t>
      </w:r>
      <w:r w:rsidR="006D6E05" w:rsidRPr="00164329">
        <w:t xml:space="preserve">submission’s </w:t>
      </w:r>
      <w:r w:rsidR="00C5568C" w:rsidRPr="00164329">
        <w:t xml:space="preserve">claim that PBS-funded patients would experience better outcomes was based on a </w:t>
      </w:r>
      <w:r w:rsidR="00626DE5" w:rsidRPr="00164329">
        <w:t>comparison between patient characteristics in</w:t>
      </w:r>
      <w:r w:rsidR="00F35F05" w:rsidRPr="00164329">
        <w:t xml:space="preserve"> the trial and the intended </w:t>
      </w:r>
      <w:r w:rsidR="005F50BC" w:rsidRPr="00164329">
        <w:t xml:space="preserve">Australian </w:t>
      </w:r>
      <w:r w:rsidR="00F35F05" w:rsidRPr="00164329">
        <w:t>population</w:t>
      </w:r>
      <w:r w:rsidR="00425CB9" w:rsidRPr="00164329">
        <w:t>;</w:t>
      </w:r>
      <w:r w:rsidR="00C5568C" w:rsidRPr="00DF013F">
        <w:t xml:space="preserve"> however the data used to characterise Australian CLL demographics were for all “drug-treated” CLL patients, not for those patients who were unable to tolerate chemotherapy.</w:t>
      </w:r>
      <w:r w:rsidR="00F35F05" w:rsidRPr="00164329">
        <w:t xml:space="preserve"> </w:t>
      </w:r>
      <w:r w:rsidR="005F50BC" w:rsidRPr="00164329">
        <w:t>The ESC concluded that it was difficult to determine t</w:t>
      </w:r>
      <w:r w:rsidR="001E7C73" w:rsidRPr="00164329">
        <w:t xml:space="preserve">he </w:t>
      </w:r>
      <w:r w:rsidR="00EF627C" w:rsidRPr="00164329">
        <w:t xml:space="preserve">applicability of the trial results to </w:t>
      </w:r>
      <w:r w:rsidR="005F50BC" w:rsidRPr="00164329">
        <w:t>the intended Australian population</w:t>
      </w:r>
      <w:r w:rsidR="001E7C73" w:rsidRPr="00164329">
        <w:t xml:space="preserve">. </w:t>
      </w:r>
    </w:p>
    <w:p w:rsidR="00104C27" w:rsidRDefault="00104C27" w:rsidP="00B523C4">
      <w:pPr>
        <w:pStyle w:val="ListParagraph"/>
        <w:widowControl/>
        <w:rPr>
          <w:i/>
          <w:szCs w:val="22"/>
        </w:rPr>
      </w:pPr>
      <w:bookmarkStart w:id="14" w:name="_Toc409601148"/>
    </w:p>
    <w:p w:rsidR="00B523C4" w:rsidRPr="00164329" w:rsidRDefault="00B523C4" w:rsidP="00B523C4">
      <w:pPr>
        <w:pStyle w:val="ListParagraph"/>
        <w:widowControl/>
        <w:rPr>
          <w:i/>
          <w:szCs w:val="22"/>
        </w:rPr>
      </w:pPr>
      <w:r w:rsidRPr="00164329">
        <w:rPr>
          <w:i/>
          <w:szCs w:val="22"/>
        </w:rPr>
        <w:t>For more detail on PBAC’s view, see section 7 “PBAC outcome”</w:t>
      </w:r>
    </w:p>
    <w:p w:rsidR="00B523C4" w:rsidRPr="00164329" w:rsidRDefault="00B523C4" w:rsidP="00164329"/>
    <w:p w:rsidR="00B60939" w:rsidRPr="00C73993" w:rsidRDefault="00B60939" w:rsidP="00F61566">
      <w:pPr>
        <w:pStyle w:val="Heading2"/>
        <w:keepNext/>
        <w:widowControl/>
      </w:pPr>
      <w:r w:rsidRPr="00C73993">
        <w:t>Economic analysis</w:t>
      </w:r>
      <w:bookmarkEnd w:id="14"/>
      <w:r w:rsidR="00491B3A" w:rsidRPr="00C73993">
        <w:t xml:space="preserve"> </w:t>
      </w:r>
    </w:p>
    <w:p w:rsidR="00B60939" w:rsidRPr="00DF013F" w:rsidRDefault="00B60939" w:rsidP="00F61566">
      <w:pPr>
        <w:keepNext/>
        <w:widowControl/>
        <w:ind w:left="720" w:hanging="720"/>
        <w:rPr>
          <w:szCs w:val="22"/>
        </w:rPr>
      </w:pPr>
    </w:p>
    <w:p w:rsidR="00B60939" w:rsidRPr="009832FA" w:rsidRDefault="00197970" w:rsidP="00F61566">
      <w:pPr>
        <w:pStyle w:val="ListParagraph"/>
        <w:keepNext/>
        <w:widowControl/>
        <w:numPr>
          <w:ilvl w:val="1"/>
          <w:numId w:val="10"/>
        </w:numPr>
        <w:rPr>
          <w:szCs w:val="22"/>
        </w:rPr>
      </w:pPr>
      <w:r w:rsidRPr="00DF013F">
        <w:t xml:space="preserve">The submission presented a </w:t>
      </w:r>
      <w:r w:rsidR="002F7D3C" w:rsidRPr="00164329">
        <w:t xml:space="preserve">trial-based </w:t>
      </w:r>
      <w:r w:rsidRPr="00DF013F">
        <w:t>cost</w:t>
      </w:r>
      <w:r w:rsidRPr="009832FA">
        <w:t xml:space="preserve"> utility analysis, ba</w:t>
      </w:r>
      <w:r w:rsidR="00F61566" w:rsidRPr="009832FA">
        <w:t>sed on the results of Trial 312</w:t>
      </w:r>
      <w:r w:rsidR="00F61566" w:rsidRPr="009832FA">
        <w:noBreakHyphen/>
      </w:r>
      <w:r w:rsidRPr="009832FA">
        <w:t>0116.</w:t>
      </w:r>
      <w:r w:rsidR="00F11840" w:rsidRPr="009832FA">
        <w:t xml:space="preserve"> The model structure is summarised in </w:t>
      </w:r>
      <w:r w:rsidR="002B5771">
        <w:t>the t</w:t>
      </w:r>
      <w:r w:rsidR="00F11840" w:rsidRPr="009832FA">
        <w:t xml:space="preserve">able </w:t>
      </w:r>
      <w:r w:rsidR="002B5771">
        <w:t>below</w:t>
      </w:r>
      <w:r w:rsidR="00F11840" w:rsidRPr="009832FA">
        <w:t xml:space="preserve">. </w:t>
      </w:r>
    </w:p>
    <w:p w:rsidR="00275C5A" w:rsidRDefault="00275C5A" w:rsidP="00F61566">
      <w:pPr>
        <w:widowControl/>
        <w:rPr>
          <w:szCs w:val="22"/>
        </w:rPr>
      </w:pPr>
    </w:p>
    <w:p w:rsidR="00275C5A" w:rsidRDefault="00275C5A" w:rsidP="00F61566">
      <w:pPr>
        <w:keepNext/>
        <w:widowControl/>
        <w:ind w:firstLine="720"/>
        <w:rPr>
          <w:rStyle w:val="CommentReference"/>
        </w:rPr>
      </w:pPr>
      <w:r w:rsidRPr="00A56B6A">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Key drivers of the  economic mode"/>
      </w:tblPr>
      <w:tblGrid>
        <w:gridCol w:w="2552"/>
        <w:gridCol w:w="5793"/>
      </w:tblGrid>
      <w:tr w:rsidR="00275C5A" w:rsidRPr="00E2771E" w:rsidTr="005D044D">
        <w:trPr>
          <w:tblHeader/>
        </w:trPr>
        <w:tc>
          <w:tcPr>
            <w:tcW w:w="1529" w:type="pct"/>
            <w:shd w:val="clear" w:color="auto" w:fill="auto"/>
            <w:vAlign w:val="center"/>
          </w:tcPr>
          <w:p w:rsidR="00275C5A" w:rsidRPr="00E2771E" w:rsidRDefault="00275C5A" w:rsidP="00F61566">
            <w:pPr>
              <w:keepNext/>
              <w:widowControl/>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275C5A" w:rsidRPr="00E2771E" w:rsidRDefault="00275C5A" w:rsidP="00F61566">
            <w:pPr>
              <w:keepNext/>
              <w:widowControl/>
              <w:jc w:val="center"/>
              <w:rPr>
                <w:rFonts w:ascii="Arial Narrow" w:hAnsi="Arial Narrow"/>
                <w:b/>
                <w:sz w:val="20"/>
              </w:rPr>
            </w:pPr>
            <w:r w:rsidRPr="00E2771E">
              <w:rPr>
                <w:rFonts w:ascii="Arial Narrow" w:hAnsi="Arial Narrow"/>
                <w:b/>
                <w:sz w:val="20"/>
              </w:rPr>
              <w:t>Summary</w:t>
            </w:r>
          </w:p>
        </w:tc>
      </w:tr>
      <w:tr w:rsidR="00275C5A" w:rsidRPr="00E2771E" w:rsidTr="008034E6">
        <w:tc>
          <w:tcPr>
            <w:tcW w:w="1529" w:type="pct"/>
            <w:shd w:val="clear" w:color="auto" w:fill="auto"/>
          </w:tcPr>
          <w:p w:rsidR="00275C5A" w:rsidRPr="00E2771E" w:rsidRDefault="00275C5A" w:rsidP="00F61566">
            <w:pPr>
              <w:keepNext/>
              <w:widowControl/>
              <w:jc w:val="left"/>
              <w:rPr>
                <w:rFonts w:ascii="Arial Narrow" w:hAnsi="Arial Narrow"/>
                <w:sz w:val="20"/>
              </w:rPr>
            </w:pPr>
            <w:r w:rsidRPr="00E2771E">
              <w:rPr>
                <w:rFonts w:ascii="Arial Narrow" w:hAnsi="Arial Narrow"/>
                <w:sz w:val="20"/>
              </w:rPr>
              <w:t>Time horizon</w:t>
            </w:r>
          </w:p>
        </w:tc>
        <w:tc>
          <w:tcPr>
            <w:tcW w:w="3471" w:type="pct"/>
            <w:shd w:val="clear" w:color="auto" w:fill="auto"/>
            <w:vAlign w:val="center"/>
          </w:tcPr>
          <w:p w:rsidR="00275C5A" w:rsidRPr="00E2771E" w:rsidRDefault="004C0FB2" w:rsidP="00F61566">
            <w:pPr>
              <w:keepNext/>
              <w:widowControl/>
              <w:jc w:val="left"/>
              <w:rPr>
                <w:rFonts w:ascii="Arial Narrow" w:hAnsi="Arial Narrow"/>
                <w:sz w:val="20"/>
              </w:rPr>
            </w:pPr>
            <w:r>
              <w:rPr>
                <w:rFonts w:ascii="Arial Narrow" w:hAnsi="Arial Narrow"/>
                <w:sz w:val="20"/>
              </w:rPr>
              <w:t>10</w:t>
            </w:r>
            <w:r w:rsidR="00275C5A" w:rsidRPr="00E2771E">
              <w:rPr>
                <w:rFonts w:ascii="Arial Narrow" w:hAnsi="Arial Narrow"/>
                <w:sz w:val="20"/>
              </w:rPr>
              <w:t xml:space="preserve"> years in the model base case versus </w:t>
            </w:r>
            <w:r>
              <w:rPr>
                <w:rFonts w:ascii="Arial Narrow" w:hAnsi="Arial Narrow"/>
                <w:sz w:val="20"/>
              </w:rPr>
              <w:t>6.1 months</w:t>
            </w:r>
            <w:r w:rsidR="00413D29">
              <w:rPr>
                <w:rFonts w:ascii="Arial Narrow" w:hAnsi="Arial Narrow"/>
                <w:sz w:val="20"/>
              </w:rPr>
              <w:t xml:space="preserve"> (idelalisib plus rituximab) and 4.4 months (placebo plus rituximab)</w:t>
            </w:r>
            <w:r w:rsidR="00275C5A" w:rsidRPr="00E2771E">
              <w:rPr>
                <w:rFonts w:ascii="Arial Narrow" w:hAnsi="Arial Narrow"/>
                <w:sz w:val="20"/>
              </w:rPr>
              <w:t xml:space="preserve"> in </w:t>
            </w:r>
            <w:r w:rsidR="00413D29">
              <w:rPr>
                <w:rFonts w:ascii="Arial Narrow" w:hAnsi="Arial Narrow"/>
                <w:sz w:val="20"/>
              </w:rPr>
              <w:t xml:space="preserve">the </w:t>
            </w:r>
            <w:r w:rsidR="00275C5A" w:rsidRPr="00E2771E">
              <w:rPr>
                <w:rFonts w:ascii="Arial Narrow" w:hAnsi="Arial Narrow"/>
                <w:sz w:val="20"/>
              </w:rPr>
              <w:t>trial</w:t>
            </w:r>
          </w:p>
        </w:tc>
      </w:tr>
      <w:tr w:rsidR="00275C5A" w:rsidRPr="00E2771E" w:rsidTr="008034E6">
        <w:tc>
          <w:tcPr>
            <w:tcW w:w="1529" w:type="pct"/>
            <w:shd w:val="clear" w:color="auto" w:fill="auto"/>
          </w:tcPr>
          <w:p w:rsidR="00275C5A" w:rsidRPr="00E2771E" w:rsidRDefault="00275C5A" w:rsidP="00F61566">
            <w:pPr>
              <w:keepNext/>
              <w:widowControl/>
              <w:jc w:val="left"/>
              <w:rPr>
                <w:rFonts w:ascii="Arial Narrow" w:hAnsi="Arial Narrow"/>
                <w:sz w:val="20"/>
              </w:rPr>
            </w:pPr>
            <w:r w:rsidRPr="00E2771E">
              <w:rPr>
                <w:rFonts w:ascii="Arial Narrow" w:hAnsi="Arial Narrow"/>
                <w:sz w:val="20"/>
              </w:rPr>
              <w:t>Outcomes</w:t>
            </w:r>
          </w:p>
        </w:tc>
        <w:tc>
          <w:tcPr>
            <w:tcW w:w="3471" w:type="pct"/>
            <w:shd w:val="clear" w:color="auto" w:fill="auto"/>
            <w:vAlign w:val="center"/>
          </w:tcPr>
          <w:p w:rsidR="00275C5A" w:rsidRPr="00E2771E" w:rsidRDefault="00275C5A" w:rsidP="00F61566">
            <w:pPr>
              <w:keepNext/>
              <w:widowControl/>
              <w:jc w:val="left"/>
              <w:rPr>
                <w:rFonts w:ascii="Arial Narrow" w:hAnsi="Arial Narrow"/>
                <w:sz w:val="20"/>
              </w:rPr>
            </w:pPr>
            <w:r w:rsidRPr="00E2771E">
              <w:rPr>
                <w:rFonts w:ascii="Arial Narrow" w:hAnsi="Arial Narrow"/>
                <w:sz w:val="20"/>
              </w:rPr>
              <w:t>LYG a</w:t>
            </w:r>
            <w:r w:rsidR="004C0FB2">
              <w:rPr>
                <w:rFonts w:ascii="Arial Narrow" w:hAnsi="Arial Narrow"/>
                <w:sz w:val="20"/>
              </w:rPr>
              <w:t>nd QALYs</w:t>
            </w:r>
          </w:p>
        </w:tc>
      </w:tr>
      <w:tr w:rsidR="00275C5A" w:rsidRPr="00E2771E" w:rsidTr="008034E6">
        <w:tc>
          <w:tcPr>
            <w:tcW w:w="1529" w:type="pct"/>
            <w:shd w:val="clear" w:color="auto" w:fill="auto"/>
          </w:tcPr>
          <w:p w:rsidR="00275C5A" w:rsidRPr="00BA5DC3" w:rsidRDefault="00275C5A" w:rsidP="00F61566">
            <w:pPr>
              <w:keepNext/>
              <w:widowControl/>
              <w:jc w:val="left"/>
              <w:rPr>
                <w:rFonts w:ascii="Arial Narrow" w:hAnsi="Arial Narrow"/>
                <w:sz w:val="20"/>
              </w:rPr>
            </w:pPr>
            <w:r w:rsidRPr="00BA5DC3">
              <w:rPr>
                <w:rFonts w:ascii="Arial Narrow" w:hAnsi="Arial Narrow"/>
                <w:sz w:val="20"/>
              </w:rPr>
              <w:t>Methods used to generate results</w:t>
            </w:r>
          </w:p>
        </w:tc>
        <w:tc>
          <w:tcPr>
            <w:tcW w:w="3471" w:type="pct"/>
            <w:shd w:val="clear" w:color="auto" w:fill="auto"/>
            <w:vAlign w:val="center"/>
          </w:tcPr>
          <w:p w:rsidR="00275C5A" w:rsidRPr="00ED0412" w:rsidRDefault="00197970" w:rsidP="00F61566">
            <w:pPr>
              <w:keepNext/>
              <w:widowControl/>
              <w:jc w:val="left"/>
              <w:rPr>
                <w:rFonts w:ascii="Arial Narrow" w:hAnsi="Arial Narrow"/>
                <w:sz w:val="20"/>
              </w:rPr>
            </w:pPr>
            <w:r w:rsidRPr="00ED0412">
              <w:rPr>
                <w:rFonts w:ascii="Arial Narrow" w:hAnsi="Arial Narrow"/>
                <w:sz w:val="20"/>
              </w:rPr>
              <w:t>Trial based</w:t>
            </w:r>
            <w:r w:rsidR="00D40132" w:rsidRPr="00ED0412">
              <w:rPr>
                <w:rFonts w:ascii="Arial Narrow" w:hAnsi="Arial Narrow"/>
                <w:sz w:val="20"/>
              </w:rPr>
              <w:t xml:space="preserve"> + extrapolation</w:t>
            </w:r>
            <w:r w:rsidRPr="00ED0412">
              <w:rPr>
                <w:rFonts w:ascii="Arial Narrow" w:hAnsi="Arial Narrow"/>
                <w:sz w:val="20"/>
              </w:rPr>
              <w:t>; Markov model; cohort or expected value analysis; deterministic sensitivity analyses</w:t>
            </w:r>
          </w:p>
        </w:tc>
      </w:tr>
      <w:tr w:rsidR="00275C5A" w:rsidRPr="00E2771E" w:rsidTr="008034E6">
        <w:tc>
          <w:tcPr>
            <w:tcW w:w="1529" w:type="pct"/>
            <w:shd w:val="clear" w:color="auto" w:fill="auto"/>
          </w:tcPr>
          <w:p w:rsidR="00275C5A" w:rsidRPr="00BA5DC3" w:rsidRDefault="00275C5A" w:rsidP="00F61566">
            <w:pPr>
              <w:keepNext/>
              <w:widowControl/>
              <w:jc w:val="left"/>
              <w:rPr>
                <w:rFonts w:ascii="Arial Narrow" w:hAnsi="Arial Narrow"/>
                <w:sz w:val="20"/>
              </w:rPr>
            </w:pPr>
            <w:r w:rsidRPr="00BA5DC3">
              <w:rPr>
                <w:rFonts w:ascii="Arial Narrow" w:hAnsi="Arial Narrow"/>
                <w:sz w:val="20"/>
              </w:rPr>
              <w:t>Health states</w:t>
            </w:r>
          </w:p>
        </w:tc>
        <w:tc>
          <w:tcPr>
            <w:tcW w:w="3471" w:type="pct"/>
            <w:shd w:val="clear" w:color="auto" w:fill="auto"/>
            <w:vAlign w:val="center"/>
          </w:tcPr>
          <w:p w:rsidR="00275C5A" w:rsidRPr="00ED0412" w:rsidRDefault="00197970" w:rsidP="00F61566">
            <w:pPr>
              <w:keepNext/>
              <w:widowControl/>
              <w:jc w:val="left"/>
              <w:rPr>
                <w:rFonts w:ascii="Arial Narrow" w:hAnsi="Arial Narrow"/>
                <w:sz w:val="20"/>
              </w:rPr>
            </w:pPr>
            <w:r w:rsidRPr="00ED0412">
              <w:rPr>
                <w:rFonts w:ascii="Arial Narrow" w:hAnsi="Arial Narrow"/>
                <w:sz w:val="20"/>
              </w:rPr>
              <w:t xml:space="preserve">Alive </w:t>
            </w:r>
            <w:r w:rsidR="00F11840" w:rsidRPr="00ED0412">
              <w:rPr>
                <w:rFonts w:ascii="Arial Narrow" w:hAnsi="Arial Narrow"/>
                <w:sz w:val="20"/>
              </w:rPr>
              <w:t>with stable disease</w:t>
            </w:r>
            <w:r w:rsidR="00413D29" w:rsidRPr="00ED0412">
              <w:rPr>
                <w:rFonts w:ascii="Arial Narrow" w:hAnsi="Arial Narrow"/>
                <w:sz w:val="20"/>
              </w:rPr>
              <w:t>; ali</w:t>
            </w:r>
            <w:r w:rsidRPr="00ED0412">
              <w:rPr>
                <w:rFonts w:ascii="Arial Narrow" w:hAnsi="Arial Narrow"/>
                <w:sz w:val="20"/>
              </w:rPr>
              <w:t xml:space="preserve">ve </w:t>
            </w:r>
            <w:r w:rsidR="00F11840" w:rsidRPr="00ED0412">
              <w:rPr>
                <w:rFonts w:ascii="Arial Narrow" w:hAnsi="Arial Narrow"/>
                <w:sz w:val="20"/>
              </w:rPr>
              <w:t xml:space="preserve">with </w:t>
            </w:r>
            <w:r w:rsidRPr="00ED0412">
              <w:rPr>
                <w:rFonts w:ascii="Arial Narrow" w:hAnsi="Arial Narrow"/>
                <w:sz w:val="20"/>
              </w:rPr>
              <w:t>progress</w:t>
            </w:r>
            <w:r w:rsidR="00F11840" w:rsidRPr="00ED0412">
              <w:rPr>
                <w:rFonts w:ascii="Arial Narrow" w:hAnsi="Arial Narrow"/>
                <w:sz w:val="20"/>
              </w:rPr>
              <w:t>ed disease</w:t>
            </w:r>
            <w:r w:rsidRPr="00ED0412">
              <w:rPr>
                <w:rFonts w:ascii="Arial Narrow" w:hAnsi="Arial Narrow"/>
                <w:sz w:val="20"/>
              </w:rPr>
              <w:t xml:space="preserve">; </w:t>
            </w:r>
            <w:r w:rsidR="00413D29" w:rsidRPr="00ED0412">
              <w:rPr>
                <w:rFonts w:ascii="Arial Narrow" w:hAnsi="Arial Narrow"/>
                <w:sz w:val="20"/>
              </w:rPr>
              <w:t>d</w:t>
            </w:r>
            <w:r w:rsidRPr="00ED0412">
              <w:rPr>
                <w:rFonts w:ascii="Arial Narrow" w:hAnsi="Arial Narrow"/>
                <w:sz w:val="20"/>
              </w:rPr>
              <w:t>ead</w:t>
            </w:r>
          </w:p>
        </w:tc>
      </w:tr>
      <w:tr w:rsidR="00275C5A" w:rsidRPr="00E2771E" w:rsidTr="008034E6">
        <w:tc>
          <w:tcPr>
            <w:tcW w:w="1529" w:type="pct"/>
            <w:shd w:val="clear" w:color="auto" w:fill="auto"/>
          </w:tcPr>
          <w:p w:rsidR="00275C5A" w:rsidRPr="00BA5DC3" w:rsidRDefault="00275C5A" w:rsidP="00F61566">
            <w:pPr>
              <w:keepNext/>
              <w:widowControl/>
              <w:jc w:val="left"/>
              <w:rPr>
                <w:rFonts w:ascii="Arial Narrow" w:hAnsi="Arial Narrow"/>
                <w:sz w:val="20"/>
              </w:rPr>
            </w:pPr>
            <w:r w:rsidRPr="00BA5DC3">
              <w:rPr>
                <w:rFonts w:ascii="Arial Narrow" w:hAnsi="Arial Narrow"/>
                <w:sz w:val="20"/>
              </w:rPr>
              <w:t>Cycle length</w:t>
            </w:r>
          </w:p>
        </w:tc>
        <w:tc>
          <w:tcPr>
            <w:tcW w:w="3471" w:type="pct"/>
            <w:shd w:val="clear" w:color="auto" w:fill="auto"/>
            <w:vAlign w:val="center"/>
          </w:tcPr>
          <w:p w:rsidR="00275C5A" w:rsidRPr="00ED0412" w:rsidRDefault="004C0FB2" w:rsidP="00F61566">
            <w:pPr>
              <w:keepNext/>
              <w:widowControl/>
              <w:jc w:val="left"/>
              <w:rPr>
                <w:rFonts w:ascii="Arial Narrow" w:hAnsi="Arial Narrow"/>
                <w:sz w:val="20"/>
              </w:rPr>
            </w:pPr>
            <w:r w:rsidRPr="00ED0412">
              <w:rPr>
                <w:rFonts w:ascii="Arial Narrow" w:hAnsi="Arial Narrow"/>
                <w:sz w:val="20"/>
              </w:rPr>
              <w:t xml:space="preserve">7 </w:t>
            </w:r>
            <w:r w:rsidR="00275C5A" w:rsidRPr="00ED0412">
              <w:rPr>
                <w:rFonts w:ascii="Arial Narrow" w:hAnsi="Arial Narrow"/>
                <w:sz w:val="20"/>
              </w:rPr>
              <w:t>days</w:t>
            </w:r>
          </w:p>
        </w:tc>
      </w:tr>
      <w:tr w:rsidR="00D40132" w:rsidRPr="00E2771E" w:rsidTr="00BB545F">
        <w:tc>
          <w:tcPr>
            <w:tcW w:w="1529" w:type="pct"/>
            <w:shd w:val="clear" w:color="auto" w:fill="auto"/>
          </w:tcPr>
          <w:p w:rsidR="00D40132" w:rsidRPr="00BC1DB2" w:rsidRDefault="00C21C88" w:rsidP="00F61566">
            <w:pPr>
              <w:keepNext/>
              <w:widowControl/>
              <w:jc w:val="left"/>
              <w:rPr>
                <w:rFonts w:ascii="Arial Narrow" w:hAnsi="Arial Narrow"/>
                <w:sz w:val="20"/>
              </w:rPr>
            </w:pPr>
            <w:r w:rsidRPr="00BC1DB2">
              <w:rPr>
                <w:rFonts w:ascii="Arial Narrow" w:hAnsi="Arial Narrow"/>
                <w:sz w:val="20"/>
              </w:rPr>
              <w:t>Utilities</w:t>
            </w:r>
          </w:p>
        </w:tc>
        <w:tc>
          <w:tcPr>
            <w:tcW w:w="3471" w:type="pct"/>
            <w:shd w:val="clear" w:color="auto" w:fill="auto"/>
          </w:tcPr>
          <w:p w:rsidR="00D40132" w:rsidRPr="00BC1DB2" w:rsidRDefault="00D40132" w:rsidP="00D40132">
            <w:pPr>
              <w:keepNext/>
              <w:widowControl/>
              <w:jc w:val="left"/>
              <w:rPr>
                <w:rFonts w:ascii="Arial Narrow" w:hAnsi="Arial Narrow"/>
                <w:sz w:val="20"/>
              </w:rPr>
            </w:pPr>
            <w:r w:rsidRPr="00BC1DB2">
              <w:rPr>
                <w:rFonts w:ascii="Arial Narrow" w:hAnsi="Arial Narrow"/>
                <w:sz w:val="20"/>
              </w:rPr>
              <w:t>From the literature stable disease: 0.71 progressed disease: 0.59</w:t>
            </w:r>
            <w:r w:rsidRPr="00BC1DB2">
              <w:rPr>
                <w:rFonts w:ascii="Arial Narrow" w:hAnsi="Arial Narrow"/>
                <w:sz w:val="20"/>
                <w:vertAlign w:val="superscript"/>
              </w:rPr>
              <w:t>a</w:t>
            </w:r>
            <w:r w:rsidRPr="00BC1DB2">
              <w:rPr>
                <w:rFonts w:ascii="Arial Narrow" w:hAnsi="Arial Narrow"/>
                <w:sz w:val="20"/>
              </w:rPr>
              <w:t xml:space="preserve"> </w:t>
            </w:r>
          </w:p>
        </w:tc>
      </w:tr>
      <w:tr w:rsidR="00275C5A" w:rsidRPr="00E2771E" w:rsidTr="008034E6">
        <w:tc>
          <w:tcPr>
            <w:tcW w:w="1529" w:type="pct"/>
            <w:shd w:val="clear" w:color="auto" w:fill="auto"/>
          </w:tcPr>
          <w:p w:rsidR="00275C5A" w:rsidRPr="00E2771E" w:rsidRDefault="00275C5A" w:rsidP="00F61566">
            <w:pPr>
              <w:keepNext/>
              <w:widowControl/>
              <w:jc w:val="left"/>
              <w:rPr>
                <w:rFonts w:ascii="Arial Narrow" w:hAnsi="Arial Narrow"/>
                <w:sz w:val="20"/>
              </w:rPr>
            </w:pPr>
            <w:r w:rsidRPr="00E2771E">
              <w:rPr>
                <w:rFonts w:ascii="Arial Narrow" w:hAnsi="Arial Narrow"/>
                <w:sz w:val="20"/>
              </w:rPr>
              <w:t>Transition probabilities</w:t>
            </w:r>
          </w:p>
        </w:tc>
        <w:tc>
          <w:tcPr>
            <w:tcW w:w="3471" w:type="pct"/>
            <w:shd w:val="clear" w:color="auto" w:fill="auto"/>
            <w:vAlign w:val="center"/>
          </w:tcPr>
          <w:p w:rsidR="00275C5A" w:rsidRPr="00E2771E" w:rsidRDefault="00197970" w:rsidP="00F61566">
            <w:pPr>
              <w:keepNext/>
              <w:widowControl/>
              <w:jc w:val="left"/>
              <w:rPr>
                <w:rFonts w:ascii="Arial Narrow" w:hAnsi="Arial Narrow"/>
                <w:sz w:val="20"/>
              </w:rPr>
            </w:pPr>
            <w:r>
              <w:rPr>
                <w:rFonts w:ascii="Arial Narrow" w:hAnsi="Arial Narrow"/>
                <w:sz w:val="20"/>
              </w:rPr>
              <w:t>Markov trace</w:t>
            </w:r>
          </w:p>
        </w:tc>
      </w:tr>
    </w:tbl>
    <w:p w:rsidR="00275C5A" w:rsidRPr="00D40132" w:rsidRDefault="00275C5A" w:rsidP="00BB545F">
      <w:pPr>
        <w:pStyle w:val="TableFooter"/>
        <w:keepNext/>
        <w:widowControl/>
        <w:ind w:left="720"/>
      </w:pPr>
      <w:r w:rsidRPr="00275C5A">
        <w:t>Source: compiled during the evaluation</w:t>
      </w:r>
      <w:r w:rsidR="00D40132">
        <w:t xml:space="preserve">. </w:t>
      </w:r>
      <w:r w:rsidR="00D40132">
        <w:rPr>
          <w:vertAlign w:val="superscript"/>
        </w:rPr>
        <w:t>a</w:t>
      </w:r>
      <w:r w:rsidR="00D40132">
        <w:t xml:space="preserve"> </w:t>
      </w:r>
      <w:r w:rsidR="00D40132" w:rsidRPr="00BB545F">
        <w:rPr>
          <w:i/>
        </w:rPr>
        <w:t>EQ 5D 3L collected in the trial but utilities not reported and data post-progression not collected therefore deemed to be unusable in the model</w:t>
      </w:r>
    </w:p>
    <w:p w:rsidR="003E2111" w:rsidRPr="00275C5A" w:rsidRDefault="003E2111" w:rsidP="00F61566">
      <w:pPr>
        <w:pStyle w:val="TableFooter"/>
        <w:widowControl/>
        <w:ind w:firstLine="720"/>
      </w:pPr>
      <w:r>
        <w:t>LYG = life years gained; QALY = quality adjusted life year</w:t>
      </w:r>
    </w:p>
    <w:p w:rsidR="00275C5A" w:rsidRPr="00275C5A" w:rsidRDefault="00275C5A" w:rsidP="00F61566">
      <w:pPr>
        <w:widowControl/>
        <w:rPr>
          <w:szCs w:val="22"/>
        </w:rPr>
      </w:pPr>
    </w:p>
    <w:p w:rsidR="00F11840" w:rsidRDefault="002F7D3C" w:rsidP="00DB2401">
      <w:pPr>
        <w:pStyle w:val="ListParagraph"/>
        <w:keepNext/>
        <w:keepLines/>
        <w:widowControl/>
        <w:numPr>
          <w:ilvl w:val="1"/>
          <w:numId w:val="10"/>
        </w:numPr>
        <w:rPr>
          <w:rStyle w:val="CommentReference"/>
          <w:rFonts w:ascii="Arial" w:hAnsi="Arial"/>
          <w:b w:val="0"/>
          <w:sz w:val="22"/>
          <w:szCs w:val="22"/>
        </w:rPr>
      </w:pPr>
      <w:r>
        <w:rPr>
          <w:rStyle w:val="CommentReference"/>
          <w:rFonts w:ascii="Arial" w:hAnsi="Arial"/>
          <w:b w:val="0"/>
          <w:sz w:val="22"/>
          <w:szCs w:val="22"/>
        </w:rPr>
        <w:lastRenderedPageBreak/>
        <w:t>The t</w:t>
      </w:r>
      <w:r w:rsidR="00F11840">
        <w:rPr>
          <w:rStyle w:val="CommentReference"/>
          <w:rFonts w:ascii="Arial" w:hAnsi="Arial"/>
          <w:b w:val="0"/>
          <w:sz w:val="22"/>
          <w:szCs w:val="22"/>
        </w:rPr>
        <w:t xml:space="preserve">ime horizon and the model structure were the key drivers of the model, and </w:t>
      </w:r>
      <w:r w:rsidR="007D6881">
        <w:rPr>
          <w:rStyle w:val="CommentReference"/>
          <w:rFonts w:ascii="Arial" w:hAnsi="Arial"/>
          <w:b w:val="0"/>
          <w:sz w:val="22"/>
          <w:szCs w:val="22"/>
        </w:rPr>
        <w:t>appeared to favour idelalisib (s</w:t>
      </w:r>
      <w:r w:rsidR="00F11840">
        <w:rPr>
          <w:rStyle w:val="CommentReference"/>
          <w:rFonts w:ascii="Arial" w:hAnsi="Arial"/>
          <w:b w:val="0"/>
          <w:sz w:val="22"/>
          <w:szCs w:val="22"/>
        </w:rPr>
        <w:t xml:space="preserve">ee </w:t>
      </w:r>
      <w:r w:rsidR="002B5771">
        <w:rPr>
          <w:rStyle w:val="CommentReference"/>
          <w:rFonts w:ascii="Arial" w:hAnsi="Arial"/>
          <w:b w:val="0"/>
          <w:sz w:val="22"/>
          <w:szCs w:val="22"/>
        </w:rPr>
        <w:t>t</w:t>
      </w:r>
      <w:r w:rsidR="00F11840">
        <w:rPr>
          <w:rStyle w:val="CommentReference"/>
          <w:rFonts w:ascii="Arial" w:hAnsi="Arial"/>
          <w:b w:val="0"/>
          <w:sz w:val="22"/>
          <w:szCs w:val="22"/>
        </w:rPr>
        <w:t xml:space="preserve">able </w:t>
      </w:r>
      <w:r w:rsidR="002B5771">
        <w:rPr>
          <w:rStyle w:val="CommentReference"/>
          <w:rFonts w:ascii="Arial" w:hAnsi="Arial"/>
          <w:b w:val="0"/>
          <w:sz w:val="22"/>
          <w:szCs w:val="22"/>
        </w:rPr>
        <w:t>below</w:t>
      </w:r>
      <w:r w:rsidR="00F11840">
        <w:rPr>
          <w:rStyle w:val="CommentReference"/>
          <w:rFonts w:ascii="Arial" w:hAnsi="Arial"/>
          <w:b w:val="0"/>
          <w:sz w:val="22"/>
          <w:szCs w:val="22"/>
        </w:rPr>
        <w:t>).</w:t>
      </w:r>
    </w:p>
    <w:p w:rsidR="00F11840" w:rsidRPr="00F11840" w:rsidRDefault="00F11840" w:rsidP="00DB2401">
      <w:pPr>
        <w:pStyle w:val="ListParagraph"/>
        <w:keepNext/>
        <w:keepLines/>
        <w:widowControl/>
        <w:rPr>
          <w:rStyle w:val="CommentReference"/>
          <w:rFonts w:ascii="Arial" w:hAnsi="Arial"/>
          <w:b w:val="0"/>
          <w:sz w:val="22"/>
          <w:szCs w:val="22"/>
        </w:rPr>
      </w:pPr>
    </w:p>
    <w:p w:rsidR="00D110BD" w:rsidRPr="009C3DAB" w:rsidRDefault="00D110BD" w:rsidP="00DB2401">
      <w:pPr>
        <w:pStyle w:val="ListParagraph"/>
        <w:keepNext/>
        <w:keepLines/>
        <w:widowControl/>
        <w:rPr>
          <w:rStyle w:val="CommentReference"/>
          <w:rFonts w:ascii="Arial" w:hAnsi="Arial"/>
          <w:b w:val="0"/>
          <w:sz w:val="22"/>
          <w:szCs w:val="22"/>
        </w:rPr>
      </w:pPr>
      <w:r w:rsidRPr="00A56B6A">
        <w:rPr>
          <w:rStyle w:val="CommentReference"/>
        </w:rPr>
        <w:t xml:space="preserve">Key drivers of the </w:t>
      </w:r>
      <w:r w:rsidR="005575FE">
        <w:rPr>
          <w:rStyle w:val="CommentReference"/>
        </w:rPr>
        <w:t xml:space="preserve">economic </w:t>
      </w:r>
      <w:r w:rsidRPr="00A56B6A">
        <w:rPr>
          <w:rStyle w:val="CommentReference"/>
        </w:rPr>
        <w:t>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3685"/>
        <w:gridCol w:w="2250"/>
      </w:tblGrid>
      <w:tr w:rsidR="00D110BD" w:rsidRPr="00E2771E" w:rsidTr="00413D29">
        <w:trPr>
          <w:tblHeader/>
        </w:trPr>
        <w:tc>
          <w:tcPr>
            <w:tcW w:w="1444" w:type="pct"/>
            <w:shd w:val="clear" w:color="auto" w:fill="auto"/>
            <w:vAlign w:val="center"/>
          </w:tcPr>
          <w:p w:rsidR="00D110BD" w:rsidRPr="00E2771E" w:rsidRDefault="00D110BD" w:rsidP="00DB2401">
            <w:pPr>
              <w:keepNext/>
              <w:keepLines/>
              <w:widowControl/>
              <w:jc w:val="left"/>
              <w:rPr>
                <w:rFonts w:ascii="Arial Narrow" w:hAnsi="Arial Narrow"/>
                <w:b/>
                <w:sz w:val="20"/>
                <w:lang w:val="en-US"/>
              </w:rPr>
            </w:pPr>
            <w:r w:rsidRPr="00E2771E">
              <w:rPr>
                <w:rFonts w:ascii="Arial Narrow" w:hAnsi="Arial Narrow"/>
                <w:b/>
                <w:sz w:val="20"/>
                <w:lang w:val="en-US"/>
              </w:rPr>
              <w:t>Description</w:t>
            </w:r>
          </w:p>
        </w:tc>
        <w:tc>
          <w:tcPr>
            <w:tcW w:w="2208" w:type="pct"/>
            <w:shd w:val="clear" w:color="auto" w:fill="auto"/>
            <w:vAlign w:val="center"/>
          </w:tcPr>
          <w:p w:rsidR="00D110BD" w:rsidRPr="00E2771E" w:rsidRDefault="00D110BD" w:rsidP="00DB2401">
            <w:pPr>
              <w:keepNext/>
              <w:keepLines/>
              <w:widowControl/>
              <w:jc w:val="center"/>
              <w:rPr>
                <w:rFonts w:ascii="Arial Narrow" w:hAnsi="Arial Narrow"/>
                <w:b/>
                <w:sz w:val="20"/>
                <w:lang w:val="en-US"/>
              </w:rPr>
            </w:pPr>
            <w:r w:rsidRPr="00E2771E">
              <w:rPr>
                <w:rFonts w:ascii="Arial Narrow" w:hAnsi="Arial Narrow"/>
                <w:b/>
                <w:sz w:val="20"/>
                <w:lang w:val="en-US"/>
              </w:rPr>
              <w:t>Method/Value</w:t>
            </w:r>
          </w:p>
        </w:tc>
        <w:tc>
          <w:tcPr>
            <w:tcW w:w="1348" w:type="pct"/>
            <w:shd w:val="clear" w:color="auto" w:fill="auto"/>
            <w:vAlign w:val="center"/>
          </w:tcPr>
          <w:p w:rsidR="00D110BD" w:rsidRPr="00E2771E" w:rsidRDefault="00D110BD" w:rsidP="00DB2401">
            <w:pPr>
              <w:keepNext/>
              <w:keepLines/>
              <w:widowControl/>
              <w:jc w:val="center"/>
              <w:rPr>
                <w:rFonts w:ascii="Arial Narrow" w:hAnsi="Arial Narrow"/>
                <w:b/>
                <w:sz w:val="20"/>
                <w:lang w:val="en-US"/>
              </w:rPr>
            </w:pPr>
            <w:r w:rsidRPr="00E2771E">
              <w:rPr>
                <w:rFonts w:ascii="Arial Narrow" w:hAnsi="Arial Narrow"/>
                <w:b/>
                <w:sz w:val="20"/>
                <w:lang w:val="en-US"/>
              </w:rPr>
              <w:t>Impact</w:t>
            </w:r>
          </w:p>
        </w:tc>
      </w:tr>
      <w:tr w:rsidR="00D110BD" w:rsidRPr="00E2771E" w:rsidTr="00513E21">
        <w:tc>
          <w:tcPr>
            <w:tcW w:w="1444" w:type="pct"/>
            <w:shd w:val="clear" w:color="auto" w:fill="auto"/>
            <w:vAlign w:val="center"/>
          </w:tcPr>
          <w:p w:rsidR="00D110BD" w:rsidRPr="00E2771E" w:rsidRDefault="00D110BD" w:rsidP="00DB2401">
            <w:pPr>
              <w:keepNext/>
              <w:keepLines/>
              <w:widowControl/>
              <w:jc w:val="left"/>
              <w:rPr>
                <w:rFonts w:ascii="Arial Narrow" w:hAnsi="Arial Narrow"/>
                <w:sz w:val="20"/>
                <w:lang w:val="en-US"/>
              </w:rPr>
            </w:pPr>
            <w:r w:rsidRPr="00E2771E">
              <w:rPr>
                <w:rFonts w:ascii="Arial Narrow" w:hAnsi="Arial Narrow"/>
                <w:sz w:val="20"/>
                <w:lang w:val="en-US"/>
              </w:rPr>
              <w:t>Time horizon</w:t>
            </w:r>
          </w:p>
        </w:tc>
        <w:tc>
          <w:tcPr>
            <w:tcW w:w="2208" w:type="pct"/>
            <w:shd w:val="clear" w:color="auto" w:fill="auto"/>
            <w:vAlign w:val="center"/>
          </w:tcPr>
          <w:p w:rsidR="00D110BD" w:rsidRPr="00E2771E" w:rsidRDefault="00E21356" w:rsidP="00DB2401">
            <w:pPr>
              <w:keepNext/>
              <w:keepLines/>
              <w:widowControl/>
              <w:jc w:val="left"/>
              <w:rPr>
                <w:rFonts w:ascii="Arial Narrow" w:hAnsi="Arial Narrow"/>
                <w:sz w:val="20"/>
                <w:lang w:val="en-US"/>
              </w:rPr>
            </w:pPr>
            <w:r>
              <w:rPr>
                <w:rFonts w:ascii="Arial Narrow" w:hAnsi="Arial Narrow"/>
                <w:sz w:val="20"/>
                <w:lang w:val="en-US"/>
              </w:rPr>
              <w:t>10</w:t>
            </w:r>
            <w:r w:rsidR="00D110BD" w:rsidRPr="00E2771E">
              <w:rPr>
                <w:rFonts w:ascii="Arial Narrow" w:hAnsi="Arial Narrow"/>
                <w:sz w:val="20"/>
                <w:lang w:val="en-US"/>
              </w:rPr>
              <w:t xml:space="preserve"> years; assumed from </w:t>
            </w:r>
            <w:r w:rsidR="00413D29">
              <w:rPr>
                <w:rFonts w:ascii="Arial Narrow" w:hAnsi="Arial Narrow"/>
                <w:sz w:val="20"/>
                <w:lang w:val="en-US"/>
              </w:rPr>
              <w:t xml:space="preserve">~ </w:t>
            </w:r>
            <w:r w:rsidR="00D110BD" w:rsidRPr="00E2771E">
              <w:rPr>
                <w:rFonts w:ascii="Arial Narrow" w:hAnsi="Arial Narrow"/>
                <w:sz w:val="20"/>
                <w:lang w:val="en-US"/>
              </w:rPr>
              <w:t>6 month trial duration</w:t>
            </w:r>
          </w:p>
        </w:tc>
        <w:tc>
          <w:tcPr>
            <w:tcW w:w="1348" w:type="pct"/>
            <w:shd w:val="clear" w:color="auto" w:fill="auto"/>
            <w:vAlign w:val="center"/>
          </w:tcPr>
          <w:p w:rsidR="00D110BD" w:rsidRPr="00E2771E" w:rsidRDefault="005575FE" w:rsidP="00DB2401">
            <w:pPr>
              <w:keepNext/>
              <w:keepLines/>
              <w:widowControl/>
              <w:jc w:val="left"/>
              <w:rPr>
                <w:rFonts w:ascii="Arial Narrow" w:hAnsi="Arial Narrow"/>
                <w:sz w:val="20"/>
                <w:lang w:val="en-US"/>
              </w:rPr>
            </w:pPr>
            <w:r>
              <w:rPr>
                <w:rFonts w:ascii="Arial Narrow" w:hAnsi="Arial Narrow"/>
                <w:sz w:val="20"/>
                <w:lang w:val="en-US"/>
              </w:rPr>
              <w:t>High; favour</w:t>
            </w:r>
            <w:r w:rsidR="00220AF7">
              <w:rPr>
                <w:rFonts w:ascii="Arial Narrow" w:hAnsi="Arial Narrow"/>
                <w:sz w:val="20"/>
                <w:lang w:val="en-US"/>
              </w:rPr>
              <w:t>ed</w:t>
            </w:r>
            <w:r>
              <w:rPr>
                <w:rFonts w:ascii="Arial Narrow" w:hAnsi="Arial Narrow"/>
                <w:sz w:val="20"/>
                <w:lang w:val="en-US"/>
              </w:rPr>
              <w:t xml:space="preserve"> idelalisib</w:t>
            </w:r>
          </w:p>
        </w:tc>
      </w:tr>
      <w:tr w:rsidR="009C3DAB" w:rsidRPr="00E2771E" w:rsidTr="00513E21">
        <w:trPr>
          <w:trHeight w:val="60"/>
        </w:trPr>
        <w:tc>
          <w:tcPr>
            <w:tcW w:w="1444" w:type="pct"/>
            <w:shd w:val="clear" w:color="auto" w:fill="auto"/>
          </w:tcPr>
          <w:p w:rsidR="009C3DAB" w:rsidRDefault="009C3DAB" w:rsidP="00DB2401">
            <w:pPr>
              <w:keepNext/>
              <w:keepLines/>
              <w:widowControl/>
              <w:jc w:val="left"/>
              <w:rPr>
                <w:rFonts w:ascii="Arial Narrow" w:hAnsi="Arial Narrow"/>
                <w:sz w:val="20"/>
                <w:lang w:val="en-US"/>
              </w:rPr>
            </w:pPr>
            <w:r>
              <w:rPr>
                <w:rFonts w:ascii="Arial Narrow" w:hAnsi="Arial Narrow"/>
                <w:sz w:val="20"/>
                <w:lang w:val="en-US"/>
              </w:rPr>
              <w:t>Model structure</w:t>
            </w:r>
          </w:p>
        </w:tc>
        <w:tc>
          <w:tcPr>
            <w:tcW w:w="2208" w:type="pct"/>
            <w:shd w:val="clear" w:color="auto" w:fill="auto"/>
            <w:vAlign w:val="center"/>
          </w:tcPr>
          <w:p w:rsidR="009C3DAB" w:rsidRDefault="009C3DAB" w:rsidP="00DB2401">
            <w:pPr>
              <w:keepNext/>
              <w:keepLines/>
              <w:widowControl/>
              <w:jc w:val="left"/>
              <w:rPr>
                <w:rFonts w:ascii="Arial Narrow" w:hAnsi="Arial Narrow"/>
                <w:sz w:val="20"/>
                <w:lang w:val="en-US"/>
              </w:rPr>
            </w:pPr>
            <w:r>
              <w:rPr>
                <w:rFonts w:ascii="Arial Narrow" w:hAnsi="Arial Narrow"/>
                <w:sz w:val="20"/>
                <w:lang w:val="en-US"/>
              </w:rPr>
              <w:t xml:space="preserve">Literature based; </w:t>
            </w:r>
            <w:r w:rsidR="00220AF7">
              <w:rPr>
                <w:rFonts w:ascii="Arial Narrow" w:hAnsi="Arial Narrow"/>
                <w:sz w:val="20"/>
                <w:lang w:val="en-US"/>
              </w:rPr>
              <w:t>three</w:t>
            </w:r>
            <w:r>
              <w:rPr>
                <w:rFonts w:ascii="Arial Narrow" w:hAnsi="Arial Narrow"/>
                <w:sz w:val="20"/>
                <w:lang w:val="en-US"/>
              </w:rPr>
              <w:t xml:space="preserve"> health states</w:t>
            </w:r>
          </w:p>
        </w:tc>
        <w:tc>
          <w:tcPr>
            <w:tcW w:w="1348" w:type="pct"/>
            <w:shd w:val="clear" w:color="auto" w:fill="auto"/>
            <w:vAlign w:val="center"/>
          </w:tcPr>
          <w:p w:rsidR="009C3DAB" w:rsidRDefault="00413D29" w:rsidP="00DB2401">
            <w:pPr>
              <w:keepNext/>
              <w:keepLines/>
              <w:widowControl/>
              <w:jc w:val="left"/>
              <w:rPr>
                <w:rFonts w:ascii="Arial Narrow" w:hAnsi="Arial Narrow"/>
                <w:sz w:val="20"/>
                <w:lang w:val="en-US"/>
              </w:rPr>
            </w:pPr>
            <w:r>
              <w:rPr>
                <w:rFonts w:ascii="Arial Narrow" w:hAnsi="Arial Narrow"/>
                <w:sz w:val="20"/>
                <w:lang w:val="en-US"/>
              </w:rPr>
              <w:t>High</w:t>
            </w:r>
            <w:r w:rsidR="00220AF7">
              <w:rPr>
                <w:rFonts w:ascii="Arial Narrow" w:hAnsi="Arial Narrow"/>
                <w:sz w:val="20"/>
                <w:lang w:val="en-US"/>
              </w:rPr>
              <w:t>; favoured</w:t>
            </w:r>
            <w:r w:rsidR="009C3DAB">
              <w:rPr>
                <w:rFonts w:ascii="Arial Narrow" w:hAnsi="Arial Narrow"/>
                <w:sz w:val="20"/>
                <w:lang w:val="en-US"/>
              </w:rPr>
              <w:t xml:space="preserve"> idelalisib</w:t>
            </w:r>
          </w:p>
        </w:tc>
      </w:tr>
      <w:tr w:rsidR="009C3DAB" w:rsidRPr="00E2771E" w:rsidTr="00513E21">
        <w:trPr>
          <w:trHeight w:val="53"/>
        </w:trPr>
        <w:tc>
          <w:tcPr>
            <w:tcW w:w="1444" w:type="pct"/>
            <w:shd w:val="clear" w:color="auto" w:fill="auto"/>
          </w:tcPr>
          <w:p w:rsidR="009C3DAB" w:rsidRPr="00E2771E" w:rsidRDefault="00413D29" w:rsidP="00DB2401">
            <w:pPr>
              <w:keepNext/>
              <w:keepLines/>
              <w:widowControl/>
              <w:jc w:val="left"/>
              <w:rPr>
                <w:rFonts w:ascii="Arial Narrow" w:hAnsi="Arial Narrow"/>
                <w:sz w:val="20"/>
                <w:lang w:val="en-US"/>
              </w:rPr>
            </w:pPr>
            <w:r>
              <w:rPr>
                <w:rFonts w:ascii="Arial Narrow" w:hAnsi="Arial Narrow"/>
                <w:sz w:val="20"/>
                <w:lang w:val="en-US"/>
              </w:rPr>
              <w:t>Resource use and costs</w:t>
            </w:r>
          </w:p>
        </w:tc>
        <w:tc>
          <w:tcPr>
            <w:tcW w:w="2208" w:type="pct"/>
            <w:shd w:val="clear" w:color="auto" w:fill="auto"/>
            <w:vAlign w:val="center"/>
          </w:tcPr>
          <w:p w:rsidR="009C3DAB" w:rsidRPr="00E2771E" w:rsidRDefault="00731014" w:rsidP="00DB2401">
            <w:pPr>
              <w:keepNext/>
              <w:keepLines/>
              <w:widowControl/>
              <w:jc w:val="left"/>
              <w:rPr>
                <w:rFonts w:ascii="Arial Narrow" w:hAnsi="Arial Narrow"/>
                <w:sz w:val="20"/>
                <w:lang w:val="en-US"/>
              </w:rPr>
            </w:pPr>
            <w:r>
              <w:rPr>
                <w:rFonts w:ascii="Arial Narrow" w:hAnsi="Arial Narrow"/>
                <w:sz w:val="20"/>
                <w:lang w:val="en-US"/>
              </w:rPr>
              <w:t>MBS and AR-</w:t>
            </w:r>
            <w:r w:rsidR="00220AF7">
              <w:rPr>
                <w:rFonts w:ascii="Arial Narrow" w:hAnsi="Arial Narrow"/>
                <w:sz w:val="20"/>
                <w:lang w:val="en-US"/>
              </w:rPr>
              <w:t>DRG costs; use based on literature</w:t>
            </w:r>
          </w:p>
        </w:tc>
        <w:tc>
          <w:tcPr>
            <w:tcW w:w="1348" w:type="pct"/>
            <w:shd w:val="clear" w:color="auto" w:fill="auto"/>
            <w:vAlign w:val="center"/>
          </w:tcPr>
          <w:p w:rsidR="009C3DAB" w:rsidRPr="00E2771E" w:rsidRDefault="00220AF7" w:rsidP="00DB2401">
            <w:pPr>
              <w:keepNext/>
              <w:keepLines/>
              <w:widowControl/>
              <w:jc w:val="left"/>
              <w:rPr>
                <w:rFonts w:ascii="Arial Narrow" w:hAnsi="Arial Narrow"/>
                <w:sz w:val="20"/>
                <w:lang w:val="en-US"/>
              </w:rPr>
            </w:pPr>
            <w:r>
              <w:rPr>
                <w:rFonts w:ascii="Arial Narrow" w:hAnsi="Arial Narrow"/>
                <w:sz w:val="20"/>
                <w:lang w:val="en-US"/>
              </w:rPr>
              <w:t>Low; favoured</w:t>
            </w:r>
            <w:r w:rsidR="009C3DAB">
              <w:rPr>
                <w:rFonts w:ascii="Arial Narrow" w:hAnsi="Arial Narrow"/>
                <w:sz w:val="20"/>
                <w:lang w:val="en-US"/>
              </w:rPr>
              <w:t xml:space="preserve"> </w:t>
            </w:r>
            <w:r>
              <w:rPr>
                <w:rFonts w:ascii="Arial Narrow" w:hAnsi="Arial Narrow"/>
                <w:sz w:val="20"/>
                <w:lang w:val="en-US"/>
              </w:rPr>
              <w:t>comparator</w:t>
            </w:r>
          </w:p>
        </w:tc>
      </w:tr>
    </w:tbl>
    <w:p w:rsidR="00D110BD" w:rsidRDefault="00D110BD" w:rsidP="00DB2401">
      <w:pPr>
        <w:pStyle w:val="TableFooter"/>
        <w:keepNext/>
        <w:keepLines/>
        <w:widowControl/>
        <w:ind w:firstLine="720"/>
      </w:pPr>
      <w:r w:rsidRPr="00D110BD">
        <w:t>Source: compiled during the evaluation</w:t>
      </w:r>
    </w:p>
    <w:p w:rsidR="00731014" w:rsidRPr="00D110BD" w:rsidRDefault="00731014" w:rsidP="00DB2401">
      <w:pPr>
        <w:pStyle w:val="TableFooter"/>
        <w:keepNext/>
        <w:keepLines/>
        <w:widowControl/>
        <w:ind w:firstLine="720"/>
      </w:pPr>
      <w:r>
        <w:t>AR-DRG = Australian refined diagnosis-related groups; MBS = Medicare Benefits Schedule</w:t>
      </w:r>
    </w:p>
    <w:p w:rsidR="00D40132" w:rsidRPr="00275C5A" w:rsidRDefault="00D40132" w:rsidP="00F61566">
      <w:pPr>
        <w:widowControl/>
        <w:rPr>
          <w:szCs w:val="22"/>
        </w:rPr>
      </w:pPr>
    </w:p>
    <w:p w:rsidR="00F11840" w:rsidRDefault="00F11840" w:rsidP="006C7BD4">
      <w:pPr>
        <w:pStyle w:val="ListParagraph"/>
        <w:keepNext/>
        <w:keepLines/>
        <w:widowControl/>
        <w:numPr>
          <w:ilvl w:val="1"/>
          <w:numId w:val="10"/>
        </w:numPr>
        <w:rPr>
          <w:rStyle w:val="CommentReference"/>
          <w:rFonts w:ascii="Arial" w:hAnsi="Arial"/>
          <w:b w:val="0"/>
          <w:sz w:val="22"/>
          <w:szCs w:val="22"/>
        </w:rPr>
      </w:pPr>
      <w:r w:rsidRPr="00F11840">
        <w:rPr>
          <w:rStyle w:val="CommentReference"/>
          <w:rFonts w:ascii="Arial" w:hAnsi="Arial"/>
          <w:b w:val="0"/>
          <w:sz w:val="22"/>
          <w:szCs w:val="22"/>
        </w:rPr>
        <w:t>The</w:t>
      </w:r>
      <w:r>
        <w:rPr>
          <w:rStyle w:val="CommentReference"/>
          <w:rFonts w:ascii="Arial" w:hAnsi="Arial"/>
          <w:b w:val="0"/>
          <w:sz w:val="22"/>
          <w:szCs w:val="22"/>
        </w:rPr>
        <w:t xml:space="preserve"> </w:t>
      </w:r>
      <w:r w:rsidR="000D202B">
        <w:rPr>
          <w:rStyle w:val="CommentReference"/>
          <w:rFonts w:ascii="Arial" w:hAnsi="Arial"/>
          <w:b w:val="0"/>
          <w:sz w:val="22"/>
          <w:szCs w:val="22"/>
        </w:rPr>
        <w:t xml:space="preserve">results of the </w:t>
      </w:r>
      <w:r>
        <w:rPr>
          <w:rStyle w:val="CommentReference"/>
          <w:rFonts w:ascii="Arial" w:hAnsi="Arial"/>
          <w:b w:val="0"/>
          <w:sz w:val="22"/>
          <w:szCs w:val="22"/>
        </w:rPr>
        <w:t xml:space="preserve">economic evaluation </w:t>
      </w:r>
      <w:r w:rsidR="000D202B">
        <w:rPr>
          <w:rStyle w:val="CommentReference"/>
          <w:rFonts w:ascii="Arial" w:hAnsi="Arial"/>
          <w:b w:val="0"/>
          <w:sz w:val="22"/>
          <w:szCs w:val="22"/>
        </w:rPr>
        <w:t xml:space="preserve">are </w:t>
      </w:r>
      <w:r>
        <w:rPr>
          <w:rStyle w:val="CommentReference"/>
          <w:rFonts w:ascii="Arial" w:hAnsi="Arial"/>
          <w:b w:val="0"/>
          <w:sz w:val="22"/>
          <w:szCs w:val="22"/>
        </w:rPr>
        <w:t>presented</w:t>
      </w:r>
      <w:r w:rsidR="002B5771">
        <w:rPr>
          <w:rStyle w:val="CommentReference"/>
          <w:rFonts w:ascii="Arial" w:hAnsi="Arial"/>
          <w:b w:val="0"/>
          <w:sz w:val="22"/>
          <w:szCs w:val="22"/>
        </w:rPr>
        <w:t xml:space="preserve"> in the table below</w:t>
      </w:r>
      <w:r w:rsidR="000D202B">
        <w:rPr>
          <w:rStyle w:val="CommentReference"/>
          <w:rFonts w:ascii="Arial" w:hAnsi="Arial"/>
          <w:b w:val="0"/>
          <w:sz w:val="22"/>
          <w:szCs w:val="22"/>
        </w:rPr>
        <w:t>.</w:t>
      </w:r>
    </w:p>
    <w:p w:rsidR="00F11840" w:rsidRPr="00F11840" w:rsidRDefault="00F11840" w:rsidP="006C7BD4">
      <w:pPr>
        <w:pStyle w:val="ListParagraph"/>
        <w:keepNext/>
        <w:keepLines/>
        <w:widowControl/>
        <w:rPr>
          <w:rStyle w:val="CommentReference"/>
          <w:rFonts w:ascii="Arial" w:hAnsi="Arial"/>
          <w:b w:val="0"/>
          <w:sz w:val="22"/>
          <w:szCs w:val="22"/>
        </w:rPr>
      </w:pPr>
    </w:p>
    <w:p w:rsidR="00D110BD" w:rsidRPr="000D53AC" w:rsidRDefault="00D110BD" w:rsidP="006C7BD4">
      <w:pPr>
        <w:pStyle w:val="ListParagraph"/>
        <w:keepNext/>
        <w:keepLines/>
        <w:widowControl/>
        <w:rPr>
          <w:rStyle w:val="CommentReference"/>
          <w:rFonts w:ascii="Arial" w:hAnsi="Arial"/>
          <w:b w:val="0"/>
          <w:sz w:val="22"/>
          <w:szCs w:val="22"/>
        </w:rPr>
      </w:pPr>
      <w:r w:rsidRPr="001222FC">
        <w:rPr>
          <w:rStyle w:val="CommentReference"/>
        </w:rPr>
        <w:t>Results of the economic evaluation</w:t>
      </w:r>
      <w:r w:rsidR="009C3DAB">
        <w:rPr>
          <w:rStyle w:val="CommentReference"/>
        </w:rPr>
        <w:t xml:space="preserve"> (discounted at 5%)</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1985"/>
        <w:gridCol w:w="2410"/>
        <w:gridCol w:w="2268"/>
        <w:gridCol w:w="1682"/>
      </w:tblGrid>
      <w:tr w:rsidR="00D110BD" w:rsidRPr="00E2771E" w:rsidTr="009C3DAB">
        <w:trPr>
          <w:tblHeader/>
        </w:trPr>
        <w:tc>
          <w:tcPr>
            <w:tcW w:w="1189" w:type="pct"/>
            <w:vAlign w:val="center"/>
          </w:tcPr>
          <w:p w:rsidR="00D110BD" w:rsidRPr="00E2771E" w:rsidRDefault="00D110BD" w:rsidP="006C7BD4">
            <w:pPr>
              <w:keepNext/>
              <w:keepLines/>
              <w:widowControl/>
              <w:jc w:val="left"/>
              <w:rPr>
                <w:rFonts w:ascii="Arial Narrow" w:hAnsi="Arial Narrow"/>
                <w:b/>
                <w:sz w:val="20"/>
              </w:rPr>
            </w:pPr>
          </w:p>
        </w:tc>
        <w:tc>
          <w:tcPr>
            <w:tcW w:w="1444" w:type="pct"/>
            <w:vAlign w:val="center"/>
          </w:tcPr>
          <w:p w:rsidR="00D110BD" w:rsidRPr="00E2771E" w:rsidRDefault="009C3DAB" w:rsidP="006C7BD4">
            <w:pPr>
              <w:keepNext/>
              <w:keepLines/>
              <w:widowControl/>
              <w:jc w:val="right"/>
              <w:rPr>
                <w:rFonts w:ascii="Arial Narrow" w:hAnsi="Arial Narrow"/>
                <w:b/>
                <w:sz w:val="20"/>
              </w:rPr>
            </w:pPr>
            <w:r>
              <w:rPr>
                <w:rFonts w:ascii="Arial Narrow" w:hAnsi="Arial Narrow"/>
                <w:b/>
                <w:sz w:val="20"/>
              </w:rPr>
              <w:t>Idelalisib + rituximab</w:t>
            </w:r>
          </w:p>
        </w:tc>
        <w:tc>
          <w:tcPr>
            <w:tcW w:w="1359" w:type="pct"/>
            <w:vAlign w:val="center"/>
          </w:tcPr>
          <w:p w:rsidR="00D110BD" w:rsidRPr="00E2771E" w:rsidRDefault="009C3DAB" w:rsidP="006C7BD4">
            <w:pPr>
              <w:keepNext/>
              <w:keepLines/>
              <w:widowControl/>
              <w:jc w:val="right"/>
              <w:rPr>
                <w:rFonts w:ascii="Arial Narrow" w:hAnsi="Arial Narrow"/>
                <w:b/>
                <w:sz w:val="20"/>
              </w:rPr>
            </w:pPr>
            <w:r>
              <w:rPr>
                <w:rFonts w:ascii="Arial Narrow" w:hAnsi="Arial Narrow"/>
                <w:b/>
                <w:sz w:val="20"/>
              </w:rPr>
              <w:t>Placebo + rituximab</w:t>
            </w:r>
          </w:p>
        </w:tc>
        <w:tc>
          <w:tcPr>
            <w:tcW w:w="1008" w:type="pct"/>
            <w:vAlign w:val="center"/>
          </w:tcPr>
          <w:p w:rsidR="00D110BD" w:rsidRPr="00E2771E" w:rsidRDefault="00D110BD" w:rsidP="006C7BD4">
            <w:pPr>
              <w:keepNext/>
              <w:keepLines/>
              <w:widowControl/>
              <w:jc w:val="right"/>
              <w:rPr>
                <w:rFonts w:ascii="Arial Narrow" w:hAnsi="Arial Narrow"/>
                <w:b/>
                <w:sz w:val="20"/>
              </w:rPr>
            </w:pPr>
            <w:r w:rsidRPr="00E2771E">
              <w:rPr>
                <w:rFonts w:ascii="Arial Narrow" w:hAnsi="Arial Narrow"/>
                <w:b/>
                <w:sz w:val="20"/>
              </w:rPr>
              <w:t>Increment</w:t>
            </w:r>
          </w:p>
        </w:tc>
      </w:tr>
      <w:tr w:rsidR="009C3DAB" w:rsidRPr="00E2771E" w:rsidTr="009C3DAB">
        <w:tc>
          <w:tcPr>
            <w:tcW w:w="1189" w:type="pct"/>
            <w:vAlign w:val="center"/>
          </w:tcPr>
          <w:p w:rsidR="009C3DAB" w:rsidRPr="00E2771E" w:rsidRDefault="009C3DAB" w:rsidP="006C7BD4">
            <w:pPr>
              <w:keepNext/>
              <w:keepLines/>
              <w:widowControl/>
              <w:jc w:val="left"/>
              <w:rPr>
                <w:rFonts w:ascii="Arial Narrow" w:hAnsi="Arial Narrow"/>
                <w:sz w:val="20"/>
              </w:rPr>
            </w:pPr>
            <w:r w:rsidRPr="00E2771E">
              <w:rPr>
                <w:rFonts w:ascii="Arial Narrow" w:hAnsi="Arial Narrow"/>
                <w:sz w:val="20"/>
              </w:rPr>
              <w:t>Costs</w:t>
            </w:r>
          </w:p>
        </w:tc>
        <w:tc>
          <w:tcPr>
            <w:tcW w:w="1444" w:type="pct"/>
            <w:vAlign w:val="center"/>
          </w:tcPr>
          <w:p w:rsidR="009C3DAB" w:rsidRPr="0091351F" w:rsidRDefault="009C3DAB" w:rsidP="006C7BD4">
            <w:pPr>
              <w:keepNext/>
              <w:keepLines/>
              <w:widowControl/>
              <w:jc w:val="right"/>
              <w:rPr>
                <w:rFonts w:ascii="Arial Narrow" w:hAnsi="Arial Narrow" w:cs="Times New Roman"/>
                <w:sz w:val="20"/>
              </w:rPr>
            </w:pPr>
            <w:r w:rsidRPr="0091351F">
              <w:rPr>
                <w:rFonts w:ascii="Arial Narrow" w:hAnsi="Arial Narrow" w:cs="Times New Roman"/>
                <w:sz w:val="20"/>
              </w:rPr>
              <w:t>$</w:t>
            </w:r>
            <w:r w:rsidR="00C60362">
              <w:rPr>
                <w:rFonts w:ascii="Arial Narrow" w:hAnsi="Arial Narrow" w:cs="Times New Roman"/>
                <w:noProof/>
                <w:color w:val="000000"/>
                <w:sz w:val="20"/>
                <w:highlight w:val="black"/>
              </w:rPr>
              <w:t>''''''''''''''''''''</w:t>
            </w:r>
          </w:p>
        </w:tc>
        <w:tc>
          <w:tcPr>
            <w:tcW w:w="1359" w:type="pct"/>
            <w:vAlign w:val="center"/>
          </w:tcPr>
          <w:p w:rsidR="009C3DAB" w:rsidRPr="0091351F" w:rsidRDefault="009C3DAB" w:rsidP="006C7BD4">
            <w:pPr>
              <w:keepNext/>
              <w:keepLines/>
              <w:widowControl/>
              <w:jc w:val="right"/>
              <w:rPr>
                <w:rFonts w:ascii="Arial Narrow" w:hAnsi="Arial Narrow" w:cs="Times New Roman"/>
                <w:sz w:val="20"/>
              </w:rPr>
            </w:pPr>
            <w:r w:rsidRPr="0091351F">
              <w:rPr>
                <w:rFonts w:ascii="Arial Narrow" w:hAnsi="Arial Narrow" w:cs="Times New Roman"/>
                <w:sz w:val="20"/>
              </w:rPr>
              <w:t>$42,383</w:t>
            </w:r>
          </w:p>
        </w:tc>
        <w:tc>
          <w:tcPr>
            <w:tcW w:w="1008" w:type="pct"/>
            <w:vAlign w:val="center"/>
          </w:tcPr>
          <w:p w:rsidR="009C3DAB" w:rsidRPr="0091351F" w:rsidRDefault="009C3DAB" w:rsidP="006C7BD4">
            <w:pPr>
              <w:keepNext/>
              <w:keepLines/>
              <w:widowControl/>
              <w:jc w:val="right"/>
              <w:rPr>
                <w:rFonts w:ascii="Arial Narrow" w:hAnsi="Arial Narrow" w:cs="Times New Roman"/>
                <w:sz w:val="20"/>
              </w:rPr>
            </w:pPr>
            <w:r w:rsidRPr="0091351F">
              <w:rPr>
                <w:rFonts w:ascii="Arial Narrow" w:hAnsi="Arial Narrow" w:cs="Times New Roman"/>
                <w:sz w:val="20"/>
              </w:rPr>
              <w:t>$</w:t>
            </w:r>
            <w:r w:rsidR="00C60362">
              <w:rPr>
                <w:rFonts w:ascii="Arial Narrow" w:hAnsi="Arial Narrow" w:cs="Times New Roman"/>
                <w:noProof/>
                <w:color w:val="000000"/>
                <w:sz w:val="20"/>
                <w:highlight w:val="black"/>
              </w:rPr>
              <w:t>''''''''''''''''</w:t>
            </w:r>
          </w:p>
        </w:tc>
      </w:tr>
      <w:tr w:rsidR="009C3DAB" w:rsidRPr="00E2771E" w:rsidTr="009C3DAB">
        <w:tc>
          <w:tcPr>
            <w:tcW w:w="1189" w:type="pct"/>
            <w:vAlign w:val="center"/>
          </w:tcPr>
          <w:p w:rsidR="009C3DAB" w:rsidRPr="00E2771E" w:rsidRDefault="009C3DAB" w:rsidP="006C7BD4">
            <w:pPr>
              <w:keepNext/>
              <w:keepLines/>
              <w:widowControl/>
              <w:jc w:val="left"/>
              <w:rPr>
                <w:rFonts w:ascii="Arial Narrow" w:hAnsi="Arial Narrow"/>
                <w:sz w:val="20"/>
              </w:rPr>
            </w:pPr>
            <w:r>
              <w:rPr>
                <w:rFonts w:ascii="Arial Narrow" w:hAnsi="Arial Narrow"/>
                <w:sz w:val="20"/>
              </w:rPr>
              <w:t>QALYs</w:t>
            </w:r>
          </w:p>
        </w:tc>
        <w:tc>
          <w:tcPr>
            <w:tcW w:w="1444" w:type="pct"/>
            <w:vAlign w:val="center"/>
          </w:tcPr>
          <w:p w:rsidR="009C3DAB" w:rsidRPr="0091351F" w:rsidRDefault="009C3DAB" w:rsidP="006C7BD4">
            <w:pPr>
              <w:keepNext/>
              <w:keepLines/>
              <w:widowControl/>
              <w:jc w:val="center"/>
              <w:rPr>
                <w:rFonts w:ascii="Arial Narrow" w:hAnsi="Arial Narrow"/>
                <w:sz w:val="20"/>
              </w:rPr>
            </w:pPr>
            <w:r w:rsidRPr="0091351F">
              <w:rPr>
                <w:rFonts w:ascii="Arial Narrow" w:hAnsi="Arial Narrow"/>
                <w:sz w:val="20"/>
              </w:rPr>
              <w:t>3.76</w:t>
            </w:r>
          </w:p>
        </w:tc>
        <w:tc>
          <w:tcPr>
            <w:tcW w:w="1359" w:type="pct"/>
            <w:vAlign w:val="center"/>
          </w:tcPr>
          <w:p w:rsidR="009C3DAB" w:rsidRPr="0091351F" w:rsidRDefault="009C3DAB" w:rsidP="006C7BD4">
            <w:pPr>
              <w:keepNext/>
              <w:keepLines/>
              <w:widowControl/>
              <w:jc w:val="center"/>
              <w:rPr>
                <w:rFonts w:ascii="Arial Narrow" w:hAnsi="Arial Narrow"/>
                <w:sz w:val="20"/>
              </w:rPr>
            </w:pPr>
            <w:r w:rsidRPr="0091351F">
              <w:rPr>
                <w:rFonts w:ascii="Arial Narrow" w:hAnsi="Arial Narrow"/>
                <w:sz w:val="20"/>
              </w:rPr>
              <w:t>1.96</w:t>
            </w:r>
          </w:p>
        </w:tc>
        <w:tc>
          <w:tcPr>
            <w:tcW w:w="1008" w:type="pct"/>
            <w:vAlign w:val="center"/>
          </w:tcPr>
          <w:p w:rsidR="009C3DAB" w:rsidRPr="0091351F" w:rsidRDefault="00C73678" w:rsidP="006C7BD4">
            <w:pPr>
              <w:keepNext/>
              <w:keepLines/>
              <w:widowControl/>
              <w:jc w:val="center"/>
              <w:rPr>
                <w:rFonts w:ascii="Arial Narrow" w:hAnsi="Arial Narrow"/>
                <w:sz w:val="20"/>
              </w:rPr>
            </w:pPr>
            <w:r w:rsidRPr="0091351F">
              <w:rPr>
                <w:rFonts w:ascii="Arial Narrow" w:hAnsi="Arial Narrow"/>
                <w:sz w:val="20"/>
              </w:rPr>
              <w:t>1.80</w:t>
            </w:r>
          </w:p>
        </w:tc>
      </w:tr>
      <w:tr w:rsidR="00D110BD" w:rsidRPr="00E2771E" w:rsidTr="009C3DAB">
        <w:tc>
          <w:tcPr>
            <w:tcW w:w="3992" w:type="pct"/>
            <w:gridSpan w:val="3"/>
            <w:vAlign w:val="center"/>
          </w:tcPr>
          <w:p w:rsidR="00D110BD" w:rsidRPr="0091351F" w:rsidRDefault="00D110BD" w:rsidP="006C7BD4">
            <w:pPr>
              <w:pStyle w:val="Tabletext"/>
              <w:keepNext/>
              <w:keepLines/>
              <w:rPr>
                <w:snapToGrid w:val="0"/>
              </w:rPr>
            </w:pPr>
            <w:r w:rsidRPr="0091351F">
              <w:rPr>
                <w:b/>
              </w:rPr>
              <w:t xml:space="preserve">Incremental cost/extra </w:t>
            </w:r>
            <w:r w:rsidR="009C3DAB" w:rsidRPr="0091351F">
              <w:rPr>
                <w:b/>
              </w:rPr>
              <w:t xml:space="preserve">QALY </w:t>
            </w:r>
            <w:r w:rsidRPr="0091351F">
              <w:rPr>
                <w:b/>
              </w:rPr>
              <w:t>gained</w:t>
            </w:r>
          </w:p>
        </w:tc>
        <w:tc>
          <w:tcPr>
            <w:tcW w:w="1008" w:type="pct"/>
            <w:vAlign w:val="center"/>
          </w:tcPr>
          <w:p w:rsidR="00D110BD" w:rsidRPr="0091351F" w:rsidRDefault="009C3DAB" w:rsidP="006C7BD4">
            <w:pPr>
              <w:keepNext/>
              <w:keepLines/>
              <w:widowControl/>
              <w:jc w:val="right"/>
              <w:rPr>
                <w:rFonts w:ascii="Arial Narrow" w:hAnsi="Arial Narrow"/>
                <w:sz w:val="20"/>
              </w:rPr>
            </w:pPr>
            <w:r w:rsidRPr="0091351F">
              <w:rPr>
                <w:rFonts w:ascii="Arial Narrow" w:hAnsi="Arial Narrow"/>
                <w:b/>
                <w:sz w:val="20"/>
              </w:rPr>
              <w:t>$</w:t>
            </w:r>
            <w:r w:rsidR="00C60362">
              <w:rPr>
                <w:rFonts w:ascii="Arial Narrow" w:hAnsi="Arial Narrow"/>
                <w:b/>
                <w:noProof/>
                <w:color w:val="000000"/>
                <w:sz w:val="20"/>
                <w:highlight w:val="black"/>
              </w:rPr>
              <w:t>''''''''''''''</w:t>
            </w:r>
          </w:p>
        </w:tc>
      </w:tr>
    </w:tbl>
    <w:p w:rsidR="00D110BD" w:rsidRPr="002F7D3C" w:rsidRDefault="00D110BD" w:rsidP="006C7BD4">
      <w:pPr>
        <w:pStyle w:val="TableFooter"/>
        <w:keepNext/>
        <w:keepLines/>
        <w:widowControl/>
        <w:ind w:firstLine="720"/>
      </w:pPr>
      <w:r w:rsidRPr="006C7BD4">
        <w:t xml:space="preserve">Source: </w:t>
      </w:r>
      <w:r w:rsidR="009C3DAB" w:rsidRPr="006C7BD4">
        <w:t>Table D.8, p153 of the submission</w:t>
      </w:r>
    </w:p>
    <w:p w:rsidR="009C3DAB" w:rsidRDefault="009C3DAB" w:rsidP="006C7BD4">
      <w:pPr>
        <w:pStyle w:val="TableFooter"/>
        <w:keepNext/>
        <w:keepLines/>
        <w:widowControl/>
        <w:ind w:firstLine="720"/>
      </w:pPr>
      <w:r w:rsidRPr="002F7D3C">
        <w:t>QALY = quality adjusted life year</w:t>
      </w:r>
    </w:p>
    <w:p w:rsidR="00D40132" w:rsidRDefault="00D40132" w:rsidP="00D40132">
      <w:pPr>
        <w:pStyle w:val="TableFooter"/>
        <w:widowControl/>
        <w:ind w:firstLine="720"/>
        <w:rPr>
          <w:rFonts w:ascii="Arial" w:hAnsi="Arial"/>
          <w:sz w:val="22"/>
          <w:szCs w:val="22"/>
        </w:rPr>
      </w:pPr>
    </w:p>
    <w:p w:rsidR="000D202B" w:rsidRPr="009832FA" w:rsidRDefault="000D202B" w:rsidP="006C35EF">
      <w:pPr>
        <w:pStyle w:val="ListParagraph"/>
        <w:widowControl/>
        <w:numPr>
          <w:ilvl w:val="1"/>
          <w:numId w:val="10"/>
        </w:numPr>
        <w:rPr>
          <w:szCs w:val="22"/>
        </w:rPr>
      </w:pPr>
      <w:r w:rsidRPr="006C7BD4">
        <w:rPr>
          <w:rStyle w:val="CommentReference"/>
          <w:rFonts w:ascii="Arial" w:hAnsi="Arial"/>
          <w:b w:val="0"/>
          <w:sz w:val="22"/>
          <w:szCs w:val="22"/>
        </w:rPr>
        <w:t xml:space="preserve">The </w:t>
      </w:r>
      <w:r w:rsidR="008034E6" w:rsidRPr="006C7BD4">
        <w:rPr>
          <w:rStyle w:val="CommentReference"/>
          <w:rFonts w:ascii="Arial" w:hAnsi="Arial"/>
          <w:b w:val="0"/>
          <w:sz w:val="22"/>
          <w:szCs w:val="22"/>
        </w:rPr>
        <w:t xml:space="preserve">economic </w:t>
      </w:r>
      <w:r w:rsidRPr="006C7BD4">
        <w:rPr>
          <w:rStyle w:val="CommentReference"/>
          <w:rFonts w:ascii="Arial" w:hAnsi="Arial"/>
          <w:b w:val="0"/>
          <w:sz w:val="22"/>
          <w:szCs w:val="22"/>
        </w:rPr>
        <w:t xml:space="preserve">evaluation resulted in an ICER of </w:t>
      </w:r>
      <w:r w:rsidR="006C35EF" w:rsidRPr="006C35EF">
        <w:rPr>
          <w:rStyle w:val="CommentReference"/>
          <w:rFonts w:ascii="Arial" w:hAnsi="Arial"/>
          <w:b w:val="0"/>
          <w:sz w:val="22"/>
          <w:szCs w:val="22"/>
        </w:rPr>
        <w:t>$45,000/QALY – $75,000/QALY</w:t>
      </w:r>
      <w:r w:rsidR="006C35EF">
        <w:rPr>
          <w:rStyle w:val="CommentReference"/>
          <w:rFonts w:ascii="Arial" w:hAnsi="Arial"/>
          <w:b w:val="0"/>
          <w:sz w:val="22"/>
          <w:szCs w:val="22"/>
        </w:rPr>
        <w:t xml:space="preserve"> </w:t>
      </w:r>
      <w:r w:rsidRPr="006C35EF">
        <w:rPr>
          <w:rStyle w:val="CommentReference"/>
          <w:rFonts w:ascii="Arial" w:hAnsi="Arial"/>
          <w:b w:val="0"/>
          <w:sz w:val="22"/>
          <w:szCs w:val="22"/>
        </w:rPr>
        <w:t>for</w:t>
      </w:r>
      <w:r w:rsidR="006C35EF">
        <w:rPr>
          <w:rStyle w:val="CommentReference"/>
          <w:rFonts w:ascii="Arial" w:hAnsi="Arial"/>
          <w:b w:val="0"/>
          <w:sz w:val="22"/>
          <w:szCs w:val="22"/>
        </w:rPr>
        <w:t xml:space="preserve"> </w:t>
      </w:r>
      <w:r w:rsidRPr="006C7BD4">
        <w:rPr>
          <w:rStyle w:val="CommentReference"/>
          <w:rFonts w:ascii="Arial" w:hAnsi="Arial"/>
          <w:b w:val="0"/>
          <w:sz w:val="22"/>
          <w:szCs w:val="22"/>
        </w:rPr>
        <w:t>idelalisib plus</w:t>
      </w:r>
      <w:r w:rsidRPr="009832FA">
        <w:rPr>
          <w:szCs w:val="22"/>
        </w:rPr>
        <w:t xml:space="preserve"> rituximab versus placebo plus rituximab. </w:t>
      </w:r>
      <w:r w:rsidR="0050523C" w:rsidRPr="009832FA">
        <w:rPr>
          <w:szCs w:val="22"/>
        </w:rPr>
        <w:t>The</w:t>
      </w:r>
      <w:r w:rsidR="002B5771">
        <w:rPr>
          <w:szCs w:val="22"/>
        </w:rPr>
        <w:t xml:space="preserve"> evaluation and the ESC considered that the</w:t>
      </w:r>
      <w:r w:rsidR="0050523C" w:rsidRPr="009832FA">
        <w:rPr>
          <w:szCs w:val="22"/>
        </w:rPr>
        <w:t xml:space="preserve"> ICER wa</w:t>
      </w:r>
      <w:r w:rsidRPr="009832FA">
        <w:rPr>
          <w:szCs w:val="22"/>
        </w:rPr>
        <w:t xml:space="preserve">s </w:t>
      </w:r>
      <w:r w:rsidR="004D76DC">
        <w:rPr>
          <w:szCs w:val="22"/>
        </w:rPr>
        <w:t>unreliable</w:t>
      </w:r>
      <w:r w:rsidR="004D76DC" w:rsidRPr="009832FA">
        <w:rPr>
          <w:szCs w:val="22"/>
        </w:rPr>
        <w:t xml:space="preserve"> </w:t>
      </w:r>
      <w:r w:rsidRPr="009832FA">
        <w:rPr>
          <w:szCs w:val="22"/>
        </w:rPr>
        <w:t>due to:</w:t>
      </w:r>
    </w:p>
    <w:p w:rsidR="00A95C88" w:rsidRDefault="00A95C88" w:rsidP="00DB2401">
      <w:pPr>
        <w:pStyle w:val="TableFooter"/>
        <w:widowControl/>
        <w:ind w:left="1080"/>
        <w:rPr>
          <w:rFonts w:ascii="Arial" w:hAnsi="Arial"/>
          <w:sz w:val="22"/>
          <w:szCs w:val="22"/>
        </w:rPr>
      </w:pPr>
    </w:p>
    <w:p w:rsidR="002E70C4" w:rsidRPr="00DF013F" w:rsidRDefault="002E70C4" w:rsidP="00D135DC">
      <w:pPr>
        <w:pStyle w:val="TableFooter"/>
        <w:widowControl/>
        <w:numPr>
          <w:ilvl w:val="0"/>
          <w:numId w:val="40"/>
        </w:numPr>
        <w:rPr>
          <w:rFonts w:ascii="Arial" w:hAnsi="Arial"/>
          <w:sz w:val="22"/>
          <w:szCs w:val="22"/>
        </w:rPr>
      </w:pPr>
      <w:r w:rsidRPr="00DF013F">
        <w:rPr>
          <w:rFonts w:ascii="Arial" w:hAnsi="Arial"/>
          <w:sz w:val="22"/>
          <w:szCs w:val="22"/>
        </w:rPr>
        <w:t xml:space="preserve">Questions surrounding the </w:t>
      </w:r>
      <w:r w:rsidRPr="00DF013F">
        <w:rPr>
          <w:rFonts w:ascii="Arial" w:hAnsi="Arial"/>
          <w:sz w:val="22"/>
          <w:szCs w:val="22"/>
          <w:u w:val="single"/>
        </w:rPr>
        <w:t>accuracy and appropriateness of the parametric modelling</w:t>
      </w:r>
      <w:r w:rsidRPr="00DF013F">
        <w:rPr>
          <w:rFonts w:ascii="Arial" w:hAnsi="Arial"/>
          <w:sz w:val="22"/>
          <w:szCs w:val="22"/>
        </w:rPr>
        <w:t xml:space="preserve"> used to estimate progression</w:t>
      </w:r>
      <w:r w:rsidR="00722F0C">
        <w:rPr>
          <w:rFonts w:ascii="Arial" w:hAnsi="Arial"/>
          <w:sz w:val="22"/>
          <w:szCs w:val="22"/>
        </w:rPr>
        <w:t>-</w:t>
      </w:r>
      <w:r w:rsidRPr="00DF013F">
        <w:rPr>
          <w:rFonts w:ascii="Arial" w:hAnsi="Arial"/>
          <w:sz w:val="22"/>
          <w:szCs w:val="22"/>
        </w:rPr>
        <w:t>free survival and overall survival given the short duration of follow-up in Trial 312-0116</w:t>
      </w:r>
      <w:r w:rsidR="008034E6" w:rsidRPr="00DF013F">
        <w:rPr>
          <w:rFonts w:ascii="Arial" w:hAnsi="Arial"/>
          <w:sz w:val="22"/>
          <w:szCs w:val="22"/>
        </w:rPr>
        <w:t xml:space="preserve">. </w:t>
      </w:r>
      <w:r w:rsidR="00CD0113" w:rsidRPr="00164329">
        <w:rPr>
          <w:rFonts w:ascii="Arial" w:hAnsi="Arial"/>
          <w:sz w:val="22"/>
          <w:szCs w:val="22"/>
        </w:rPr>
        <w:t>In the case of the overall survival estimate, sparse event data were available from the trial (approximately six months) and were extrapolated over a comparatively long time period (10 years).</w:t>
      </w:r>
      <w:r w:rsidR="00C502D7" w:rsidRPr="00164329">
        <w:rPr>
          <w:rFonts w:ascii="Arial" w:hAnsi="Arial"/>
          <w:sz w:val="22"/>
          <w:szCs w:val="22"/>
        </w:rPr>
        <w:t xml:space="preserve"> </w:t>
      </w:r>
      <w:r w:rsidR="008034E6" w:rsidRPr="00DF013F">
        <w:rPr>
          <w:rFonts w:ascii="Arial" w:hAnsi="Arial"/>
          <w:sz w:val="22"/>
          <w:szCs w:val="22"/>
        </w:rPr>
        <w:t>Th</w:t>
      </w:r>
      <w:r w:rsidR="009A1446" w:rsidRPr="00DF013F">
        <w:rPr>
          <w:rFonts w:ascii="Arial" w:hAnsi="Arial"/>
          <w:sz w:val="22"/>
          <w:szCs w:val="22"/>
        </w:rPr>
        <w:t>is</w:t>
      </w:r>
      <w:r w:rsidRPr="00DF013F">
        <w:rPr>
          <w:rFonts w:ascii="Arial" w:hAnsi="Arial"/>
          <w:sz w:val="22"/>
          <w:szCs w:val="22"/>
        </w:rPr>
        <w:t xml:space="preserve"> resulted in unrealistic overall survival estimates for idel</w:t>
      </w:r>
      <w:r w:rsidR="008034E6" w:rsidRPr="00DF013F">
        <w:rPr>
          <w:rFonts w:ascii="Arial" w:hAnsi="Arial"/>
          <w:sz w:val="22"/>
          <w:szCs w:val="22"/>
        </w:rPr>
        <w:t>alisib plus rituximab, i.e</w:t>
      </w:r>
      <w:r w:rsidR="00E334D7" w:rsidRPr="00DF013F">
        <w:rPr>
          <w:rFonts w:ascii="Arial" w:hAnsi="Arial"/>
          <w:sz w:val="22"/>
          <w:szCs w:val="22"/>
        </w:rPr>
        <w:t>. 52.0</w:t>
      </w:r>
      <w:r w:rsidRPr="00DF013F">
        <w:rPr>
          <w:rFonts w:ascii="Arial" w:hAnsi="Arial"/>
          <w:sz w:val="22"/>
          <w:szCs w:val="22"/>
        </w:rPr>
        <w:t>% of the idelalisib plus rituximab patients were aliv</w:t>
      </w:r>
      <w:r w:rsidR="00E334D7" w:rsidRPr="00DF013F">
        <w:rPr>
          <w:rFonts w:ascii="Arial" w:hAnsi="Arial"/>
          <w:sz w:val="22"/>
          <w:szCs w:val="22"/>
        </w:rPr>
        <w:t xml:space="preserve">e after 10 years, compared </w:t>
      </w:r>
      <w:r w:rsidR="002F0792">
        <w:rPr>
          <w:rFonts w:ascii="Arial" w:hAnsi="Arial"/>
          <w:sz w:val="22"/>
          <w:szCs w:val="22"/>
        </w:rPr>
        <w:t>with</w:t>
      </w:r>
      <w:r w:rsidR="00E334D7" w:rsidRPr="00DF013F">
        <w:rPr>
          <w:rFonts w:ascii="Arial" w:hAnsi="Arial"/>
          <w:sz w:val="22"/>
          <w:szCs w:val="22"/>
        </w:rPr>
        <w:t xml:space="preserve"> 9.0</w:t>
      </w:r>
      <w:r w:rsidRPr="00DF013F">
        <w:rPr>
          <w:rFonts w:ascii="Arial" w:hAnsi="Arial"/>
          <w:sz w:val="22"/>
          <w:szCs w:val="22"/>
        </w:rPr>
        <w:t xml:space="preserve">% of the </w:t>
      </w:r>
      <w:r w:rsidR="00E17D2F" w:rsidRPr="00DF013F">
        <w:rPr>
          <w:rFonts w:ascii="Arial" w:hAnsi="Arial"/>
          <w:sz w:val="22"/>
          <w:szCs w:val="22"/>
        </w:rPr>
        <w:t>placebo plus rituximab patients</w:t>
      </w:r>
      <w:r w:rsidR="00C502D7" w:rsidRPr="00DF013F">
        <w:rPr>
          <w:rFonts w:ascii="Arial" w:hAnsi="Arial"/>
          <w:sz w:val="22"/>
          <w:szCs w:val="22"/>
        </w:rPr>
        <w:t>.</w:t>
      </w:r>
    </w:p>
    <w:p w:rsidR="00A95C88" w:rsidRPr="00DB2401" w:rsidRDefault="00A95C88" w:rsidP="00DB2401">
      <w:pPr>
        <w:pStyle w:val="ListParagraph"/>
        <w:ind w:left="1080"/>
        <w:rPr>
          <w:i/>
          <w:szCs w:val="22"/>
        </w:rPr>
      </w:pPr>
    </w:p>
    <w:p w:rsidR="00D135DC" w:rsidRPr="006C7BD4" w:rsidRDefault="000D202B" w:rsidP="005B4CAB">
      <w:pPr>
        <w:pStyle w:val="ListParagraph"/>
        <w:numPr>
          <w:ilvl w:val="0"/>
          <w:numId w:val="40"/>
        </w:numPr>
        <w:rPr>
          <w:i/>
          <w:szCs w:val="22"/>
        </w:rPr>
      </w:pPr>
      <w:r w:rsidRPr="005B4CAB">
        <w:rPr>
          <w:szCs w:val="22"/>
        </w:rPr>
        <w:t xml:space="preserve">The </w:t>
      </w:r>
      <w:r w:rsidRPr="006C7BD4">
        <w:rPr>
          <w:szCs w:val="22"/>
          <w:u w:val="single"/>
        </w:rPr>
        <w:t xml:space="preserve">inappropriate model </w:t>
      </w:r>
      <w:r w:rsidR="004D76DC" w:rsidRPr="00164329">
        <w:rPr>
          <w:szCs w:val="22"/>
          <w:u w:val="single"/>
        </w:rPr>
        <w:t>inputs and</w:t>
      </w:r>
      <w:r w:rsidR="004D76DC">
        <w:rPr>
          <w:szCs w:val="22"/>
          <w:u w:val="single"/>
        </w:rPr>
        <w:t xml:space="preserve"> </w:t>
      </w:r>
      <w:r w:rsidRPr="006C7BD4">
        <w:rPr>
          <w:szCs w:val="22"/>
          <w:u w:val="single"/>
        </w:rPr>
        <w:t>structure</w:t>
      </w:r>
      <w:r w:rsidRPr="005B4CAB">
        <w:rPr>
          <w:szCs w:val="22"/>
        </w:rPr>
        <w:t xml:space="preserve"> which did not incorporate post-progression treatment</w:t>
      </w:r>
      <w:r w:rsidR="007227A6" w:rsidRPr="005B4CAB">
        <w:rPr>
          <w:szCs w:val="22"/>
        </w:rPr>
        <w:t xml:space="preserve"> </w:t>
      </w:r>
      <w:r w:rsidR="007227A6" w:rsidRPr="00164329">
        <w:rPr>
          <w:szCs w:val="22"/>
        </w:rPr>
        <w:t>benefits</w:t>
      </w:r>
      <w:r w:rsidR="0050523C" w:rsidRPr="005B4CAB">
        <w:rPr>
          <w:szCs w:val="22"/>
        </w:rPr>
        <w:t>,</w:t>
      </w:r>
      <w:r w:rsidRPr="005B4CAB">
        <w:rPr>
          <w:szCs w:val="22"/>
        </w:rPr>
        <w:t xml:space="preserve"> a</w:t>
      </w:r>
      <w:r w:rsidR="00E17D2F" w:rsidRPr="005B4CAB">
        <w:rPr>
          <w:szCs w:val="22"/>
        </w:rPr>
        <w:t>ge adjusted all-cause mortality</w:t>
      </w:r>
      <w:r w:rsidR="0050523C" w:rsidRPr="005B4CAB">
        <w:rPr>
          <w:szCs w:val="22"/>
        </w:rPr>
        <w:t xml:space="preserve"> or long term adverse events</w:t>
      </w:r>
      <w:r w:rsidR="00E17D2F" w:rsidRPr="005B4CAB">
        <w:rPr>
          <w:szCs w:val="22"/>
        </w:rPr>
        <w:t>.</w:t>
      </w:r>
      <w:r w:rsidR="005B4CAB" w:rsidRPr="005B4CAB">
        <w:rPr>
          <w:szCs w:val="22"/>
        </w:rPr>
        <w:t xml:space="preserve">  </w:t>
      </w:r>
    </w:p>
    <w:p w:rsidR="005B4CAB" w:rsidRPr="00164329" w:rsidRDefault="005B4CAB" w:rsidP="006C7BD4">
      <w:pPr>
        <w:pStyle w:val="ListParagraph"/>
        <w:numPr>
          <w:ilvl w:val="0"/>
          <w:numId w:val="70"/>
        </w:numPr>
        <w:ind w:left="1560" w:hanging="284"/>
        <w:rPr>
          <w:szCs w:val="22"/>
        </w:rPr>
      </w:pPr>
      <w:r w:rsidRPr="00164329">
        <w:rPr>
          <w:szCs w:val="22"/>
        </w:rPr>
        <w:t xml:space="preserve">The ESC considered that all-cause mortality </w:t>
      </w:r>
      <w:r w:rsidR="006D6E05" w:rsidRPr="00164329">
        <w:rPr>
          <w:szCs w:val="22"/>
        </w:rPr>
        <w:t>was important</w:t>
      </w:r>
      <w:r w:rsidRPr="00164329">
        <w:rPr>
          <w:szCs w:val="22"/>
        </w:rPr>
        <w:t xml:space="preserve"> given the age of the likely cohort</w:t>
      </w:r>
      <w:r w:rsidR="00D135DC" w:rsidRPr="00164329">
        <w:rPr>
          <w:szCs w:val="22"/>
        </w:rPr>
        <w:t xml:space="preserve">, and that the </w:t>
      </w:r>
      <w:r w:rsidRPr="00164329">
        <w:rPr>
          <w:szCs w:val="22"/>
        </w:rPr>
        <w:t>inclusion of all-cause mortality would be likely to</w:t>
      </w:r>
      <w:r w:rsidR="00425CB9" w:rsidRPr="00164329">
        <w:rPr>
          <w:szCs w:val="22"/>
        </w:rPr>
        <w:t xml:space="preserve"> </w:t>
      </w:r>
      <w:r w:rsidR="00784EAE" w:rsidRPr="00164329">
        <w:rPr>
          <w:szCs w:val="22"/>
        </w:rPr>
        <w:t xml:space="preserve">reduce </w:t>
      </w:r>
      <w:r w:rsidRPr="00164329">
        <w:rPr>
          <w:szCs w:val="22"/>
        </w:rPr>
        <w:t>the overall size of benefit.</w:t>
      </w:r>
    </w:p>
    <w:p w:rsidR="00D135DC" w:rsidRPr="00164329" w:rsidRDefault="00D135DC" w:rsidP="006C7BD4">
      <w:pPr>
        <w:pStyle w:val="ListParagraph"/>
        <w:numPr>
          <w:ilvl w:val="0"/>
          <w:numId w:val="70"/>
        </w:numPr>
        <w:ind w:left="1560" w:hanging="284"/>
        <w:rPr>
          <w:szCs w:val="22"/>
        </w:rPr>
      </w:pPr>
      <w:r w:rsidRPr="00164329">
        <w:rPr>
          <w:szCs w:val="22"/>
        </w:rPr>
        <w:t>The rates of adverse events were based on the relatively short duration of Trial 312</w:t>
      </w:r>
      <w:r w:rsidR="004F055A" w:rsidRPr="00164329">
        <w:rPr>
          <w:szCs w:val="22"/>
        </w:rPr>
        <w:t>-</w:t>
      </w:r>
      <w:r w:rsidRPr="00164329">
        <w:rPr>
          <w:szCs w:val="22"/>
        </w:rPr>
        <w:t>0116 and were unlikely to reflect the true rates of adverse events for idelalisib over the model period (10 years). Th</w:t>
      </w:r>
      <w:r w:rsidR="0069445F" w:rsidRPr="00164329">
        <w:rPr>
          <w:szCs w:val="22"/>
        </w:rPr>
        <w:t xml:space="preserve">e ESC </w:t>
      </w:r>
      <w:r w:rsidR="006D6E05" w:rsidRPr="00164329">
        <w:rPr>
          <w:szCs w:val="22"/>
        </w:rPr>
        <w:t>considered</w:t>
      </w:r>
      <w:r w:rsidR="0069445F" w:rsidRPr="00164329">
        <w:rPr>
          <w:szCs w:val="22"/>
        </w:rPr>
        <w:t xml:space="preserve"> that this is likely to have under-estimated the cost of idelalisib, but acknowledged that longer term adverse events are unknown</w:t>
      </w:r>
      <w:r w:rsidRPr="00164329">
        <w:rPr>
          <w:szCs w:val="22"/>
        </w:rPr>
        <w:t>.</w:t>
      </w:r>
    </w:p>
    <w:p w:rsidR="00A95C88" w:rsidRPr="00164329" w:rsidRDefault="00A95C88" w:rsidP="006C7BD4">
      <w:pPr>
        <w:ind w:left="720"/>
        <w:rPr>
          <w:szCs w:val="22"/>
        </w:rPr>
      </w:pPr>
    </w:p>
    <w:p w:rsidR="00D135DC" w:rsidRPr="00164329" w:rsidRDefault="00D135DC" w:rsidP="00DB2401">
      <w:pPr>
        <w:pStyle w:val="ListParagraph"/>
        <w:widowControl/>
        <w:rPr>
          <w:szCs w:val="22"/>
        </w:rPr>
      </w:pPr>
      <w:r w:rsidRPr="00164329">
        <w:rPr>
          <w:szCs w:val="22"/>
        </w:rPr>
        <w:t>Overal</w:t>
      </w:r>
      <w:r w:rsidR="0069445F" w:rsidRPr="00164329">
        <w:rPr>
          <w:szCs w:val="22"/>
        </w:rPr>
        <w:t>l</w:t>
      </w:r>
      <w:r w:rsidRPr="00164329">
        <w:rPr>
          <w:szCs w:val="22"/>
        </w:rPr>
        <w:t xml:space="preserve">, the </w:t>
      </w:r>
      <w:r w:rsidR="0069445F" w:rsidRPr="00164329">
        <w:rPr>
          <w:szCs w:val="22"/>
        </w:rPr>
        <w:t xml:space="preserve">ESC considered that the </w:t>
      </w:r>
      <w:r w:rsidRPr="00164329">
        <w:rPr>
          <w:szCs w:val="22"/>
        </w:rPr>
        <w:t>estimated proportion of people alive at the end of 10 years appear</w:t>
      </w:r>
      <w:r w:rsidR="0069445F" w:rsidRPr="00164329">
        <w:rPr>
          <w:szCs w:val="22"/>
        </w:rPr>
        <w:t>ed</w:t>
      </w:r>
      <w:r w:rsidRPr="00164329">
        <w:rPr>
          <w:szCs w:val="22"/>
        </w:rPr>
        <w:t xml:space="preserve"> to be implausibly high (double the estimated current </w:t>
      </w:r>
      <w:r w:rsidR="00B150FE" w:rsidRPr="00164329">
        <w:rPr>
          <w:szCs w:val="22"/>
        </w:rPr>
        <w:t xml:space="preserve">observed </w:t>
      </w:r>
      <w:r w:rsidRPr="00164329">
        <w:rPr>
          <w:szCs w:val="22"/>
        </w:rPr>
        <w:t xml:space="preserve">survival for </w:t>
      </w:r>
      <w:r w:rsidR="00B150FE" w:rsidRPr="00164329">
        <w:rPr>
          <w:szCs w:val="22"/>
        </w:rPr>
        <w:t>the Australian CLL population</w:t>
      </w:r>
      <w:r w:rsidRPr="00164329">
        <w:rPr>
          <w:szCs w:val="22"/>
        </w:rPr>
        <w:t>).</w:t>
      </w:r>
      <w:r w:rsidR="004E5591" w:rsidRPr="00164329">
        <w:rPr>
          <w:szCs w:val="22"/>
        </w:rPr>
        <w:t xml:space="preserve"> </w:t>
      </w:r>
      <w:r w:rsidRPr="00164329">
        <w:rPr>
          <w:szCs w:val="22"/>
        </w:rPr>
        <w:t>The ESC further noted that sensitivity analyses demonstrated that the model was most sensitive to changes in time horizon</w:t>
      </w:r>
      <w:r w:rsidR="00E82386" w:rsidRPr="00164329">
        <w:rPr>
          <w:szCs w:val="22"/>
        </w:rPr>
        <w:t xml:space="preserve">, extrapolation curve choice and model structure. </w:t>
      </w:r>
      <w:r w:rsidRPr="00164329">
        <w:rPr>
          <w:szCs w:val="22"/>
        </w:rPr>
        <w:t xml:space="preserve">Therefore, the ESC </w:t>
      </w:r>
      <w:r w:rsidRPr="00164329">
        <w:rPr>
          <w:szCs w:val="22"/>
        </w:rPr>
        <w:lastRenderedPageBreak/>
        <w:t xml:space="preserve">concluded that the model did not provide a realistic estimate of the true incremental cost-effectiveness of idelalisib in this treatment setting. </w:t>
      </w:r>
    </w:p>
    <w:p w:rsidR="0051097D" w:rsidRPr="00164329" w:rsidRDefault="005B4CAB" w:rsidP="006C7BD4">
      <w:pPr>
        <w:pStyle w:val="TableFooter"/>
        <w:widowControl/>
        <w:rPr>
          <w:szCs w:val="22"/>
        </w:rPr>
      </w:pPr>
      <w:r w:rsidRPr="00164329">
        <w:rPr>
          <w:szCs w:val="22"/>
        </w:rPr>
        <w:t xml:space="preserve"> </w:t>
      </w:r>
    </w:p>
    <w:p w:rsidR="0051097D" w:rsidRPr="00164329" w:rsidRDefault="002F7D3C" w:rsidP="00FE44DA">
      <w:pPr>
        <w:pStyle w:val="ListParagraph"/>
        <w:widowControl/>
        <w:numPr>
          <w:ilvl w:val="1"/>
          <w:numId w:val="10"/>
        </w:numPr>
        <w:rPr>
          <w:szCs w:val="22"/>
        </w:rPr>
      </w:pPr>
      <w:r w:rsidRPr="00164329">
        <w:rPr>
          <w:szCs w:val="22"/>
        </w:rPr>
        <w:t xml:space="preserve">The </w:t>
      </w:r>
      <w:r w:rsidR="00EF627C" w:rsidRPr="00164329">
        <w:rPr>
          <w:szCs w:val="22"/>
        </w:rPr>
        <w:t xml:space="preserve">ESC considered that </w:t>
      </w:r>
      <w:r w:rsidRPr="00164329">
        <w:rPr>
          <w:szCs w:val="22"/>
        </w:rPr>
        <w:t xml:space="preserve">resource use and costs of treating serious adverse events may have been underestimated. </w:t>
      </w:r>
      <w:r w:rsidR="0051097D" w:rsidRPr="00164329">
        <w:rPr>
          <w:szCs w:val="22"/>
        </w:rPr>
        <w:t xml:space="preserve">The PSCR provided additional sensitivity analyses using rates of adverse events from the final analysis of Trial 312-0116. </w:t>
      </w:r>
      <w:r w:rsidR="00B40B0B" w:rsidRPr="00164329">
        <w:rPr>
          <w:szCs w:val="22"/>
        </w:rPr>
        <w:t>T</w:t>
      </w:r>
      <w:r w:rsidR="0051097D" w:rsidRPr="00164329">
        <w:rPr>
          <w:szCs w:val="22"/>
        </w:rPr>
        <w:t>he ESC noted that the updated adverse event rates made little difference to the ICER</w:t>
      </w:r>
      <w:r w:rsidR="00FE44DA" w:rsidRPr="00164329">
        <w:rPr>
          <w:szCs w:val="22"/>
        </w:rPr>
        <w:t>,</w:t>
      </w:r>
      <w:r w:rsidR="00FE44DA" w:rsidRPr="00DF013F">
        <w:t xml:space="preserve"> </w:t>
      </w:r>
      <w:r w:rsidR="00FE44DA" w:rsidRPr="00164329">
        <w:rPr>
          <w:szCs w:val="22"/>
        </w:rPr>
        <w:t>and considered this would also be the case for revised estimates of the cost of treating adverse events</w:t>
      </w:r>
      <w:r w:rsidR="0051097D" w:rsidRPr="00164329">
        <w:rPr>
          <w:szCs w:val="22"/>
        </w:rPr>
        <w:t xml:space="preserve">.  </w:t>
      </w:r>
    </w:p>
    <w:p w:rsidR="0051097D" w:rsidRPr="0051097D" w:rsidRDefault="0051097D" w:rsidP="0051097D">
      <w:pPr>
        <w:pStyle w:val="ListParagraph"/>
        <w:widowControl/>
        <w:rPr>
          <w:i/>
          <w:szCs w:val="22"/>
        </w:rPr>
      </w:pPr>
    </w:p>
    <w:p w:rsidR="00D110BD" w:rsidRPr="00513E21" w:rsidRDefault="000D53AC" w:rsidP="00F61566">
      <w:pPr>
        <w:pStyle w:val="ListParagraph"/>
        <w:widowControl/>
        <w:numPr>
          <w:ilvl w:val="1"/>
          <w:numId w:val="10"/>
        </w:numPr>
        <w:rPr>
          <w:szCs w:val="22"/>
        </w:rPr>
      </w:pPr>
      <w:r w:rsidRPr="000D53AC">
        <w:t>The submission presented univariate sensitivity analys</w:t>
      </w:r>
      <w:r w:rsidR="002E70C4">
        <w:t>e</w:t>
      </w:r>
      <w:r w:rsidRPr="000D53AC">
        <w:t>s</w:t>
      </w:r>
      <w:r w:rsidR="001C374E">
        <w:t xml:space="preserve"> that </w:t>
      </w:r>
      <w:r w:rsidRPr="000D53AC">
        <w:t xml:space="preserve">indicated that the model was most sensitive to the time horizon </w:t>
      </w:r>
      <w:r w:rsidR="00F05E62">
        <w:t xml:space="preserve">and </w:t>
      </w:r>
      <w:r w:rsidR="00220AF7">
        <w:t xml:space="preserve">changes in the survival parameters </w:t>
      </w:r>
      <w:r w:rsidR="007D6881">
        <w:t>(</w:t>
      </w:r>
      <w:r w:rsidR="00513E21">
        <w:t xml:space="preserve">see </w:t>
      </w:r>
      <w:r w:rsidR="002B5771">
        <w:t>t</w:t>
      </w:r>
      <w:r w:rsidR="00513E21">
        <w:t xml:space="preserve">able </w:t>
      </w:r>
      <w:r w:rsidR="002B5771">
        <w:t>below</w:t>
      </w:r>
      <w:r w:rsidR="007D6881">
        <w:t>)</w:t>
      </w:r>
      <w:r w:rsidR="00513E21">
        <w:t>.</w:t>
      </w:r>
      <w:r w:rsidR="00914021">
        <w:t xml:space="preserve"> </w:t>
      </w:r>
    </w:p>
    <w:p w:rsidR="00513E21" w:rsidRDefault="00513E21" w:rsidP="00F61566">
      <w:pPr>
        <w:pStyle w:val="ListParagraph"/>
        <w:widowControl/>
      </w:pPr>
    </w:p>
    <w:p w:rsidR="00513E21" w:rsidRPr="007227A6" w:rsidRDefault="00513E21" w:rsidP="00F61566">
      <w:pPr>
        <w:keepNext/>
        <w:widowControl/>
        <w:ind w:firstLine="720"/>
        <w:jc w:val="left"/>
        <w:rPr>
          <w:rStyle w:val="CommentReference"/>
        </w:rPr>
      </w:pPr>
      <w:r w:rsidRPr="007227A6">
        <w:rPr>
          <w:rStyle w:val="CommentReference"/>
        </w:rPr>
        <w:t>Results of sensitivity analyses (discounted</w:t>
      </w:r>
      <w:r w:rsidR="00731014" w:rsidRPr="007227A6">
        <w:rPr>
          <w:rStyle w:val="CommentReference"/>
        </w:rPr>
        <w:t xml:space="preserve"> at 5%</w:t>
      </w:r>
      <w:r w:rsidRPr="007227A6">
        <w:rPr>
          <w:rStyle w:val="CommentReference"/>
        </w:rPr>
        <w: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ensitivity analysis"/>
      </w:tblPr>
      <w:tblGrid>
        <w:gridCol w:w="4535"/>
        <w:gridCol w:w="1133"/>
        <w:gridCol w:w="1133"/>
        <w:gridCol w:w="1544"/>
      </w:tblGrid>
      <w:tr w:rsidR="00513E21" w:rsidRPr="007227A6" w:rsidTr="00513E21">
        <w:trPr>
          <w:cantSplit/>
          <w:tblHeader/>
        </w:trPr>
        <w:tc>
          <w:tcPr>
            <w:tcW w:w="2717" w:type="pct"/>
            <w:tcBorders>
              <w:top w:val="single" w:sz="4" w:space="0" w:color="auto"/>
              <w:left w:val="single" w:sz="4" w:space="0" w:color="auto"/>
              <w:bottom w:val="single" w:sz="4" w:space="0" w:color="auto"/>
              <w:right w:val="single" w:sz="4" w:space="0" w:color="auto"/>
            </w:tcBorders>
            <w:vAlign w:val="center"/>
          </w:tcPr>
          <w:p w:rsidR="00513E21" w:rsidRPr="007227A6" w:rsidRDefault="00513E21" w:rsidP="00F61566">
            <w:pPr>
              <w:keepNext/>
              <w:widowControl/>
              <w:jc w:val="left"/>
              <w:rPr>
                <w:rFonts w:ascii="Arial Narrow" w:hAnsi="Arial Narrow"/>
                <w:sz w:val="20"/>
              </w:rPr>
            </w:pP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7227A6" w:rsidRDefault="00C73678" w:rsidP="007851C0">
            <w:pPr>
              <w:keepNext/>
              <w:widowControl/>
              <w:jc w:val="center"/>
              <w:rPr>
                <w:rFonts w:ascii="Arial Narrow" w:hAnsi="Arial Narrow"/>
                <w:sz w:val="20"/>
              </w:rPr>
            </w:pPr>
            <w:r w:rsidRPr="007227A6">
              <w:rPr>
                <w:rFonts w:ascii="Arial Narrow" w:hAnsi="Arial Narrow"/>
                <w:b/>
                <w:sz w:val="20"/>
              </w:rPr>
              <w:t>Δ</w:t>
            </w:r>
            <w:r w:rsidR="00513E21" w:rsidRPr="007227A6">
              <w:rPr>
                <w:rFonts w:ascii="Arial Narrow" w:hAnsi="Arial Narrow"/>
                <w:b/>
                <w:sz w:val="20"/>
              </w:rPr>
              <w:t xml:space="preserve"> costs</w:t>
            </w: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7227A6" w:rsidRDefault="00C73678" w:rsidP="00F61566">
            <w:pPr>
              <w:keepNext/>
              <w:widowControl/>
              <w:jc w:val="center"/>
              <w:rPr>
                <w:rFonts w:ascii="Arial Narrow" w:hAnsi="Arial Narrow"/>
                <w:sz w:val="20"/>
              </w:rPr>
            </w:pPr>
            <w:r w:rsidRPr="007227A6">
              <w:rPr>
                <w:rFonts w:ascii="Arial Narrow" w:hAnsi="Arial Narrow"/>
                <w:b/>
                <w:sz w:val="20"/>
              </w:rPr>
              <w:t>Δ QALY</w:t>
            </w:r>
          </w:p>
        </w:tc>
        <w:tc>
          <w:tcPr>
            <w:tcW w:w="925" w:type="pct"/>
            <w:tcBorders>
              <w:top w:val="single" w:sz="4" w:space="0" w:color="auto"/>
              <w:left w:val="single" w:sz="4" w:space="0" w:color="auto"/>
              <w:bottom w:val="single" w:sz="4" w:space="0" w:color="auto"/>
              <w:right w:val="single" w:sz="4" w:space="0" w:color="auto"/>
            </w:tcBorders>
            <w:vAlign w:val="center"/>
          </w:tcPr>
          <w:p w:rsidR="00513E21" w:rsidRPr="007227A6" w:rsidRDefault="00C73678" w:rsidP="00F61566">
            <w:pPr>
              <w:keepNext/>
              <w:widowControl/>
              <w:jc w:val="center"/>
              <w:rPr>
                <w:rFonts w:ascii="Arial Narrow" w:hAnsi="Arial Narrow"/>
                <w:sz w:val="20"/>
              </w:rPr>
            </w:pPr>
            <w:r w:rsidRPr="007227A6">
              <w:rPr>
                <w:rFonts w:ascii="Arial Narrow" w:hAnsi="Arial Narrow"/>
                <w:b/>
                <w:sz w:val="20"/>
              </w:rPr>
              <w:t>ICER</w:t>
            </w:r>
          </w:p>
        </w:tc>
      </w:tr>
      <w:tr w:rsidR="00513E21" w:rsidRPr="007227A6" w:rsidTr="00F601D1">
        <w:trPr>
          <w:cantSplit/>
        </w:trPr>
        <w:tc>
          <w:tcPr>
            <w:tcW w:w="2717" w:type="pct"/>
            <w:tcBorders>
              <w:top w:val="single" w:sz="4" w:space="0" w:color="auto"/>
              <w:left w:val="single" w:sz="4" w:space="0" w:color="auto"/>
              <w:bottom w:val="single" w:sz="4" w:space="0" w:color="auto"/>
              <w:right w:val="single" w:sz="4" w:space="0" w:color="auto"/>
            </w:tcBorders>
            <w:vAlign w:val="center"/>
          </w:tcPr>
          <w:p w:rsidR="00513E21" w:rsidRPr="007227A6" w:rsidRDefault="00513E21" w:rsidP="00F61566">
            <w:pPr>
              <w:keepNext/>
              <w:widowControl/>
              <w:jc w:val="left"/>
              <w:rPr>
                <w:rFonts w:ascii="Arial Narrow" w:hAnsi="Arial Narrow"/>
                <w:b/>
                <w:sz w:val="20"/>
              </w:rPr>
            </w:pPr>
            <w:r w:rsidRPr="007227A6">
              <w:rPr>
                <w:rFonts w:ascii="Arial Narrow" w:hAnsi="Arial Narrow"/>
                <w:b/>
                <w:sz w:val="20"/>
              </w:rPr>
              <w:t>Base case</w:t>
            </w: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keepNext/>
              <w:widowControl/>
              <w:jc w:val="right"/>
              <w:rPr>
                <w:rFonts w:ascii="Arial Narrow" w:hAnsi="Arial Narrow"/>
                <w:b/>
                <w:sz w:val="20"/>
              </w:rPr>
            </w:pPr>
            <w:r w:rsidRPr="0091351F">
              <w:rPr>
                <w:rFonts w:ascii="Arial Narrow" w:hAnsi="Arial Narrow" w:cs="Times New Roman"/>
                <w:b/>
                <w:sz w:val="20"/>
              </w:rPr>
              <w:t>$</w:t>
            </w:r>
            <w:r w:rsidR="00C60362">
              <w:rPr>
                <w:rFonts w:ascii="Arial Narrow" w:hAnsi="Arial Narrow" w:cs="Times New Roman"/>
                <w:b/>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keepNext/>
              <w:widowControl/>
              <w:jc w:val="center"/>
              <w:rPr>
                <w:rFonts w:ascii="Arial Narrow" w:hAnsi="Arial Narrow"/>
                <w:b/>
                <w:sz w:val="20"/>
              </w:rPr>
            </w:pPr>
            <w:r w:rsidRPr="0091351F">
              <w:rPr>
                <w:rFonts w:ascii="Arial Narrow" w:hAnsi="Arial Narrow"/>
                <w:b/>
                <w:sz w:val="20"/>
              </w:rPr>
              <w:t>1.80</w:t>
            </w:r>
          </w:p>
        </w:tc>
        <w:tc>
          <w:tcPr>
            <w:tcW w:w="925"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keepNext/>
              <w:widowControl/>
              <w:jc w:val="right"/>
              <w:rPr>
                <w:rFonts w:ascii="Arial Narrow" w:hAnsi="Arial Narrow"/>
                <w:b/>
                <w:sz w:val="20"/>
              </w:rPr>
            </w:pPr>
            <w:r w:rsidRPr="0091351F">
              <w:rPr>
                <w:rFonts w:ascii="Arial Narrow" w:hAnsi="Arial Narrow"/>
                <w:b/>
                <w:sz w:val="20"/>
              </w:rPr>
              <w:t>$</w:t>
            </w:r>
            <w:r w:rsidR="00C60362">
              <w:rPr>
                <w:rFonts w:ascii="Arial Narrow" w:hAnsi="Arial Narrow"/>
                <w:b/>
                <w:noProof/>
                <w:color w:val="000000"/>
                <w:sz w:val="20"/>
                <w:highlight w:val="black"/>
              </w:rPr>
              <w:t>'''''''''''''''''</w:t>
            </w:r>
          </w:p>
        </w:tc>
      </w:tr>
      <w:tr w:rsidR="00513E21" w:rsidRPr="007227A6" w:rsidTr="00F601D1">
        <w:trPr>
          <w:cantSplit/>
        </w:trPr>
        <w:tc>
          <w:tcPr>
            <w:tcW w:w="2717" w:type="pct"/>
            <w:tcBorders>
              <w:top w:val="single" w:sz="4" w:space="0" w:color="auto"/>
              <w:left w:val="single" w:sz="4" w:space="0" w:color="auto"/>
              <w:bottom w:val="single" w:sz="4" w:space="0" w:color="auto"/>
              <w:right w:val="single" w:sz="4" w:space="0" w:color="auto"/>
            </w:tcBorders>
            <w:vAlign w:val="center"/>
          </w:tcPr>
          <w:p w:rsidR="00513E21" w:rsidRPr="007227A6" w:rsidRDefault="00513E21" w:rsidP="00F61566">
            <w:pPr>
              <w:keepNext/>
              <w:widowControl/>
              <w:jc w:val="left"/>
              <w:rPr>
                <w:rFonts w:ascii="Arial Narrow" w:hAnsi="Arial Narrow"/>
                <w:sz w:val="20"/>
              </w:rPr>
            </w:pPr>
            <w:r w:rsidRPr="007227A6">
              <w:rPr>
                <w:rFonts w:ascii="Arial Narrow" w:hAnsi="Arial Narrow"/>
                <w:sz w:val="20"/>
              </w:rPr>
              <w:t>Time horizon (base case = 10 years)</w:t>
            </w:r>
          </w:p>
          <w:p w:rsidR="00513E21" w:rsidRPr="00BB545F" w:rsidRDefault="00513E21" w:rsidP="00F61566">
            <w:pPr>
              <w:keepNext/>
              <w:widowControl/>
              <w:ind w:firstLine="142"/>
              <w:jc w:val="left"/>
              <w:rPr>
                <w:rFonts w:ascii="Arial Narrow" w:hAnsi="Arial Narrow"/>
                <w:sz w:val="20"/>
              </w:rPr>
            </w:pPr>
            <w:r w:rsidRPr="00BB545F">
              <w:rPr>
                <w:rFonts w:ascii="Arial Narrow" w:hAnsi="Arial Narrow"/>
                <w:sz w:val="20"/>
              </w:rPr>
              <w:t>1 year</w:t>
            </w:r>
          </w:p>
          <w:p w:rsidR="00513E21" w:rsidRPr="00BB545F" w:rsidRDefault="00513E21" w:rsidP="00F61566">
            <w:pPr>
              <w:keepNext/>
              <w:widowControl/>
              <w:ind w:firstLine="142"/>
              <w:jc w:val="left"/>
              <w:rPr>
                <w:rFonts w:ascii="Arial Narrow" w:hAnsi="Arial Narrow"/>
                <w:sz w:val="20"/>
              </w:rPr>
            </w:pPr>
            <w:r w:rsidRPr="00BB545F">
              <w:rPr>
                <w:rFonts w:ascii="Arial Narrow" w:hAnsi="Arial Narrow"/>
                <w:sz w:val="20"/>
              </w:rPr>
              <w:t>3 years</w:t>
            </w:r>
          </w:p>
          <w:p w:rsidR="00513E21" w:rsidRPr="007227A6" w:rsidRDefault="00513E21" w:rsidP="00F61566">
            <w:pPr>
              <w:keepNext/>
              <w:widowControl/>
              <w:ind w:firstLine="142"/>
              <w:jc w:val="left"/>
              <w:rPr>
                <w:rFonts w:ascii="Arial Narrow" w:hAnsi="Arial Narrow"/>
                <w:sz w:val="20"/>
              </w:rPr>
            </w:pPr>
            <w:r w:rsidRPr="007227A6">
              <w:rPr>
                <w:rFonts w:ascii="Arial Narrow" w:hAnsi="Arial Narrow"/>
                <w:sz w:val="20"/>
              </w:rPr>
              <w:t>5 years</w:t>
            </w:r>
          </w:p>
          <w:p w:rsidR="00513E21" w:rsidRPr="007227A6" w:rsidRDefault="00513E21" w:rsidP="00F61566">
            <w:pPr>
              <w:keepNext/>
              <w:widowControl/>
              <w:ind w:firstLine="142"/>
              <w:jc w:val="left"/>
              <w:rPr>
                <w:rFonts w:ascii="Arial Narrow" w:hAnsi="Arial Narrow"/>
                <w:sz w:val="20"/>
              </w:rPr>
            </w:pPr>
            <w:r w:rsidRPr="007227A6">
              <w:rPr>
                <w:rFonts w:ascii="Arial Narrow" w:hAnsi="Arial Narrow"/>
                <w:sz w:val="20"/>
              </w:rPr>
              <w:t>7 years</w:t>
            </w: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keepNext/>
              <w:widowControl/>
              <w:jc w:val="right"/>
              <w:rPr>
                <w:rFonts w:ascii="Arial Narrow" w:hAnsi="Arial Narrow"/>
                <w:sz w:val="20"/>
              </w:rPr>
            </w:pPr>
          </w:p>
          <w:p w:rsidR="00513E21" w:rsidRPr="0091351F" w:rsidRDefault="00513E21" w:rsidP="00F61566">
            <w:pPr>
              <w:keepNext/>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keepNext/>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keepNext/>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keepNext/>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keepNext/>
              <w:widowControl/>
              <w:jc w:val="center"/>
              <w:rPr>
                <w:rFonts w:ascii="Arial Narrow" w:hAnsi="Arial Narrow"/>
                <w:sz w:val="20"/>
              </w:rPr>
            </w:pPr>
          </w:p>
          <w:p w:rsidR="00513E21" w:rsidRPr="0091351F" w:rsidRDefault="00513E21" w:rsidP="00F61566">
            <w:pPr>
              <w:keepNext/>
              <w:widowControl/>
              <w:jc w:val="center"/>
              <w:rPr>
                <w:rFonts w:ascii="Arial Narrow" w:hAnsi="Arial Narrow"/>
                <w:sz w:val="20"/>
              </w:rPr>
            </w:pPr>
            <w:r w:rsidRPr="0091351F">
              <w:rPr>
                <w:rFonts w:ascii="Arial Narrow" w:hAnsi="Arial Narrow"/>
                <w:sz w:val="20"/>
              </w:rPr>
              <w:t>0.28</w:t>
            </w:r>
          </w:p>
          <w:p w:rsidR="00513E21" w:rsidRPr="0091351F" w:rsidRDefault="00513E21" w:rsidP="00F61566">
            <w:pPr>
              <w:keepNext/>
              <w:widowControl/>
              <w:jc w:val="center"/>
              <w:rPr>
                <w:rFonts w:ascii="Arial Narrow" w:hAnsi="Arial Narrow"/>
                <w:sz w:val="20"/>
              </w:rPr>
            </w:pPr>
            <w:r w:rsidRPr="0091351F">
              <w:rPr>
                <w:rFonts w:ascii="Arial Narrow" w:hAnsi="Arial Narrow"/>
                <w:sz w:val="20"/>
              </w:rPr>
              <w:t>0.67</w:t>
            </w:r>
          </w:p>
          <w:p w:rsidR="00513E21" w:rsidRPr="0091351F" w:rsidRDefault="00513E21" w:rsidP="00F61566">
            <w:pPr>
              <w:keepNext/>
              <w:widowControl/>
              <w:jc w:val="center"/>
              <w:rPr>
                <w:rFonts w:ascii="Arial Narrow" w:hAnsi="Arial Narrow"/>
                <w:sz w:val="20"/>
              </w:rPr>
            </w:pPr>
            <w:r w:rsidRPr="0091351F">
              <w:rPr>
                <w:rFonts w:ascii="Arial Narrow" w:hAnsi="Arial Narrow"/>
                <w:sz w:val="20"/>
              </w:rPr>
              <w:t>1.07</w:t>
            </w:r>
          </w:p>
          <w:p w:rsidR="00513E21" w:rsidRPr="0091351F" w:rsidRDefault="00513E21" w:rsidP="00F61566">
            <w:pPr>
              <w:keepNext/>
              <w:widowControl/>
              <w:jc w:val="center"/>
              <w:rPr>
                <w:rFonts w:ascii="Arial Narrow" w:hAnsi="Arial Narrow"/>
                <w:sz w:val="20"/>
              </w:rPr>
            </w:pPr>
            <w:r w:rsidRPr="0091351F">
              <w:rPr>
                <w:rFonts w:ascii="Arial Narrow" w:hAnsi="Arial Narrow"/>
                <w:sz w:val="20"/>
              </w:rPr>
              <w:t>1.46</w:t>
            </w:r>
          </w:p>
        </w:tc>
        <w:tc>
          <w:tcPr>
            <w:tcW w:w="925"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keepNext/>
              <w:widowControl/>
              <w:jc w:val="right"/>
              <w:rPr>
                <w:rFonts w:ascii="Arial Narrow" w:hAnsi="Arial Narrow"/>
                <w:sz w:val="20"/>
              </w:rPr>
            </w:pPr>
          </w:p>
          <w:p w:rsidR="00513E21" w:rsidRPr="0091351F" w:rsidRDefault="00513E21" w:rsidP="00F61566">
            <w:pPr>
              <w:keepNext/>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keepNext/>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keepNext/>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keepNext/>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tc>
      </w:tr>
      <w:tr w:rsidR="00513E21" w:rsidRPr="007227A6" w:rsidTr="00F601D1">
        <w:trPr>
          <w:cantSplit/>
        </w:trPr>
        <w:tc>
          <w:tcPr>
            <w:tcW w:w="2717" w:type="pct"/>
            <w:tcBorders>
              <w:top w:val="single" w:sz="4" w:space="0" w:color="auto"/>
              <w:left w:val="single" w:sz="4" w:space="0" w:color="auto"/>
              <w:bottom w:val="single" w:sz="4" w:space="0" w:color="auto"/>
              <w:right w:val="single" w:sz="4" w:space="0" w:color="auto"/>
            </w:tcBorders>
            <w:vAlign w:val="center"/>
          </w:tcPr>
          <w:p w:rsidR="00513E21" w:rsidRPr="007227A6" w:rsidRDefault="00513E21" w:rsidP="00F61566">
            <w:pPr>
              <w:widowControl/>
              <w:jc w:val="left"/>
              <w:rPr>
                <w:rFonts w:ascii="Arial Narrow" w:hAnsi="Arial Narrow"/>
                <w:sz w:val="20"/>
              </w:rPr>
            </w:pPr>
            <w:r w:rsidRPr="007227A6">
              <w:rPr>
                <w:rFonts w:ascii="Arial Narrow" w:hAnsi="Arial Narrow"/>
                <w:sz w:val="20"/>
              </w:rPr>
              <w:t>Joint PFS and OS models (base case = independent)</w:t>
            </w: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widowControl/>
              <w:jc w:val="center"/>
              <w:rPr>
                <w:rFonts w:ascii="Arial Narrow" w:hAnsi="Arial Narrow"/>
                <w:sz w:val="20"/>
              </w:rPr>
            </w:pPr>
            <w:r w:rsidRPr="0091351F">
              <w:rPr>
                <w:rFonts w:ascii="Arial Narrow" w:hAnsi="Arial Narrow"/>
                <w:sz w:val="20"/>
              </w:rPr>
              <w:t>1.70</w:t>
            </w:r>
          </w:p>
        </w:tc>
        <w:tc>
          <w:tcPr>
            <w:tcW w:w="925"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tc>
      </w:tr>
      <w:tr w:rsidR="00513E21" w:rsidRPr="007227A6" w:rsidTr="00F601D1">
        <w:trPr>
          <w:cantSplit/>
        </w:trPr>
        <w:tc>
          <w:tcPr>
            <w:tcW w:w="2717" w:type="pct"/>
            <w:tcBorders>
              <w:top w:val="single" w:sz="4" w:space="0" w:color="auto"/>
              <w:left w:val="single" w:sz="4" w:space="0" w:color="auto"/>
              <w:bottom w:val="single" w:sz="4" w:space="0" w:color="auto"/>
              <w:right w:val="single" w:sz="4" w:space="0" w:color="auto"/>
            </w:tcBorders>
            <w:vAlign w:val="center"/>
          </w:tcPr>
          <w:p w:rsidR="00513E21" w:rsidRPr="007227A6" w:rsidRDefault="00513E21" w:rsidP="00F61566">
            <w:pPr>
              <w:widowControl/>
              <w:jc w:val="left"/>
              <w:rPr>
                <w:rFonts w:ascii="Arial Narrow" w:hAnsi="Arial Narrow"/>
                <w:sz w:val="20"/>
              </w:rPr>
            </w:pPr>
            <w:r w:rsidRPr="007227A6">
              <w:rPr>
                <w:rFonts w:ascii="Arial Narrow" w:hAnsi="Arial Narrow"/>
                <w:sz w:val="20"/>
              </w:rPr>
              <w:t>HR PFS and OS models (base case = parametric)</w:t>
            </w:r>
          </w:p>
          <w:p w:rsidR="00513E21" w:rsidRPr="00BB545F" w:rsidRDefault="00513E21" w:rsidP="00F61566">
            <w:pPr>
              <w:widowControl/>
              <w:ind w:firstLine="142"/>
              <w:jc w:val="left"/>
              <w:rPr>
                <w:rFonts w:ascii="Arial Narrow" w:hAnsi="Arial Narrow"/>
                <w:sz w:val="20"/>
              </w:rPr>
            </w:pPr>
            <w:r w:rsidRPr="00BB545F">
              <w:rPr>
                <w:rFonts w:ascii="Arial Narrow" w:hAnsi="Arial Narrow"/>
                <w:sz w:val="20"/>
              </w:rPr>
              <w:t>HR - lower 95% CI</w:t>
            </w:r>
          </w:p>
          <w:p w:rsidR="00513E21" w:rsidRPr="007227A6" w:rsidRDefault="00513E21" w:rsidP="00F61566">
            <w:pPr>
              <w:widowControl/>
              <w:ind w:firstLine="142"/>
              <w:jc w:val="left"/>
              <w:rPr>
                <w:rFonts w:ascii="Arial Narrow" w:hAnsi="Arial Narrow"/>
                <w:sz w:val="20"/>
              </w:rPr>
            </w:pPr>
            <w:r w:rsidRPr="00BB545F">
              <w:rPr>
                <w:rFonts w:ascii="Arial Narrow" w:hAnsi="Arial Narrow"/>
                <w:sz w:val="20"/>
              </w:rPr>
              <w:t>HR - upper 95% CI</w:t>
            </w: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tc>
        <w:tc>
          <w:tcPr>
            <w:tcW w:w="679"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widowControl/>
              <w:jc w:val="center"/>
              <w:rPr>
                <w:rFonts w:ascii="Arial Narrow" w:hAnsi="Arial Narrow"/>
                <w:sz w:val="20"/>
              </w:rPr>
            </w:pPr>
            <w:r w:rsidRPr="0091351F">
              <w:rPr>
                <w:rFonts w:ascii="Arial Narrow" w:hAnsi="Arial Narrow"/>
                <w:sz w:val="20"/>
              </w:rPr>
              <w:t>1.76</w:t>
            </w:r>
          </w:p>
          <w:p w:rsidR="00513E21" w:rsidRPr="0091351F" w:rsidRDefault="00513E21" w:rsidP="00F61566">
            <w:pPr>
              <w:widowControl/>
              <w:jc w:val="center"/>
              <w:rPr>
                <w:rFonts w:ascii="Arial Narrow" w:hAnsi="Arial Narrow"/>
                <w:sz w:val="20"/>
              </w:rPr>
            </w:pPr>
            <w:r w:rsidRPr="0091351F">
              <w:rPr>
                <w:rFonts w:ascii="Arial Narrow" w:hAnsi="Arial Narrow"/>
                <w:sz w:val="20"/>
              </w:rPr>
              <w:t>2.67</w:t>
            </w:r>
          </w:p>
          <w:p w:rsidR="00513E21" w:rsidRPr="0091351F" w:rsidRDefault="00513E21" w:rsidP="00F61566">
            <w:pPr>
              <w:widowControl/>
              <w:jc w:val="center"/>
              <w:rPr>
                <w:rFonts w:ascii="Arial Narrow" w:hAnsi="Arial Narrow"/>
                <w:sz w:val="20"/>
              </w:rPr>
            </w:pPr>
            <w:r w:rsidRPr="0091351F">
              <w:rPr>
                <w:rFonts w:ascii="Arial Narrow" w:hAnsi="Arial Narrow"/>
                <w:sz w:val="20"/>
              </w:rPr>
              <w:t>0.55</w:t>
            </w:r>
          </w:p>
        </w:tc>
        <w:tc>
          <w:tcPr>
            <w:tcW w:w="925" w:type="pct"/>
            <w:tcBorders>
              <w:top w:val="single" w:sz="4" w:space="0" w:color="auto"/>
              <w:left w:val="single" w:sz="4" w:space="0" w:color="auto"/>
              <w:bottom w:val="single" w:sz="4" w:space="0" w:color="auto"/>
              <w:right w:val="single" w:sz="4" w:space="0" w:color="auto"/>
            </w:tcBorders>
            <w:vAlign w:val="center"/>
          </w:tcPr>
          <w:p w:rsidR="00513E21" w:rsidRPr="0091351F" w:rsidRDefault="00513E21" w:rsidP="00F61566">
            <w:pPr>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p w:rsidR="00513E21" w:rsidRPr="0091351F" w:rsidRDefault="00513E21" w:rsidP="00F61566">
            <w:pPr>
              <w:widowControl/>
              <w:jc w:val="right"/>
              <w:rPr>
                <w:rFonts w:ascii="Arial Narrow" w:hAnsi="Arial Narrow"/>
                <w:sz w:val="20"/>
              </w:rPr>
            </w:pPr>
            <w:r w:rsidRPr="0091351F">
              <w:rPr>
                <w:rFonts w:ascii="Arial Narrow" w:hAnsi="Arial Narrow"/>
                <w:sz w:val="20"/>
              </w:rPr>
              <w:t>$</w:t>
            </w:r>
            <w:r w:rsidR="00C60362">
              <w:rPr>
                <w:rFonts w:ascii="Arial Narrow" w:hAnsi="Arial Narrow"/>
                <w:noProof/>
                <w:color w:val="000000"/>
                <w:sz w:val="20"/>
                <w:highlight w:val="black"/>
              </w:rPr>
              <w:t>''''''''''''''''''</w:t>
            </w:r>
          </w:p>
        </w:tc>
      </w:tr>
    </w:tbl>
    <w:p w:rsidR="007227A6" w:rsidRPr="00BC1DB2" w:rsidRDefault="00513E21" w:rsidP="00BB545F">
      <w:pPr>
        <w:pStyle w:val="TableFooter"/>
        <w:widowControl/>
        <w:ind w:left="720"/>
      </w:pPr>
      <w:r w:rsidRPr="00BB545F">
        <w:t xml:space="preserve">Source: </w:t>
      </w:r>
      <w:r w:rsidRPr="00BA5DC3">
        <w:t>Table D.10, p155 of the submission; Section D Excel workbook; and calculated during evaluation</w:t>
      </w:r>
      <w:r w:rsidR="007227A6" w:rsidRPr="00ED0412">
        <w:t xml:space="preserve">. </w:t>
      </w:r>
    </w:p>
    <w:p w:rsidR="00513E21" w:rsidRPr="00BC1DB2" w:rsidRDefault="007227A6" w:rsidP="00BB545F">
      <w:pPr>
        <w:pStyle w:val="TableFooter"/>
        <w:widowControl/>
        <w:ind w:left="720"/>
      </w:pPr>
      <w:r w:rsidRPr="00BC1DB2">
        <w:rPr>
          <w:vertAlign w:val="superscript"/>
        </w:rPr>
        <w:t>a</w:t>
      </w:r>
      <w:r w:rsidRPr="00BC1DB2">
        <w:t>Note this uses the updated costs of rituximab.</w:t>
      </w:r>
    </w:p>
    <w:p w:rsidR="00513E21" w:rsidRPr="007227A6" w:rsidRDefault="00731014" w:rsidP="00F61566">
      <w:pPr>
        <w:pStyle w:val="TableFooter"/>
        <w:widowControl/>
        <w:ind w:left="720"/>
      </w:pPr>
      <w:r w:rsidRPr="007227A6">
        <w:t xml:space="preserve">CI = confidence interval; </w:t>
      </w:r>
      <w:r w:rsidR="00C73678" w:rsidRPr="007227A6">
        <w:t xml:space="preserve">ICER = incremental cost-effectiveness ratio; </w:t>
      </w:r>
      <w:r w:rsidR="00513E21" w:rsidRPr="007227A6">
        <w:t xml:space="preserve">HR = hazard ratio; </w:t>
      </w:r>
      <w:r w:rsidR="00ED37E1" w:rsidRPr="007227A6">
        <w:t xml:space="preserve">OS </w:t>
      </w:r>
      <w:r w:rsidR="00513E21" w:rsidRPr="007227A6">
        <w:t>= overall survival; PFS = progression</w:t>
      </w:r>
      <w:r w:rsidR="00722F0C">
        <w:t>-</w:t>
      </w:r>
      <w:r w:rsidR="00513E21" w:rsidRPr="007227A6">
        <w:t xml:space="preserve">free survival; </w:t>
      </w:r>
      <w:r w:rsidR="00C73678" w:rsidRPr="007227A6">
        <w:t xml:space="preserve">QALY = quality adjusted life year; </w:t>
      </w:r>
    </w:p>
    <w:p w:rsidR="00A86E8B" w:rsidRDefault="00A86E8B" w:rsidP="00F61566">
      <w:pPr>
        <w:widowControl/>
        <w:rPr>
          <w:szCs w:val="22"/>
        </w:rPr>
      </w:pPr>
    </w:p>
    <w:p w:rsidR="00B523C4" w:rsidRPr="00164329" w:rsidRDefault="00B523C4" w:rsidP="00B523C4">
      <w:pPr>
        <w:pStyle w:val="ListParagraph"/>
        <w:widowControl/>
        <w:rPr>
          <w:i/>
          <w:szCs w:val="22"/>
        </w:rPr>
      </w:pPr>
      <w:r w:rsidRPr="00164329">
        <w:rPr>
          <w:i/>
          <w:szCs w:val="22"/>
        </w:rPr>
        <w:t>For more detail on PBAC’s view, see section 7 “PBAC outcome”</w:t>
      </w:r>
    </w:p>
    <w:p w:rsidR="00B523C4" w:rsidRPr="00A86E8B" w:rsidRDefault="00B523C4" w:rsidP="00F61566">
      <w:pPr>
        <w:widowControl/>
        <w:rPr>
          <w:szCs w:val="22"/>
        </w:rPr>
      </w:pPr>
    </w:p>
    <w:p w:rsidR="00C25D9C" w:rsidRPr="0091351F" w:rsidRDefault="00C25D9C" w:rsidP="00F61566">
      <w:pPr>
        <w:pStyle w:val="Heading2"/>
        <w:keepNext/>
        <w:widowControl/>
      </w:pPr>
      <w:bookmarkStart w:id="15" w:name="_Toc409601149"/>
      <w:r w:rsidRPr="00C73993">
        <w:t>Drug cost</w:t>
      </w:r>
      <w:r w:rsidR="000D202B" w:rsidRPr="00C73993">
        <w:t xml:space="preserve"> per </w:t>
      </w:r>
      <w:r w:rsidRPr="00C73993">
        <w:t>patient</w:t>
      </w:r>
      <w:r w:rsidR="000D202B" w:rsidRPr="00C73993">
        <w:t xml:space="preserve"> per </w:t>
      </w:r>
      <w:r w:rsidR="002E70C4" w:rsidRPr="00C73993">
        <w:t>course</w:t>
      </w:r>
      <w:r w:rsidRPr="0091351F">
        <w:t>: $</w:t>
      </w:r>
      <w:bookmarkEnd w:id="15"/>
      <w:r w:rsidR="00C60362">
        <w:rPr>
          <w:noProof/>
          <w:color w:val="000000"/>
          <w:highlight w:val="black"/>
        </w:rPr>
        <w:t>'''''''''''''</w:t>
      </w:r>
    </w:p>
    <w:p w:rsidR="006A15DF" w:rsidRPr="0091351F" w:rsidRDefault="006A15DF" w:rsidP="00F61566">
      <w:pPr>
        <w:keepNext/>
        <w:widowControl/>
      </w:pPr>
    </w:p>
    <w:p w:rsidR="001C374E" w:rsidRPr="001C374E" w:rsidRDefault="002E70C4" w:rsidP="001C374E">
      <w:pPr>
        <w:pStyle w:val="ListParagraph"/>
        <w:keepNext/>
        <w:widowControl/>
        <w:numPr>
          <w:ilvl w:val="1"/>
          <w:numId w:val="10"/>
        </w:numPr>
        <w:rPr>
          <w:szCs w:val="22"/>
        </w:rPr>
      </w:pPr>
      <w:r w:rsidRPr="0091351F">
        <w:rPr>
          <w:szCs w:val="22"/>
        </w:rPr>
        <w:t>Th</w:t>
      </w:r>
      <w:r w:rsidR="002B5771" w:rsidRPr="0091351F">
        <w:rPr>
          <w:szCs w:val="22"/>
        </w:rPr>
        <w:t>e drug cost per patient per course</w:t>
      </w:r>
      <w:r w:rsidRPr="0091351F">
        <w:rPr>
          <w:szCs w:val="22"/>
        </w:rPr>
        <w:t xml:space="preserve"> was based on a median duration of treatment of 17 months</w:t>
      </w:r>
      <w:r w:rsidR="009A1446" w:rsidRPr="0091351F">
        <w:rPr>
          <w:szCs w:val="22"/>
        </w:rPr>
        <w:t>,</w:t>
      </w:r>
      <w:r w:rsidRPr="0091351F">
        <w:rPr>
          <w:szCs w:val="22"/>
        </w:rPr>
        <w:t xml:space="preserve"> a monthly cost of $</w:t>
      </w:r>
      <w:r w:rsidR="00C60362">
        <w:rPr>
          <w:noProof/>
          <w:color w:val="000000"/>
          <w:szCs w:val="22"/>
          <w:highlight w:val="black"/>
        </w:rPr>
        <w:t>''''''''''''''</w:t>
      </w:r>
      <w:r w:rsidR="00B920AC">
        <w:rPr>
          <w:szCs w:val="22"/>
        </w:rPr>
        <w:t>,</w:t>
      </w:r>
      <w:r>
        <w:rPr>
          <w:szCs w:val="22"/>
        </w:rPr>
        <w:t xml:space="preserve"> </w:t>
      </w:r>
      <w:r w:rsidR="009A1446">
        <w:rPr>
          <w:szCs w:val="22"/>
        </w:rPr>
        <w:t>and a</w:t>
      </w:r>
      <w:r>
        <w:rPr>
          <w:szCs w:val="22"/>
        </w:rPr>
        <w:t xml:space="preserve"> dose intensity of 95.</w:t>
      </w:r>
      <w:r w:rsidRPr="009832FA">
        <w:rPr>
          <w:szCs w:val="22"/>
        </w:rPr>
        <w:t xml:space="preserve">2%. </w:t>
      </w:r>
      <w:r w:rsidR="001C374E" w:rsidRPr="001C374E">
        <w:rPr>
          <w:szCs w:val="22"/>
        </w:rPr>
        <w:t>This was compared to $</w:t>
      </w:r>
      <w:r w:rsidR="00C60362">
        <w:rPr>
          <w:noProof/>
          <w:color w:val="000000"/>
          <w:szCs w:val="22"/>
          <w:highlight w:val="black"/>
        </w:rPr>
        <w:t>''''''''''''''''</w:t>
      </w:r>
      <w:r w:rsidR="001C374E" w:rsidRPr="001C374E">
        <w:rPr>
          <w:szCs w:val="22"/>
        </w:rPr>
        <w:t xml:space="preserve"> for rituximab monotherapy, using the 1 December 2014 listed price.</w:t>
      </w:r>
    </w:p>
    <w:p w:rsidR="00B60939" w:rsidRDefault="00B60939" w:rsidP="00F61566">
      <w:pPr>
        <w:widowControl/>
        <w:rPr>
          <w:szCs w:val="22"/>
        </w:rPr>
      </w:pPr>
    </w:p>
    <w:p w:rsidR="00B523C4" w:rsidRPr="00164329" w:rsidRDefault="00B523C4" w:rsidP="00B523C4">
      <w:pPr>
        <w:pStyle w:val="ListParagraph"/>
        <w:widowControl/>
        <w:rPr>
          <w:i/>
          <w:szCs w:val="22"/>
        </w:rPr>
      </w:pPr>
      <w:r w:rsidRPr="00164329">
        <w:rPr>
          <w:i/>
          <w:szCs w:val="22"/>
        </w:rPr>
        <w:t>For more detail on PBAC’s view, see section 7 “PBAC outcome”</w:t>
      </w:r>
    </w:p>
    <w:p w:rsidR="00B523C4" w:rsidRPr="001E2B1E" w:rsidRDefault="00B523C4" w:rsidP="00F61566">
      <w:pPr>
        <w:widowControl/>
        <w:rPr>
          <w:szCs w:val="22"/>
        </w:rPr>
      </w:pPr>
    </w:p>
    <w:p w:rsidR="00B60939" w:rsidRPr="00C73993" w:rsidRDefault="00B60939" w:rsidP="00F61566">
      <w:pPr>
        <w:pStyle w:val="Heading2"/>
        <w:keepNext/>
        <w:widowControl/>
      </w:pPr>
      <w:bookmarkStart w:id="16" w:name="_Toc409601150"/>
      <w:r w:rsidRPr="00C73993">
        <w:t>Estimated PBS usage &amp; financial implications</w:t>
      </w:r>
      <w:bookmarkEnd w:id="16"/>
    </w:p>
    <w:p w:rsidR="00B60939" w:rsidRPr="00882085" w:rsidRDefault="00B60939" w:rsidP="00F61566">
      <w:pPr>
        <w:keepNext/>
        <w:widowControl/>
        <w:ind w:left="720" w:hanging="720"/>
        <w:rPr>
          <w:b/>
          <w:i/>
          <w:szCs w:val="22"/>
        </w:rPr>
      </w:pPr>
    </w:p>
    <w:p w:rsidR="0072416F" w:rsidRPr="00E9185D" w:rsidRDefault="00C25D9C" w:rsidP="00CF1959">
      <w:pPr>
        <w:pStyle w:val="ListParagraph"/>
        <w:keepNext/>
        <w:widowControl/>
        <w:numPr>
          <w:ilvl w:val="1"/>
          <w:numId w:val="10"/>
        </w:numPr>
        <w:rPr>
          <w:szCs w:val="22"/>
        </w:rPr>
      </w:pPr>
      <w:r>
        <w:t xml:space="preserve">This submission </w:t>
      </w:r>
      <w:r w:rsidR="0063019D">
        <w:t>was</w:t>
      </w:r>
      <w:r>
        <w:t xml:space="preserve"> not considered by </w:t>
      </w:r>
      <w:r w:rsidR="00CF1959">
        <w:t xml:space="preserve">the </w:t>
      </w:r>
      <w:r w:rsidR="00CF1959" w:rsidRPr="00CF1959">
        <w:t>Drug Utilisation Sub-Committee.</w:t>
      </w:r>
      <w:r w:rsidR="006A15DF">
        <w:t xml:space="preserve"> </w:t>
      </w:r>
      <w:r w:rsidR="00E9185D">
        <w:t>The submission combined epidemiolog</w:t>
      </w:r>
      <w:r w:rsidR="00CF3C4B">
        <w:t>ical and market share approaches</w:t>
      </w:r>
      <w:r w:rsidR="00E9185D">
        <w:t xml:space="preserve"> to assess</w:t>
      </w:r>
      <w:r w:rsidR="00493C78">
        <w:t xml:space="preserve"> the</w:t>
      </w:r>
      <w:r w:rsidR="00E9185D">
        <w:t xml:space="preserve"> utilisation and cost</w:t>
      </w:r>
      <w:r w:rsidR="00CF3C4B">
        <w:t>s</w:t>
      </w:r>
      <w:r w:rsidR="00E9185D">
        <w:t xml:space="preserve"> of idelalisib over a five year period</w:t>
      </w:r>
      <w:r w:rsidR="00C73678">
        <w:t xml:space="preserve"> (see </w:t>
      </w:r>
      <w:r w:rsidR="008C3615">
        <w:t>t</w:t>
      </w:r>
      <w:r w:rsidR="00C73678">
        <w:t xml:space="preserve">able </w:t>
      </w:r>
      <w:r w:rsidR="008C3615">
        <w:t>below</w:t>
      </w:r>
      <w:r w:rsidR="00C73678">
        <w:t>)</w:t>
      </w:r>
      <w:r w:rsidR="00CF3C4B">
        <w:t>.</w:t>
      </w:r>
    </w:p>
    <w:p w:rsidR="00E9185D" w:rsidRPr="00B50DB8" w:rsidRDefault="00E9185D" w:rsidP="00F61566">
      <w:pPr>
        <w:pStyle w:val="ListParagraph"/>
        <w:widowControl/>
        <w:rPr>
          <w:szCs w:val="22"/>
        </w:rPr>
      </w:pPr>
    </w:p>
    <w:p w:rsidR="00C25D9C" w:rsidRDefault="00C25D9C" w:rsidP="00DB2401">
      <w:pPr>
        <w:keepNext/>
        <w:keepLines/>
        <w:widowControl/>
        <w:ind w:firstLine="709"/>
        <w:rPr>
          <w:rStyle w:val="CommentReference"/>
        </w:rPr>
      </w:pPr>
      <w:r w:rsidRPr="001222FC">
        <w:rPr>
          <w:rStyle w:val="CommentReference"/>
        </w:rPr>
        <w:lastRenderedPageBreak/>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1986"/>
        <w:gridCol w:w="1275"/>
        <w:gridCol w:w="1277"/>
        <w:gridCol w:w="1275"/>
        <w:gridCol w:w="1275"/>
        <w:gridCol w:w="1259"/>
      </w:tblGrid>
      <w:tr w:rsidR="00C25D9C" w:rsidRPr="004E2ADC" w:rsidTr="001F2E6D">
        <w:trPr>
          <w:tblHeader/>
        </w:trPr>
        <w:tc>
          <w:tcPr>
            <w:tcW w:w="1189" w:type="pct"/>
            <w:shd w:val="clear" w:color="auto" w:fill="auto"/>
            <w:vAlign w:val="center"/>
          </w:tcPr>
          <w:p w:rsidR="00C25D9C" w:rsidRPr="004E2ADC" w:rsidRDefault="00C25D9C" w:rsidP="00DB2401">
            <w:pPr>
              <w:keepNext/>
              <w:keepLines/>
              <w:widowControl/>
              <w:tabs>
                <w:tab w:val="left" w:pos="142"/>
              </w:tabs>
              <w:jc w:val="left"/>
              <w:rPr>
                <w:rFonts w:ascii="Arial Narrow" w:hAnsi="Arial Narrow"/>
                <w:b/>
                <w:sz w:val="20"/>
              </w:rPr>
            </w:pPr>
          </w:p>
        </w:tc>
        <w:tc>
          <w:tcPr>
            <w:tcW w:w="764" w:type="pct"/>
            <w:shd w:val="clear" w:color="auto" w:fill="auto"/>
            <w:vAlign w:val="center"/>
          </w:tcPr>
          <w:p w:rsidR="00C25D9C" w:rsidRPr="004E2ADC" w:rsidRDefault="00C25D9C" w:rsidP="00DB2401">
            <w:pPr>
              <w:keepNext/>
              <w:keepLines/>
              <w:widowControl/>
              <w:jc w:val="center"/>
              <w:rPr>
                <w:rFonts w:ascii="Arial Narrow" w:hAnsi="Arial Narrow"/>
                <w:b/>
                <w:sz w:val="20"/>
              </w:rPr>
            </w:pPr>
            <w:r w:rsidRPr="004E2ADC">
              <w:rPr>
                <w:rFonts w:ascii="Arial Narrow" w:hAnsi="Arial Narrow"/>
                <w:b/>
                <w:sz w:val="20"/>
              </w:rPr>
              <w:t>Year 1</w:t>
            </w:r>
          </w:p>
        </w:tc>
        <w:tc>
          <w:tcPr>
            <w:tcW w:w="765" w:type="pct"/>
            <w:shd w:val="clear" w:color="auto" w:fill="auto"/>
            <w:vAlign w:val="center"/>
          </w:tcPr>
          <w:p w:rsidR="00C25D9C" w:rsidRPr="004E2ADC" w:rsidRDefault="00C25D9C" w:rsidP="00DB2401">
            <w:pPr>
              <w:keepNext/>
              <w:keepLines/>
              <w:widowControl/>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25D9C" w:rsidRPr="004E2ADC" w:rsidRDefault="00C25D9C" w:rsidP="00DB2401">
            <w:pPr>
              <w:keepNext/>
              <w:keepLines/>
              <w:widowControl/>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C25D9C" w:rsidRPr="004E2ADC" w:rsidRDefault="00C25D9C" w:rsidP="00DB2401">
            <w:pPr>
              <w:keepNext/>
              <w:keepLines/>
              <w:widowControl/>
              <w:jc w:val="center"/>
              <w:rPr>
                <w:rFonts w:ascii="Arial Narrow" w:hAnsi="Arial Narrow"/>
                <w:b/>
                <w:sz w:val="20"/>
              </w:rPr>
            </w:pPr>
            <w:r w:rsidRPr="004E2ADC">
              <w:rPr>
                <w:rFonts w:ascii="Arial Narrow" w:hAnsi="Arial Narrow"/>
                <w:b/>
                <w:sz w:val="20"/>
              </w:rPr>
              <w:t>Year 4</w:t>
            </w:r>
          </w:p>
        </w:tc>
        <w:tc>
          <w:tcPr>
            <w:tcW w:w="754" w:type="pct"/>
            <w:shd w:val="clear" w:color="auto" w:fill="auto"/>
            <w:vAlign w:val="center"/>
          </w:tcPr>
          <w:p w:rsidR="00C25D9C" w:rsidRPr="004E2ADC" w:rsidRDefault="00C25D9C" w:rsidP="00DB2401">
            <w:pPr>
              <w:keepNext/>
              <w:keepLines/>
              <w:widowControl/>
              <w:jc w:val="center"/>
              <w:rPr>
                <w:rFonts w:ascii="Arial Narrow" w:hAnsi="Arial Narrow"/>
                <w:b/>
                <w:sz w:val="20"/>
              </w:rPr>
            </w:pPr>
            <w:r w:rsidRPr="004E2ADC">
              <w:rPr>
                <w:rFonts w:ascii="Arial Narrow" w:hAnsi="Arial Narrow"/>
                <w:b/>
                <w:sz w:val="20"/>
              </w:rPr>
              <w:t>Year 5</w:t>
            </w:r>
          </w:p>
        </w:tc>
      </w:tr>
      <w:tr w:rsidR="00C25D9C" w:rsidRPr="004E2ADC" w:rsidTr="005D044D">
        <w:tc>
          <w:tcPr>
            <w:tcW w:w="5000" w:type="pct"/>
            <w:gridSpan w:val="6"/>
            <w:shd w:val="clear" w:color="auto" w:fill="auto"/>
            <w:vAlign w:val="center"/>
          </w:tcPr>
          <w:p w:rsidR="00C25D9C" w:rsidRPr="004E2ADC" w:rsidRDefault="00C25D9C" w:rsidP="00DB2401">
            <w:pPr>
              <w:keepNext/>
              <w:keepLines/>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C25D9C" w:rsidRPr="004E2ADC" w:rsidTr="001F2E6D">
        <w:tc>
          <w:tcPr>
            <w:tcW w:w="1189" w:type="pct"/>
            <w:shd w:val="clear" w:color="auto" w:fill="auto"/>
            <w:vAlign w:val="center"/>
          </w:tcPr>
          <w:p w:rsidR="00C25D9C" w:rsidRPr="004E2ADC" w:rsidRDefault="00C25D9C" w:rsidP="00DB2401">
            <w:pPr>
              <w:keepNext/>
              <w:keepLines/>
              <w:widowControl/>
              <w:tabs>
                <w:tab w:val="left" w:pos="142"/>
              </w:tabs>
              <w:jc w:val="left"/>
              <w:rPr>
                <w:rFonts w:ascii="Arial Narrow" w:hAnsi="Arial Narrow"/>
                <w:sz w:val="20"/>
              </w:rPr>
            </w:pPr>
            <w:r w:rsidRPr="004E2ADC">
              <w:rPr>
                <w:rFonts w:ascii="Arial Narrow" w:hAnsi="Arial Narrow"/>
                <w:sz w:val="20"/>
              </w:rPr>
              <w:t>Number treated</w:t>
            </w:r>
          </w:p>
        </w:tc>
        <w:tc>
          <w:tcPr>
            <w:tcW w:w="76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5"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E2ADC" w:rsidTr="001F2E6D">
        <w:tc>
          <w:tcPr>
            <w:tcW w:w="1189" w:type="pct"/>
            <w:shd w:val="clear" w:color="auto" w:fill="auto"/>
            <w:vAlign w:val="center"/>
          </w:tcPr>
          <w:p w:rsidR="00C25D9C" w:rsidRPr="004E2ADC" w:rsidRDefault="00C25D9C" w:rsidP="00DB2401">
            <w:pPr>
              <w:keepNext/>
              <w:keepLines/>
              <w:widowControl/>
              <w:tabs>
                <w:tab w:val="left" w:pos="142"/>
              </w:tabs>
              <w:jc w:val="left"/>
              <w:rPr>
                <w:rFonts w:ascii="Arial Narrow" w:hAnsi="Arial Narrow"/>
                <w:sz w:val="20"/>
              </w:rPr>
            </w:pPr>
            <w:r w:rsidRPr="004E2ADC">
              <w:rPr>
                <w:rFonts w:ascii="Arial Narrow" w:hAnsi="Arial Narrow"/>
                <w:sz w:val="20"/>
              </w:rPr>
              <w:t>Market share</w:t>
            </w:r>
          </w:p>
        </w:tc>
        <w:tc>
          <w:tcPr>
            <w:tcW w:w="76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5"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E2ADC" w:rsidTr="001F2E6D">
        <w:tc>
          <w:tcPr>
            <w:tcW w:w="1189" w:type="pct"/>
            <w:shd w:val="clear" w:color="auto" w:fill="auto"/>
            <w:vAlign w:val="center"/>
          </w:tcPr>
          <w:p w:rsidR="00C25D9C" w:rsidRPr="004E2ADC" w:rsidRDefault="00C25D9C" w:rsidP="00DB2401">
            <w:pPr>
              <w:keepNext/>
              <w:keepLines/>
              <w:widowControl/>
              <w:tabs>
                <w:tab w:val="left" w:pos="142"/>
              </w:tabs>
              <w:jc w:val="left"/>
              <w:rPr>
                <w:rFonts w:ascii="Arial Narrow" w:hAnsi="Arial Narrow"/>
                <w:sz w:val="20"/>
              </w:rPr>
            </w:pPr>
            <w:r w:rsidRPr="004E2ADC">
              <w:rPr>
                <w:rFonts w:ascii="Arial Narrow" w:hAnsi="Arial Narrow"/>
                <w:sz w:val="20"/>
              </w:rPr>
              <w:t>Scripts</w:t>
            </w:r>
            <w:r w:rsidR="001F2E6D">
              <w:rPr>
                <w:rFonts w:ascii="Arial Narrow" w:hAnsi="Arial Narrow"/>
                <w:sz w:val="20"/>
              </w:rPr>
              <w:t xml:space="preserve"> </w:t>
            </w:r>
            <w:r w:rsidRPr="004E2ADC">
              <w:rPr>
                <w:rFonts w:ascii="Arial Narrow" w:hAnsi="Arial Narrow"/>
                <w:sz w:val="20"/>
                <w:vertAlign w:val="superscript"/>
              </w:rPr>
              <w:t>a</w:t>
            </w:r>
          </w:p>
        </w:tc>
        <w:tc>
          <w:tcPr>
            <w:tcW w:w="76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5"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4" w:type="pct"/>
            <w:shd w:val="clear" w:color="auto" w:fill="auto"/>
            <w:vAlign w:val="center"/>
          </w:tcPr>
          <w:p w:rsidR="00C25D9C" w:rsidRPr="00C60362" w:rsidRDefault="00C60362" w:rsidP="00DB2401">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E2ADC" w:rsidTr="005D044D">
        <w:tc>
          <w:tcPr>
            <w:tcW w:w="5000" w:type="pct"/>
            <w:gridSpan w:val="6"/>
            <w:shd w:val="clear" w:color="auto" w:fill="auto"/>
            <w:vAlign w:val="center"/>
          </w:tcPr>
          <w:p w:rsidR="00C25D9C" w:rsidRPr="0091351F" w:rsidRDefault="00C25D9C" w:rsidP="00DB2401">
            <w:pPr>
              <w:keepNext/>
              <w:keepLines/>
              <w:widowControl/>
              <w:jc w:val="left"/>
              <w:rPr>
                <w:rFonts w:ascii="Arial Narrow" w:hAnsi="Arial Narrow"/>
                <w:b/>
                <w:bCs/>
                <w:color w:val="000000"/>
                <w:sz w:val="20"/>
              </w:rPr>
            </w:pPr>
            <w:r w:rsidRPr="0091351F">
              <w:rPr>
                <w:rFonts w:ascii="Arial Narrow" w:hAnsi="Arial Narrow"/>
                <w:b/>
                <w:bCs/>
                <w:color w:val="000000"/>
                <w:sz w:val="20"/>
              </w:rPr>
              <w:t>Estimated net cost to PBS/RPBS/MBS</w:t>
            </w:r>
          </w:p>
        </w:tc>
      </w:tr>
      <w:tr w:rsidR="00C25D9C" w:rsidRPr="004E2ADC" w:rsidTr="001F2E6D">
        <w:tc>
          <w:tcPr>
            <w:tcW w:w="1189" w:type="pct"/>
            <w:shd w:val="clear" w:color="auto" w:fill="auto"/>
            <w:vAlign w:val="center"/>
          </w:tcPr>
          <w:p w:rsidR="00C25D9C" w:rsidRPr="004E2ADC" w:rsidRDefault="00C25D9C" w:rsidP="00DB2401">
            <w:pPr>
              <w:keepNext/>
              <w:keepLines/>
              <w:widowControl/>
              <w:tabs>
                <w:tab w:val="left" w:pos="142"/>
              </w:tabs>
              <w:jc w:val="left"/>
              <w:rPr>
                <w:rFonts w:ascii="Arial Narrow" w:hAnsi="Arial Narrow"/>
                <w:sz w:val="20"/>
              </w:rPr>
            </w:pPr>
            <w:r w:rsidRPr="004E2ADC">
              <w:rPr>
                <w:rFonts w:ascii="Arial Narrow" w:hAnsi="Arial Narrow"/>
                <w:sz w:val="19"/>
                <w:szCs w:val="19"/>
              </w:rPr>
              <w:t>Net cost to PBS</w:t>
            </w:r>
            <w:r w:rsidR="00145540">
              <w:rPr>
                <w:rFonts w:ascii="Arial Narrow" w:hAnsi="Arial Narrow"/>
                <w:sz w:val="19"/>
                <w:szCs w:val="19"/>
              </w:rPr>
              <w:t>/RPBS</w:t>
            </w:r>
          </w:p>
        </w:tc>
        <w:tc>
          <w:tcPr>
            <w:tcW w:w="764"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c>
          <w:tcPr>
            <w:tcW w:w="765"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c>
          <w:tcPr>
            <w:tcW w:w="764"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c>
          <w:tcPr>
            <w:tcW w:w="764"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c>
          <w:tcPr>
            <w:tcW w:w="754"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r>
      <w:tr w:rsidR="001F2E6D" w:rsidRPr="004E2ADC" w:rsidTr="001F2E6D">
        <w:tc>
          <w:tcPr>
            <w:tcW w:w="1189" w:type="pct"/>
            <w:shd w:val="clear" w:color="auto" w:fill="auto"/>
            <w:vAlign w:val="center"/>
          </w:tcPr>
          <w:p w:rsidR="001F2E6D" w:rsidRPr="004E2ADC" w:rsidRDefault="001F2E6D" w:rsidP="00DB2401">
            <w:pPr>
              <w:keepNext/>
              <w:keepLines/>
              <w:widowControl/>
              <w:tabs>
                <w:tab w:val="left" w:pos="142"/>
              </w:tabs>
              <w:jc w:val="left"/>
              <w:rPr>
                <w:rFonts w:ascii="Arial Narrow" w:hAnsi="Arial Narrow"/>
                <w:sz w:val="19"/>
                <w:szCs w:val="19"/>
              </w:rPr>
            </w:pPr>
            <w:r>
              <w:rPr>
                <w:rFonts w:ascii="Arial Narrow" w:hAnsi="Arial Narrow"/>
                <w:sz w:val="19"/>
                <w:szCs w:val="19"/>
              </w:rPr>
              <w:t>Net cost to MBS</w:t>
            </w:r>
          </w:p>
        </w:tc>
        <w:tc>
          <w:tcPr>
            <w:tcW w:w="764" w:type="pct"/>
            <w:shd w:val="clear" w:color="auto" w:fill="auto"/>
            <w:vAlign w:val="center"/>
          </w:tcPr>
          <w:p w:rsidR="001F2E6D" w:rsidRPr="0091351F" w:rsidRDefault="001F2E6D" w:rsidP="00DB2401">
            <w:pPr>
              <w:pStyle w:val="Tabletext"/>
              <w:keepNext/>
              <w:keepLines/>
              <w:jc w:val="right"/>
            </w:pPr>
            <w:r w:rsidRPr="0091351F">
              <w:t>$</w:t>
            </w:r>
            <w:r w:rsidR="00C60362">
              <w:rPr>
                <w:noProof/>
                <w:color w:val="000000"/>
                <w:highlight w:val="black"/>
              </w:rPr>
              <w:t>'''''''''''''''''</w:t>
            </w:r>
          </w:p>
        </w:tc>
        <w:tc>
          <w:tcPr>
            <w:tcW w:w="765" w:type="pct"/>
            <w:shd w:val="clear" w:color="auto" w:fill="auto"/>
            <w:vAlign w:val="center"/>
          </w:tcPr>
          <w:p w:rsidR="001F2E6D" w:rsidRPr="0091351F" w:rsidRDefault="001F2E6D" w:rsidP="00DB2401">
            <w:pPr>
              <w:pStyle w:val="Tabletext"/>
              <w:keepNext/>
              <w:keepLines/>
              <w:jc w:val="right"/>
            </w:pPr>
            <w:r w:rsidRPr="0091351F">
              <w:t>$</w:t>
            </w:r>
            <w:r w:rsidR="00C60362">
              <w:rPr>
                <w:noProof/>
                <w:color w:val="000000"/>
                <w:highlight w:val="black"/>
              </w:rPr>
              <w:t>''''''''''''''''</w:t>
            </w:r>
          </w:p>
        </w:tc>
        <w:tc>
          <w:tcPr>
            <w:tcW w:w="764" w:type="pct"/>
            <w:shd w:val="clear" w:color="auto" w:fill="auto"/>
            <w:vAlign w:val="center"/>
          </w:tcPr>
          <w:p w:rsidR="001F2E6D" w:rsidRPr="0091351F" w:rsidRDefault="001F2E6D" w:rsidP="00DB2401">
            <w:pPr>
              <w:pStyle w:val="Tabletext"/>
              <w:keepNext/>
              <w:keepLines/>
              <w:jc w:val="right"/>
            </w:pPr>
            <w:r w:rsidRPr="0091351F">
              <w:t>$</w:t>
            </w:r>
            <w:r w:rsidR="00C60362">
              <w:rPr>
                <w:noProof/>
                <w:color w:val="000000"/>
                <w:highlight w:val="black"/>
              </w:rPr>
              <w:t>'''''''''''''''</w:t>
            </w:r>
          </w:p>
        </w:tc>
        <w:tc>
          <w:tcPr>
            <w:tcW w:w="764" w:type="pct"/>
            <w:shd w:val="clear" w:color="auto" w:fill="auto"/>
            <w:vAlign w:val="center"/>
          </w:tcPr>
          <w:p w:rsidR="001F2E6D" w:rsidRPr="0091351F" w:rsidRDefault="001F2E6D" w:rsidP="00DB2401">
            <w:pPr>
              <w:pStyle w:val="Tabletext"/>
              <w:keepNext/>
              <w:keepLines/>
              <w:jc w:val="right"/>
            </w:pPr>
            <w:r w:rsidRPr="0091351F">
              <w:t>$</w:t>
            </w:r>
            <w:r w:rsidR="00C60362">
              <w:rPr>
                <w:noProof/>
                <w:color w:val="000000"/>
                <w:highlight w:val="black"/>
              </w:rPr>
              <w:t>'''''''''''''''</w:t>
            </w:r>
          </w:p>
        </w:tc>
        <w:tc>
          <w:tcPr>
            <w:tcW w:w="754" w:type="pct"/>
            <w:shd w:val="clear" w:color="auto" w:fill="auto"/>
            <w:vAlign w:val="center"/>
          </w:tcPr>
          <w:p w:rsidR="001F2E6D" w:rsidRPr="0091351F" w:rsidRDefault="001F2E6D" w:rsidP="00DB2401">
            <w:pPr>
              <w:pStyle w:val="Tabletext"/>
              <w:keepNext/>
              <w:keepLines/>
              <w:jc w:val="right"/>
            </w:pPr>
            <w:r w:rsidRPr="0091351F">
              <w:t>$</w:t>
            </w:r>
            <w:r w:rsidR="00C60362">
              <w:rPr>
                <w:noProof/>
                <w:color w:val="000000"/>
                <w:highlight w:val="black"/>
              </w:rPr>
              <w:t>'''''''''''''''</w:t>
            </w:r>
          </w:p>
        </w:tc>
      </w:tr>
      <w:tr w:rsidR="00C25D9C" w:rsidRPr="004E2ADC" w:rsidTr="001F2E6D">
        <w:tc>
          <w:tcPr>
            <w:tcW w:w="1189" w:type="pct"/>
            <w:shd w:val="clear" w:color="auto" w:fill="auto"/>
            <w:vAlign w:val="center"/>
          </w:tcPr>
          <w:p w:rsidR="00C25D9C" w:rsidRPr="004E2ADC" w:rsidRDefault="00C25D9C" w:rsidP="00DB2401">
            <w:pPr>
              <w:keepNext/>
              <w:keepLines/>
              <w:widowControl/>
              <w:tabs>
                <w:tab w:val="left" w:pos="142"/>
              </w:tabs>
              <w:jc w:val="left"/>
              <w:rPr>
                <w:rFonts w:ascii="Arial Narrow" w:hAnsi="Arial Narrow"/>
                <w:sz w:val="20"/>
              </w:rPr>
            </w:pPr>
            <w:r w:rsidRPr="004E2ADC">
              <w:rPr>
                <w:rFonts w:ascii="Arial Narrow" w:hAnsi="Arial Narrow"/>
                <w:sz w:val="19"/>
                <w:szCs w:val="19"/>
              </w:rPr>
              <w:t xml:space="preserve">Net cost to </w:t>
            </w:r>
            <w:r w:rsidR="001F2E6D">
              <w:rPr>
                <w:rFonts w:ascii="Arial Narrow" w:hAnsi="Arial Narrow"/>
                <w:sz w:val="19"/>
                <w:szCs w:val="19"/>
              </w:rPr>
              <w:t>hospitals</w:t>
            </w:r>
          </w:p>
        </w:tc>
        <w:tc>
          <w:tcPr>
            <w:tcW w:w="764"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c>
          <w:tcPr>
            <w:tcW w:w="765"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c>
          <w:tcPr>
            <w:tcW w:w="764"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c>
          <w:tcPr>
            <w:tcW w:w="764"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c>
          <w:tcPr>
            <w:tcW w:w="754" w:type="pct"/>
            <w:shd w:val="clear" w:color="auto" w:fill="auto"/>
            <w:vAlign w:val="center"/>
          </w:tcPr>
          <w:p w:rsidR="00C25D9C" w:rsidRPr="0091351F" w:rsidRDefault="001F2E6D" w:rsidP="00DB2401">
            <w:pPr>
              <w:keepNext/>
              <w:keepLines/>
              <w:widowControl/>
              <w:jc w:val="right"/>
              <w:rPr>
                <w:rFonts w:ascii="Arial Narrow" w:hAnsi="Arial Narrow"/>
                <w:bCs/>
                <w:color w:val="000000"/>
                <w:sz w:val="20"/>
              </w:rPr>
            </w:pPr>
            <w:r w:rsidRPr="0091351F">
              <w:rPr>
                <w:rFonts w:ascii="Arial Narrow" w:hAnsi="Arial Narrow"/>
                <w:bCs/>
                <w:color w:val="000000"/>
                <w:sz w:val="20"/>
              </w:rPr>
              <w:t>$</w:t>
            </w:r>
            <w:r w:rsidR="00C60362">
              <w:rPr>
                <w:rFonts w:ascii="Arial Narrow" w:hAnsi="Arial Narrow"/>
                <w:bCs/>
                <w:noProof/>
                <w:color w:val="000000"/>
                <w:sz w:val="20"/>
                <w:highlight w:val="black"/>
              </w:rPr>
              <w:t>'''''''''''''''''''''</w:t>
            </w:r>
          </w:p>
        </w:tc>
      </w:tr>
      <w:tr w:rsidR="00C25D9C" w:rsidRPr="004E2ADC" w:rsidTr="005D044D">
        <w:tc>
          <w:tcPr>
            <w:tcW w:w="5000" w:type="pct"/>
            <w:gridSpan w:val="6"/>
            <w:shd w:val="clear" w:color="auto" w:fill="auto"/>
            <w:vAlign w:val="center"/>
          </w:tcPr>
          <w:p w:rsidR="00C25D9C" w:rsidRPr="0091351F" w:rsidRDefault="00C25D9C" w:rsidP="00DB2401">
            <w:pPr>
              <w:keepNext/>
              <w:keepLines/>
              <w:widowControl/>
              <w:jc w:val="left"/>
              <w:rPr>
                <w:rFonts w:ascii="Arial Narrow" w:hAnsi="Arial Narrow"/>
                <w:b/>
                <w:color w:val="000000"/>
                <w:sz w:val="20"/>
              </w:rPr>
            </w:pPr>
            <w:r w:rsidRPr="0091351F">
              <w:rPr>
                <w:rFonts w:ascii="Arial Narrow" w:hAnsi="Arial Narrow"/>
                <w:b/>
                <w:color w:val="000000"/>
                <w:sz w:val="20"/>
              </w:rPr>
              <w:t>Estimated total net cost</w:t>
            </w:r>
          </w:p>
        </w:tc>
      </w:tr>
      <w:tr w:rsidR="00C25D9C" w:rsidRPr="00914021" w:rsidTr="001F2E6D">
        <w:tc>
          <w:tcPr>
            <w:tcW w:w="1189" w:type="pct"/>
            <w:shd w:val="clear" w:color="auto" w:fill="auto"/>
            <w:vAlign w:val="center"/>
          </w:tcPr>
          <w:p w:rsidR="00C25D9C" w:rsidRPr="00914021" w:rsidRDefault="001F2E6D" w:rsidP="00DB2401">
            <w:pPr>
              <w:keepNext/>
              <w:keepLines/>
              <w:widowControl/>
              <w:tabs>
                <w:tab w:val="left" w:pos="142"/>
              </w:tabs>
              <w:jc w:val="left"/>
              <w:rPr>
                <w:rFonts w:ascii="Arial Narrow" w:hAnsi="Arial Narrow"/>
                <w:b/>
                <w:sz w:val="20"/>
              </w:rPr>
            </w:pPr>
            <w:r w:rsidRPr="00914021">
              <w:rPr>
                <w:rFonts w:ascii="Arial Narrow" w:hAnsi="Arial Narrow"/>
                <w:b/>
                <w:sz w:val="20"/>
              </w:rPr>
              <w:t>Total net cost</w:t>
            </w:r>
          </w:p>
        </w:tc>
        <w:tc>
          <w:tcPr>
            <w:tcW w:w="764" w:type="pct"/>
            <w:shd w:val="clear" w:color="auto" w:fill="auto"/>
            <w:vAlign w:val="center"/>
          </w:tcPr>
          <w:p w:rsidR="00C25D9C" w:rsidRPr="0091351F" w:rsidRDefault="001F2E6D" w:rsidP="00DB2401">
            <w:pPr>
              <w:keepNext/>
              <w:keepLines/>
              <w:widowControl/>
              <w:jc w:val="right"/>
              <w:rPr>
                <w:rFonts w:ascii="Arial Narrow" w:hAnsi="Arial Narrow"/>
                <w:b/>
                <w:color w:val="000000"/>
                <w:sz w:val="20"/>
              </w:rPr>
            </w:pPr>
            <w:r w:rsidRPr="0091351F">
              <w:rPr>
                <w:rFonts w:ascii="Arial Narrow" w:hAnsi="Arial Narrow"/>
                <w:b/>
                <w:color w:val="000000"/>
                <w:sz w:val="20"/>
              </w:rPr>
              <w:t>$</w:t>
            </w:r>
            <w:r w:rsidR="00C60362">
              <w:rPr>
                <w:rFonts w:ascii="Arial Narrow" w:hAnsi="Arial Narrow"/>
                <w:b/>
                <w:noProof/>
                <w:color w:val="000000"/>
                <w:sz w:val="20"/>
                <w:highlight w:val="black"/>
              </w:rPr>
              <w:t>'''''''''''''''''</w:t>
            </w:r>
          </w:p>
        </w:tc>
        <w:tc>
          <w:tcPr>
            <w:tcW w:w="765" w:type="pct"/>
            <w:shd w:val="clear" w:color="auto" w:fill="auto"/>
            <w:vAlign w:val="center"/>
          </w:tcPr>
          <w:p w:rsidR="00C25D9C" w:rsidRPr="0091351F" w:rsidRDefault="001F2E6D" w:rsidP="00DB2401">
            <w:pPr>
              <w:keepNext/>
              <w:keepLines/>
              <w:widowControl/>
              <w:jc w:val="right"/>
              <w:rPr>
                <w:rFonts w:ascii="Arial Narrow" w:hAnsi="Arial Narrow"/>
                <w:b/>
                <w:color w:val="000000"/>
                <w:sz w:val="20"/>
              </w:rPr>
            </w:pPr>
            <w:r w:rsidRPr="0091351F">
              <w:rPr>
                <w:rFonts w:ascii="Arial Narrow" w:hAnsi="Arial Narrow"/>
                <w:b/>
                <w:color w:val="000000"/>
                <w:sz w:val="20"/>
              </w:rPr>
              <w:t>$</w:t>
            </w:r>
            <w:r w:rsidR="00C60362">
              <w:rPr>
                <w:rFonts w:ascii="Arial Narrow" w:hAnsi="Arial Narrow"/>
                <w:b/>
                <w:noProof/>
                <w:color w:val="000000"/>
                <w:sz w:val="20"/>
                <w:highlight w:val="black"/>
              </w:rPr>
              <w:t>''''''''''''''''''</w:t>
            </w:r>
          </w:p>
        </w:tc>
        <w:tc>
          <w:tcPr>
            <w:tcW w:w="764" w:type="pct"/>
            <w:shd w:val="clear" w:color="auto" w:fill="auto"/>
            <w:vAlign w:val="center"/>
          </w:tcPr>
          <w:p w:rsidR="00C25D9C" w:rsidRPr="0091351F" w:rsidRDefault="001F2E6D" w:rsidP="00DB2401">
            <w:pPr>
              <w:keepNext/>
              <w:keepLines/>
              <w:widowControl/>
              <w:jc w:val="right"/>
              <w:rPr>
                <w:rFonts w:ascii="Arial Narrow" w:hAnsi="Arial Narrow"/>
                <w:b/>
                <w:color w:val="000000"/>
                <w:sz w:val="20"/>
              </w:rPr>
            </w:pPr>
            <w:r w:rsidRPr="0091351F">
              <w:rPr>
                <w:rFonts w:ascii="Arial Narrow" w:hAnsi="Arial Narrow"/>
                <w:b/>
                <w:color w:val="000000"/>
                <w:sz w:val="20"/>
              </w:rPr>
              <w:t>$</w:t>
            </w:r>
            <w:r w:rsidR="00C60362">
              <w:rPr>
                <w:rFonts w:ascii="Arial Narrow" w:hAnsi="Arial Narrow"/>
                <w:b/>
                <w:noProof/>
                <w:color w:val="000000"/>
                <w:sz w:val="20"/>
                <w:highlight w:val="black"/>
              </w:rPr>
              <w:t>''''''''''''''''''''</w:t>
            </w:r>
          </w:p>
        </w:tc>
        <w:tc>
          <w:tcPr>
            <w:tcW w:w="764" w:type="pct"/>
            <w:shd w:val="clear" w:color="auto" w:fill="auto"/>
            <w:vAlign w:val="center"/>
          </w:tcPr>
          <w:p w:rsidR="00C25D9C" w:rsidRPr="0091351F" w:rsidRDefault="001F2E6D" w:rsidP="00DB2401">
            <w:pPr>
              <w:keepNext/>
              <w:keepLines/>
              <w:widowControl/>
              <w:jc w:val="right"/>
              <w:rPr>
                <w:rFonts w:ascii="Arial Narrow" w:hAnsi="Arial Narrow"/>
                <w:b/>
                <w:color w:val="000000"/>
                <w:sz w:val="20"/>
              </w:rPr>
            </w:pPr>
            <w:r w:rsidRPr="0091351F">
              <w:rPr>
                <w:rFonts w:ascii="Arial Narrow" w:hAnsi="Arial Narrow"/>
                <w:b/>
                <w:color w:val="000000"/>
                <w:sz w:val="20"/>
              </w:rPr>
              <w:t>$</w:t>
            </w:r>
            <w:r w:rsidR="00C60362">
              <w:rPr>
                <w:rFonts w:ascii="Arial Narrow" w:hAnsi="Arial Narrow"/>
                <w:b/>
                <w:noProof/>
                <w:color w:val="000000"/>
                <w:sz w:val="20"/>
                <w:highlight w:val="black"/>
              </w:rPr>
              <w:t>'''''''''''''''''''''''</w:t>
            </w:r>
          </w:p>
        </w:tc>
        <w:tc>
          <w:tcPr>
            <w:tcW w:w="754" w:type="pct"/>
            <w:shd w:val="clear" w:color="auto" w:fill="auto"/>
            <w:vAlign w:val="center"/>
          </w:tcPr>
          <w:p w:rsidR="00C25D9C" w:rsidRPr="0091351F" w:rsidRDefault="001F2E6D" w:rsidP="00DB2401">
            <w:pPr>
              <w:keepNext/>
              <w:keepLines/>
              <w:widowControl/>
              <w:jc w:val="right"/>
              <w:rPr>
                <w:rFonts w:ascii="Arial Narrow" w:hAnsi="Arial Narrow"/>
                <w:b/>
                <w:color w:val="000000"/>
                <w:sz w:val="20"/>
              </w:rPr>
            </w:pPr>
            <w:r w:rsidRPr="0091351F">
              <w:rPr>
                <w:rFonts w:ascii="Arial Narrow" w:hAnsi="Arial Narrow"/>
                <w:b/>
                <w:color w:val="000000"/>
                <w:sz w:val="20"/>
              </w:rPr>
              <w:t>$</w:t>
            </w:r>
            <w:r w:rsidR="00C60362">
              <w:rPr>
                <w:rFonts w:ascii="Arial Narrow" w:hAnsi="Arial Narrow"/>
                <w:b/>
                <w:noProof/>
                <w:color w:val="000000"/>
                <w:sz w:val="20"/>
                <w:highlight w:val="black"/>
              </w:rPr>
              <w:t>''''''''''''''''''''''</w:t>
            </w:r>
          </w:p>
        </w:tc>
      </w:tr>
    </w:tbl>
    <w:p w:rsidR="00C25D9C" w:rsidRPr="006C7BD4" w:rsidRDefault="00C25D9C" w:rsidP="00DB2401">
      <w:pPr>
        <w:pStyle w:val="TableFooter"/>
        <w:keepNext/>
        <w:keepLines/>
        <w:widowControl/>
        <w:ind w:left="720"/>
      </w:pPr>
      <w:r w:rsidRPr="00914021">
        <w:rPr>
          <w:vertAlign w:val="superscript"/>
        </w:rPr>
        <w:t>a</w:t>
      </w:r>
      <w:r w:rsidRPr="00914021">
        <w:t xml:space="preserve"> </w:t>
      </w:r>
      <w:r w:rsidRPr="006C7BD4">
        <w:t xml:space="preserve">Assuming </w:t>
      </w:r>
      <w:r w:rsidR="00C60362">
        <w:rPr>
          <w:noProof/>
          <w:color w:val="000000"/>
          <w:highlight w:val="black"/>
        </w:rPr>
        <w:t>'''''''''''''</w:t>
      </w:r>
      <w:r w:rsidRPr="0091351F">
        <w:t xml:space="preserve"> </w:t>
      </w:r>
      <w:r w:rsidR="00731014" w:rsidRPr="0091351F">
        <w:t>prescriptions</w:t>
      </w:r>
      <w:r w:rsidR="00731014" w:rsidRPr="006C7BD4">
        <w:t xml:space="preserve"> </w:t>
      </w:r>
      <w:r w:rsidRPr="006C7BD4">
        <w:t>per year as estimated by the submission.</w:t>
      </w:r>
    </w:p>
    <w:p w:rsidR="00C25D9C" w:rsidRPr="00731014" w:rsidRDefault="00C25D9C" w:rsidP="00DB2401">
      <w:pPr>
        <w:pStyle w:val="TableFooter"/>
        <w:keepNext/>
        <w:keepLines/>
        <w:widowControl/>
        <w:ind w:left="720"/>
      </w:pPr>
      <w:r w:rsidRPr="006C7BD4">
        <w:t>Source</w:t>
      </w:r>
      <w:r w:rsidR="001F2E6D" w:rsidRPr="006C7BD4">
        <w:t>: Section E Excel workbook</w:t>
      </w:r>
    </w:p>
    <w:p w:rsidR="008003F2" w:rsidRPr="00092455" w:rsidRDefault="008003F2" w:rsidP="00092455">
      <w:pPr>
        <w:keepNext/>
        <w:widowControl/>
        <w:rPr>
          <w:szCs w:val="22"/>
        </w:rPr>
      </w:pPr>
    </w:p>
    <w:p w:rsidR="00CF5962" w:rsidRPr="00CF5962" w:rsidRDefault="00CF5962" w:rsidP="000E5BA6">
      <w:pPr>
        <w:pStyle w:val="ListParagraph"/>
        <w:keepNext/>
        <w:widowControl/>
        <w:numPr>
          <w:ilvl w:val="1"/>
          <w:numId w:val="10"/>
        </w:numPr>
        <w:rPr>
          <w:szCs w:val="22"/>
        </w:rPr>
      </w:pPr>
      <w:r>
        <w:rPr>
          <w:szCs w:val="22"/>
        </w:rPr>
        <w:t xml:space="preserve">The net cost to Government of idelalisib was estimated to be </w:t>
      </w:r>
      <w:r w:rsidR="00CD2F6A">
        <w:rPr>
          <w:szCs w:val="22"/>
        </w:rPr>
        <w:t xml:space="preserve">$30 - $60 million per year </w:t>
      </w:r>
      <w:r>
        <w:rPr>
          <w:szCs w:val="22"/>
        </w:rPr>
        <w:t>over the first five years of listing.</w:t>
      </w:r>
      <w:r w:rsidR="000E5BA6">
        <w:rPr>
          <w:szCs w:val="22"/>
        </w:rPr>
        <w:t xml:space="preserve"> </w:t>
      </w:r>
      <w:r w:rsidR="000E5BA6" w:rsidRPr="000E5BA6">
        <w:rPr>
          <w:szCs w:val="22"/>
        </w:rPr>
        <w:t xml:space="preserve">At year 5, the estimated number of patients was </w:t>
      </w:r>
      <w:r w:rsidR="00CD2F6A">
        <w:rPr>
          <w:szCs w:val="22"/>
        </w:rPr>
        <w:t xml:space="preserve">less than 10,000 </w:t>
      </w:r>
      <w:r w:rsidR="000E5BA6" w:rsidRPr="000E5BA6">
        <w:rPr>
          <w:szCs w:val="22"/>
        </w:rPr>
        <w:t xml:space="preserve">and the net cost to the PBS would be </w:t>
      </w:r>
      <w:r w:rsidR="00CD2F6A" w:rsidRPr="00CD2F6A">
        <w:rPr>
          <w:szCs w:val="22"/>
        </w:rPr>
        <w:t>$10 - $20 million</w:t>
      </w:r>
      <w:r w:rsidR="000E5BA6" w:rsidRPr="0091351F">
        <w:rPr>
          <w:szCs w:val="22"/>
        </w:rPr>
        <w:t>.</w:t>
      </w:r>
    </w:p>
    <w:p w:rsidR="00CF5962" w:rsidRDefault="00CF5962" w:rsidP="00F61566">
      <w:pPr>
        <w:pStyle w:val="ListParagraph"/>
        <w:widowControl/>
        <w:rPr>
          <w:i/>
          <w:szCs w:val="22"/>
        </w:rPr>
      </w:pPr>
    </w:p>
    <w:p w:rsidR="00F256D2" w:rsidRPr="009832FA" w:rsidRDefault="000E5BA6" w:rsidP="006C7BD4">
      <w:pPr>
        <w:pStyle w:val="ListParagraph"/>
        <w:keepNext/>
        <w:widowControl/>
        <w:numPr>
          <w:ilvl w:val="1"/>
          <w:numId w:val="10"/>
        </w:numPr>
        <w:rPr>
          <w:szCs w:val="22"/>
        </w:rPr>
      </w:pPr>
      <w:r>
        <w:rPr>
          <w:szCs w:val="22"/>
        </w:rPr>
        <w:t>The evaluation considered that t</w:t>
      </w:r>
      <w:r w:rsidR="0050523C" w:rsidRPr="009832FA">
        <w:rPr>
          <w:szCs w:val="22"/>
        </w:rPr>
        <w:t>he</w:t>
      </w:r>
      <w:r w:rsidR="00BA560C" w:rsidRPr="009832FA">
        <w:rPr>
          <w:szCs w:val="22"/>
        </w:rPr>
        <w:t xml:space="preserve">re was potential for the </w:t>
      </w:r>
      <w:r w:rsidR="00493C78">
        <w:rPr>
          <w:szCs w:val="22"/>
        </w:rPr>
        <w:t xml:space="preserve">submission’s estimate of the </w:t>
      </w:r>
      <w:r w:rsidR="0050523C" w:rsidRPr="009832FA">
        <w:rPr>
          <w:szCs w:val="22"/>
        </w:rPr>
        <w:t xml:space="preserve">overall costs to </w:t>
      </w:r>
      <w:r w:rsidR="00F256D2" w:rsidRPr="009832FA">
        <w:rPr>
          <w:szCs w:val="22"/>
        </w:rPr>
        <w:t>Government</w:t>
      </w:r>
      <w:r w:rsidR="00493C78">
        <w:rPr>
          <w:szCs w:val="22"/>
        </w:rPr>
        <w:t xml:space="preserve"> </w:t>
      </w:r>
      <w:r w:rsidR="00BA560C" w:rsidRPr="009832FA">
        <w:rPr>
          <w:szCs w:val="22"/>
        </w:rPr>
        <w:t xml:space="preserve">to be </w:t>
      </w:r>
      <w:r w:rsidR="0050523C" w:rsidRPr="009832FA">
        <w:rPr>
          <w:szCs w:val="22"/>
        </w:rPr>
        <w:t>over or under estimate</w:t>
      </w:r>
      <w:r w:rsidR="00493C78">
        <w:rPr>
          <w:szCs w:val="22"/>
        </w:rPr>
        <w:t>d</w:t>
      </w:r>
      <w:r w:rsidR="0050523C" w:rsidRPr="009832FA">
        <w:rPr>
          <w:szCs w:val="22"/>
        </w:rPr>
        <w:t xml:space="preserve"> because</w:t>
      </w:r>
      <w:r w:rsidR="00F256D2" w:rsidRPr="009832FA">
        <w:rPr>
          <w:szCs w:val="22"/>
        </w:rPr>
        <w:t>:</w:t>
      </w:r>
    </w:p>
    <w:p w:rsidR="00817331" w:rsidRPr="009832FA" w:rsidRDefault="00817331" w:rsidP="00F61566">
      <w:pPr>
        <w:pStyle w:val="ListParagraph"/>
        <w:widowControl/>
        <w:numPr>
          <w:ilvl w:val="0"/>
          <w:numId w:val="42"/>
        </w:numPr>
      </w:pPr>
      <w:r w:rsidRPr="009832FA">
        <w:t xml:space="preserve">The number of eligible patients was </w:t>
      </w:r>
      <w:r w:rsidR="0050523C" w:rsidRPr="009832FA">
        <w:t>likely to be inaccurate</w:t>
      </w:r>
      <w:r w:rsidRPr="009832FA">
        <w:t xml:space="preserve"> </w:t>
      </w:r>
      <w:r w:rsidR="008C3615">
        <w:t>due to:</w:t>
      </w:r>
    </w:p>
    <w:p w:rsidR="00817331" w:rsidRPr="009832FA" w:rsidRDefault="00817331" w:rsidP="00F61566">
      <w:pPr>
        <w:pStyle w:val="ListParagraph"/>
        <w:widowControl/>
        <w:numPr>
          <w:ilvl w:val="0"/>
          <w:numId w:val="62"/>
        </w:numPr>
      </w:pPr>
      <w:r w:rsidRPr="009832FA">
        <w:t xml:space="preserve">The percentage of actively treated CLL patients </w:t>
      </w:r>
      <w:r w:rsidR="008C3615">
        <w:t>was</w:t>
      </w:r>
      <w:r w:rsidRPr="009832FA">
        <w:t xml:space="preserve"> based on US market data</w:t>
      </w:r>
      <w:r w:rsidR="0050523C" w:rsidRPr="009832FA">
        <w:t xml:space="preserve"> </w:t>
      </w:r>
      <w:r w:rsidR="00153F69" w:rsidRPr="009832FA">
        <w:rPr>
          <w:szCs w:val="24"/>
        </w:rPr>
        <w:t>which, though in line with UK data, was lower than values for five</w:t>
      </w:r>
      <w:r w:rsidR="00153F69">
        <w:rPr>
          <w:i/>
          <w:szCs w:val="24"/>
        </w:rPr>
        <w:t xml:space="preserve"> </w:t>
      </w:r>
      <w:r w:rsidR="00153F69" w:rsidRPr="009832FA">
        <w:rPr>
          <w:szCs w:val="24"/>
        </w:rPr>
        <w:t>European countries</w:t>
      </w:r>
      <w:r w:rsidR="00DF236E" w:rsidRPr="009832FA">
        <w:rPr>
          <w:szCs w:val="24"/>
        </w:rPr>
        <w:t xml:space="preserve"> </w:t>
      </w:r>
      <w:r w:rsidR="00153F69" w:rsidRPr="009832FA">
        <w:rPr>
          <w:szCs w:val="24"/>
        </w:rPr>
        <w:t xml:space="preserve">and </w:t>
      </w:r>
      <w:r w:rsidR="0050523C" w:rsidRPr="009832FA">
        <w:t>might not have reflected the Australian situation</w:t>
      </w:r>
      <w:r w:rsidR="00153F69" w:rsidRPr="009832FA">
        <w:t xml:space="preserve"> (potential under estimate)</w:t>
      </w:r>
      <w:r w:rsidR="00CF3C4B" w:rsidRPr="009832FA">
        <w:t>,</w:t>
      </w:r>
    </w:p>
    <w:p w:rsidR="00817331" w:rsidRPr="009832FA" w:rsidRDefault="00817331" w:rsidP="00F61566">
      <w:pPr>
        <w:pStyle w:val="ListParagraph"/>
        <w:widowControl/>
        <w:numPr>
          <w:ilvl w:val="0"/>
          <w:numId w:val="62"/>
        </w:numPr>
        <w:rPr>
          <w:szCs w:val="22"/>
        </w:rPr>
      </w:pPr>
      <w:r w:rsidRPr="009832FA">
        <w:t>The assumption that idelalisib would only replace second-line treatments for patients currently on non-cytotoxic treatments (under estimate);</w:t>
      </w:r>
    </w:p>
    <w:p w:rsidR="00D15B47" w:rsidRPr="009832FA" w:rsidRDefault="00D15B47" w:rsidP="00A47C4F">
      <w:pPr>
        <w:pStyle w:val="ListParagraph"/>
        <w:widowControl/>
        <w:numPr>
          <w:ilvl w:val="0"/>
          <w:numId w:val="42"/>
        </w:numPr>
        <w:rPr>
          <w:szCs w:val="22"/>
        </w:rPr>
      </w:pPr>
      <w:r w:rsidRPr="009832FA">
        <w:rPr>
          <w:szCs w:val="22"/>
        </w:rPr>
        <w:t xml:space="preserve">The proposed PBS restriction did not limit treatment to patients who could not tolerate further cytotoxic treatments. The assumption that </w:t>
      </w:r>
      <w:r w:rsidR="00CF3C4B" w:rsidRPr="009832FA">
        <w:rPr>
          <w:szCs w:val="22"/>
        </w:rPr>
        <w:t xml:space="preserve">the </w:t>
      </w:r>
      <w:r w:rsidRPr="009832FA">
        <w:rPr>
          <w:szCs w:val="22"/>
        </w:rPr>
        <w:t>35% of patients who receive</w:t>
      </w:r>
      <w:r w:rsidR="00CF3C4B" w:rsidRPr="009832FA">
        <w:rPr>
          <w:szCs w:val="22"/>
        </w:rPr>
        <w:t>d</w:t>
      </w:r>
      <w:r w:rsidRPr="009832FA">
        <w:rPr>
          <w:szCs w:val="22"/>
        </w:rPr>
        <w:t xml:space="preserve"> </w:t>
      </w:r>
      <w:r w:rsidR="00CF3C4B" w:rsidRPr="009832FA">
        <w:rPr>
          <w:szCs w:val="22"/>
        </w:rPr>
        <w:t xml:space="preserve">non-cytotoxic </w:t>
      </w:r>
      <w:r w:rsidRPr="009832FA">
        <w:rPr>
          <w:szCs w:val="22"/>
        </w:rPr>
        <w:t>second-line treatment</w:t>
      </w:r>
      <w:r w:rsidR="00CF3C4B" w:rsidRPr="009832FA">
        <w:rPr>
          <w:szCs w:val="22"/>
        </w:rPr>
        <w:t xml:space="preserve"> represented the eligible </w:t>
      </w:r>
      <w:r w:rsidR="00CF3C4B" w:rsidRPr="00DF013F">
        <w:rPr>
          <w:szCs w:val="22"/>
        </w:rPr>
        <w:t>population</w:t>
      </w:r>
      <w:r w:rsidRPr="00DF013F">
        <w:rPr>
          <w:szCs w:val="22"/>
        </w:rPr>
        <w:t xml:space="preserve"> may </w:t>
      </w:r>
      <w:r w:rsidR="00CF3C4B" w:rsidRPr="00DF013F">
        <w:rPr>
          <w:szCs w:val="22"/>
        </w:rPr>
        <w:t xml:space="preserve">have </w:t>
      </w:r>
      <w:r w:rsidRPr="00DF013F">
        <w:rPr>
          <w:szCs w:val="22"/>
        </w:rPr>
        <w:t>under estimate</w:t>
      </w:r>
      <w:r w:rsidR="00CF3C4B" w:rsidRPr="00DF013F">
        <w:rPr>
          <w:szCs w:val="22"/>
        </w:rPr>
        <w:t>d</w:t>
      </w:r>
      <w:r w:rsidRPr="00DF013F">
        <w:rPr>
          <w:szCs w:val="22"/>
        </w:rPr>
        <w:t xml:space="preserve"> the eligible </w:t>
      </w:r>
      <w:r w:rsidR="00CF3C4B" w:rsidRPr="00DF013F">
        <w:rPr>
          <w:szCs w:val="22"/>
        </w:rPr>
        <w:t xml:space="preserve">PBS </w:t>
      </w:r>
      <w:r w:rsidRPr="00DF013F">
        <w:rPr>
          <w:szCs w:val="22"/>
        </w:rPr>
        <w:t>population</w:t>
      </w:r>
      <w:r w:rsidR="00557363" w:rsidRPr="00DF013F">
        <w:rPr>
          <w:szCs w:val="22"/>
        </w:rPr>
        <w:t xml:space="preserve">. The ESC acknowledged that the PSCR’s revised PBS restriction may help address this </w:t>
      </w:r>
      <w:r w:rsidR="00A47C4F" w:rsidRPr="00164329">
        <w:rPr>
          <w:szCs w:val="22"/>
        </w:rPr>
        <w:t>issue</w:t>
      </w:r>
      <w:r w:rsidR="000E5BA6">
        <w:rPr>
          <w:szCs w:val="22"/>
        </w:rPr>
        <w:t>;</w:t>
      </w:r>
    </w:p>
    <w:p w:rsidR="00817331" w:rsidRPr="00914021" w:rsidRDefault="00817331" w:rsidP="00F61566">
      <w:pPr>
        <w:pStyle w:val="ListParagraph"/>
        <w:widowControl/>
        <w:numPr>
          <w:ilvl w:val="0"/>
          <w:numId w:val="42"/>
        </w:numPr>
      </w:pPr>
      <w:r w:rsidRPr="009832FA">
        <w:t xml:space="preserve">The inappropriate estimates </w:t>
      </w:r>
      <w:r w:rsidR="00CF3C4B" w:rsidRPr="009832FA">
        <w:t xml:space="preserve">used to calculate </w:t>
      </w:r>
      <w:r w:rsidRPr="009832FA">
        <w:t>init</w:t>
      </w:r>
      <w:r w:rsidR="00CF3C4B" w:rsidRPr="009832FA">
        <w:t xml:space="preserve">iating and continuing patients </w:t>
      </w:r>
      <w:r w:rsidRPr="009832FA">
        <w:t xml:space="preserve">suggested a much longer </w:t>
      </w:r>
      <w:r w:rsidRPr="00914021">
        <w:t>treatment duration per patient tha</w:t>
      </w:r>
      <w:r w:rsidR="008C3615">
        <w:t>n</w:t>
      </w:r>
      <w:r w:rsidRPr="00914021">
        <w:t xml:space="preserve"> what was predicted </w:t>
      </w:r>
      <w:r w:rsidRPr="006C7BD4">
        <w:t>in the economic evaluation;</w:t>
      </w:r>
    </w:p>
    <w:p w:rsidR="00415215" w:rsidRPr="009832FA" w:rsidRDefault="00415215" w:rsidP="00F61566">
      <w:pPr>
        <w:pStyle w:val="ListParagraph"/>
        <w:widowControl/>
        <w:numPr>
          <w:ilvl w:val="0"/>
          <w:numId w:val="42"/>
        </w:numPr>
      </w:pPr>
      <w:r w:rsidRPr="00914021">
        <w:t xml:space="preserve">Changes in the CLL market </w:t>
      </w:r>
      <w:r w:rsidR="00153F69" w:rsidRPr="00914021">
        <w:t>as a result of</w:t>
      </w:r>
      <w:r w:rsidRPr="00914021">
        <w:t xml:space="preserve"> the</w:t>
      </w:r>
      <w:r w:rsidRPr="009832FA">
        <w:t xml:space="preserve"> </w:t>
      </w:r>
      <w:r w:rsidR="004F733E" w:rsidRPr="009832FA">
        <w:t>amended</w:t>
      </w:r>
      <w:r w:rsidRPr="009832FA">
        <w:t xml:space="preserve"> rituximab PBS listing (1</w:t>
      </w:r>
      <w:r w:rsidR="008C3615">
        <w:t> </w:t>
      </w:r>
      <w:r w:rsidRPr="009832FA">
        <w:t xml:space="preserve">December 2014) and the PBAC recommendation </w:t>
      </w:r>
      <w:r w:rsidR="00153F69" w:rsidRPr="009832FA">
        <w:t>for</w:t>
      </w:r>
      <w:r w:rsidRPr="009832FA">
        <w:t xml:space="preserve"> listing ofatumumab in the first-line setting (unclear); and</w:t>
      </w:r>
    </w:p>
    <w:p w:rsidR="00F256D2" w:rsidRPr="009832FA" w:rsidRDefault="000C3E04" w:rsidP="00F61566">
      <w:pPr>
        <w:pStyle w:val="ListParagraph"/>
        <w:widowControl/>
        <w:numPr>
          <w:ilvl w:val="0"/>
          <w:numId w:val="42"/>
        </w:numPr>
        <w:rPr>
          <w:szCs w:val="22"/>
        </w:rPr>
      </w:pPr>
      <w:r w:rsidRPr="009832FA">
        <w:t>The submission only considered cost off-sets for rituximab monotherapy</w:t>
      </w:r>
      <w:r w:rsidR="00153F69" w:rsidRPr="009832FA">
        <w:t xml:space="preserve"> </w:t>
      </w:r>
      <w:r w:rsidR="00AD64A0">
        <w:t xml:space="preserve">and this would not be appropriate if idelalisib replaces other therapies </w:t>
      </w:r>
      <w:r w:rsidR="00153F69" w:rsidRPr="009832FA">
        <w:t>(under estimation)</w:t>
      </w:r>
      <w:r w:rsidRPr="009832FA">
        <w:t>.</w:t>
      </w:r>
    </w:p>
    <w:p w:rsidR="00F256D2" w:rsidRDefault="00F256D2" w:rsidP="00F61566">
      <w:pPr>
        <w:pStyle w:val="ListParagraph"/>
        <w:widowControl/>
        <w:rPr>
          <w:szCs w:val="22"/>
        </w:rPr>
      </w:pPr>
    </w:p>
    <w:p w:rsidR="00FE543C" w:rsidRPr="00FE543C" w:rsidRDefault="00FE543C" w:rsidP="00FE543C">
      <w:pPr>
        <w:pStyle w:val="ListParagraph"/>
        <w:numPr>
          <w:ilvl w:val="1"/>
          <w:numId w:val="10"/>
        </w:numPr>
        <w:rPr>
          <w:szCs w:val="22"/>
        </w:rPr>
      </w:pPr>
      <w:r w:rsidRPr="00FE543C">
        <w:rPr>
          <w:szCs w:val="22"/>
        </w:rPr>
        <w:t>The</w:t>
      </w:r>
      <w:r>
        <w:rPr>
          <w:szCs w:val="22"/>
        </w:rPr>
        <w:t xml:space="preserve"> evaluation and ESC considered that the</w:t>
      </w:r>
      <w:r w:rsidRPr="00FE543C">
        <w:rPr>
          <w:szCs w:val="22"/>
        </w:rPr>
        <w:t xml:space="preserve"> submission</w:t>
      </w:r>
      <w:r>
        <w:rPr>
          <w:szCs w:val="22"/>
        </w:rPr>
        <w:t xml:space="preserve"> had</w:t>
      </w:r>
      <w:r w:rsidRPr="00FE543C">
        <w:rPr>
          <w:szCs w:val="22"/>
        </w:rPr>
        <w:t xml:space="preserve"> inappropriately assumed that in year 5 of listing approximately one in ten patients w</w:t>
      </w:r>
      <w:r>
        <w:rPr>
          <w:szCs w:val="22"/>
        </w:rPr>
        <w:t>ould be</w:t>
      </w:r>
      <w:r w:rsidRPr="00FE543C">
        <w:rPr>
          <w:szCs w:val="22"/>
        </w:rPr>
        <w:t xml:space="preserve"> new (initiating) patients, while the remainder w</w:t>
      </w:r>
      <w:r>
        <w:rPr>
          <w:szCs w:val="22"/>
        </w:rPr>
        <w:t>ould be</w:t>
      </w:r>
      <w:r w:rsidRPr="00FE543C">
        <w:rPr>
          <w:szCs w:val="22"/>
        </w:rPr>
        <w:t xml:space="preserve"> continuing patients. Th</w:t>
      </w:r>
      <w:r>
        <w:rPr>
          <w:szCs w:val="22"/>
        </w:rPr>
        <w:t>e evaluation considered that th</w:t>
      </w:r>
      <w:r w:rsidRPr="00FE543C">
        <w:rPr>
          <w:szCs w:val="22"/>
        </w:rPr>
        <w:t xml:space="preserve">is did not reflect the treatment duration of idelalisib which </w:t>
      </w:r>
      <w:r>
        <w:rPr>
          <w:szCs w:val="22"/>
        </w:rPr>
        <w:t xml:space="preserve">is </w:t>
      </w:r>
      <w:r w:rsidRPr="00FE543C">
        <w:rPr>
          <w:szCs w:val="22"/>
        </w:rPr>
        <w:t>until disease progression and was estimated to be 17 months. The</w:t>
      </w:r>
      <w:r>
        <w:rPr>
          <w:szCs w:val="22"/>
        </w:rPr>
        <w:t xml:space="preserve"> evaluation considered that this assumption would result in an overestimation of the </w:t>
      </w:r>
      <w:r w:rsidRPr="00FE543C">
        <w:rPr>
          <w:szCs w:val="22"/>
        </w:rPr>
        <w:t>number of scripts per patient.</w:t>
      </w:r>
    </w:p>
    <w:p w:rsidR="00FE543C" w:rsidRPr="00BA5DC3" w:rsidRDefault="00FE543C" w:rsidP="00164329">
      <w:pPr>
        <w:pStyle w:val="ListParagraph"/>
        <w:widowControl/>
        <w:rPr>
          <w:szCs w:val="22"/>
        </w:rPr>
      </w:pPr>
    </w:p>
    <w:p w:rsidR="00442B2C" w:rsidRPr="00BA5DC3" w:rsidRDefault="00442B2C" w:rsidP="00E01AF9">
      <w:pPr>
        <w:pStyle w:val="ListParagraph"/>
        <w:widowControl/>
        <w:numPr>
          <w:ilvl w:val="1"/>
          <w:numId w:val="10"/>
        </w:numPr>
        <w:rPr>
          <w:szCs w:val="22"/>
        </w:rPr>
      </w:pPr>
      <w:r w:rsidRPr="00BC1DB2">
        <w:rPr>
          <w:szCs w:val="22"/>
        </w:rPr>
        <w:lastRenderedPageBreak/>
        <w:t>The submission</w:t>
      </w:r>
      <w:r w:rsidR="00AD64A0" w:rsidRPr="00BC1DB2">
        <w:rPr>
          <w:szCs w:val="22"/>
        </w:rPr>
        <w:t xml:space="preserve">’s financial estimates were based on </w:t>
      </w:r>
      <w:r w:rsidR="00CF1959" w:rsidRPr="00BC1DB2">
        <w:rPr>
          <w:szCs w:val="22"/>
        </w:rPr>
        <w:t>idelalisib plus rituximab replac</w:t>
      </w:r>
      <w:r w:rsidR="00AD64A0" w:rsidRPr="00BC1DB2">
        <w:rPr>
          <w:szCs w:val="22"/>
        </w:rPr>
        <w:t>ing</w:t>
      </w:r>
      <w:r w:rsidR="00CF1959" w:rsidRPr="00BC1DB2">
        <w:rPr>
          <w:szCs w:val="22"/>
        </w:rPr>
        <w:t xml:space="preserve"> rituximab monotherapy</w:t>
      </w:r>
      <w:r w:rsidR="00AD64A0" w:rsidRPr="00BC1DB2">
        <w:rPr>
          <w:szCs w:val="22"/>
        </w:rPr>
        <w:t>, and the submission included financial offsets from reduced use of rituximab monotherapy</w:t>
      </w:r>
      <w:r w:rsidR="00E01AF9" w:rsidRPr="00BC1DB2">
        <w:rPr>
          <w:szCs w:val="22"/>
        </w:rPr>
        <w:t>,</w:t>
      </w:r>
      <w:r w:rsidR="00E01AF9" w:rsidRPr="00BA5DC3">
        <w:t xml:space="preserve"> </w:t>
      </w:r>
      <w:r w:rsidR="00E01AF9" w:rsidRPr="00BC1DB2">
        <w:rPr>
          <w:szCs w:val="22"/>
        </w:rPr>
        <w:t>including drug costs and administration costs</w:t>
      </w:r>
      <w:r w:rsidR="00AD64A0" w:rsidRPr="00BC1DB2">
        <w:rPr>
          <w:szCs w:val="22"/>
        </w:rPr>
        <w:t xml:space="preserve">. However, such use of rituximab is not in line with its PBS restriction. </w:t>
      </w:r>
    </w:p>
    <w:p w:rsidR="00442B2C" w:rsidRDefault="00442B2C" w:rsidP="00164329">
      <w:pPr>
        <w:pStyle w:val="ListParagraph"/>
      </w:pPr>
    </w:p>
    <w:p w:rsidR="00F256D2" w:rsidRPr="00914021" w:rsidRDefault="00CF5962" w:rsidP="00F61566">
      <w:pPr>
        <w:pStyle w:val="ListParagraph"/>
        <w:widowControl/>
        <w:numPr>
          <w:ilvl w:val="1"/>
          <w:numId w:val="10"/>
        </w:numPr>
        <w:rPr>
          <w:szCs w:val="22"/>
        </w:rPr>
      </w:pPr>
      <w:r w:rsidRPr="00914021">
        <w:t xml:space="preserve">Sensitivity analyses suggest that the cost was impacted by the proportion of patients eligible for idelalisib (as per </w:t>
      </w:r>
      <w:r w:rsidR="008C3615">
        <w:t>t</w:t>
      </w:r>
      <w:r w:rsidRPr="00914021">
        <w:t>ab</w:t>
      </w:r>
      <w:r w:rsidR="000C3E04" w:rsidRPr="00914021">
        <w:t xml:space="preserve">le </w:t>
      </w:r>
      <w:r w:rsidR="008C3615">
        <w:t>below</w:t>
      </w:r>
      <w:r w:rsidRPr="00914021">
        <w:t>).</w:t>
      </w:r>
    </w:p>
    <w:p w:rsidR="00CF5962" w:rsidRPr="00914021" w:rsidRDefault="00CF5962" w:rsidP="00F61566">
      <w:pPr>
        <w:pStyle w:val="ListParagraph"/>
        <w:widowControl/>
        <w:rPr>
          <w:color w:val="3366FF"/>
        </w:rPr>
      </w:pPr>
    </w:p>
    <w:p w:rsidR="00CF5962" w:rsidRPr="00914021" w:rsidRDefault="00CF5962" w:rsidP="00F61566">
      <w:pPr>
        <w:keepNext/>
        <w:widowControl/>
        <w:ind w:firstLine="720"/>
        <w:rPr>
          <w:rStyle w:val="CommentReference"/>
        </w:rPr>
      </w:pPr>
      <w:r w:rsidRPr="00914021">
        <w:rPr>
          <w:rStyle w:val="CommentReference"/>
        </w:rPr>
        <w:t xml:space="preserve">Sensitivity analyses of the total net cost to Government </w:t>
      </w:r>
    </w:p>
    <w:tbl>
      <w:tblPr>
        <w:tblStyle w:val="TableGrid"/>
        <w:tblW w:w="8363" w:type="dxa"/>
        <w:tblInd w:w="737" w:type="dxa"/>
        <w:tblLayout w:type="fixed"/>
        <w:tblLook w:val="04A0" w:firstRow="1" w:lastRow="0" w:firstColumn="1" w:lastColumn="0" w:noHBand="0" w:noVBand="1"/>
        <w:tblCaption w:val="Sensitivity analyses of the total net cost to Government "/>
        <w:tblDescription w:val="Year 1 to 5"/>
      </w:tblPr>
      <w:tblGrid>
        <w:gridCol w:w="3402"/>
        <w:gridCol w:w="992"/>
        <w:gridCol w:w="993"/>
        <w:gridCol w:w="992"/>
        <w:gridCol w:w="992"/>
        <w:gridCol w:w="992"/>
      </w:tblGrid>
      <w:tr w:rsidR="00CF5962" w:rsidRPr="00914021" w:rsidTr="00731014">
        <w:trPr>
          <w:cantSplit/>
          <w:tblHeader/>
        </w:trPr>
        <w:tc>
          <w:tcPr>
            <w:tcW w:w="3402" w:type="dxa"/>
            <w:tcMar>
              <w:left w:w="28" w:type="dxa"/>
              <w:right w:w="28" w:type="dxa"/>
            </w:tcMar>
          </w:tcPr>
          <w:p w:rsidR="00CF5962" w:rsidRPr="00914021" w:rsidRDefault="00CF5962" w:rsidP="00F61566">
            <w:pPr>
              <w:keepNext/>
              <w:widowControl/>
              <w:rPr>
                <w:rStyle w:val="TableText1"/>
              </w:rPr>
            </w:pPr>
          </w:p>
        </w:tc>
        <w:tc>
          <w:tcPr>
            <w:tcW w:w="992" w:type="dxa"/>
            <w:tcMar>
              <w:left w:w="28" w:type="dxa"/>
              <w:right w:w="28" w:type="dxa"/>
            </w:tcMar>
          </w:tcPr>
          <w:p w:rsidR="00CF5962" w:rsidRPr="00914021" w:rsidRDefault="00CF5962" w:rsidP="00F61566">
            <w:pPr>
              <w:keepNext/>
              <w:widowControl/>
              <w:jc w:val="center"/>
              <w:rPr>
                <w:rStyle w:val="TableText1"/>
                <w:b/>
              </w:rPr>
            </w:pPr>
            <w:r w:rsidRPr="00914021">
              <w:rPr>
                <w:rStyle w:val="TableText1"/>
                <w:b/>
              </w:rPr>
              <w:t>Year 1</w:t>
            </w:r>
          </w:p>
        </w:tc>
        <w:tc>
          <w:tcPr>
            <w:tcW w:w="993" w:type="dxa"/>
            <w:tcMar>
              <w:left w:w="28" w:type="dxa"/>
              <w:right w:w="28" w:type="dxa"/>
            </w:tcMar>
          </w:tcPr>
          <w:p w:rsidR="00CF5962" w:rsidRPr="00914021" w:rsidRDefault="00CF5962" w:rsidP="00F61566">
            <w:pPr>
              <w:keepNext/>
              <w:widowControl/>
              <w:jc w:val="center"/>
              <w:rPr>
                <w:rStyle w:val="TableText1"/>
                <w:b/>
              </w:rPr>
            </w:pPr>
            <w:r w:rsidRPr="00914021">
              <w:rPr>
                <w:rStyle w:val="TableText1"/>
                <w:b/>
              </w:rPr>
              <w:t>Year 2</w:t>
            </w:r>
          </w:p>
        </w:tc>
        <w:tc>
          <w:tcPr>
            <w:tcW w:w="992" w:type="dxa"/>
            <w:tcMar>
              <w:left w:w="28" w:type="dxa"/>
              <w:right w:w="28" w:type="dxa"/>
            </w:tcMar>
          </w:tcPr>
          <w:p w:rsidR="00CF5962" w:rsidRPr="00914021" w:rsidRDefault="00CF5962" w:rsidP="00F61566">
            <w:pPr>
              <w:keepNext/>
              <w:widowControl/>
              <w:jc w:val="center"/>
              <w:rPr>
                <w:rStyle w:val="TableText1"/>
                <w:b/>
              </w:rPr>
            </w:pPr>
            <w:r w:rsidRPr="00914021">
              <w:rPr>
                <w:rStyle w:val="TableText1"/>
                <w:b/>
              </w:rPr>
              <w:t>Year 3</w:t>
            </w:r>
          </w:p>
        </w:tc>
        <w:tc>
          <w:tcPr>
            <w:tcW w:w="992" w:type="dxa"/>
            <w:tcMar>
              <w:left w:w="28" w:type="dxa"/>
              <w:right w:w="28" w:type="dxa"/>
            </w:tcMar>
          </w:tcPr>
          <w:p w:rsidR="00CF5962" w:rsidRPr="00914021" w:rsidRDefault="00CF5962" w:rsidP="00F61566">
            <w:pPr>
              <w:keepNext/>
              <w:widowControl/>
              <w:jc w:val="center"/>
              <w:rPr>
                <w:rStyle w:val="TableText1"/>
                <w:b/>
              </w:rPr>
            </w:pPr>
            <w:r w:rsidRPr="00914021">
              <w:rPr>
                <w:rStyle w:val="TableText1"/>
                <w:b/>
              </w:rPr>
              <w:t>Year 4</w:t>
            </w:r>
          </w:p>
        </w:tc>
        <w:tc>
          <w:tcPr>
            <w:tcW w:w="992" w:type="dxa"/>
            <w:tcMar>
              <w:left w:w="28" w:type="dxa"/>
              <w:right w:w="28" w:type="dxa"/>
            </w:tcMar>
          </w:tcPr>
          <w:p w:rsidR="00CF5962" w:rsidRPr="00914021" w:rsidRDefault="00CF5962" w:rsidP="00F61566">
            <w:pPr>
              <w:keepNext/>
              <w:widowControl/>
              <w:jc w:val="center"/>
              <w:rPr>
                <w:rStyle w:val="TableText1"/>
                <w:b/>
              </w:rPr>
            </w:pPr>
            <w:r w:rsidRPr="00914021">
              <w:rPr>
                <w:rStyle w:val="TableText1"/>
                <w:b/>
              </w:rPr>
              <w:t>Year 5</w:t>
            </w:r>
          </w:p>
        </w:tc>
      </w:tr>
      <w:tr w:rsidR="00CF5962" w:rsidRPr="00914021" w:rsidTr="00731014">
        <w:trPr>
          <w:cantSplit/>
        </w:trPr>
        <w:tc>
          <w:tcPr>
            <w:tcW w:w="3402" w:type="dxa"/>
            <w:tcMar>
              <w:left w:w="28" w:type="dxa"/>
              <w:right w:w="28" w:type="dxa"/>
            </w:tcMar>
          </w:tcPr>
          <w:p w:rsidR="00CF5962" w:rsidRPr="00914021" w:rsidRDefault="00CF5962" w:rsidP="00F61566">
            <w:pPr>
              <w:keepNext/>
              <w:widowControl/>
              <w:rPr>
                <w:rStyle w:val="TableText1"/>
              </w:rPr>
            </w:pPr>
            <w:r w:rsidRPr="00914021">
              <w:rPr>
                <w:rStyle w:val="TableText1"/>
              </w:rPr>
              <w:t>Base case</w:t>
            </w:r>
          </w:p>
        </w:tc>
        <w:tc>
          <w:tcPr>
            <w:tcW w:w="992" w:type="dxa"/>
            <w:tcMar>
              <w:left w:w="28" w:type="dxa"/>
              <w:right w:w="28" w:type="dxa"/>
            </w:tcMar>
            <w:vAlign w:val="bottom"/>
          </w:tcPr>
          <w:p w:rsidR="00CF5962" w:rsidRPr="0091351F" w:rsidRDefault="00CF5962" w:rsidP="00F61566">
            <w:pPr>
              <w:keepNext/>
              <w:widowControl/>
              <w:jc w:val="right"/>
              <w:rPr>
                <w:rStyle w:val="TableText1"/>
                <w:b/>
              </w:rPr>
            </w:pPr>
            <w:r w:rsidRPr="0091351F">
              <w:rPr>
                <w:rStyle w:val="TableText1"/>
                <w:b/>
              </w:rPr>
              <w:t>$</w:t>
            </w:r>
            <w:r w:rsidR="00C60362">
              <w:rPr>
                <w:rStyle w:val="TableText1"/>
                <w:b/>
                <w:noProof/>
                <w:color w:val="000000"/>
                <w:highlight w:val="black"/>
              </w:rPr>
              <w:t>''''''''''''''''''</w:t>
            </w:r>
          </w:p>
        </w:tc>
        <w:tc>
          <w:tcPr>
            <w:tcW w:w="993" w:type="dxa"/>
            <w:tcMar>
              <w:left w:w="28" w:type="dxa"/>
              <w:right w:w="28" w:type="dxa"/>
            </w:tcMar>
            <w:vAlign w:val="bottom"/>
          </w:tcPr>
          <w:p w:rsidR="00CF5962" w:rsidRPr="0091351F" w:rsidRDefault="00CF5962" w:rsidP="00F61566">
            <w:pPr>
              <w:keepNext/>
              <w:widowControl/>
              <w:jc w:val="right"/>
              <w:rPr>
                <w:rStyle w:val="TableText1"/>
                <w:b/>
              </w:rPr>
            </w:pPr>
            <w:r w:rsidRPr="0091351F">
              <w:rPr>
                <w:rStyle w:val="TableText1"/>
                <w:b/>
              </w:rPr>
              <w:t>$</w:t>
            </w:r>
            <w:r w:rsidR="00C60362">
              <w:rPr>
                <w:rStyle w:val="TableText1"/>
                <w:b/>
                <w:noProof/>
                <w:color w:val="000000"/>
                <w:highlight w:val="black"/>
              </w:rPr>
              <w:t>'''''''''''''''''''''</w:t>
            </w:r>
          </w:p>
        </w:tc>
        <w:tc>
          <w:tcPr>
            <w:tcW w:w="992" w:type="dxa"/>
            <w:tcMar>
              <w:left w:w="28" w:type="dxa"/>
              <w:right w:w="28" w:type="dxa"/>
            </w:tcMar>
            <w:vAlign w:val="bottom"/>
          </w:tcPr>
          <w:p w:rsidR="00CF5962" w:rsidRPr="0091351F" w:rsidRDefault="00CF5962" w:rsidP="00F61566">
            <w:pPr>
              <w:keepNext/>
              <w:widowControl/>
              <w:jc w:val="right"/>
              <w:rPr>
                <w:rStyle w:val="TableText1"/>
                <w:b/>
              </w:rPr>
            </w:pPr>
            <w:r w:rsidRPr="0091351F">
              <w:rPr>
                <w:rStyle w:val="TableText1"/>
                <w:b/>
              </w:rPr>
              <w:t>$</w:t>
            </w:r>
            <w:r w:rsidR="00C60362">
              <w:rPr>
                <w:rStyle w:val="TableText1"/>
                <w:b/>
                <w:noProof/>
                <w:color w:val="000000"/>
                <w:highlight w:val="black"/>
              </w:rPr>
              <w:t>''''''''''''''''''''</w:t>
            </w:r>
          </w:p>
        </w:tc>
        <w:tc>
          <w:tcPr>
            <w:tcW w:w="992" w:type="dxa"/>
            <w:tcMar>
              <w:left w:w="28" w:type="dxa"/>
              <w:right w:w="28" w:type="dxa"/>
            </w:tcMar>
            <w:vAlign w:val="bottom"/>
          </w:tcPr>
          <w:p w:rsidR="00CF5962" w:rsidRPr="0091351F" w:rsidRDefault="00CF5962" w:rsidP="00F61566">
            <w:pPr>
              <w:keepNext/>
              <w:widowControl/>
              <w:jc w:val="right"/>
              <w:rPr>
                <w:rStyle w:val="TableText1"/>
                <w:b/>
              </w:rPr>
            </w:pPr>
            <w:r w:rsidRPr="0091351F">
              <w:rPr>
                <w:rStyle w:val="TableText1"/>
                <w:b/>
              </w:rPr>
              <w:t>$</w:t>
            </w:r>
            <w:r w:rsidR="00C60362">
              <w:rPr>
                <w:rStyle w:val="TableText1"/>
                <w:b/>
                <w:noProof/>
                <w:color w:val="000000"/>
                <w:highlight w:val="black"/>
              </w:rPr>
              <w:t>'''''''''''''''''''''</w:t>
            </w:r>
          </w:p>
        </w:tc>
        <w:tc>
          <w:tcPr>
            <w:tcW w:w="992" w:type="dxa"/>
            <w:tcMar>
              <w:left w:w="28" w:type="dxa"/>
              <w:right w:w="28" w:type="dxa"/>
            </w:tcMar>
            <w:vAlign w:val="bottom"/>
          </w:tcPr>
          <w:p w:rsidR="00CF5962" w:rsidRPr="0091351F" w:rsidRDefault="00CF5962" w:rsidP="00F61566">
            <w:pPr>
              <w:keepNext/>
              <w:widowControl/>
              <w:jc w:val="right"/>
              <w:rPr>
                <w:rStyle w:val="TableText1"/>
                <w:b/>
              </w:rPr>
            </w:pPr>
            <w:r w:rsidRPr="0091351F">
              <w:rPr>
                <w:rStyle w:val="TableText1"/>
                <w:b/>
              </w:rPr>
              <w:t>$</w:t>
            </w:r>
            <w:r w:rsidR="00C60362">
              <w:rPr>
                <w:rStyle w:val="TableText1"/>
                <w:b/>
                <w:noProof/>
                <w:color w:val="000000"/>
                <w:highlight w:val="black"/>
              </w:rPr>
              <w:t>'''''''''''''''''''''''</w:t>
            </w:r>
          </w:p>
        </w:tc>
      </w:tr>
      <w:tr w:rsidR="00CF5962" w:rsidRPr="00914021" w:rsidTr="00731014">
        <w:trPr>
          <w:cantSplit/>
        </w:trPr>
        <w:tc>
          <w:tcPr>
            <w:tcW w:w="3402" w:type="dxa"/>
            <w:tcMar>
              <w:left w:w="28" w:type="dxa"/>
              <w:right w:w="28" w:type="dxa"/>
            </w:tcMar>
          </w:tcPr>
          <w:p w:rsidR="00CF5962" w:rsidRPr="00914021" w:rsidRDefault="00CF5962" w:rsidP="00F61566">
            <w:pPr>
              <w:keepNext/>
              <w:widowControl/>
              <w:rPr>
                <w:rStyle w:val="TableText1"/>
              </w:rPr>
            </w:pPr>
            <w:r w:rsidRPr="00914021">
              <w:rPr>
                <w:rStyle w:val="TableText1"/>
              </w:rPr>
              <w:t>Actively treated CLL (base case = 23%)</w:t>
            </w:r>
          </w:p>
          <w:p w:rsidR="00CF5962" w:rsidRPr="00914021" w:rsidRDefault="00CF5962" w:rsidP="00F61566">
            <w:pPr>
              <w:keepNext/>
              <w:widowControl/>
              <w:ind w:firstLine="176"/>
              <w:rPr>
                <w:rStyle w:val="TableText1"/>
              </w:rPr>
            </w:pPr>
            <w:r w:rsidRPr="00914021">
              <w:rPr>
                <w:rStyle w:val="TableText1"/>
              </w:rPr>
              <w:t>30%</w:t>
            </w:r>
          </w:p>
          <w:p w:rsidR="00CF5962" w:rsidRPr="006C7BD4" w:rsidRDefault="00CF5962" w:rsidP="00F61566">
            <w:pPr>
              <w:keepNext/>
              <w:widowControl/>
              <w:ind w:firstLine="176"/>
              <w:rPr>
                <w:rStyle w:val="TableText1"/>
              </w:rPr>
            </w:pPr>
            <w:r w:rsidRPr="006C7BD4">
              <w:rPr>
                <w:rStyle w:val="TableText1"/>
              </w:rPr>
              <w:t>15%</w:t>
            </w:r>
          </w:p>
        </w:tc>
        <w:tc>
          <w:tcPr>
            <w:tcW w:w="992" w:type="dxa"/>
            <w:tcMar>
              <w:left w:w="28" w:type="dxa"/>
              <w:right w:w="28" w:type="dxa"/>
            </w:tcMar>
          </w:tcPr>
          <w:p w:rsidR="00CF5962" w:rsidRPr="0091351F" w:rsidRDefault="00CF5962" w:rsidP="00F61566">
            <w:pPr>
              <w:keepNext/>
              <w:widowControl/>
              <w:jc w:val="right"/>
              <w:rPr>
                <w:rStyle w:val="TableText1"/>
              </w:rPr>
            </w:pP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tc>
        <w:tc>
          <w:tcPr>
            <w:tcW w:w="993" w:type="dxa"/>
            <w:tcMar>
              <w:left w:w="28" w:type="dxa"/>
              <w:right w:w="28" w:type="dxa"/>
            </w:tcMar>
          </w:tcPr>
          <w:p w:rsidR="00CF5962" w:rsidRPr="0091351F" w:rsidRDefault="00CF5962" w:rsidP="00F61566">
            <w:pPr>
              <w:keepNext/>
              <w:widowControl/>
              <w:jc w:val="right"/>
              <w:rPr>
                <w:rStyle w:val="TableText1"/>
              </w:rPr>
            </w:pP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tc>
        <w:tc>
          <w:tcPr>
            <w:tcW w:w="992" w:type="dxa"/>
            <w:tcMar>
              <w:left w:w="28" w:type="dxa"/>
              <w:right w:w="28" w:type="dxa"/>
            </w:tcMar>
          </w:tcPr>
          <w:p w:rsidR="00CF5962" w:rsidRPr="0091351F" w:rsidRDefault="00CF5962" w:rsidP="00F61566">
            <w:pPr>
              <w:keepNext/>
              <w:widowControl/>
              <w:jc w:val="right"/>
              <w:rPr>
                <w:rStyle w:val="TableText1"/>
              </w:rPr>
            </w:pP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tc>
        <w:tc>
          <w:tcPr>
            <w:tcW w:w="992" w:type="dxa"/>
            <w:tcMar>
              <w:left w:w="28" w:type="dxa"/>
              <w:right w:w="28" w:type="dxa"/>
            </w:tcMar>
          </w:tcPr>
          <w:p w:rsidR="00CF5962" w:rsidRPr="0091351F" w:rsidRDefault="00CF5962" w:rsidP="00F61566">
            <w:pPr>
              <w:keepNext/>
              <w:widowControl/>
              <w:jc w:val="right"/>
              <w:rPr>
                <w:rStyle w:val="TableText1"/>
              </w:rPr>
            </w:pP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tc>
        <w:tc>
          <w:tcPr>
            <w:tcW w:w="992" w:type="dxa"/>
            <w:tcMar>
              <w:left w:w="28" w:type="dxa"/>
              <w:right w:w="28" w:type="dxa"/>
            </w:tcMar>
          </w:tcPr>
          <w:p w:rsidR="00CF5962" w:rsidRPr="0091351F" w:rsidRDefault="00CF5962" w:rsidP="00F61566">
            <w:pPr>
              <w:keepNext/>
              <w:widowControl/>
              <w:jc w:val="right"/>
              <w:rPr>
                <w:rStyle w:val="TableText1"/>
              </w:rPr>
            </w:pP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p w:rsidR="00CF5962" w:rsidRPr="0091351F" w:rsidRDefault="00CF5962" w:rsidP="00F61566">
            <w:pPr>
              <w:keepNext/>
              <w:widowControl/>
              <w:jc w:val="right"/>
              <w:rPr>
                <w:rStyle w:val="TableText1"/>
              </w:rPr>
            </w:pPr>
            <w:r w:rsidRPr="0091351F">
              <w:rPr>
                <w:rStyle w:val="TableText1"/>
              </w:rPr>
              <w:t>$</w:t>
            </w:r>
            <w:r w:rsidR="00C60362">
              <w:rPr>
                <w:rStyle w:val="TableText1"/>
                <w:noProof/>
                <w:color w:val="000000"/>
                <w:highlight w:val="black"/>
              </w:rPr>
              <w:t>'''''''''''''''''''''''</w:t>
            </w:r>
          </w:p>
        </w:tc>
      </w:tr>
      <w:tr w:rsidR="00CF3C4B" w:rsidRPr="00914021" w:rsidTr="00BD3836">
        <w:trPr>
          <w:cantSplit/>
          <w:trHeight w:val="896"/>
        </w:trPr>
        <w:tc>
          <w:tcPr>
            <w:tcW w:w="3402" w:type="dxa"/>
            <w:tcMar>
              <w:left w:w="28" w:type="dxa"/>
              <w:right w:w="28" w:type="dxa"/>
            </w:tcMar>
          </w:tcPr>
          <w:p w:rsidR="00CF3C4B" w:rsidRPr="006C7BD4" w:rsidRDefault="00CF3C4B" w:rsidP="00F61566">
            <w:pPr>
              <w:widowControl/>
              <w:rPr>
                <w:rStyle w:val="TableText1"/>
              </w:rPr>
            </w:pPr>
            <w:r w:rsidRPr="006C7BD4">
              <w:rPr>
                <w:rStyle w:val="TableText1"/>
              </w:rPr>
              <w:t>% 2</w:t>
            </w:r>
            <w:r w:rsidRPr="006C7BD4">
              <w:rPr>
                <w:rStyle w:val="TableText1"/>
                <w:vertAlign w:val="superscript"/>
              </w:rPr>
              <w:t>nd</w:t>
            </w:r>
            <w:r w:rsidRPr="006C7BD4">
              <w:rPr>
                <w:rStyle w:val="TableText1"/>
              </w:rPr>
              <w:t>-line patients eligible for idelalisib (base case = 35%)</w:t>
            </w:r>
          </w:p>
          <w:p w:rsidR="00CF3C4B" w:rsidRPr="006C7BD4" w:rsidRDefault="00CF3C4B" w:rsidP="00F61566">
            <w:pPr>
              <w:widowControl/>
              <w:ind w:firstLine="176"/>
              <w:rPr>
                <w:rStyle w:val="TableText1"/>
              </w:rPr>
            </w:pPr>
            <w:r w:rsidRPr="006C7BD4">
              <w:rPr>
                <w:rStyle w:val="TableText1"/>
              </w:rPr>
              <w:t>55%</w:t>
            </w:r>
          </w:p>
          <w:p w:rsidR="00CF3C4B" w:rsidRPr="006C7BD4" w:rsidRDefault="00CF3C4B" w:rsidP="00F61566">
            <w:pPr>
              <w:widowControl/>
              <w:ind w:firstLine="176"/>
              <w:rPr>
                <w:rStyle w:val="TableText1"/>
              </w:rPr>
            </w:pPr>
            <w:r w:rsidRPr="006C7BD4">
              <w:rPr>
                <w:rStyle w:val="TableText1"/>
              </w:rPr>
              <w:t>75%</w:t>
            </w:r>
          </w:p>
          <w:p w:rsidR="00CF3C4B" w:rsidRPr="00914021" w:rsidRDefault="00CF3C4B" w:rsidP="00F61566">
            <w:pPr>
              <w:widowControl/>
              <w:ind w:firstLine="176"/>
              <w:rPr>
                <w:rStyle w:val="TableText1"/>
              </w:rPr>
            </w:pPr>
            <w:r w:rsidRPr="006C7BD4">
              <w:rPr>
                <w:rStyle w:val="TableText1"/>
              </w:rPr>
              <w:t>100%</w:t>
            </w:r>
          </w:p>
        </w:tc>
        <w:tc>
          <w:tcPr>
            <w:tcW w:w="992" w:type="dxa"/>
            <w:tcMar>
              <w:left w:w="28" w:type="dxa"/>
              <w:right w:w="28" w:type="dxa"/>
            </w:tcMar>
            <w:vAlign w:val="bottom"/>
          </w:tcPr>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tc>
        <w:tc>
          <w:tcPr>
            <w:tcW w:w="993" w:type="dxa"/>
            <w:tcMar>
              <w:left w:w="28" w:type="dxa"/>
              <w:right w:w="28" w:type="dxa"/>
            </w:tcMar>
            <w:vAlign w:val="bottom"/>
          </w:tcPr>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tc>
        <w:tc>
          <w:tcPr>
            <w:tcW w:w="992" w:type="dxa"/>
            <w:tcMar>
              <w:left w:w="28" w:type="dxa"/>
              <w:right w:w="28" w:type="dxa"/>
            </w:tcMar>
            <w:vAlign w:val="bottom"/>
          </w:tcPr>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tc>
        <w:tc>
          <w:tcPr>
            <w:tcW w:w="992" w:type="dxa"/>
            <w:tcMar>
              <w:left w:w="28" w:type="dxa"/>
              <w:right w:w="28" w:type="dxa"/>
            </w:tcMar>
            <w:vAlign w:val="bottom"/>
          </w:tcPr>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tc>
        <w:tc>
          <w:tcPr>
            <w:tcW w:w="992" w:type="dxa"/>
            <w:tcMar>
              <w:left w:w="28" w:type="dxa"/>
              <w:right w:w="28" w:type="dxa"/>
            </w:tcMar>
            <w:vAlign w:val="bottom"/>
          </w:tcPr>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p w:rsidR="00CF3C4B" w:rsidRPr="0091351F" w:rsidRDefault="00CF3C4B" w:rsidP="00F61566">
            <w:pPr>
              <w:widowControl/>
              <w:jc w:val="right"/>
              <w:rPr>
                <w:rStyle w:val="TableText1"/>
              </w:rPr>
            </w:pPr>
            <w:r w:rsidRPr="0091351F">
              <w:rPr>
                <w:rStyle w:val="TableText1"/>
              </w:rPr>
              <w:t>$</w:t>
            </w:r>
            <w:r w:rsidR="00C60362">
              <w:rPr>
                <w:rStyle w:val="TableText1"/>
                <w:noProof/>
                <w:color w:val="000000"/>
                <w:highlight w:val="black"/>
              </w:rPr>
              <w:t>'''''''''''''''''''''''''</w:t>
            </w:r>
          </w:p>
        </w:tc>
      </w:tr>
    </w:tbl>
    <w:p w:rsidR="00CF5962" w:rsidRPr="00914021" w:rsidRDefault="00CF5962" w:rsidP="00F61566">
      <w:pPr>
        <w:pStyle w:val="TableFooter"/>
        <w:widowControl/>
        <w:ind w:firstLine="720"/>
      </w:pPr>
      <w:r w:rsidRPr="006C7BD4">
        <w:t>Source: Table E.12, p177 of the submission; and calculated during evaluation</w:t>
      </w:r>
    </w:p>
    <w:p w:rsidR="00CF5962" w:rsidRPr="00914021" w:rsidRDefault="00CF5962" w:rsidP="00F61566">
      <w:pPr>
        <w:pStyle w:val="TableFooter"/>
        <w:widowControl/>
        <w:ind w:firstLine="720"/>
      </w:pPr>
      <w:r w:rsidRPr="00914021">
        <w:t>CLL = chronic lymphocytic leukaemia</w:t>
      </w:r>
    </w:p>
    <w:p w:rsidR="00CF5962" w:rsidRPr="00914021" w:rsidRDefault="00CF5962" w:rsidP="00F61566">
      <w:pPr>
        <w:pStyle w:val="ListParagraph"/>
        <w:widowControl/>
        <w:rPr>
          <w:szCs w:val="22"/>
        </w:rPr>
      </w:pPr>
    </w:p>
    <w:p w:rsidR="00B523C4" w:rsidRPr="00164329" w:rsidRDefault="00B523C4" w:rsidP="00B523C4">
      <w:pPr>
        <w:pStyle w:val="ListParagraph"/>
        <w:widowControl/>
        <w:rPr>
          <w:i/>
          <w:szCs w:val="22"/>
        </w:rPr>
      </w:pPr>
      <w:r w:rsidRPr="00164329">
        <w:rPr>
          <w:i/>
          <w:szCs w:val="22"/>
        </w:rPr>
        <w:t>For more detail on PBAC’s view, see section 7 “PBAC outcome”</w:t>
      </w:r>
    </w:p>
    <w:p w:rsidR="00D73B30" w:rsidRDefault="00D73B30">
      <w:pPr>
        <w:widowControl/>
        <w:jc w:val="left"/>
        <w:rPr>
          <w:bCs/>
          <w:snapToGrid/>
          <w:szCs w:val="22"/>
        </w:rPr>
      </w:pPr>
    </w:p>
    <w:p w:rsidR="00975D61" w:rsidRDefault="00975D61" w:rsidP="008003F2">
      <w:pPr>
        <w:pStyle w:val="ListParagraph"/>
        <w:widowControl/>
        <w:numPr>
          <w:ilvl w:val="1"/>
          <w:numId w:val="10"/>
        </w:numPr>
      </w:pPr>
      <w:r>
        <w:t xml:space="preserve">The redacted table above shows that increasing the proportion of patients eligible for </w:t>
      </w:r>
    </w:p>
    <w:p w:rsidR="00975D61" w:rsidRPr="008003F2" w:rsidRDefault="008003F2" w:rsidP="008003F2">
      <w:pPr>
        <w:widowControl/>
        <w:ind w:left="720"/>
        <w:jc w:val="left"/>
      </w:pPr>
      <w:r>
        <w:t>i</w:t>
      </w:r>
      <w:r w:rsidR="00975D61">
        <w:t xml:space="preserve">delalisib would increase the net cost to Government to </w:t>
      </w:r>
      <w:r>
        <w:t xml:space="preserve"> less than </w:t>
      </w:r>
      <w:r w:rsidR="00975D61">
        <w:t>$10 million in year 1 to</w:t>
      </w:r>
      <w:r>
        <w:t xml:space="preserve"> </w:t>
      </w:r>
      <w:r w:rsidR="00975D61">
        <w:t>$10</w:t>
      </w:r>
      <w:r>
        <w:t xml:space="preserve"> </w:t>
      </w:r>
      <w:r w:rsidR="00975D61">
        <w:t xml:space="preserve">- </w:t>
      </w:r>
      <w:r>
        <w:t>$</w:t>
      </w:r>
      <w:r w:rsidR="00975D61">
        <w:t xml:space="preserve">20 million per year 5.   </w:t>
      </w:r>
    </w:p>
    <w:p w:rsidR="00975D61" w:rsidRDefault="00975D61">
      <w:pPr>
        <w:widowControl/>
        <w:jc w:val="left"/>
        <w:rPr>
          <w:bCs/>
          <w:snapToGrid/>
          <w:szCs w:val="22"/>
        </w:rPr>
      </w:pPr>
      <w:r>
        <w:rPr>
          <w:bCs/>
          <w:snapToGrid/>
          <w:szCs w:val="22"/>
        </w:rPr>
        <w:tab/>
      </w:r>
    </w:p>
    <w:p w:rsidR="00D73B30" w:rsidRPr="00164329" w:rsidRDefault="00D73B30" w:rsidP="00113F99">
      <w:pPr>
        <w:pStyle w:val="PBACHeading1"/>
      </w:pPr>
      <w:r w:rsidRPr="00164329">
        <w:t>PBAC Outcome</w:t>
      </w:r>
    </w:p>
    <w:p w:rsidR="00D73B30" w:rsidRPr="00164329" w:rsidRDefault="00D73B30" w:rsidP="00DA0880">
      <w:pPr>
        <w:contextualSpacing/>
        <w:rPr>
          <w:b/>
          <w:bCs/>
          <w:szCs w:val="22"/>
          <w:lang w:val="en-GB"/>
        </w:rPr>
      </w:pPr>
    </w:p>
    <w:p w:rsidR="00184458" w:rsidRPr="00164329" w:rsidRDefault="00184458" w:rsidP="00AB64E8">
      <w:pPr>
        <w:numPr>
          <w:ilvl w:val="1"/>
          <w:numId w:val="10"/>
        </w:numPr>
        <w:contextualSpacing/>
        <w:rPr>
          <w:bCs/>
          <w:szCs w:val="22"/>
          <w:lang w:val="en-GB"/>
        </w:rPr>
      </w:pPr>
      <w:r w:rsidRPr="00164329">
        <w:rPr>
          <w:bCs/>
          <w:szCs w:val="22"/>
          <w:lang w:val="en-GB"/>
        </w:rPr>
        <w:t>The</w:t>
      </w:r>
      <w:r w:rsidR="00D903E2">
        <w:rPr>
          <w:bCs/>
          <w:szCs w:val="22"/>
          <w:lang w:val="en-GB"/>
        </w:rPr>
        <w:t xml:space="preserve"> </w:t>
      </w:r>
      <w:r w:rsidRPr="00164329">
        <w:rPr>
          <w:bCs/>
          <w:szCs w:val="22"/>
          <w:lang w:val="en-GB"/>
        </w:rPr>
        <w:t xml:space="preserve">PBAC </w:t>
      </w:r>
      <w:r w:rsidR="00AB64E8" w:rsidRPr="00AB64E8">
        <w:rPr>
          <w:bCs/>
          <w:szCs w:val="22"/>
          <w:lang w:val="en-GB"/>
        </w:rPr>
        <w:t xml:space="preserve">did not recommend the listing of idelalisib for the treatment of </w:t>
      </w:r>
      <w:r w:rsidRPr="00164329">
        <w:rPr>
          <w:bCs/>
          <w:szCs w:val="22"/>
          <w:lang w:val="en-GB"/>
        </w:rPr>
        <w:t xml:space="preserve">patients with </w:t>
      </w:r>
      <w:r w:rsidRPr="004F58C7">
        <w:rPr>
          <w:bCs/>
          <w:szCs w:val="22"/>
          <w:lang w:val="en-GB"/>
        </w:rPr>
        <w:t xml:space="preserve">chronic lymphocytic leukaemia (CLL) </w:t>
      </w:r>
      <w:r w:rsidR="00AB64E8">
        <w:rPr>
          <w:bCs/>
          <w:szCs w:val="22"/>
          <w:lang w:val="en-GB"/>
        </w:rPr>
        <w:t>because</w:t>
      </w:r>
      <w:r w:rsidR="00AB64E8" w:rsidRPr="00AB64E8">
        <w:t xml:space="preserve"> </w:t>
      </w:r>
      <w:r w:rsidR="00AB64E8">
        <w:t xml:space="preserve">the </w:t>
      </w:r>
      <w:r w:rsidR="00BF7470">
        <w:t xml:space="preserve">patient population was not adequately defined, the nominated comparator was inappropriate </w:t>
      </w:r>
      <w:r w:rsidR="00AB64E8" w:rsidRPr="00AB64E8">
        <w:t xml:space="preserve">and </w:t>
      </w:r>
      <w:r w:rsidR="00195F3B">
        <w:t xml:space="preserve">the </w:t>
      </w:r>
      <w:r w:rsidR="00AB64E8" w:rsidRPr="00AB64E8">
        <w:t xml:space="preserve">economic </w:t>
      </w:r>
      <w:r w:rsidR="00195F3B">
        <w:t xml:space="preserve">evaluation </w:t>
      </w:r>
      <w:r w:rsidR="00570066">
        <w:t>required amendment</w:t>
      </w:r>
      <w:r w:rsidR="00AB64E8" w:rsidRPr="00AB64E8">
        <w:rPr>
          <w:bCs/>
          <w:szCs w:val="22"/>
          <w:lang w:val="en-GB"/>
        </w:rPr>
        <w:t>. Therefore the cost</w:t>
      </w:r>
      <w:r w:rsidR="00AB64E8">
        <w:rPr>
          <w:bCs/>
          <w:szCs w:val="22"/>
          <w:lang w:val="en-GB"/>
        </w:rPr>
        <w:t>-</w:t>
      </w:r>
      <w:r w:rsidR="00AB64E8" w:rsidRPr="00AB64E8">
        <w:rPr>
          <w:bCs/>
          <w:szCs w:val="22"/>
          <w:lang w:val="en-GB"/>
        </w:rPr>
        <w:t>effectiveness could not be estimated in the context of a drug with a high cost compared with current care</w:t>
      </w:r>
      <w:r w:rsidR="00AB64E8">
        <w:rPr>
          <w:bCs/>
          <w:szCs w:val="22"/>
          <w:lang w:val="en-US"/>
        </w:rPr>
        <w:t xml:space="preserve">. </w:t>
      </w:r>
      <w:r w:rsidR="007D0CDA">
        <w:rPr>
          <w:bCs/>
          <w:szCs w:val="22"/>
          <w:lang w:val="en-US"/>
        </w:rPr>
        <w:t>The PBAC considered that idelalisib is an active drug that provides an additional avenue of therapy for</w:t>
      </w:r>
      <w:r w:rsidR="00F734FE">
        <w:rPr>
          <w:bCs/>
          <w:szCs w:val="22"/>
          <w:lang w:val="en-US"/>
        </w:rPr>
        <w:t xml:space="preserve"> patients</w:t>
      </w:r>
      <w:r w:rsidR="00033EAA" w:rsidRPr="00033EAA">
        <w:t xml:space="preserve"> </w:t>
      </w:r>
      <w:r w:rsidR="00033EAA">
        <w:t xml:space="preserve">with </w:t>
      </w:r>
      <w:r w:rsidR="00033EAA" w:rsidRPr="00033EAA">
        <w:rPr>
          <w:bCs/>
          <w:szCs w:val="22"/>
          <w:lang w:val="en-US"/>
        </w:rPr>
        <w:t xml:space="preserve">relapsed CLL </w:t>
      </w:r>
      <w:r w:rsidR="00F734FE">
        <w:rPr>
          <w:bCs/>
          <w:szCs w:val="22"/>
          <w:lang w:val="en-US"/>
        </w:rPr>
        <w:t>for whom chemo</w:t>
      </w:r>
      <w:r w:rsidR="00F734FE">
        <w:rPr>
          <w:bCs/>
          <w:szCs w:val="22"/>
          <w:lang w:val="en-US"/>
        </w:rPr>
        <w:noBreakHyphen/>
      </w:r>
      <w:r w:rsidR="00F734FE" w:rsidRPr="00F734FE">
        <w:rPr>
          <w:bCs/>
          <w:szCs w:val="22"/>
          <w:lang w:val="en-US"/>
        </w:rPr>
        <w:t>immunotherapy is not suitable</w:t>
      </w:r>
      <w:r w:rsidR="00F734FE">
        <w:rPr>
          <w:bCs/>
          <w:szCs w:val="22"/>
          <w:lang w:val="en-US"/>
        </w:rPr>
        <w:t>.</w:t>
      </w:r>
      <w:r w:rsidR="00F734FE" w:rsidRPr="00F734FE">
        <w:rPr>
          <w:bCs/>
          <w:szCs w:val="22"/>
          <w:lang w:val="en-US"/>
        </w:rPr>
        <w:t xml:space="preserve"> </w:t>
      </w:r>
    </w:p>
    <w:p w:rsidR="00BA3B71" w:rsidRPr="00164329" w:rsidRDefault="00BA3B71" w:rsidP="00164329">
      <w:pPr>
        <w:ind w:left="720"/>
        <w:contextualSpacing/>
        <w:rPr>
          <w:bCs/>
          <w:szCs w:val="22"/>
          <w:lang w:val="en-GB"/>
        </w:rPr>
      </w:pPr>
    </w:p>
    <w:p w:rsidR="00C130A3" w:rsidRPr="00A57BBD" w:rsidRDefault="00C130A3" w:rsidP="00C130A3">
      <w:pPr>
        <w:numPr>
          <w:ilvl w:val="1"/>
          <w:numId w:val="10"/>
        </w:numPr>
        <w:contextualSpacing/>
        <w:rPr>
          <w:bCs/>
          <w:szCs w:val="22"/>
          <w:lang w:val="en-GB"/>
        </w:rPr>
      </w:pPr>
      <w:r w:rsidRPr="00C130A3">
        <w:rPr>
          <w:bCs/>
          <w:szCs w:val="22"/>
          <w:lang w:val="en-GB"/>
        </w:rPr>
        <w:t xml:space="preserve">The PBAC agreed that there is a high unmet clinical need for an effective treatment for </w:t>
      </w:r>
      <w:r w:rsidR="00033EAA">
        <w:rPr>
          <w:bCs/>
          <w:szCs w:val="22"/>
          <w:lang w:val="en-GB"/>
        </w:rPr>
        <w:t>this patient population.</w:t>
      </w:r>
      <w:r w:rsidR="00F734FE">
        <w:rPr>
          <w:bCs/>
          <w:szCs w:val="22"/>
          <w:lang w:val="en-GB"/>
        </w:rPr>
        <w:t xml:space="preserve"> </w:t>
      </w:r>
      <w:r w:rsidRPr="00C130A3">
        <w:rPr>
          <w:bCs/>
          <w:szCs w:val="22"/>
          <w:lang w:val="en-GB"/>
        </w:rPr>
        <w:t xml:space="preserve">The PBAC welcomed the input received </w:t>
      </w:r>
      <w:r w:rsidR="003161A6">
        <w:rPr>
          <w:bCs/>
          <w:szCs w:val="22"/>
          <w:lang w:val="en-GB"/>
        </w:rPr>
        <w:t xml:space="preserve">from individuals and </w:t>
      </w:r>
      <w:r w:rsidRPr="00C130A3">
        <w:rPr>
          <w:bCs/>
          <w:szCs w:val="22"/>
          <w:lang w:val="en-GB"/>
        </w:rPr>
        <w:t xml:space="preserve">at the consumer </w:t>
      </w:r>
      <w:r w:rsidRPr="00A57BBD">
        <w:rPr>
          <w:bCs/>
          <w:szCs w:val="22"/>
          <w:lang w:val="en-GB"/>
        </w:rPr>
        <w:t>hearing. The comments highlighted th</w:t>
      </w:r>
      <w:r w:rsidR="003161A6" w:rsidRPr="00A57BBD">
        <w:rPr>
          <w:bCs/>
          <w:szCs w:val="22"/>
          <w:lang w:val="en-GB"/>
        </w:rPr>
        <w:t xml:space="preserve">at </w:t>
      </w:r>
      <w:r w:rsidR="00E03799" w:rsidRPr="00A57BBD">
        <w:rPr>
          <w:bCs/>
          <w:szCs w:val="22"/>
          <w:lang w:val="en-GB"/>
        </w:rPr>
        <w:t>idelalisib prolongs remission and improve</w:t>
      </w:r>
      <w:r w:rsidR="00006A78" w:rsidRPr="00A57BBD">
        <w:rPr>
          <w:bCs/>
          <w:szCs w:val="22"/>
          <w:lang w:val="en-GB"/>
        </w:rPr>
        <w:t>s</w:t>
      </w:r>
      <w:r w:rsidR="00E03799" w:rsidRPr="00A57BBD">
        <w:rPr>
          <w:bCs/>
          <w:szCs w:val="22"/>
          <w:lang w:val="en-GB"/>
        </w:rPr>
        <w:t xml:space="preserve"> quality of life.</w:t>
      </w:r>
    </w:p>
    <w:p w:rsidR="00C130A3" w:rsidRDefault="00C130A3" w:rsidP="00164329">
      <w:pPr>
        <w:pStyle w:val="ListParagraph"/>
        <w:rPr>
          <w:bCs/>
          <w:szCs w:val="22"/>
          <w:lang w:val="en-US"/>
        </w:rPr>
      </w:pPr>
    </w:p>
    <w:p w:rsidR="009F2A0C" w:rsidRDefault="004F58C7" w:rsidP="00A87F4D">
      <w:pPr>
        <w:pStyle w:val="ListParagraph"/>
        <w:numPr>
          <w:ilvl w:val="1"/>
          <w:numId w:val="10"/>
        </w:numPr>
        <w:rPr>
          <w:bCs/>
          <w:szCs w:val="22"/>
          <w:lang w:val="en-GB"/>
        </w:rPr>
      </w:pPr>
      <w:r w:rsidRPr="00A87F4D">
        <w:rPr>
          <w:bCs/>
          <w:szCs w:val="22"/>
          <w:lang w:val="en-US"/>
        </w:rPr>
        <w:t xml:space="preserve">The PBAC </w:t>
      </w:r>
      <w:r w:rsidR="00A34A78" w:rsidRPr="00A87F4D">
        <w:rPr>
          <w:bCs/>
          <w:szCs w:val="22"/>
          <w:lang w:val="en-US"/>
        </w:rPr>
        <w:t>agreed with the PSCR</w:t>
      </w:r>
      <w:r w:rsidR="00A34A78" w:rsidRPr="00A87F4D">
        <w:rPr>
          <w:bCs/>
          <w:szCs w:val="22"/>
          <w:lang w:val="en-GB"/>
        </w:rPr>
        <w:t>’s proposal to restrict use to patients who are unsuitable for chemo-immunotherapy.</w:t>
      </w:r>
      <w:r w:rsidR="00F8247A" w:rsidRPr="00A87F4D">
        <w:rPr>
          <w:bCs/>
          <w:szCs w:val="22"/>
          <w:lang w:val="en-GB"/>
        </w:rPr>
        <w:t xml:space="preserve"> </w:t>
      </w:r>
      <w:r w:rsidR="00925FED" w:rsidRPr="00A87F4D">
        <w:rPr>
          <w:bCs/>
          <w:szCs w:val="22"/>
          <w:lang w:val="en-GB"/>
        </w:rPr>
        <w:t>T</w:t>
      </w:r>
      <w:r w:rsidR="00A34A78" w:rsidRPr="00A87F4D">
        <w:rPr>
          <w:bCs/>
          <w:szCs w:val="22"/>
          <w:lang w:val="en-GB"/>
        </w:rPr>
        <w:t>he PBAC recommended the restriction be further refined to</w:t>
      </w:r>
      <w:r w:rsidR="00B03210" w:rsidRPr="00A87F4D">
        <w:rPr>
          <w:bCs/>
          <w:szCs w:val="22"/>
          <w:lang w:val="en-GB"/>
        </w:rPr>
        <w:t xml:space="preserve"> target </w:t>
      </w:r>
      <w:r w:rsidR="00A87F4D" w:rsidRPr="00A87F4D">
        <w:rPr>
          <w:bCs/>
          <w:szCs w:val="22"/>
          <w:lang w:val="en-GB"/>
        </w:rPr>
        <w:t xml:space="preserve">those </w:t>
      </w:r>
      <w:r w:rsidR="009927D6" w:rsidRPr="00A87F4D">
        <w:rPr>
          <w:bCs/>
          <w:szCs w:val="22"/>
          <w:lang w:val="en-GB"/>
        </w:rPr>
        <w:t>p</w:t>
      </w:r>
      <w:r w:rsidR="00A34A78" w:rsidRPr="00A87F4D">
        <w:rPr>
          <w:bCs/>
          <w:szCs w:val="22"/>
          <w:lang w:val="en-GB"/>
        </w:rPr>
        <w:t>atients</w:t>
      </w:r>
      <w:r w:rsidR="00B03210" w:rsidRPr="00A87F4D">
        <w:rPr>
          <w:bCs/>
          <w:szCs w:val="22"/>
          <w:lang w:val="en-GB"/>
        </w:rPr>
        <w:t xml:space="preserve"> </w:t>
      </w:r>
      <w:r w:rsidR="00A34A78" w:rsidRPr="00A87F4D">
        <w:rPr>
          <w:bCs/>
          <w:szCs w:val="22"/>
          <w:lang w:val="en-GB"/>
        </w:rPr>
        <w:t>w</w:t>
      </w:r>
      <w:r w:rsidR="00B03210" w:rsidRPr="00A87F4D">
        <w:rPr>
          <w:bCs/>
          <w:szCs w:val="22"/>
          <w:lang w:val="en-GB"/>
        </w:rPr>
        <w:t>i</w:t>
      </w:r>
      <w:r w:rsidR="00A34A78" w:rsidRPr="00A87F4D">
        <w:rPr>
          <w:bCs/>
          <w:szCs w:val="22"/>
          <w:lang w:val="en-GB"/>
        </w:rPr>
        <w:t xml:space="preserve">th the highest </w:t>
      </w:r>
      <w:r w:rsidR="009927D6" w:rsidRPr="00A87F4D">
        <w:rPr>
          <w:bCs/>
          <w:szCs w:val="22"/>
          <w:lang w:val="en-GB"/>
        </w:rPr>
        <w:t xml:space="preserve">clinical </w:t>
      </w:r>
      <w:r w:rsidR="00A34A78" w:rsidRPr="00A87F4D">
        <w:rPr>
          <w:bCs/>
          <w:szCs w:val="22"/>
          <w:lang w:val="en-GB"/>
        </w:rPr>
        <w:t>need</w:t>
      </w:r>
      <w:r w:rsidR="00F8247A" w:rsidRPr="00A87F4D">
        <w:rPr>
          <w:bCs/>
          <w:szCs w:val="22"/>
          <w:lang w:val="en-GB"/>
        </w:rPr>
        <w:t xml:space="preserve"> and</w:t>
      </w:r>
      <w:r w:rsidR="00A34A78" w:rsidRPr="00A87F4D">
        <w:rPr>
          <w:bCs/>
          <w:szCs w:val="22"/>
          <w:lang w:val="en-GB"/>
        </w:rPr>
        <w:t xml:space="preserve"> fo</w:t>
      </w:r>
      <w:r w:rsidR="00B03210" w:rsidRPr="00A87F4D">
        <w:rPr>
          <w:bCs/>
          <w:szCs w:val="22"/>
          <w:lang w:val="en-GB"/>
        </w:rPr>
        <w:t>r</w:t>
      </w:r>
      <w:r w:rsidR="00A34A78" w:rsidRPr="00A87F4D">
        <w:rPr>
          <w:bCs/>
          <w:szCs w:val="22"/>
          <w:lang w:val="en-GB"/>
        </w:rPr>
        <w:t xml:space="preserve"> wh</w:t>
      </w:r>
      <w:r w:rsidR="000824E7" w:rsidRPr="00A87F4D">
        <w:rPr>
          <w:bCs/>
          <w:szCs w:val="22"/>
          <w:lang w:val="en-GB"/>
        </w:rPr>
        <w:t>om</w:t>
      </w:r>
      <w:r w:rsidR="00A34A78" w:rsidRPr="00A87F4D">
        <w:rPr>
          <w:bCs/>
          <w:szCs w:val="22"/>
          <w:lang w:val="en-GB"/>
        </w:rPr>
        <w:t xml:space="preserve"> there is adequate evidence from the trial.</w:t>
      </w:r>
      <w:r w:rsidR="009963E4" w:rsidRPr="00A87F4D">
        <w:rPr>
          <w:bCs/>
          <w:szCs w:val="22"/>
          <w:lang w:val="en-GB"/>
        </w:rPr>
        <w:t xml:space="preserve"> </w:t>
      </w:r>
    </w:p>
    <w:p w:rsidR="009F2A0C" w:rsidRPr="009F2A0C" w:rsidRDefault="009F2A0C" w:rsidP="009F2A0C">
      <w:pPr>
        <w:pStyle w:val="ListParagraph"/>
        <w:rPr>
          <w:bCs/>
          <w:szCs w:val="22"/>
          <w:lang w:val="en-GB"/>
        </w:rPr>
      </w:pPr>
    </w:p>
    <w:p w:rsidR="00A34A78" w:rsidRPr="00A57BBD" w:rsidRDefault="00870360" w:rsidP="00164329">
      <w:pPr>
        <w:pStyle w:val="ListParagraph"/>
        <w:numPr>
          <w:ilvl w:val="1"/>
          <w:numId w:val="10"/>
        </w:numPr>
        <w:rPr>
          <w:bCs/>
          <w:szCs w:val="22"/>
          <w:lang w:val="en-GB"/>
        </w:rPr>
      </w:pPr>
      <w:r w:rsidRPr="00A57BBD">
        <w:rPr>
          <w:bCs/>
          <w:szCs w:val="22"/>
          <w:lang w:val="en-GB"/>
        </w:rPr>
        <w:t xml:space="preserve">Therefore, </w:t>
      </w:r>
      <w:r w:rsidR="007D1F93">
        <w:rPr>
          <w:bCs/>
          <w:szCs w:val="22"/>
          <w:lang w:val="en-GB"/>
        </w:rPr>
        <w:t xml:space="preserve">per paragraphs </w:t>
      </w:r>
      <w:r w:rsidR="00BC2124">
        <w:rPr>
          <w:bCs/>
          <w:szCs w:val="22"/>
          <w:lang w:val="en-GB"/>
        </w:rPr>
        <w:t>2.6 and 2.8</w:t>
      </w:r>
      <w:r w:rsidR="007D1F93">
        <w:rPr>
          <w:bCs/>
          <w:szCs w:val="22"/>
          <w:lang w:val="en-GB"/>
        </w:rPr>
        <w:t xml:space="preserve">, </w:t>
      </w:r>
      <w:r w:rsidRPr="00A57BBD">
        <w:rPr>
          <w:bCs/>
          <w:szCs w:val="22"/>
          <w:lang w:val="en-GB"/>
        </w:rPr>
        <w:t>t</w:t>
      </w:r>
      <w:r w:rsidR="00A34A78" w:rsidRPr="00A57BBD">
        <w:rPr>
          <w:bCs/>
          <w:szCs w:val="22"/>
          <w:lang w:val="en-GB"/>
        </w:rPr>
        <w:t xml:space="preserve">he PBAC considered that a revised </w:t>
      </w:r>
      <w:r w:rsidR="00A34A78" w:rsidRPr="00A57BBD">
        <w:rPr>
          <w:bCs/>
          <w:szCs w:val="22"/>
          <w:lang w:val="en-GB"/>
        </w:rPr>
        <w:lastRenderedPageBreak/>
        <w:t xml:space="preserve">restriction should be based on: </w:t>
      </w:r>
    </w:p>
    <w:p w:rsidR="00F8247A" w:rsidRDefault="00A34A78" w:rsidP="00164329">
      <w:pPr>
        <w:pStyle w:val="ListParagraph"/>
        <w:widowControl/>
        <w:numPr>
          <w:ilvl w:val="0"/>
          <w:numId w:val="42"/>
        </w:numPr>
        <w:rPr>
          <w:bCs/>
          <w:szCs w:val="22"/>
          <w:lang w:val="en-GB"/>
        </w:rPr>
      </w:pPr>
      <w:r w:rsidRPr="00164329">
        <w:rPr>
          <w:bCs/>
          <w:szCs w:val="22"/>
          <w:lang w:val="en-GB"/>
        </w:rPr>
        <w:t xml:space="preserve">Treatment of CLL or SLL that is relapsed or refractory after at least one therapy in patients with a CIRS score of &gt; 6 AND in whom chemo-immunotherapy is contraindicated because of </w:t>
      </w:r>
      <w:r w:rsidR="00A87F4D">
        <w:rPr>
          <w:bCs/>
          <w:szCs w:val="22"/>
          <w:lang w:val="en-GB"/>
        </w:rPr>
        <w:t>one or more of the following:</w:t>
      </w:r>
    </w:p>
    <w:p w:rsidR="00F8247A" w:rsidRDefault="00A34A78" w:rsidP="00164329">
      <w:pPr>
        <w:pStyle w:val="ListParagraph"/>
        <w:widowControl/>
        <w:numPr>
          <w:ilvl w:val="0"/>
          <w:numId w:val="62"/>
        </w:numPr>
        <w:rPr>
          <w:bCs/>
          <w:szCs w:val="22"/>
          <w:lang w:val="en-GB"/>
        </w:rPr>
      </w:pPr>
      <w:r w:rsidRPr="00164329">
        <w:rPr>
          <w:bCs/>
          <w:szCs w:val="22"/>
          <w:lang w:val="en-GB"/>
        </w:rPr>
        <w:t>(i) severe neutropenia</w:t>
      </w:r>
      <w:r w:rsidR="00F8247A">
        <w:rPr>
          <w:bCs/>
          <w:szCs w:val="22"/>
          <w:lang w:val="en-GB"/>
        </w:rPr>
        <w:t>; OR</w:t>
      </w:r>
      <w:r w:rsidRPr="00164329">
        <w:rPr>
          <w:bCs/>
          <w:szCs w:val="22"/>
          <w:lang w:val="en-GB"/>
        </w:rPr>
        <w:t xml:space="preserve"> </w:t>
      </w:r>
    </w:p>
    <w:p w:rsidR="00F8247A" w:rsidRDefault="00A34A78" w:rsidP="00164329">
      <w:pPr>
        <w:pStyle w:val="ListParagraph"/>
        <w:widowControl/>
        <w:numPr>
          <w:ilvl w:val="0"/>
          <w:numId w:val="62"/>
        </w:numPr>
        <w:rPr>
          <w:bCs/>
          <w:szCs w:val="22"/>
          <w:lang w:val="en-GB"/>
        </w:rPr>
      </w:pPr>
      <w:r w:rsidRPr="00164329">
        <w:rPr>
          <w:bCs/>
          <w:szCs w:val="22"/>
          <w:lang w:val="en-GB"/>
        </w:rPr>
        <w:t>(ii) severe thrombocytopenia</w:t>
      </w:r>
      <w:r w:rsidR="00F8247A">
        <w:rPr>
          <w:bCs/>
          <w:szCs w:val="22"/>
          <w:lang w:val="en-GB"/>
        </w:rPr>
        <w:t xml:space="preserve">; </w:t>
      </w:r>
      <w:r w:rsidRPr="00164329">
        <w:rPr>
          <w:bCs/>
          <w:szCs w:val="22"/>
          <w:lang w:val="en-GB"/>
        </w:rPr>
        <w:t xml:space="preserve"> </w:t>
      </w:r>
      <w:r w:rsidR="00F8247A">
        <w:rPr>
          <w:bCs/>
          <w:szCs w:val="22"/>
          <w:lang w:val="en-GB"/>
        </w:rPr>
        <w:t>OR</w:t>
      </w:r>
      <w:r w:rsidRPr="00164329">
        <w:rPr>
          <w:bCs/>
          <w:szCs w:val="22"/>
          <w:lang w:val="en-GB"/>
        </w:rPr>
        <w:t xml:space="preserve"> </w:t>
      </w:r>
    </w:p>
    <w:p w:rsidR="00A34A78" w:rsidRPr="00164329" w:rsidRDefault="00A34A78" w:rsidP="00164329">
      <w:pPr>
        <w:pStyle w:val="ListParagraph"/>
        <w:widowControl/>
        <w:numPr>
          <w:ilvl w:val="0"/>
          <w:numId w:val="62"/>
        </w:numPr>
        <w:rPr>
          <w:bCs/>
          <w:szCs w:val="22"/>
          <w:lang w:val="en-GB"/>
        </w:rPr>
      </w:pPr>
      <w:r w:rsidRPr="00164329">
        <w:rPr>
          <w:bCs/>
          <w:szCs w:val="22"/>
          <w:lang w:val="en-GB"/>
        </w:rPr>
        <w:t>(iii) presence of</w:t>
      </w:r>
      <w:r w:rsidR="00261FA1" w:rsidRPr="00261FA1">
        <w:rPr>
          <w:bCs/>
          <w:szCs w:val="22"/>
          <w:lang w:val="en-GB"/>
        </w:rPr>
        <w:t xml:space="preserve"> 17p deletion</w:t>
      </w:r>
      <w:r w:rsidRPr="00164329">
        <w:rPr>
          <w:bCs/>
          <w:szCs w:val="22"/>
          <w:lang w:val="en-GB"/>
        </w:rPr>
        <w:t>.</w:t>
      </w:r>
    </w:p>
    <w:p w:rsidR="00A34A78" w:rsidRPr="00164329" w:rsidRDefault="00A34A78" w:rsidP="00164329">
      <w:pPr>
        <w:pStyle w:val="ListParagraph"/>
        <w:widowControl/>
        <w:numPr>
          <w:ilvl w:val="0"/>
          <w:numId w:val="42"/>
        </w:numPr>
      </w:pPr>
      <w:r w:rsidRPr="00164329">
        <w:t>Administrati</w:t>
      </w:r>
      <w:r w:rsidR="00F57BE8">
        <w:t>ve</w:t>
      </w:r>
      <w:r w:rsidRPr="00164329">
        <w:t xml:space="preserve"> note: severe neutropenia is </w:t>
      </w:r>
      <w:r w:rsidR="006579AD">
        <w:t xml:space="preserve">defined as </w:t>
      </w:r>
      <w:r w:rsidR="00F8247A">
        <w:t xml:space="preserve">absolute neutrophil count </w:t>
      </w:r>
      <w:r w:rsidR="00A87F4D">
        <w:t>&lt; </w:t>
      </w:r>
      <w:r w:rsidR="00D94672">
        <w:t>1.</w:t>
      </w:r>
      <w:r w:rsidR="00845238">
        <w:t>0</w:t>
      </w:r>
      <w:r w:rsidRPr="00164329">
        <w:t xml:space="preserve"> x 10</w:t>
      </w:r>
      <w:r w:rsidR="00F8247A">
        <w:rPr>
          <w:vertAlign w:val="superscript"/>
        </w:rPr>
        <w:t>9</w:t>
      </w:r>
      <w:r w:rsidRPr="00164329">
        <w:t xml:space="preserve">/L, severe thrombocytopenia is </w:t>
      </w:r>
      <w:r w:rsidR="006579AD">
        <w:t xml:space="preserve">defined as </w:t>
      </w:r>
      <w:r w:rsidRPr="00164329">
        <w:t>platelet count &lt; 50 x 10</w:t>
      </w:r>
      <w:r w:rsidR="00F8247A">
        <w:rPr>
          <w:vertAlign w:val="superscript"/>
        </w:rPr>
        <w:t>9</w:t>
      </w:r>
      <w:r w:rsidR="002365EF">
        <w:t>/L</w:t>
      </w:r>
      <w:r w:rsidRPr="00164329">
        <w:t>; presence of 17p</w:t>
      </w:r>
      <w:r w:rsidR="002365EF">
        <w:t xml:space="preserve"> deletion</w:t>
      </w:r>
      <w:r w:rsidRPr="00164329">
        <w:t xml:space="preserve"> </w:t>
      </w:r>
      <w:r w:rsidR="006579AD">
        <w:t xml:space="preserve">must be </w:t>
      </w:r>
      <w:r w:rsidRPr="00164329">
        <w:t>detected by FISH or cytogenetics.</w:t>
      </w:r>
    </w:p>
    <w:p w:rsidR="00A34A78" w:rsidRDefault="00A34A78" w:rsidP="00164329">
      <w:pPr>
        <w:ind w:left="720"/>
        <w:contextualSpacing/>
        <w:rPr>
          <w:bCs/>
          <w:szCs w:val="22"/>
          <w:lang w:val="en-GB"/>
        </w:rPr>
      </w:pPr>
    </w:p>
    <w:p w:rsidR="00C01F6F" w:rsidRPr="00C2342D" w:rsidRDefault="00B7335C" w:rsidP="005B63D1">
      <w:pPr>
        <w:pStyle w:val="ListParagraph"/>
        <w:numPr>
          <w:ilvl w:val="1"/>
          <w:numId w:val="10"/>
        </w:numPr>
        <w:rPr>
          <w:bCs/>
          <w:szCs w:val="22"/>
          <w:lang w:val="en-GB"/>
        </w:rPr>
      </w:pPr>
      <w:r w:rsidRPr="00C2342D">
        <w:rPr>
          <w:bCs/>
          <w:szCs w:val="22"/>
          <w:lang w:val="en-GB"/>
        </w:rPr>
        <w:t>The PBAC consider</w:t>
      </w:r>
      <w:r w:rsidR="005620B1" w:rsidRPr="00C2342D">
        <w:rPr>
          <w:bCs/>
          <w:szCs w:val="22"/>
          <w:lang w:val="en-GB"/>
        </w:rPr>
        <w:t>ed</w:t>
      </w:r>
      <w:r w:rsidRPr="00C2342D">
        <w:rPr>
          <w:bCs/>
          <w:szCs w:val="22"/>
          <w:lang w:val="en-GB"/>
        </w:rPr>
        <w:t xml:space="preserve"> that rituximab </w:t>
      </w:r>
      <w:r w:rsidR="005B63D1" w:rsidRPr="00C2342D">
        <w:rPr>
          <w:bCs/>
          <w:szCs w:val="22"/>
          <w:lang w:val="en-GB"/>
        </w:rPr>
        <w:t xml:space="preserve">monotherapy </w:t>
      </w:r>
      <w:r w:rsidRPr="00C2342D">
        <w:rPr>
          <w:bCs/>
          <w:szCs w:val="22"/>
          <w:lang w:val="en-GB"/>
        </w:rPr>
        <w:t xml:space="preserve">was </w:t>
      </w:r>
      <w:r w:rsidR="005620B1" w:rsidRPr="00C2342D">
        <w:rPr>
          <w:bCs/>
          <w:szCs w:val="22"/>
          <w:lang w:val="en-GB"/>
        </w:rPr>
        <w:t xml:space="preserve">not </w:t>
      </w:r>
      <w:r w:rsidRPr="00C2342D">
        <w:rPr>
          <w:bCs/>
          <w:szCs w:val="22"/>
          <w:lang w:val="en-GB"/>
        </w:rPr>
        <w:t xml:space="preserve">the appropriate comparator </w:t>
      </w:r>
      <w:r w:rsidR="00050960" w:rsidRPr="00C2342D">
        <w:rPr>
          <w:bCs/>
          <w:szCs w:val="22"/>
          <w:lang w:val="en-GB"/>
        </w:rPr>
        <w:t xml:space="preserve">for </w:t>
      </w:r>
      <w:r w:rsidRPr="00C2342D">
        <w:rPr>
          <w:bCs/>
          <w:szCs w:val="22"/>
          <w:lang w:val="en-GB"/>
        </w:rPr>
        <w:t>the specific subgroup of patients who are unsuitable for</w:t>
      </w:r>
      <w:r w:rsidR="005B63D1" w:rsidRPr="00C2342D">
        <w:rPr>
          <w:bCs/>
          <w:szCs w:val="22"/>
          <w:lang w:val="en-GB"/>
        </w:rPr>
        <w:t xml:space="preserve"> chemo</w:t>
      </w:r>
      <w:r w:rsidR="005B63D1" w:rsidRPr="00C2342D">
        <w:rPr>
          <w:bCs/>
          <w:szCs w:val="22"/>
          <w:lang w:val="en-GB"/>
        </w:rPr>
        <w:noBreakHyphen/>
      </w:r>
      <w:r w:rsidRPr="00C2342D">
        <w:rPr>
          <w:bCs/>
          <w:szCs w:val="22"/>
          <w:lang w:val="en-GB"/>
        </w:rPr>
        <w:t xml:space="preserve">immunotherapy </w:t>
      </w:r>
      <w:r w:rsidR="005B63D1" w:rsidRPr="000B16B8">
        <w:rPr>
          <w:bCs/>
          <w:szCs w:val="22"/>
          <w:lang w:val="en-GB"/>
        </w:rPr>
        <w:t xml:space="preserve">because </w:t>
      </w:r>
      <w:r w:rsidRPr="000B16B8">
        <w:rPr>
          <w:bCs/>
          <w:szCs w:val="22"/>
          <w:lang w:val="en-GB"/>
        </w:rPr>
        <w:t xml:space="preserve">rituximab monotherapy is neither PBS-listed nor TGA approved for use in CLL. </w:t>
      </w:r>
      <w:r w:rsidR="00C2342D" w:rsidRPr="000B16B8">
        <w:rPr>
          <w:bCs/>
          <w:szCs w:val="22"/>
          <w:lang w:val="en-GB"/>
        </w:rPr>
        <w:t xml:space="preserve">Further, the PBAC noted that patients in the placebo plus rituximab arm of Trial 312-0116 had generally poor outcomes with high rates of progression and low overall survival. </w:t>
      </w:r>
      <w:r w:rsidR="00C01F6F" w:rsidRPr="000B16B8">
        <w:rPr>
          <w:bCs/>
          <w:szCs w:val="22"/>
          <w:lang w:val="en-GB"/>
        </w:rPr>
        <w:t>The</w:t>
      </w:r>
      <w:r w:rsidR="00C01F6F" w:rsidRPr="00C2342D">
        <w:rPr>
          <w:bCs/>
          <w:szCs w:val="22"/>
          <w:lang w:val="en-GB"/>
        </w:rPr>
        <w:t xml:space="preserve"> PBAC consi</w:t>
      </w:r>
      <w:bookmarkStart w:id="17" w:name="_GoBack"/>
      <w:bookmarkEnd w:id="17"/>
      <w:r w:rsidR="00C01F6F" w:rsidRPr="00C2342D">
        <w:rPr>
          <w:bCs/>
          <w:szCs w:val="22"/>
          <w:lang w:val="en-GB"/>
        </w:rPr>
        <w:t xml:space="preserve">dered that best supportive care, which does not include rituximab, is the appropriate comparator </w:t>
      </w:r>
      <w:r w:rsidR="005B63D1" w:rsidRPr="00C2342D">
        <w:rPr>
          <w:bCs/>
          <w:szCs w:val="22"/>
          <w:lang w:val="en-GB"/>
        </w:rPr>
        <w:t>for the specific subgroup of patients who are unsuitable for chemo immunotherapy.</w:t>
      </w:r>
    </w:p>
    <w:p w:rsidR="00C2342D" w:rsidRPr="00C2342D" w:rsidRDefault="00C2342D" w:rsidP="00C2342D">
      <w:pPr>
        <w:rPr>
          <w:bCs/>
          <w:szCs w:val="22"/>
          <w:lang w:val="en-GB"/>
        </w:rPr>
      </w:pPr>
    </w:p>
    <w:p w:rsidR="004B79B6" w:rsidRPr="002C2D7D" w:rsidRDefault="00095380" w:rsidP="004B79B6">
      <w:pPr>
        <w:pStyle w:val="ListParagraph"/>
        <w:numPr>
          <w:ilvl w:val="1"/>
          <w:numId w:val="10"/>
        </w:numPr>
        <w:rPr>
          <w:bCs/>
          <w:szCs w:val="22"/>
          <w:lang w:val="en-GB"/>
        </w:rPr>
      </w:pPr>
      <w:r w:rsidRPr="002C2D7D">
        <w:rPr>
          <w:bCs/>
          <w:szCs w:val="22"/>
          <w:lang w:val="en-GB"/>
        </w:rPr>
        <w:t xml:space="preserve">The PBAC </w:t>
      </w:r>
      <w:r w:rsidR="00E92C97" w:rsidRPr="002C2D7D">
        <w:rPr>
          <w:bCs/>
          <w:szCs w:val="22"/>
          <w:lang w:val="en-GB"/>
        </w:rPr>
        <w:t xml:space="preserve">noted the </w:t>
      </w:r>
      <w:r w:rsidR="00195F3B" w:rsidRPr="002C2D7D">
        <w:rPr>
          <w:bCs/>
          <w:szCs w:val="22"/>
          <w:lang w:val="en-GB"/>
        </w:rPr>
        <w:t xml:space="preserve">gains in </w:t>
      </w:r>
      <w:r w:rsidR="00E92C97" w:rsidRPr="002C2D7D">
        <w:rPr>
          <w:bCs/>
          <w:szCs w:val="22"/>
          <w:lang w:val="en-GB"/>
        </w:rPr>
        <w:t>PFS</w:t>
      </w:r>
      <w:r w:rsidR="00195F3B" w:rsidRPr="002C2D7D">
        <w:rPr>
          <w:bCs/>
          <w:szCs w:val="22"/>
          <w:lang w:val="en-GB"/>
        </w:rPr>
        <w:t xml:space="preserve"> </w:t>
      </w:r>
      <w:r w:rsidR="002C2D7D" w:rsidRPr="002C2D7D">
        <w:rPr>
          <w:bCs/>
          <w:szCs w:val="22"/>
          <w:lang w:val="en-GB"/>
        </w:rPr>
        <w:t xml:space="preserve">and OS </w:t>
      </w:r>
      <w:r w:rsidR="00195F3B" w:rsidRPr="002C2D7D">
        <w:rPr>
          <w:bCs/>
          <w:szCs w:val="22"/>
          <w:lang w:val="en-GB"/>
        </w:rPr>
        <w:t>with idelalisib</w:t>
      </w:r>
      <w:r w:rsidR="004F222B" w:rsidRPr="002C2D7D">
        <w:rPr>
          <w:bCs/>
          <w:szCs w:val="22"/>
          <w:lang w:val="en-GB"/>
        </w:rPr>
        <w:t xml:space="preserve"> plus rituximab</w:t>
      </w:r>
      <w:r w:rsidR="00E92C97" w:rsidRPr="002C2D7D">
        <w:rPr>
          <w:bCs/>
          <w:szCs w:val="22"/>
          <w:lang w:val="en-GB"/>
        </w:rPr>
        <w:t xml:space="preserve"> </w:t>
      </w:r>
      <w:r w:rsidR="002C2D7D" w:rsidRPr="002C2D7D">
        <w:rPr>
          <w:bCs/>
          <w:szCs w:val="22"/>
          <w:lang w:val="en-GB"/>
        </w:rPr>
        <w:t xml:space="preserve">compared </w:t>
      </w:r>
      <w:r w:rsidR="00F139D6">
        <w:rPr>
          <w:bCs/>
          <w:szCs w:val="22"/>
          <w:lang w:val="en-GB"/>
        </w:rPr>
        <w:t>with</w:t>
      </w:r>
      <w:r w:rsidR="002C2D7D" w:rsidRPr="002C2D7D">
        <w:rPr>
          <w:bCs/>
          <w:szCs w:val="22"/>
          <w:lang w:val="en-GB"/>
        </w:rPr>
        <w:t xml:space="preserve"> rituximab monotherapy</w:t>
      </w:r>
      <w:r w:rsidR="00A46802">
        <w:rPr>
          <w:bCs/>
          <w:szCs w:val="22"/>
          <w:lang w:val="en-GB"/>
        </w:rPr>
        <w:t xml:space="preserve"> reported</w:t>
      </w:r>
      <w:r w:rsidR="002C2D7D">
        <w:rPr>
          <w:bCs/>
          <w:szCs w:val="22"/>
          <w:lang w:val="en-GB"/>
        </w:rPr>
        <w:t xml:space="preserve"> in Trial 312-0116</w:t>
      </w:r>
      <w:r w:rsidR="002C2D7D" w:rsidRPr="002C2D7D">
        <w:rPr>
          <w:bCs/>
          <w:szCs w:val="22"/>
          <w:lang w:val="en-GB"/>
        </w:rPr>
        <w:t xml:space="preserve">. </w:t>
      </w:r>
      <w:r w:rsidR="002C2D7D">
        <w:rPr>
          <w:bCs/>
          <w:szCs w:val="22"/>
          <w:lang w:val="en-GB"/>
        </w:rPr>
        <w:t>However, t</w:t>
      </w:r>
      <w:r w:rsidR="004B79B6" w:rsidRPr="002C2D7D">
        <w:rPr>
          <w:bCs/>
          <w:szCs w:val="22"/>
          <w:lang w:val="en-GB"/>
        </w:rPr>
        <w:t>he PBAC noted that</w:t>
      </w:r>
      <w:r w:rsidR="002C2D7D">
        <w:rPr>
          <w:bCs/>
          <w:szCs w:val="22"/>
          <w:lang w:val="en-GB"/>
        </w:rPr>
        <w:t xml:space="preserve"> the trial</w:t>
      </w:r>
      <w:r w:rsidR="004B79B6" w:rsidRPr="002C2D7D">
        <w:rPr>
          <w:bCs/>
          <w:szCs w:val="22"/>
          <w:lang w:val="en-GB"/>
        </w:rPr>
        <w:t xml:space="preserve"> data were immature with respect to overall survival and long term safety.</w:t>
      </w:r>
    </w:p>
    <w:p w:rsidR="004B79B6" w:rsidRDefault="004B79B6" w:rsidP="00164329">
      <w:pPr>
        <w:pStyle w:val="ListParagraph"/>
        <w:rPr>
          <w:bCs/>
          <w:szCs w:val="22"/>
          <w:lang w:val="en-GB"/>
        </w:rPr>
      </w:pPr>
    </w:p>
    <w:p w:rsidR="003B083D" w:rsidRDefault="003B083D" w:rsidP="0002303B">
      <w:pPr>
        <w:numPr>
          <w:ilvl w:val="1"/>
          <w:numId w:val="10"/>
        </w:numPr>
        <w:contextualSpacing/>
        <w:rPr>
          <w:bCs/>
          <w:szCs w:val="22"/>
          <w:lang w:val="en-GB"/>
        </w:rPr>
      </w:pPr>
      <w:r>
        <w:rPr>
          <w:bCs/>
          <w:szCs w:val="22"/>
          <w:lang w:val="en-GB"/>
        </w:rPr>
        <w:t>The PBAC considered that t</w:t>
      </w:r>
      <w:r w:rsidRPr="003B083D">
        <w:rPr>
          <w:bCs/>
          <w:szCs w:val="22"/>
          <w:lang w:val="en-GB"/>
        </w:rPr>
        <w:t>he trial data indicate</w:t>
      </w:r>
      <w:r w:rsidR="009A558C">
        <w:rPr>
          <w:bCs/>
          <w:szCs w:val="22"/>
          <w:lang w:val="en-GB"/>
        </w:rPr>
        <w:t>d</w:t>
      </w:r>
      <w:r w:rsidRPr="003B083D">
        <w:rPr>
          <w:bCs/>
          <w:szCs w:val="22"/>
          <w:lang w:val="en-GB"/>
        </w:rPr>
        <w:t xml:space="preserve"> that idelalisib </w:t>
      </w:r>
      <w:r w:rsidR="004F222B">
        <w:rPr>
          <w:bCs/>
          <w:szCs w:val="22"/>
          <w:lang w:val="en-GB"/>
        </w:rPr>
        <w:t>plus</w:t>
      </w:r>
      <w:r w:rsidRPr="003B083D">
        <w:rPr>
          <w:bCs/>
          <w:szCs w:val="22"/>
          <w:lang w:val="en-GB"/>
        </w:rPr>
        <w:t xml:space="preserve"> rituximab </w:t>
      </w:r>
      <w:r w:rsidR="0002303B">
        <w:rPr>
          <w:bCs/>
          <w:szCs w:val="22"/>
          <w:lang w:val="en-GB"/>
        </w:rPr>
        <w:t>i</w:t>
      </w:r>
      <w:r>
        <w:rPr>
          <w:bCs/>
          <w:szCs w:val="22"/>
          <w:lang w:val="en-GB"/>
        </w:rPr>
        <w:t>s</w:t>
      </w:r>
      <w:r w:rsidRPr="003B083D">
        <w:rPr>
          <w:bCs/>
          <w:szCs w:val="22"/>
          <w:lang w:val="en-GB"/>
        </w:rPr>
        <w:t xml:space="preserve"> </w:t>
      </w:r>
      <w:r w:rsidRPr="00E3139E">
        <w:rPr>
          <w:bCs/>
          <w:szCs w:val="22"/>
          <w:lang w:val="en-GB"/>
        </w:rPr>
        <w:t xml:space="preserve">inferior </w:t>
      </w:r>
      <w:r w:rsidRPr="003B083D">
        <w:rPr>
          <w:bCs/>
          <w:szCs w:val="22"/>
          <w:lang w:val="en-GB"/>
        </w:rPr>
        <w:t>to rituximab</w:t>
      </w:r>
      <w:r w:rsidR="002B30DC">
        <w:rPr>
          <w:bCs/>
          <w:szCs w:val="22"/>
          <w:lang w:val="en-GB"/>
        </w:rPr>
        <w:t xml:space="preserve"> monotherapy</w:t>
      </w:r>
      <w:r w:rsidRPr="003B083D">
        <w:rPr>
          <w:bCs/>
          <w:szCs w:val="22"/>
          <w:lang w:val="en-GB"/>
        </w:rPr>
        <w:t xml:space="preserve"> for </w:t>
      </w:r>
      <w:r w:rsidR="004F222B">
        <w:rPr>
          <w:bCs/>
          <w:szCs w:val="22"/>
          <w:lang w:val="en-GB"/>
        </w:rPr>
        <w:t xml:space="preserve">some </w:t>
      </w:r>
      <w:r w:rsidR="009A558C">
        <w:rPr>
          <w:bCs/>
          <w:szCs w:val="22"/>
          <w:lang w:val="en-GB"/>
        </w:rPr>
        <w:t xml:space="preserve">short term </w:t>
      </w:r>
      <w:r w:rsidRPr="003B083D">
        <w:rPr>
          <w:bCs/>
          <w:szCs w:val="22"/>
          <w:lang w:val="en-GB"/>
        </w:rPr>
        <w:t xml:space="preserve">safety </w:t>
      </w:r>
      <w:r w:rsidR="009A558C">
        <w:rPr>
          <w:bCs/>
          <w:szCs w:val="22"/>
          <w:lang w:val="en-GB"/>
        </w:rPr>
        <w:t>outcomes</w:t>
      </w:r>
      <w:r w:rsidRPr="003B083D">
        <w:rPr>
          <w:bCs/>
          <w:szCs w:val="22"/>
          <w:lang w:val="en-GB"/>
        </w:rPr>
        <w:t xml:space="preserve">. </w:t>
      </w:r>
      <w:r>
        <w:rPr>
          <w:bCs/>
          <w:szCs w:val="22"/>
          <w:lang w:val="en-GB"/>
        </w:rPr>
        <w:t>The PBAC a</w:t>
      </w:r>
      <w:r w:rsidRPr="003B083D">
        <w:rPr>
          <w:bCs/>
          <w:szCs w:val="22"/>
          <w:lang w:val="en-GB"/>
        </w:rPr>
        <w:t>gree</w:t>
      </w:r>
      <w:r w:rsidR="0002303B">
        <w:rPr>
          <w:bCs/>
          <w:szCs w:val="22"/>
          <w:lang w:val="en-GB"/>
        </w:rPr>
        <w:t>d</w:t>
      </w:r>
      <w:r w:rsidRPr="003B083D">
        <w:rPr>
          <w:bCs/>
          <w:szCs w:val="22"/>
          <w:lang w:val="en-GB"/>
        </w:rPr>
        <w:t xml:space="preserve"> with </w:t>
      </w:r>
      <w:r w:rsidR="0002303B">
        <w:rPr>
          <w:bCs/>
          <w:szCs w:val="22"/>
          <w:lang w:val="en-GB"/>
        </w:rPr>
        <w:t xml:space="preserve">the </w:t>
      </w:r>
      <w:r w:rsidRPr="003B083D">
        <w:rPr>
          <w:bCs/>
          <w:szCs w:val="22"/>
          <w:lang w:val="en-GB"/>
        </w:rPr>
        <w:t>ESC</w:t>
      </w:r>
      <w:r w:rsidR="0002303B">
        <w:rPr>
          <w:bCs/>
          <w:szCs w:val="22"/>
          <w:lang w:val="en-GB"/>
        </w:rPr>
        <w:t xml:space="preserve"> that, given the relatively short trial duration it was difficult to identify potential long term safety effects, and </w:t>
      </w:r>
      <w:r w:rsidR="002C2D7D">
        <w:rPr>
          <w:bCs/>
          <w:szCs w:val="22"/>
          <w:lang w:val="en-GB"/>
        </w:rPr>
        <w:t>as such</w:t>
      </w:r>
      <w:r w:rsidR="0002303B">
        <w:rPr>
          <w:bCs/>
          <w:szCs w:val="22"/>
          <w:lang w:val="en-GB"/>
        </w:rPr>
        <w:t xml:space="preserve"> </w:t>
      </w:r>
      <w:r w:rsidRPr="003B083D">
        <w:rPr>
          <w:bCs/>
          <w:szCs w:val="22"/>
          <w:lang w:val="en-GB"/>
        </w:rPr>
        <w:t>long term toxicities</w:t>
      </w:r>
      <w:r>
        <w:rPr>
          <w:bCs/>
          <w:szCs w:val="22"/>
          <w:lang w:val="en-GB"/>
        </w:rPr>
        <w:t xml:space="preserve"> </w:t>
      </w:r>
      <w:r w:rsidR="0002303B">
        <w:rPr>
          <w:bCs/>
          <w:szCs w:val="22"/>
          <w:lang w:val="en-GB"/>
        </w:rPr>
        <w:t>are</w:t>
      </w:r>
      <w:r>
        <w:rPr>
          <w:bCs/>
          <w:szCs w:val="22"/>
          <w:lang w:val="en-GB"/>
        </w:rPr>
        <w:t xml:space="preserve"> unknown.</w:t>
      </w:r>
      <w:r w:rsidR="0002303B">
        <w:rPr>
          <w:bCs/>
          <w:szCs w:val="22"/>
          <w:lang w:val="en-GB"/>
        </w:rPr>
        <w:t xml:space="preserve"> </w:t>
      </w:r>
      <w:r w:rsidR="00E92C97">
        <w:rPr>
          <w:bCs/>
          <w:szCs w:val="22"/>
          <w:lang w:val="en-GB"/>
        </w:rPr>
        <w:t xml:space="preserve">The PBAC noted the high rates of late colitis, as outlined </w:t>
      </w:r>
      <w:r w:rsidR="009A558C">
        <w:rPr>
          <w:bCs/>
          <w:szCs w:val="22"/>
          <w:lang w:val="en-GB"/>
        </w:rPr>
        <w:t>p</w:t>
      </w:r>
      <w:r w:rsidR="00E92C97">
        <w:rPr>
          <w:bCs/>
          <w:szCs w:val="22"/>
          <w:lang w:val="en-GB"/>
        </w:rPr>
        <w:t>aragraph</w:t>
      </w:r>
      <w:r w:rsidR="00ED0412">
        <w:rPr>
          <w:bCs/>
          <w:szCs w:val="22"/>
          <w:lang w:val="en-GB"/>
        </w:rPr>
        <w:t>s</w:t>
      </w:r>
      <w:r w:rsidR="00E92C97">
        <w:rPr>
          <w:bCs/>
          <w:szCs w:val="22"/>
          <w:lang w:val="en-GB"/>
        </w:rPr>
        <w:t xml:space="preserve"> 6.</w:t>
      </w:r>
      <w:r w:rsidR="009A558C">
        <w:rPr>
          <w:bCs/>
          <w:szCs w:val="22"/>
          <w:lang w:val="en-GB"/>
        </w:rPr>
        <w:t>1</w:t>
      </w:r>
      <w:r w:rsidR="00C35E58">
        <w:rPr>
          <w:bCs/>
          <w:szCs w:val="22"/>
          <w:lang w:val="en-GB"/>
        </w:rPr>
        <w:t>3</w:t>
      </w:r>
      <w:r w:rsidR="00DF5E32">
        <w:rPr>
          <w:bCs/>
          <w:szCs w:val="22"/>
          <w:lang w:val="en-GB"/>
        </w:rPr>
        <w:t xml:space="preserve"> and 6.16</w:t>
      </w:r>
      <w:r w:rsidR="00E92C97">
        <w:rPr>
          <w:bCs/>
          <w:szCs w:val="22"/>
          <w:lang w:val="en-GB"/>
        </w:rPr>
        <w:t>.</w:t>
      </w:r>
    </w:p>
    <w:p w:rsidR="00B255AC" w:rsidRDefault="00B255AC" w:rsidP="00164329">
      <w:pPr>
        <w:pStyle w:val="ListParagraph"/>
        <w:rPr>
          <w:bCs/>
          <w:szCs w:val="22"/>
          <w:lang w:val="en-GB"/>
        </w:rPr>
      </w:pPr>
    </w:p>
    <w:p w:rsidR="002C2D7D" w:rsidRPr="00A46802" w:rsidRDefault="00A46802" w:rsidP="000A3A55">
      <w:pPr>
        <w:pStyle w:val="ListParagraph"/>
        <w:numPr>
          <w:ilvl w:val="1"/>
          <w:numId w:val="10"/>
        </w:numPr>
        <w:rPr>
          <w:bCs/>
          <w:szCs w:val="22"/>
          <w:lang w:val="en-GB"/>
        </w:rPr>
      </w:pPr>
      <w:r w:rsidRPr="00A46802">
        <w:rPr>
          <w:bCs/>
          <w:szCs w:val="22"/>
          <w:lang w:val="en-GB"/>
        </w:rPr>
        <w:t>T</w:t>
      </w:r>
      <w:r w:rsidR="002C2D7D" w:rsidRPr="00A46802">
        <w:rPr>
          <w:bCs/>
          <w:szCs w:val="22"/>
          <w:lang w:val="en-GB"/>
        </w:rPr>
        <w:t>he PBAC considered that the</w:t>
      </w:r>
      <w:r w:rsidRPr="00A46802">
        <w:rPr>
          <w:bCs/>
          <w:szCs w:val="22"/>
          <w:lang w:val="en-GB"/>
        </w:rPr>
        <w:t xml:space="preserve"> data from Trial 312-0116, which compared idelalisib plus rituximab to placebo plus rituximab, </w:t>
      </w:r>
      <w:r w:rsidR="002C2D7D" w:rsidRPr="00A46802">
        <w:rPr>
          <w:bCs/>
          <w:szCs w:val="22"/>
          <w:lang w:val="en-GB"/>
        </w:rPr>
        <w:t xml:space="preserve">would only be applicable if rituximab monotherapy is considered as a surrogate for best supportive care. </w:t>
      </w:r>
      <w:r w:rsidR="000A3A55">
        <w:rPr>
          <w:bCs/>
          <w:szCs w:val="22"/>
          <w:lang w:val="en-GB"/>
        </w:rPr>
        <w:t xml:space="preserve">The PBAC considered that this assumption was reasonable </w:t>
      </w:r>
      <w:r w:rsidR="000A3A55" w:rsidRPr="000A3A55">
        <w:rPr>
          <w:bCs/>
          <w:szCs w:val="22"/>
          <w:lang w:val="en-GB"/>
        </w:rPr>
        <w:t xml:space="preserve">with respect to survival outcomes </w:t>
      </w:r>
      <w:r w:rsidR="000A3A55">
        <w:rPr>
          <w:bCs/>
          <w:szCs w:val="22"/>
          <w:lang w:val="en-GB"/>
        </w:rPr>
        <w:t xml:space="preserve">given </w:t>
      </w:r>
      <w:r w:rsidR="002C2D7D" w:rsidRPr="00A46802">
        <w:rPr>
          <w:bCs/>
          <w:szCs w:val="22"/>
          <w:lang w:val="en-GB"/>
        </w:rPr>
        <w:t xml:space="preserve">the absence of evidence of a survival benefit associated with rituximab monotherapy. The PBAC considered that </w:t>
      </w:r>
      <w:r>
        <w:rPr>
          <w:bCs/>
          <w:szCs w:val="22"/>
          <w:lang w:val="en-GB"/>
        </w:rPr>
        <w:t xml:space="preserve">the </w:t>
      </w:r>
      <w:r w:rsidR="002C2D7D" w:rsidRPr="00A46802">
        <w:rPr>
          <w:bCs/>
          <w:szCs w:val="22"/>
          <w:lang w:val="en-GB"/>
        </w:rPr>
        <w:t xml:space="preserve">submission’s use of comparative data from the placebo plus rituximab arm may have led to an underestimation of both the incremental benefit with regard to progression events, and the comparative harms of idelalisib plus rituximab compared </w:t>
      </w:r>
      <w:r w:rsidR="00F139D6" w:rsidRPr="00A46802">
        <w:rPr>
          <w:bCs/>
          <w:szCs w:val="22"/>
          <w:lang w:val="en-GB"/>
        </w:rPr>
        <w:t>with</w:t>
      </w:r>
      <w:r w:rsidR="002C2D7D" w:rsidRPr="00A46802">
        <w:rPr>
          <w:bCs/>
          <w:szCs w:val="22"/>
          <w:lang w:val="en-GB"/>
        </w:rPr>
        <w:t xml:space="preserve"> best supportive care alone.</w:t>
      </w:r>
    </w:p>
    <w:p w:rsidR="002C2D7D" w:rsidRPr="00C2342D" w:rsidRDefault="002C2D7D" w:rsidP="002C2D7D">
      <w:pPr>
        <w:pStyle w:val="ListParagraph"/>
        <w:rPr>
          <w:bCs/>
          <w:szCs w:val="22"/>
          <w:lang w:val="en-GB"/>
        </w:rPr>
      </w:pPr>
    </w:p>
    <w:p w:rsidR="002C2D7D" w:rsidRPr="00C2342D" w:rsidRDefault="002C2D7D" w:rsidP="002C2D7D">
      <w:pPr>
        <w:pStyle w:val="ListParagraph"/>
        <w:numPr>
          <w:ilvl w:val="1"/>
          <w:numId w:val="10"/>
        </w:numPr>
        <w:rPr>
          <w:bCs/>
          <w:szCs w:val="22"/>
          <w:lang w:val="en-GB"/>
        </w:rPr>
      </w:pPr>
      <w:r w:rsidRPr="00C2342D">
        <w:rPr>
          <w:bCs/>
          <w:szCs w:val="22"/>
          <w:lang w:val="en-GB"/>
        </w:rPr>
        <w:t>While the inclusion criteria for Trial 312-0116 do not specifically align with the revised restriction</w:t>
      </w:r>
      <w:r w:rsidR="00FF3A81">
        <w:rPr>
          <w:bCs/>
          <w:szCs w:val="22"/>
          <w:lang w:val="en-GB"/>
        </w:rPr>
        <w:t xml:space="preserve"> outlined in paragraph 7.4</w:t>
      </w:r>
      <w:r w:rsidRPr="00C2342D">
        <w:rPr>
          <w:bCs/>
          <w:szCs w:val="22"/>
          <w:lang w:val="en-GB"/>
        </w:rPr>
        <w:t xml:space="preserve">, the </w:t>
      </w:r>
      <w:r w:rsidR="000A3A55">
        <w:rPr>
          <w:bCs/>
          <w:szCs w:val="22"/>
          <w:lang w:val="en-GB"/>
        </w:rPr>
        <w:t>PBAC</w:t>
      </w:r>
      <w:r w:rsidRPr="00C2342D">
        <w:rPr>
          <w:bCs/>
          <w:szCs w:val="22"/>
          <w:lang w:val="en-GB"/>
        </w:rPr>
        <w:t xml:space="preserve"> noted the </w:t>
      </w:r>
      <w:r w:rsidR="00B8712C">
        <w:rPr>
          <w:bCs/>
          <w:szCs w:val="22"/>
          <w:lang w:val="en-GB"/>
        </w:rPr>
        <w:t xml:space="preserve">trial was enriched for patients with </w:t>
      </w:r>
      <w:r w:rsidRPr="00C2342D">
        <w:rPr>
          <w:bCs/>
          <w:szCs w:val="22"/>
          <w:lang w:val="en-GB"/>
        </w:rPr>
        <w:t xml:space="preserve">CIRS score of &gt; 6, neutropenia, thrombocytopenia, and/or 17p deletion. As such the PBAC considered that the </w:t>
      </w:r>
      <w:r w:rsidR="002B30DC">
        <w:rPr>
          <w:bCs/>
          <w:szCs w:val="22"/>
          <w:lang w:val="en-GB"/>
        </w:rPr>
        <w:t xml:space="preserve">trial </w:t>
      </w:r>
      <w:r w:rsidRPr="00C2342D">
        <w:rPr>
          <w:bCs/>
          <w:szCs w:val="22"/>
          <w:lang w:val="en-GB"/>
        </w:rPr>
        <w:t>results were applicable to the patient population who would be eligible under the revised restriction.</w:t>
      </w:r>
    </w:p>
    <w:p w:rsidR="002C2D7D" w:rsidRDefault="002C2D7D" w:rsidP="00164329">
      <w:pPr>
        <w:pStyle w:val="ListParagraph"/>
        <w:rPr>
          <w:bCs/>
          <w:szCs w:val="22"/>
          <w:lang w:val="en-GB"/>
        </w:rPr>
      </w:pPr>
    </w:p>
    <w:p w:rsidR="00B477DD" w:rsidRPr="00164329" w:rsidRDefault="008C3615" w:rsidP="008C3615">
      <w:pPr>
        <w:numPr>
          <w:ilvl w:val="1"/>
          <w:numId w:val="10"/>
        </w:numPr>
        <w:contextualSpacing/>
        <w:rPr>
          <w:bCs/>
          <w:szCs w:val="22"/>
          <w:lang w:val="en-GB"/>
        </w:rPr>
      </w:pPr>
      <w:r w:rsidRPr="008C3615">
        <w:rPr>
          <w:bCs/>
          <w:szCs w:val="22"/>
          <w:lang w:val="en-GB"/>
        </w:rPr>
        <w:t xml:space="preserve">The </w:t>
      </w:r>
      <w:r>
        <w:rPr>
          <w:bCs/>
          <w:szCs w:val="22"/>
          <w:lang w:val="en-GB"/>
        </w:rPr>
        <w:t xml:space="preserve">PBAC noted the </w:t>
      </w:r>
      <w:r w:rsidR="00FD23B7">
        <w:rPr>
          <w:bCs/>
          <w:szCs w:val="22"/>
          <w:lang w:val="en-GB"/>
        </w:rPr>
        <w:t xml:space="preserve">ESC’s </w:t>
      </w:r>
      <w:r>
        <w:rPr>
          <w:bCs/>
          <w:szCs w:val="22"/>
          <w:lang w:val="en-GB"/>
        </w:rPr>
        <w:t xml:space="preserve">concerns </w:t>
      </w:r>
      <w:r w:rsidRPr="007851C0">
        <w:rPr>
          <w:bCs/>
          <w:szCs w:val="22"/>
          <w:lang w:val="en-GB"/>
        </w:rPr>
        <w:t>that the model</w:t>
      </w:r>
      <w:r w:rsidR="002A1BF5">
        <w:rPr>
          <w:bCs/>
          <w:szCs w:val="22"/>
          <w:lang w:val="en-GB"/>
        </w:rPr>
        <w:t xml:space="preserve"> structure did not include post</w:t>
      </w:r>
      <w:r w:rsidR="002A1BF5">
        <w:rPr>
          <w:bCs/>
          <w:szCs w:val="22"/>
          <w:lang w:val="en-GB"/>
        </w:rPr>
        <w:noBreakHyphen/>
      </w:r>
      <w:r w:rsidRPr="007851C0">
        <w:rPr>
          <w:bCs/>
          <w:szCs w:val="22"/>
          <w:lang w:val="en-GB"/>
        </w:rPr>
        <w:t>progression treatment benefits</w:t>
      </w:r>
      <w:r w:rsidR="00B477DD" w:rsidRPr="00164329">
        <w:rPr>
          <w:bCs/>
          <w:szCs w:val="22"/>
          <w:lang w:val="en-GB"/>
        </w:rPr>
        <w:t xml:space="preserve">. However, </w:t>
      </w:r>
      <w:r w:rsidR="00FD23B7">
        <w:rPr>
          <w:bCs/>
          <w:szCs w:val="22"/>
          <w:lang w:val="en-GB"/>
        </w:rPr>
        <w:t xml:space="preserve">the PBAC </w:t>
      </w:r>
      <w:r w:rsidR="000E5BA6">
        <w:rPr>
          <w:bCs/>
          <w:szCs w:val="22"/>
          <w:lang w:val="en-GB"/>
        </w:rPr>
        <w:t xml:space="preserve">considered that in view of </w:t>
      </w:r>
      <w:r w:rsidR="00FD23B7">
        <w:rPr>
          <w:bCs/>
          <w:szCs w:val="22"/>
          <w:lang w:val="en-GB"/>
        </w:rPr>
        <w:t>t</w:t>
      </w:r>
      <w:r w:rsidR="00B255AC" w:rsidRPr="007851C0">
        <w:rPr>
          <w:bCs/>
          <w:szCs w:val="22"/>
          <w:lang w:val="en-GB"/>
        </w:rPr>
        <w:t xml:space="preserve">he </w:t>
      </w:r>
      <w:r w:rsidR="002B5771" w:rsidRPr="007851C0">
        <w:rPr>
          <w:bCs/>
          <w:szCs w:val="22"/>
          <w:lang w:val="en-GB"/>
        </w:rPr>
        <w:t xml:space="preserve">poor prognosis </w:t>
      </w:r>
      <w:r w:rsidR="00B255AC" w:rsidRPr="007851C0">
        <w:rPr>
          <w:bCs/>
          <w:szCs w:val="22"/>
          <w:lang w:val="en-GB"/>
        </w:rPr>
        <w:t>of the patient</w:t>
      </w:r>
      <w:r w:rsidR="002B5771" w:rsidRPr="007851C0">
        <w:rPr>
          <w:bCs/>
          <w:szCs w:val="22"/>
          <w:lang w:val="en-GB"/>
        </w:rPr>
        <w:t xml:space="preserve"> population</w:t>
      </w:r>
      <w:r w:rsidR="00FD23B7">
        <w:rPr>
          <w:bCs/>
          <w:szCs w:val="22"/>
          <w:lang w:val="en-GB"/>
        </w:rPr>
        <w:t xml:space="preserve"> </w:t>
      </w:r>
      <w:r w:rsidR="000E5BA6">
        <w:rPr>
          <w:bCs/>
          <w:szCs w:val="22"/>
          <w:lang w:val="en-GB"/>
        </w:rPr>
        <w:t xml:space="preserve">(i.e. </w:t>
      </w:r>
      <w:r w:rsidR="00A40330">
        <w:rPr>
          <w:bCs/>
          <w:szCs w:val="22"/>
          <w:lang w:val="en-GB"/>
        </w:rPr>
        <w:t xml:space="preserve">patients who progress </w:t>
      </w:r>
      <w:r w:rsidR="00A40330" w:rsidRPr="00FD23B7">
        <w:rPr>
          <w:bCs/>
          <w:szCs w:val="22"/>
          <w:lang w:val="en-GB"/>
        </w:rPr>
        <w:t xml:space="preserve">are likely to </w:t>
      </w:r>
      <w:r w:rsidR="00B255AC" w:rsidRPr="00FD23B7">
        <w:rPr>
          <w:bCs/>
          <w:szCs w:val="22"/>
          <w:lang w:val="en-GB"/>
        </w:rPr>
        <w:t>transition</w:t>
      </w:r>
      <w:r w:rsidR="00A40330" w:rsidRPr="00FD23B7">
        <w:rPr>
          <w:bCs/>
          <w:szCs w:val="22"/>
          <w:lang w:val="en-GB"/>
        </w:rPr>
        <w:t xml:space="preserve"> quickly</w:t>
      </w:r>
      <w:r w:rsidR="00B255AC" w:rsidRPr="00FD23B7">
        <w:rPr>
          <w:bCs/>
          <w:szCs w:val="22"/>
          <w:lang w:val="en-GB"/>
        </w:rPr>
        <w:t xml:space="preserve"> to end-of-life care</w:t>
      </w:r>
      <w:r w:rsidR="000E5BA6">
        <w:rPr>
          <w:bCs/>
          <w:szCs w:val="22"/>
          <w:lang w:val="en-GB"/>
        </w:rPr>
        <w:t xml:space="preserve">), a </w:t>
      </w:r>
      <w:r w:rsidR="00B255AC" w:rsidRPr="00FD23B7">
        <w:rPr>
          <w:bCs/>
          <w:szCs w:val="22"/>
          <w:lang w:val="en-GB"/>
        </w:rPr>
        <w:t>simple</w:t>
      </w:r>
      <w:r w:rsidR="00B255AC" w:rsidRPr="00B255AC">
        <w:rPr>
          <w:bCs/>
          <w:szCs w:val="22"/>
          <w:lang w:val="en-GB"/>
        </w:rPr>
        <w:t xml:space="preserve"> model </w:t>
      </w:r>
      <w:r w:rsidR="00A40330">
        <w:rPr>
          <w:bCs/>
          <w:szCs w:val="22"/>
          <w:lang w:val="en-GB"/>
        </w:rPr>
        <w:t xml:space="preserve">structure </w:t>
      </w:r>
      <w:r w:rsidR="00B255AC" w:rsidRPr="00B255AC">
        <w:rPr>
          <w:bCs/>
          <w:szCs w:val="22"/>
          <w:lang w:val="en-GB"/>
        </w:rPr>
        <w:t xml:space="preserve">that does not include </w:t>
      </w:r>
      <w:r w:rsidR="00B255AC" w:rsidRPr="00B255AC">
        <w:rPr>
          <w:bCs/>
          <w:szCs w:val="22"/>
          <w:lang w:val="en-GB"/>
        </w:rPr>
        <w:lastRenderedPageBreak/>
        <w:t>post</w:t>
      </w:r>
      <w:r w:rsidR="002B5771">
        <w:rPr>
          <w:bCs/>
          <w:szCs w:val="22"/>
          <w:lang w:val="en-GB"/>
        </w:rPr>
        <w:noBreakHyphen/>
      </w:r>
      <w:r w:rsidR="00B255AC" w:rsidRPr="00B255AC">
        <w:rPr>
          <w:bCs/>
          <w:szCs w:val="22"/>
          <w:lang w:val="en-GB"/>
        </w:rPr>
        <w:t>progression benefits and costs</w:t>
      </w:r>
      <w:r w:rsidR="00B477DD">
        <w:rPr>
          <w:bCs/>
          <w:szCs w:val="22"/>
          <w:lang w:val="en-GB"/>
        </w:rPr>
        <w:t xml:space="preserve"> would be</w:t>
      </w:r>
      <w:r w:rsidR="00B255AC" w:rsidRPr="00B255AC">
        <w:rPr>
          <w:bCs/>
          <w:szCs w:val="22"/>
          <w:lang w:val="en-GB"/>
        </w:rPr>
        <w:t xml:space="preserve"> appropriate for this specific population.</w:t>
      </w:r>
      <w:r w:rsidRPr="008C3615">
        <w:t xml:space="preserve"> </w:t>
      </w:r>
    </w:p>
    <w:p w:rsidR="00B477DD" w:rsidRDefault="00B477DD" w:rsidP="00164329">
      <w:pPr>
        <w:pStyle w:val="ListParagraph"/>
        <w:rPr>
          <w:bCs/>
          <w:szCs w:val="22"/>
          <w:lang w:val="en-GB"/>
        </w:rPr>
      </w:pPr>
    </w:p>
    <w:p w:rsidR="00B46316" w:rsidRPr="000E5BA6" w:rsidRDefault="00B477DD" w:rsidP="007851C0">
      <w:pPr>
        <w:pStyle w:val="ListParagraph"/>
        <w:numPr>
          <w:ilvl w:val="1"/>
          <w:numId w:val="10"/>
        </w:numPr>
        <w:rPr>
          <w:bCs/>
          <w:szCs w:val="22"/>
          <w:lang w:val="en-GB"/>
        </w:rPr>
      </w:pPr>
      <w:r w:rsidRPr="000E5BA6">
        <w:rPr>
          <w:bCs/>
          <w:szCs w:val="22"/>
          <w:lang w:val="en-GB"/>
        </w:rPr>
        <w:t xml:space="preserve">The PBAC </w:t>
      </w:r>
      <w:r w:rsidR="00466535" w:rsidRPr="000E5BA6">
        <w:rPr>
          <w:bCs/>
          <w:szCs w:val="22"/>
          <w:lang w:val="en-GB"/>
        </w:rPr>
        <w:t>considered</w:t>
      </w:r>
      <w:r w:rsidRPr="000E5BA6">
        <w:rPr>
          <w:bCs/>
          <w:szCs w:val="22"/>
          <w:lang w:val="en-GB"/>
        </w:rPr>
        <w:t xml:space="preserve"> that the model should include</w:t>
      </w:r>
      <w:r w:rsidR="008C3615" w:rsidRPr="000E5BA6">
        <w:rPr>
          <w:bCs/>
          <w:szCs w:val="22"/>
          <w:lang w:val="en-GB"/>
        </w:rPr>
        <w:t xml:space="preserve"> age adjusted all-cause mortality</w:t>
      </w:r>
      <w:r w:rsidR="00FD23B7" w:rsidRPr="000E5BA6">
        <w:rPr>
          <w:bCs/>
          <w:szCs w:val="22"/>
          <w:lang w:val="en-GB"/>
        </w:rPr>
        <w:t xml:space="preserve">, </w:t>
      </w:r>
      <w:r w:rsidR="000E5BA6" w:rsidRPr="000E5BA6">
        <w:rPr>
          <w:bCs/>
          <w:szCs w:val="22"/>
          <w:lang w:val="en-GB"/>
        </w:rPr>
        <w:t>as</w:t>
      </w:r>
      <w:r w:rsidR="00FD23B7" w:rsidRPr="000E5BA6">
        <w:rPr>
          <w:bCs/>
          <w:szCs w:val="22"/>
          <w:lang w:val="en-GB"/>
        </w:rPr>
        <w:t xml:space="preserve"> outlined in paragraph 6.</w:t>
      </w:r>
      <w:r w:rsidR="000E5BA6" w:rsidRPr="000E5BA6">
        <w:rPr>
          <w:bCs/>
          <w:szCs w:val="22"/>
          <w:lang w:val="en-GB"/>
        </w:rPr>
        <w:t>2</w:t>
      </w:r>
      <w:r w:rsidR="00BC1DB2">
        <w:rPr>
          <w:bCs/>
          <w:szCs w:val="22"/>
          <w:lang w:val="en-GB"/>
        </w:rPr>
        <w:t>6</w:t>
      </w:r>
      <w:r w:rsidR="000E5BA6" w:rsidRPr="000E5BA6">
        <w:rPr>
          <w:bCs/>
          <w:szCs w:val="22"/>
          <w:lang w:val="en-GB"/>
        </w:rPr>
        <w:t xml:space="preserve">. </w:t>
      </w:r>
      <w:r w:rsidRPr="000E5BA6">
        <w:rPr>
          <w:bCs/>
          <w:szCs w:val="22"/>
          <w:lang w:val="en-GB"/>
        </w:rPr>
        <w:t xml:space="preserve">Further, the PBAC considered </w:t>
      </w:r>
      <w:r w:rsidR="00B255AC" w:rsidRPr="000E5BA6">
        <w:rPr>
          <w:bCs/>
          <w:szCs w:val="22"/>
          <w:lang w:val="en-GB"/>
        </w:rPr>
        <w:t xml:space="preserve">that </w:t>
      </w:r>
      <w:r w:rsidR="00466535" w:rsidRPr="000E5BA6">
        <w:rPr>
          <w:bCs/>
          <w:szCs w:val="22"/>
          <w:lang w:val="en-GB"/>
        </w:rPr>
        <w:t xml:space="preserve">a 7 year </w:t>
      </w:r>
      <w:r w:rsidRPr="000E5BA6">
        <w:rPr>
          <w:bCs/>
          <w:szCs w:val="22"/>
          <w:lang w:val="en-GB"/>
        </w:rPr>
        <w:t xml:space="preserve">time horizon </w:t>
      </w:r>
      <w:r w:rsidR="00466535" w:rsidRPr="000E5BA6">
        <w:rPr>
          <w:bCs/>
          <w:szCs w:val="22"/>
          <w:lang w:val="en-GB"/>
        </w:rPr>
        <w:t>would be appropriate for the patient population included in the revised restriction,</w:t>
      </w:r>
      <w:r w:rsidR="00B255AC" w:rsidRPr="000E5BA6">
        <w:rPr>
          <w:bCs/>
          <w:szCs w:val="22"/>
          <w:lang w:val="en-GB"/>
        </w:rPr>
        <w:t xml:space="preserve"> </w:t>
      </w:r>
      <w:r w:rsidR="00466535" w:rsidRPr="000E5BA6">
        <w:rPr>
          <w:bCs/>
          <w:szCs w:val="22"/>
          <w:lang w:val="en-GB"/>
        </w:rPr>
        <w:t xml:space="preserve">and that a </w:t>
      </w:r>
      <w:r w:rsidR="00B255AC" w:rsidRPr="000E5BA6">
        <w:rPr>
          <w:bCs/>
          <w:szCs w:val="22"/>
          <w:lang w:val="en-GB"/>
        </w:rPr>
        <w:t xml:space="preserve">sensitivity analysis </w:t>
      </w:r>
      <w:r w:rsidR="000E5BA6">
        <w:rPr>
          <w:bCs/>
          <w:szCs w:val="22"/>
          <w:lang w:val="en-GB"/>
        </w:rPr>
        <w:t xml:space="preserve">with </w:t>
      </w:r>
      <w:r w:rsidR="00466535" w:rsidRPr="000E5BA6">
        <w:rPr>
          <w:bCs/>
          <w:szCs w:val="22"/>
          <w:lang w:val="en-GB"/>
        </w:rPr>
        <w:t xml:space="preserve">a </w:t>
      </w:r>
      <w:r w:rsidR="00B255AC" w:rsidRPr="000E5BA6">
        <w:rPr>
          <w:bCs/>
          <w:szCs w:val="22"/>
          <w:lang w:val="en-GB"/>
        </w:rPr>
        <w:t>5 year</w:t>
      </w:r>
      <w:r w:rsidR="00466535" w:rsidRPr="000E5BA6">
        <w:rPr>
          <w:bCs/>
          <w:szCs w:val="22"/>
          <w:lang w:val="en-GB"/>
        </w:rPr>
        <w:t xml:space="preserve"> time horizon would be informative</w:t>
      </w:r>
      <w:r w:rsidR="00B255AC" w:rsidRPr="000E5BA6">
        <w:rPr>
          <w:bCs/>
          <w:szCs w:val="22"/>
          <w:lang w:val="en-GB"/>
        </w:rPr>
        <w:t>.</w:t>
      </w:r>
      <w:r w:rsidRPr="000E5BA6">
        <w:rPr>
          <w:bCs/>
          <w:szCs w:val="22"/>
          <w:lang w:val="en-GB"/>
        </w:rPr>
        <w:t xml:space="preserve"> </w:t>
      </w:r>
      <w:r w:rsidR="002B30DC">
        <w:rPr>
          <w:bCs/>
          <w:szCs w:val="22"/>
          <w:lang w:val="en-GB"/>
        </w:rPr>
        <w:t>In addition</w:t>
      </w:r>
      <w:r w:rsidRPr="000E5BA6">
        <w:rPr>
          <w:bCs/>
          <w:szCs w:val="22"/>
          <w:lang w:val="en-GB"/>
        </w:rPr>
        <w:t>, the PBAC considered that the choice of extrapolation</w:t>
      </w:r>
      <w:r w:rsidR="004B79B6" w:rsidRPr="000E5BA6">
        <w:rPr>
          <w:bCs/>
          <w:szCs w:val="22"/>
          <w:lang w:val="en-GB"/>
        </w:rPr>
        <w:t xml:space="preserve"> method</w:t>
      </w:r>
      <w:r w:rsidRPr="000E5BA6">
        <w:rPr>
          <w:bCs/>
          <w:szCs w:val="22"/>
          <w:lang w:val="en-GB"/>
        </w:rPr>
        <w:t xml:space="preserve"> </w:t>
      </w:r>
      <w:r w:rsidR="002B5771" w:rsidRPr="000E5BA6">
        <w:rPr>
          <w:bCs/>
          <w:szCs w:val="22"/>
          <w:lang w:val="en-GB"/>
        </w:rPr>
        <w:t xml:space="preserve">would need to </w:t>
      </w:r>
      <w:r w:rsidR="003850CC" w:rsidRPr="000E5BA6">
        <w:rPr>
          <w:bCs/>
          <w:szCs w:val="22"/>
          <w:lang w:val="en-GB"/>
        </w:rPr>
        <w:t xml:space="preserve">align with the </w:t>
      </w:r>
      <w:r w:rsidRPr="000E5BA6">
        <w:rPr>
          <w:bCs/>
          <w:szCs w:val="22"/>
          <w:lang w:val="en-GB"/>
        </w:rPr>
        <w:t>observed data reported in the final C</w:t>
      </w:r>
      <w:r w:rsidR="000B16B8">
        <w:rPr>
          <w:bCs/>
          <w:szCs w:val="22"/>
          <w:lang w:val="en-GB"/>
        </w:rPr>
        <w:t xml:space="preserve">linical </w:t>
      </w:r>
      <w:r w:rsidRPr="000E5BA6">
        <w:rPr>
          <w:bCs/>
          <w:szCs w:val="22"/>
          <w:lang w:val="en-GB"/>
        </w:rPr>
        <w:t>S</w:t>
      </w:r>
      <w:r w:rsidR="000B16B8">
        <w:rPr>
          <w:bCs/>
          <w:szCs w:val="22"/>
          <w:lang w:val="en-GB"/>
        </w:rPr>
        <w:t xml:space="preserve">tudy </w:t>
      </w:r>
      <w:r w:rsidRPr="000E5BA6">
        <w:rPr>
          <w:bCs/>
          <w:szCs w:val="22"/>
          <w:lang w:val="en-GB"/>
        </w:rPr>
        <w:t>R</w:t>
      </w:r>
      <w:r w:rsidR="000B16B8">
        <w:rPr>
          <w:bCs/>
          <w:szCs w:val="22"/>
          <w:lang w:val="en-GB"/>
        </w:rPr>
        <w:t>eport</w:t>
      </w:r>
      <w:r w:rsidR="00466535" w:rsidRPr="000E5BA6">
        <w:rPr>
          <w:bCs/>
          <w:szCs w:val="22"/>
          <w:lang w:val="en-GB"/>
        </w:rPr>
        <w:t xml:space="preserve"> (</w:t>
      </w:r>
      <w:r w:rsidR="00B46316" w:rsidRPr="000E5BA6">
        <w:rPr>
          <w:bCs/>
          <w:szCs w:val="22"/>
          <w:lang w:val="en-GB"/>
        </w:rPr>
        <w:t xml:space="preserve">i.e. </w:t>
      </w:r>
      <w:r w:rsidR="00466535" w:rsidRPr="000E5BA6">
        <w:rPr>
          <w:bCs/>
          <w:szCs w:val="22"/>
          <w:lang w:val="en-GB"/>
        </w:rPr>
        <w:t xml:space="preserve">modelled </w:t>
      </w:r>
      <w:r w:rsidR="00B46316" w:rsidRPr="000E5BA6">
        <w:rPr>
          <w:bCs/>
          <w:szCs w:val="22"/>
          <w:lang w:val="en-GB"/>
        </w:rPr>
        <w:t xml:space="preserve">PFS and </w:t>
      </w:r>
      <w:r w:rsidR="00466535" w:rsidRPr="000E5BA6">
        <w:rPr>
          <w:bCs/>
          <w:szCs w:val="22"/>
          <w:lang w:val="en-GB"/>
        </w:rPr>
        <w:t xml:space="preserve">OS </w:t>
      </w:r>
      <w:r w:rsidR="00B46316" w:rsidRPr="000E5BA6">
        <w:rPr>
          <w:bCs/>
          <w:szCs w:val="22"/>
          <w:lang w:val="en-GB"/>
        </w:rPr>
        <w:t>would need to be</w:t>
      </w:r>
      <w:r w:rsidR="00466535" w:rsidRPr="000E5BA6">
        <w:rPr>
          <w:bCs/>
          <w:szCs w:val="22"/>
          <w:lang w:val="en-GB"/>
        </w:rPr>
        <w:t xml:space="preserve"> consistent with the trial-based data</w:t>
      </w:r>
      <w:r w:rsidR="00B46316" w:rsidRPr="000E5BA6">
        <w:rPr>
          <w:bCs/>
          <w:szCs w:val="22"/>
          <w:lang w:val="en-GB"/>
        </w:rPr>
        <w:t>).</w:t>
      </w:r>
    </w:p>
    <w:p w:rsidR="005F346D" w:rsidRPr="000E5BA6" w:rsidRDefault="005F346D" w:rsidP="00164329">
      <w:pPr>
        <w:rPr>
          <w:bCs/>
          <w:szCs w:val="22"/>
          <w:lang w:val="en-GB"/>
        </w:rPr>
      </w:pPr>
    </w:p>
    <w:p w:rsidR="005F346D" w:rsidRPr="00376EA5" w:rsidRDefault="00FD23B7" w:rsidP="007851C0">
      <w:pPr>
        <w:pStyle w:val="ListParagraph"/>
        <w:numPr>
          <w:ilvl w:val="1"/>
          <w:numId w:val="10"/>
        </w:numPr>
        <w:rPr>
          <w:bCs/>
          <w:szCs w:val="22"/>
          <w:lang w:val="en-GB"/>
        </w:rPr>
      </w:pPr>
      <w:r w:rsidRPr="000E5BA6">
        <w:rPr>
          <w:bCs/>
          <w:szCs w:val="22"/>
          <w:lang w:val="en-GB"/>
        </w:rPr>
        <w:t>The PBAC noted the issues with the estimated usage and financial implications</w:t>
      </w:r>
      <w:r w:rsidR="00FF3A81">
        <w:rPr>
          <w:bCs/>
          <w:szCs w:val="22"/>
          <w:lang w:val="en-GB"/>
        </w:rPr>
        <w:t>,</w:t>
      </w:r>
      <w:r w:rsidRPr="000E5BA6">
        <w:rPr>
          <w:bCs/>
          <w:szCs w:val="22"/>
          <w:lang w:val="en-GB"/>
        </w:rPr>
        <w:t xml:space="preserve"> as outlined in paragraph</w:t>
      </w:r>
      <w:r w:rsidR="000E5BA6">
        <w:rPr>
          <w:bCs/>
          <w:szCs w:val="22"/>
          <w:lang w:val="en-GB"/>
        </w:rPr>
        <w:t>s</w:t>
      </w:r>
      <w:r w:rsidRPr="000E5BA6">
        <w:rPr>
          <w:bCs/>
          <w:szCs w:val="22"/>
          <w:lang w:val="en-GB"/>
        </w:rPr>
        <w:t xml:space="preserve"> 6.3</w:t>
      </w:r>
      <w:r w:rsidR="00BC1DB2">
        <w:rPr>
          <w:bCs/>
          <w:szCs w:val="22"/>
          <w:lang w:val="en-GB"/>
        </w:rPr>
        <w:t>2</w:t>
      </w:r>
      <w:r w:rsidR="000E5BA6">
        <w:rPr>
          <w:bCs/>
          <w:szCs w:val="22"/>
          <w:lang w:val="en-GB"/>
        </w:rPr>
        <w:t xml:space="preserve"> and 6.3</w:t>
      </w:r>
      <w:r w:rsidR="00BC1DB2">
        <w:rPr>
          <w:bCs/>
          <w:szCs w:val="22"/>
          <w:lang w:val="en-GB"/>
        </w:rPr>
        <w:t>3</w:t>
      </w:r>
      <w:r w:rsidRPr="000E5BA6">
        <w:rPr>
          <w:bCs/>
          <w:szCs w:val="22"/>
          <w:lang w:val="en-GB"/>
        </w:rPr>
        <w:t>.</w:t>
      </w:r>
      <w:r w:rsidR="00376EA5" w:rsidRPr="000E5BA6">
        <w:t xml:space="preserve"> In particular</w:t>
      </w:r>
      <w:r w:rsidR="00376EA5">
        <w:t>, t</w:t>
      </w:r>
      <w:r w:rsidR="00376EA5" w:rsidRPr="00376EA5">
        <w:rPr>
          <w:bCs/>
          <w:szCs w:val="22"/>
          <w:lang w:val="en-GB"/>
        </w:rPr>
        <w:t>he PBAC considered that the submission’s assumption</w:t>
      </w:r>
      <w:r w:rsidR="00FF3A81">
        <w:rPr>
          <w:bCs/>
          <w:szCs w:val="22"/>
          <w:lang w:val="en-GB"/>
        </w:rPr>
        <w:t>,</w:t>
      </w:r>
      <w:r w:rsidR="00376EA5" w:rsidRPr="00376EA5">
        <w:rPr>
          <w:bCs/>
          <w:szCs w:val="22"/>
          <w:lang w:val="en-GB"/>
        </w:rPr>
        <w:t xml:space="preserve"> that in year 5 of listing approximately one in ten patients would be new (initiating) patients while the remainder would be continuing patients, was inappropriate. </w:t>
      </w:r>
      <w:r w:rsidR="007851C0" w:rsidRPr="00376EA5">
        <w:rPr>
          <w:bCs/>
          <w:szCs w:val="22"/>
          <w:lang w:val="en-GB"/>
        </w:rPr>
        <w:t xml:space="preserve">Given </w:t>
      </w:r>
      <w:r w:rsidR="00376EA5">
        <w:rPr>
          <w:bCs/>
          <w:szCs w:val="22"/>
          <w:lang w:val="en-GB"/>
        </w:rPr>
        <w:t>the rapidly evolving treatment algorithm for CLL</w:t>
      </w:r>
      <w:r w:rsidR="007851C0" w:rsidRPr="00376EA5">
        <w:rPr>
          <w:bCs/>
          <w:szCs w:val="22"/>
          <w:lang w:val="en-GB"/>
        </w:rPr>
        <w:t xml:space="preserve">, </w:t>
      </w:r>
      <w:r w:rsidR="00376EA5">
        <w:rPr>
          <w:bCs/>
          <w:szCs w:val="22"/>
          <w:lang w:val="en-GB"/>
        </w:rPr>
        <w:t xml:space="preserve">the PBAC considered that it is </w:t>
      </w:r>
      <w:r w:rsidR="007851C0" w:rsidRPr="00376EA5">
        <w:rPr>
          <w:bCs/>
          <w:szCs w:val="22"/>
          <w:lang w:val="en-GB"/>
        </w:rPr>
        <w:t>imperative that robust estimates of the numbers of patients requiring second or subsequent line therapy for CLL are generated.</w:t>
      </w:r>
    </w:p>
    <w:p w:rsidR="00DC3EB9" w:rsidRDefault="00DC3EB9" w:rsidP="00164329">
      <w:pPr>
        <w:pStyle w:val="ListParagraph"/>
        <w:rPr>
          <w:bCs/>
          <w:szCs w:val="22"/>
          <w:lang w:val="en-GB"/>
        </w:rPr>
      </w:pPr>
    </w:p>
    <w:p w:rsidR="00CF1959" w:rsidRDefault="00BF7126" w:rsidP="00D903E2">
      <w:pPr>
        <w:numPr>
          <w:ilvl w:val="1"/>
          <w:numId w:val="10"/>
        </w:numPr>
        <w:contextualSpacing/>
        <w:rPr>
          <w:bCs/>
          <w:szCs w:val="22"/>
          <w:lang w:val="en-GB"/>
        </w:rPr>
      </w:pPr>
      <w:r>
        <w:rPr>
          <w:bCs/>
          <w:szCs w:val="22"/>
          <w:lang w:val="en-GB"/>
        </w:rPr>
        <w:t>The PBAC considered that</w:t>
      </w:r>
      <w:r w:rsidR="003850CC">
        <w:rPr>
          <w:bCs/>
          <w:szCs w:val="22"/>
          <w:lang w:val="en-GB"/>
        </w:rPr>
        <w:t xml:space="preserve"> the financial estimates should not include</w:t>
      </w:r>
      <w:r w:rsidR="000E5BA6">
        <w:rPr>
          <w:bCs/>
          <w:szCs w:val="22"/>
          <w:lang w:val="en-GB"/>
        </w:rPr>
        <w:t xml:space="preserve"> any</w:t>
      </w:r>
      <w:r>
        <w:rPr>
          <w:bCs/>
          <w:szCs w:val="22"/>
          <w:lang w:val="en-GB"/>
        </w:rPr>
        <w:t xml:space="preserve"> cost-offsets for the u</w:t>
      </w:r>
      <w:r w:rsidR="00CF1959">
        <w:rPr>
          <w:bCs/>
          <w:szCs w:val="22"/>
          <w:lang w:val="en-GB"/>
        </w:rPr>
        <w:t>se of rituximab as monotherap</w:t>
      </w:r>
      <w:r w:rsidR="00E01AF9">
        <w:rPr>
          <w:bCs/>
          <w:szCs w:val="22"/>
          <w:lang w:val="en-GB"/>
        </w:rPr>
        <w:t xml:space="preserve">y </w:t>
      </w:r>
      <w:r w:rsidR="003850CC">
        <w:rPr>
          <w:bCs/>
          <w:szCs w:val="22"/>
          <w:lang w:val="en-GB"/>
        </w:rPr>
        <w:t>because such use</w:t>
      </w:r>
      <w:r w:rsidR="00984868">
        <w:rPr>
          <w:bCs/>
          <w:szCs w:val="22"/>
          <w:lang w:val="en-GB"/>
        </w:rPr>
        <w:t xml:space="preserve"> is </w:t>
      </w:r>
      <w:r w:rsidR="00CF1959">
        <w:rPr>
          <w:bCs/>
          <w:szCs w:val="22"/>
          <w:lang w:val="en-GB"/>
        </w:rPr>
        <w:t>outside the PBS restriction for rituximab</w:t>
      </w:r>
      <w:r w:rsidR="003850CC">
        <w:rPr>
          <w:bCs/>
          <w:szCs w:val="22"/>
          <w:lang w:val="en-GB"/>
        </w:rPr>
        <w:t>.</w:t>
      </w:r>
      <w:r w:rsidR="00CF1959">
        <w:rPr>
          <w:bCs/>
          <w:szCs w:val="22"/>
          <w:lang w:val="en-GB"/>
        </w:rPr>
        <w:t xml:space="preserve"> </w:t>
      </w:r>
    </w:p>
    <w:p w:rsidR="00CF1959" w:rsidRDefault="00CF1959" w:rsidP="00164329">
      <w:pPr>
        <w:ind w:left="720"/>
        <w:contextualSpacing/>
        <w:rPr>
          <w:bCs/>
          <w:szCs w:val="22"/>
          <w:lang w:val="en-GB"/>
        </w:rPr>
      </w:pPr>
    </w:p>
    <w:p w:rsidR="00DC3EB9" w:rsidRPr="00D903E2" w:rsidRDefault="00A57BBD" w:rsidP="00A57BBD">
      <w:pPr>
        <w:numPr>
          <w:ilvl w:val="1"/>
          <w:numId w:val="10"/>
        </w:numPr>
        <w:contextualSpacing/>
        <w:rPr>
          <w:bCs/>
          <w:szCs w:val="22"/>
          <w:lang w:val="en-GB"/>
        </w:rPr>
      </w:pPr>
      <w:r>
        <w:rPr>
          <w:bCs/>
          <w:szCs w:val="22"/>
          <w:lang w:val="en-GB"/>
        </w:rPr>
        <w:t>The PBAC considered that th</w:t>
      </w:r>
      <w:r w:rsidR="00DC3EB9" w:rsidRPr="005F346D">
        <w:rPr>
          <w:bCs/>
          <w:szCs w:val="22"/>
          <w:lang w:val="en-GB"/>
        </w:rPr>
        <w:t xml:space="preserve">e </w:t>
      </w:r>
      <w:r>
        <w:rPr>
          <w:bCs/>
          <w:szCs w:val="22"/>
          <w:lang w:val="en-GB"/>
        </w:rPr>
        <w:t xml:space="preserve">estimated number of patients would need to be revised to reflect </w:t>
      </w:r>
      <w:r w:rsidRPr="00A57BBD">
        <w:rPr>
          <w:bCs/>
          <w:szCs w:val="22"/>
          <w:lang w:val="en-GB"/>
        </w:rPr>
        <w:t>the patient population who would be eligible under the revised restriction</w:t>
      </w:r>
      <w:r>
        <w:rPr>
          <w:bCs/>
          <w:szCs w:val="22"/>
          <w:lang w:val="en-GB"/>
        </w:rPr>
        <w:t>.</w:t>
      </w:r>
    </w:p>
    <w:p w:rsidR="00CF1959" w:rsidRPr="003C3927" w:rsidRDefault="00CF1959" w:rsidP="00D73B30">
      <w:pPr>
        <w:ind w:left="720"/>
        <w:contextualSpacing/>
        <w:rPr>
          <w:bCs/>
          <w:szCs w:val="22"/>
          <w:highlight w:val="yellow"/>
          <w:lang w:val="en-GB"/>
        </w:rPr>
      </w:pPr>
    </w:p>
    <w:p w:rsidR="00B920AC" w:rsidRDefault="00B920AC" w:rsidP="003850CC">
      <w:pPr>
        <w:pStyle w:val="ListParagraph"/>
        <w:numPr>
          <w:ilvl w:val="1"/>
          <w:numId w:val="10"/>
        </w:numPr>
        <w:rPr>
          <w:bCs/>
          <w:szCs w:val="22"/>
          <w:lang w:val="en-GB"/>
        </w:rPr>
      </w:pPr>
      <w:r w:rsidRPr="00B920AC">
        <w:rPr>
          <w:bCs/>
          <w:szCs w:val="22"/>
          <w:lang w:val="en-GB"/>
        </w:rPr>
        <w:t xml:space="preserve">The PBAC considered that </w:t>
      </w:r>
      <w:r w:rsidR="00083C22">
        <w:rPr>
          <w:bCs/>
          <w:szCs w:val="22"/>
          <w:lang w:val="en-GB"/>
        </w:rPr>
        <w:t xml:space="preserve">the following would need to be addressed in </w:t>
      </w:r>
      <w:r w:rsidRPr="00B920AC">
        <w:rPr>
          <w:bCs/>
          <w:szCs w:val="22"/>
          <w:lang w:val="en-GB"/>
        </w:rPr>
        <w:t>a major resubmission</w:t>
      </w:r>
      <w:r w:rsidR="00083C22">
        <w:rPr>
          <w:bCs/>
          <w:szCs w:val="22"/>
          <w:lang w:val="en-GB"/>
        </w:rPr>
        <w:t xml:space="preserve">: </w:t>
      </w:r>
      <w:r w:rsidR="003850CC">
        <w:rPr>
          <w:bCs/>
          <w:szCs w:val="22"/>
          <w:lang w:val="en-GB"/>
        </w:rPr>
        <w:t xml:space="preserve">present a revised restriction that </w:t>
      </w:r>
      <w:r w:rsidR="003850CC" w:rsidRPr="003850CC">
        <w:rPr>
          <w:bCs/>
          <w:szCs w:val="22"/>
          <w:lang w:val="en-GB"/>
        </w:rPr>
        <w:t>target</w:t>
      </w:r>
      <w:r w:rsidR="003850CC">
        <w:rPr>
          <w:bCs/>
          <w:szCs w:val="22"/>
          <w:lang w:val="en-GB"/>
        </w:rPr>
        <w:t>s</w:t>
      </w:r>
      <w:r w:rsidR="003850CC" w:rsidRPr="003850CC">
        <w:rPr>
          <w:bCs/>
          <w:szCs w:val="22"/>
          <w:lang w:val="en-GB"/>
        </w:rPr>
        <w:t xml:space="preserve"> patients with the highest clinical need and for whom there is adequate evidence from the trial</w:t>
      </w:r>
      <w:r w:rsidR="003850CC">
        <w:rPr>
          <w:bCs/>
          <w:szCs w:val="22"/>
          <w:lang w:val="en-GB"/>
        </w:rPr>
        <w:t>; use</w:t>
      </w:r>
      <w:r w:rsidRPr="00B920AC">
        <w:rPr>
          <w:bCs/>
          <w:szCs w:val="22"/>
          <w:lang w:val="en-GB"/>
        </w:rPr>
        <w:t xml:space="preserve"> </w:t>
      </w:r>
      <w:r w:rsidR="000A3A55">
        <w:rPr>
          <w:bCs/>
          <w:szCs w:val="22"/>
          <w:lang w:val="en-GB"/>
        </w:rPr>
        <w:t xml:space="preserve">of </w:t>
      </w:r>
      <w:r w:rsidR="00083C22">
        <w:rPr>
          <w:bCs/>
          <w:szCs w:val="22"/>
          <w:lang w:val="en-GB"/>
        </w:rPr>
        <w:t>the appropriate comparator</w:t>
      </w:r>
      <w:r w:rsidR="003850CC">
        <w:rPr>
          <w:bCs/>
          <w:szCs w:val="22"/>
          <w:lang w:val="en-GB"/>
        </w:rPr>
        <w:t>;</w:t>
      </w:r>
      <w:r w:rsidR="00083C22">
        <w:rPr>
          <w:bCs/>
          <w:szCs w:val="22"/>
          <w:lang w:val="en-GB"/>
        </w:rPr>
        <w:t xml:space="preserve"> </w:t>
      </w:r>
      <w:r w:rsidRPr="00B920AC">
        <w:rPr>
          <w:bCs/>
          <w:szCs w:val="22"/>
          <w:lang w:val="en-GB"/>
        </w:rPr>
        <w:t xml:space="preserve">present adequate evidence of </w:t>
      </w:r>
      <w:r w:rsidR="00083C22">
        <w:rPr>
          <w:bCs/>
          <w:szCs w:val="22"/>
          <w:lang w:val="en-GB"/>
        </w:rPr>
        <w:t xml:space="preserve">comparative efficacy and safety </w:t>
      </w:r>
      <w:r w:rsidRPr="00B920AC">
        <w:rPr>
          <w:bCs/>
          <w:szCs w:val="22"/>
          <w:lang w:val="en-GB"/>
        </w:rPr>
        <w:t xml:space="preserve">in </w:t>
      </w:r>
      <w:r w:rsidR="00083C22">
        <w:rPr>
          <w:bCs/>
          <w:szCs w:val="22"/>
          <w:lang w:val="en-GB"/>
        </w:rPr>
        <w:t>this group</w:t>
      </w:r>
      <w:r w:rsidR="003850CC">
        <w:rPr>
          <w:bCs/>
          <w:szCs w:val="22"/>
          <w:lang w:val="en-GB"/>
        </w:rPr>
        <w:t>;</w:t>
      </w:r>
      <w:r w:rsidR="00083C22">
        <w:rPr>
          <w:bCs/>
          <w:szCs w:val="22"/>
          <w:lang w:val="en-GB"/>
        </w:rPr>
        <w:t xml:space="preserve"> </w:t>
      </w:r>
      <w:r w:rsidR="003850CC">
        <w:rPr>
          <w:bCs/>
          <w:szCs w:val="22"/>
          <w:lang w:val="en-GB"/>
        </w:rPr>
        <w:t>update the</w:t>
      </w:r>
      <w:r w:rsidR="00083C22">
        <w:rPr>
          <w:bCs/>
          <w:szCs w:val="22"/>
          <w:lang w:val="en-GB"/>
        </w:rPr>
        <w:t xml:space="preserve"> economic evaluation</w:t>
      </w:r>
      <w:r w:rsidR="003850CC">
        <w:rPr>
          <w:bCs/>
          <w:szCs w:val="22"/>
          <w:lang w:val="en-GB"/>
        </w:rPr>
        <w:t>;</w:t>
      </w:r>
      <w:r w:rsidR="00083C22">
        <w:rPr>
          <w:bCs/>
          <w:szCs w:val="22"/>
          <w:lang w:val="en-GB"/>
        </w:rPr>
        <w:t xml:space="preserve"> and revise</w:t>
      </w:r>
      <w:r w:rsidR="003850CC">
        <w:rPr>
          <w:bCs/>
          <w:szCs w:val="22"/>
          <w:lang w:val="en-GB"/>
        </w:rPr>
        <w:t xml:space="preserve"> the</w:t>
      </w:r>
      <w:r w:rsidR="00083C22">
        <w:rPr>
          <w:bCs/>
          <w:szCs w:val="22"/>
          <w:lang w:val="en-GB"/>
        </w:rPr>
        <w:t xml:space="preserve"> financial estimates.</w:t>
      </w:r>
    </w:p>
    <w:p w:rsidR="00A733AB" w:rsidRDefault="00A733AB" w:rsidP="00164329">
      <w:pPr>
        <w:pStyle w:val="ListParagraph"/>
        <w:rPr>
          <w:bCs/>
          <w:szCs w:val="22"/>
          <w:lang w:val="en-GB"/>
        </w:rPr>
      </w:pPr>
    </w:p>
    <w:p w:rsidR="005F346D" w:rsidRPr="00164329" w:rsidRDefault="00D73B30" w:rsidP="00164329">
      <w:pPr>
        <w:numPr>
          <w:ilvl w:val="1"/>
          <w:numId w:val="10"/>
        </w:numPr>
        <w:contextualSpacing/>
        <w:rPr>
          <w:b/>
          <w:szCs w:val="22"/>
          <w:lang w:val="en-GB"/>
        </w:rPr>
      </w:pPr>
      <w:r w:rsidRPr="00164329">
        <w:rPr>
          <w:bCs/>
          <w:szCs w:val="22"/>
          <w:lang w:val="en-GB"/>
        </w:rPr>
        <w:t>The PBA</w:t>
      </w:r>
      <w:r w:rsidR="005F346D" w:rsidRPr="00164329">
        <w:rPr>
          <w:bCs/>
          <w:szCs w:val="22"/>
          <w:lang w:val="en-GB"/>
        </w:rPr>
        <w:t>C noted that this submission is</w:t>
      </w:r>
      <w:r w:rsidRPr="00164329">
        <w:rPr>
          <w:bCs/>
          <w:szCs w:val="22"/>
          <w:lang w:val="en-GB"/>
        </w:rPr>
        <w:t xml:space="preserve"> eligible for an Independent Review. </w:t>
      </w:r>
    </w:p>
    <w:p w:rsidR="00D73B30" w:rsidRDefault="00D73B30" w:rsidP="00D73B30">
      <w:pPr>
        <w:rPr>
          <w:b/>
          <w:bCs/>
          <w:szCs w:val="22"/>
          <w:highlight w:val="yellow"/>
          <w:lang w:val="en-GB"/>
        </w:rPr>
      </w:pPr>
    </w:p>
    <w:p w:rsidR="00D73B30" w:rsidRPr="00164329" w:rsidRDefault="00D73B30" w:rsidP="00D73B30">
      <w:pPr>
        <w:rPr>
          <w:b/>
          <w:bCs/>
          <w:szCs w:val="22"/>
          <w:lang w:val="en-GB"/>
        </w:rPr>
      </w:pPr>
      <w:r w:rsidRPr="00164329">
        <w:rPr>
          <w:b/>
          <w:bCs/>
          <w:szCs w:val="22"/>
          <w:lang w:val="en-GB"/>
        </w:rPr>
        <w:t>Outcome:</w:t>
      </w:r>
    </w:p>
    <w:p w:rsidR="00D73B30" w:rsidRPr="00975D61" w:rsidRDefault="005F346D" w:rsidP="00D73B30">
      <w:pPr>
        <w:rPr>
          <w:bCs/>
          <w:szCs w:val="22"/>
          <w:lang w:val="en-GB"/>
        </w:rPr>
      </w:pPr>
      <w:r w:rsidRPr="005F346D">
        <w:rPr>
          <w:bCs/>
          <w:szCs w:val="22"/>
          <w:lang w:val="en-GB"/>
        </w:rPr>
        <w:t xml:space="preserve">Rejected </w:t>
      </w:r>
    </w:p>
    <w:p w:rsidR="00D73B30" w:rsidRPr="002C2D7D" w:rsidRDefault="00D73B30" w:rsidP="00D73B30">
      <w:pPr>
        <w:rPr>
          <w:b/>
          <w:bCs/>
          <w:szCs w:val="22"/>
        </w:rPr>
      </w:pPr>
    </w:p>
    <w:p w:rsidR="007E5A73" w:rsidRPr="00C45157" w:rsidRDefault="007E5A73" w:rsidP="00113F99">
      <w:pPr>
        <w:pStyle w:val="PBACHeading1"/>
        <w:rPr>
          <w:snapToGrid/>
        </w:rPr>
      </w:pPr>
      <w:r w:rsidRPr="00C45157">
        <w:rPr>
          <w:snapToGrid/>
        </w:rPr>
        <w:t>Context for Decision</w:t>
      </w:r>
    </w:p>
    <w:p w:rsidR="007E5A73" w:rsidRPr="00C45157" w:rsidRDefault="007E5A73" w:rsidP="007E5A73">
      <w:pPr>
        <w:widowControl/>
        <w:ind w:left="720"/>
        <w:contextualSpacing/>
        <w:jc w:val="left"/>
        <w:rPr>
          <w:rFonts w:ascii="Times New Roman" w:hAnsi="Times New Roman" w:cs="Times New Roman"/>
          <w:b/>
          <w:snapToGrid/>
          <w:sz w:val="24"/>
          <w:szCs w:val="24"/>
          <w:lang w:eastAsia="en-AU"/>
        </w:rPr>
      </w:pPr>
    </w:p>
    <w:p w:rsidR="007E5A73" w:rsidRPr="00C45157" w:rsidRDefault="007E5A73" w:rsidP="007E5A73">
      <w:pPr>
        <w:widowControl/>
        <w:ind w:left="720"/>
        <w:jc w:val="left"/>
        <w:rPr>
          <w:bCs/>
          <w:szCs w:val="22"/>
          <w:lang w:eastAsia="en-AU"/>
        </w:rPr>
      </w:pPr>
      <w:r w:rsidRPr="00C45157">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E5A73" w:rsidRPr="00C45157" w:rsidRDefault="007E5A73" w:rsidP="007E5A73">
      <w:pPr>
        <w:widowControl/>
        <w:jc w:val="left"/>
        <w:rPr>
          <w:rFonts w:ascii="Times New Roman" w:hAnsi="Times New Roman" w:cs="Times New Roman"/>
          <w:snapToGrid/>
          <w:sz w:val="24"/>
          <w:szCs w:val="24"/>
          <w:lang w:eastAsia="en-AU"/>
        </w:rPr>
      </w:pPr>
    </w:p>
    <w:p w:rsidR="007E5A73" w:rsidRPr="00C45157" w:rsidRDefault="007E5A73" w:rsidP="00113F99">
      <w:pPr>
        <w:pStyle w:val="PBACHeading1"/>
        <w:rPr>
          <w:snapToGrid/>
        </w:rPr>
      </w:pPr>
      <w:r w:rsidRPr="00C45157">
        <w:rPr>
          <w:snapToGrid/>
        </w:rPr>
        <w:t>Sponsor’s Comment</w:t>
      </w:r>
    </w:p>
    <w:p w:rsidR="007E5A73" w:rsidRPr="00C45157" w:rsidRDefault="007E5A73" w:rsidP="007E5A73">
      <w:pPr>
        <w:widowControl/>
        <w:rPr>
          <w:rFonts w:cs="Times New Roman"/>
          <w:snapToGrid/>
          <w:szCs w:val="22"/>
          <w:lang w:eastAsia="en-AU"/>
        </w:rPr>
      </w:pPr>
    </w:p>
    <w:p w:rsidR="007E5A73" w:rsidRPr="008347B1" w:rsidRDefault="00FB6362" w:rsidP="00FB6362">
      <w:pPr>
        <w:ind w:left="720"/>
      </w:pPr>
      <w:r w:rsidRPr="00FB6362">
        <w:rPr>
          <w:szCs w:val="22"/>
        </w:rPr>
        <w:t>Gilead looks forward to working with the Department in order to achieve PBS listing of Zydelig for patients with chronic lymphocytic leukemia that has progressed despite prior treatment.</w:t>
      </w:r>
    </w:p>
    <w:sectPr w:rsidR="007E5A73" w:rsidRPr="008347B1" w:rsidSect="00EF7178">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1629D" w15:done="0"/>
  <w15:commentEx w15:paraId="2443DA88" w15:done="0"/>
  <w15:commentEx w15:paraId="11DED435" w15:done="0"/>
  <w15:commentEx w15:paraId="4066E03C" w15:done="0"/>
  <w15:commentEx w15:paraId="6249B64F" w15:done="0"/>
  <w15:commentEx w15:paraId="7427A95F" w15:done="0"/>
  <w15:commentEx w15:paraId="6A09C013" w15:done="0"/>
  <w15:commentEx w15:paraId="610EC144" w15:done="0"/>
  <w15:commentEx w15:paraId="3AEED269" w15:done="0"/>
  <w15:commentEx w15:paraId="3DB25969" w15:done="0"/>
  <w15:commentEx w15:paraId="3F5896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62" w:rsidRDefault="00C60362" w:rsidP="00124A51">
      <w:r>
        <w:separator/>
      </w:r>
    </w:p>
  </w:endnote>
  <w:endnote w:type="continuationSeparator" w:id="0">
    <w:p w:rsidR="00C60362" w:rsidRDefault="00C6036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815270"/>
      <w:docPartObj>
        <w:docPartGallery w:val="Page Numbers (Bottom of Page)"/>
        <w:docPartUnique/>
      </w:docPartObj>
    </w:sdtPr>
    <w:sdtEndPr>
      <w:rPr>
        <w:noProof/>
      </w:rPr>
    </w:sdtEndPr>
    <w:sdtContent>
      <w:p w:rsidR="002563F2" w:rsidRDefault="002563F2">
        <w:pPr>
          <w:pStyle w:val="Footer"/>
          <w:jc w:val="center"/>
        </w:pPr>
        <w:r>
          <w:fldChar w:fldCharType="begin"/>
        </w:r>
        <w:r>
          <w:instrText xml:space="preserve"> PAGE   \* MERGEFORMAT </w:instrText>
        </w:r>
        <w:r>
          <w:fldChar w:fldCharType="separate"/>
        </w:r>
        <w:r w:rsidR="004E2921">
          <w:rPr>
            <w:noProof/>
          </w:rPr>
          <w:t>16</w:t>
        </w:r>
        <w:r>
          <w:rPr>
            <w:noProof/>
          </w:rPr>
          <w:fldChar w:fldCharType="end"/>
        </w:r>
      </w:p>
    </w:sdtContent>
  </w:sdt>
  <w:p w:rsidR="002563F2" w:rsidRPr="00015886" w:rsidRDefault="002563F2" w:rsidP="00015886">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62" w:rsidRDefault="00C60362" w:rsidP="00124A51">
      <w:r>
        <w:separator/>
      </w:r>
    </w:p>
  </w:footnote>
  <w:footnote w:type="continuationSeparator" w:id="0">
    <w:p w:rsidR="00C60362" w:rsidRDefault="00C6036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3F2" w:rsidRPr="00DF217D" w:rsidRDefault="002563F2" w:rsidP="00FB1695">
    <w:pPr>
      <w:pStyle w:val="Header"/>
      <w:jc w:val="center"/>
      <w:rPr>
        <w:i/>
        <w:color w:val="808080"/>
      </w:rPr>
    </w:pPr>
    <w:r w:rsidRPr="000D6DF3">
      <w:rPr>
        <w:i/>
        <w:color w:val="808080"/>
      </w:rPr>
      <w:t>Public Summary Document</w:t>
    </w:r>
    <w:r>
      <w:rPr>
        <w:i/>
        <w:color w:val="808080"/>
      </w:rPr>
      <w:t xml:space="preserve">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2563F2" w:rsidRPr="008C7ECB" w:rsidRDefault="00256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3D5624"/>
    <w:multiLevelType w:val="hybridMultilevel"/>
    <w:tmpl w:val="24A06A0A"/>
    <w:lvl w:ilvl="0" w:tplc="0809000F">
      <w:start w:val="1"/>
      <w:numFmt w:val="decimal"/>
      <w:lvlText w:val="%1."/>
      <w:lvlJc w:val="left"/>
      <w:pPr>
        <w:ind w:left="928" w:hanging="360"/>
      </w:pPr>
    </w:lvl>
    <w:lvl w:ilvl="1" w:tplc="08090019">
      <w:start w:val="1"/>
      <w:numFmt w:val="lowerLetter"/>
      <w:lvlText w:val="%2."/>
      <w:lvlJc w:val="left"/>
      <w:pPr>
        <w:ind w:left="1648" w:hanging="360"/>
      </w:pPr>
      <w:rPr>
        <w:rFonts w:cs="Times New Roman"/>
      </w:rPr>
    </w:lvl>
    <w:lvl w:ilvl="2" w:tplc="0809001B">
      <w:start w:val="1"/>
      <w:numFmt w:val="lowerRoman"/>
      <w:lvlText w:val="%3."/>
      <w:lvlJc w:val="right"/>
      <w:pPr>
        <w:ind w:left="2368" w:hanging="180"/>
      </w:pPr>
      <w:rPr>
        <w:rFonts w:cs="Times New Roman"/>
      </w:rPr>
    </w:lvl>
    <w:lvl w:ilvl="3" w:tplc="0809000F">
      <w:start w:val="1"/>
      <w:numFmt w:val="decimal"/>
      <w:lvlText w:val="%4."/>
      <w:lvlJc w:val="left"/>
      <w:pPr>
        <w:ind w:left="3088" w:hanging="360"/>
      </w:pPr>
      <w:rPr>
        <w:rFonts w:cs="Times New Roman"/>
      </w:rPr>
    </w:lvl>
    <w:lvl w:ilvl="4" w:tplc="08090019">
      <w:start w:val="1"/>
      <w:numFmt w:val="lowerLetter"/>
      <w:lvlText w:val="%5."/>
      <w:lvlJc w:val="left"/>
      <w:pPr>
        <w:ind w:left="3808" w:hanging="360"/>
      </w:pPr>
      <w:rPr>
        <w:rFonts w:cs="Times New Roman"/>
      </w:rPr>
    </w:lvl>
    <w:lvl w:ilvl="5" w:tplc="0809001B">
      <w:start w:val="1"/>
      <w:numFmt w:val="lowerRoman"/>
      <w:lvlText w:val="%6."/>
      <w:lvlJc w:val="right"/>
      <w:pPr>
        <w:ind w:left="4528" w:hanging="180"/>
      </w:pPr>
      <w:rPr>
        <w:rFonts w:cs="Times New Roman"/>
      </w:rPr>
    </w:lvl>
    <w:lvl w:ilvl="6" w:tplc="0809000F">
      <w:start w:val="1"/>
      <w:numFmt w:val="decimal"/>
      <w:lvlText w:val="%7."/>
      <w:lvlJc w:val="left"/>
      <w:pPr>
        <w:ind w:left="5248" w:hanging="360"/>
      </w:pPr>
      <w:rPr>
        <w:rFonts w:cs="Times New Roman"/>
      </w:rPr>
    </w:lvl>
    <w:lvl w:ilvl="7" w:tplc="08090019">
      <w:start w:val="1"/>
      <w:numFmt w:val="lowerLetter"/>
      <w:lvlText w:val="%8."/>
      <w:lvlJc w:val="left"/>
      <w:pPr>
        <w:ind w:left="5968" w:hanging="360"/>
      </w:pPr>
      <w:rPr>
        <w:rFonts w:cs="Times New Roman"/>
      </w:rPr>
    </w:lvl>
    <w:lvl w:ilvl="8" w:tplc="0809001B">
      <w:start w:val="1"/>
      <w:numFmt w:val="lowerRoman"/>
      <w:lvlText w:val="%9."/>
      <w:lvlJc w:val="right"/>
      <w:pPr>
        <w:ind w:left="6688" w:hanging="180"/>
      </w:pPr>
      <w:rPr>
        <w:rFonts w:cs="Times New Roman"/>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62A16"/>
    <w:multiLevelType w:val="hybridMultilevel"/>
    <w:tmpl w:val="B4DE3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135E57"/>
    <w:multiLevelType w:val="hybridMultilevel"/>
    <w:tmpl w:val="088E7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A645837"/>
    <w:multiLevelType w:val="hybridMultilevel"/>
    <w:tmpl w:val="B44E83E2"/>
    <w:lvl w:ilvl="0" w:tplc="EBE66A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743C75"/>
    <w:multiLevelType w:val="hybridMultilevel"/>
    <w:tmpl w:val="1C74F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A79639F"/>
    <w:multiLevelType w:val="hybridMultilevel"/>
    <w:tmpl w:val="14EAA32C"/>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DE0748B"/>
    <w:multiLevelType w:val="hybridMultilevel"/>
    <w:tmpl w:val="5C80F050"/>
    <w:lvl w:ilvl="0" w:tplc="80F0F4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200B80"/>
    <w:multiLevelType w:val="hybridMultilevel"/>
    <w:tmpl w:val="AEA2F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FD8051E"/>
    <w:multiLevelType w:val="hybridMultilevel"/>
    <w:tmpl w:val="DE1C9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2074FCD"/>
    <w:multiLevelType w:val="hybridMultilevel"/>
    <w:tmpl w:val="3E1E5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3304553"/>
    <w:multiLevelType w:val="hybridMultilevel"/>
    <w:tmpl w:val="84C4B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4827055"/>
    <w:multiLevelType w:val="hybridMultilevel"/>
    <w:tmpl w:val="B44E83E2"/>
    <w:lvl w:ilvl="0" w:tplc="EBE66A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7F372B1"/>
    <w:multiLevelType w:val="hybridMultilevel"/>
    <w:tmpl w:val="62860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89417C6"/>
    <w:multiLevelType w:val="hybridMultilevel"/>
    <w:tmpl w:val="89446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8FF1DEC"/>
    <w:multiLevelType w:val="hybridMultilevel"/>
    <w:tmpl w:val="525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9E0697C"/>
    <w:multiLevelType w:val="hybridMultilevel"/>
    <w:tmpl w:val="B44E83E2"/>
    <w:lvl w:ilvl="0" w:tplc="EBE66A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C8F6258"/>
    <w:multiLevelType w:val="hybridMultilevel"/>
    <w:tmpl w:val="25D6F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1">
    <w:nsid w:val="1D7D039C"/>
    <w:multiLevelType w:val="hybridMultilevel"/>
    <w:tmpl w:val="5B1CD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0AB7658"/>
    <w:multiLevelType w:val="hybridMultilevel"/>
    <w:tmpl w:val="0E44A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2AE1DC8"/>
    <w:multiLevelType w:val="hybridMultilevel"/>
    <w:tmpl w:val="646031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26">
    <w:nsid w:val="285041AE"/>
    <w:multiLevelType w:val="hybridMultilevel"/>
    <w:tmpl w:val="EE5E13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7">
    <w:nsid w:val="2A117AE0"/>
    <w:multiLevelType w:val="hybridMultilevel"/>
    <w:tmpl w:val="4E0EF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AAA6AC4"/>
    <w:multiLevelType w:val="hybridMultilevel"/>
    <w:tmpl w:val="3B36ECD4"/>
    <w:lvl w:ilvl="0" w:tplc="D318DA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CD5258E"/>
    <w:multiLevelType w:val="hybridMultilevel"/>
    <w:tmpl w:val="F6CA5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2E58158A"/>
    <w:multiLevelType w:val="hybridMultilevel"/>
    <w:tmpl w:val="F17CBC36"/>
    <w:lvl w:ilvl="0" w:tplc="04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1">
    <w:nsid w:val="2F9B100B"/>
    <w:multiLevelType w:val="hybridMultilevel"/>
    <w:tmpl w:val="A26A4E3C"/>
    <w:lvl w:ilvl="0" w:tplc="199822E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2FC5586D"/>
    <w:multiLevelType w:val="hybridMultilevel"/>
    <w:tmpl w:val="0FCC4F3E"/>
    <w:lvl w:ilvl="0" w:tplc="87683F6A">
      <w:start w:val="1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3D07562"/>
    <w:multiLevelType w:val="hybridMultilevel"/>
    <w:tmpl w:val="EE9216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37574695"/>
    <w:multiLevelType w:val="hybridMultilevel"/>
    <w:tmpl w:val="1BBC4E78"/>
    <w:lvl w:ilvl="0" w:tplc="F488CFD6">
      <w:numFmt w:val="bullet"/>
      <w:lvlText w:val="-"/>
      <w:lvlJc w:val="left"/>
      <w:pPr>
        <w:ind w:left="1440" w:hanging="360"/>
      </w:pPr>
      <w:rPr>
        <w:rFonts w:ascii="Times New Roman" w:eastAsia="Times New Roman" w:hAnsi="Times New Roman" w:cs="Times New Roman" w:hint="default"/>
      </w:rPr>
    </w:lvl>
    <w:lvl w:ilvl="1" w:tplc="F488CFD6">
      <w:numFmt w:val="bullet"/>
      <w:lvlText w:val="-"/>
      <w:lvlJc w:val="left"/>
      <w:pPr>
        <w:ind w:left="2160" w:hanging="360"/>
      </w:pPr>
      <w:rPr>
        <w:rFonts w:ascii="Times New Roman" w:eastAsia="Times New Roman"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3AED5E67"/>
    <w:multiLevelType w:val="hybridMultilevel"/>
    <w:tmpl w:val="E960CF24"/>
    <w:lvl w:ilvl="0" w:tplc="98FA208C">
      <w:start w:val="1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B7C34E2"/>
    <w:multiLevelType w:val="hybridMultilevel"/>
    <w:tmpl w:val="F256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E0E542F"/>
    <w:multiLevelType w:val="hybridMultilevel"/>
    <w:tmpl w:val="9670DDC2"/>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8">
    <w:nsid w:val="3F904446"/>
    <w:multiLevelType w:val="hybridMultilevel"/>
    <w:tmpl w:val="CFBA9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3FCE020B"/>
    <w:multiLevelType w:val="hybridMultilevel"/>
    <w:tmpl w:val="1CAC6812"/>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409B2E06"/>
    <w:multiLevelType w:val="hybridMultilevel"/>
    <w:tmpl w:val="9DD6B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44604F77"/>
    <w:multiLevelType w:val="hybridMultilevel"/>
    <w:tmpl w:val="8AE88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44AF1FE6"/>
    <w:multiLevelType w:val="hybridMultilevel"/>
    <w:tmpl w:val="B226ED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4CC75FA"/>
    <w:multiLevelType w:val="hybridMultilevel"/>
    <w:tmpl w:val="A2DA0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6706BF8"/>
    <w:multiLevelType w:val="hybridMultilevel"/>
    <w:tmpl w:val="9332905A"/>
    <w:lvl w:ilvl="0" w:tplc="B5DC2E40">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6">
    <w:nsid w:val="4D186264"/>
    <w:multiLevelType w:val="hybridMultilevel"/>
    <w:tmpl w:val="B8925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4EE275AB"/>
    <w:multiLevelType w:val="hybridMultilevel"/>
    <w:tmpl w:val="9244A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4F9247A3"/>
    <w:multiLevelType w:val="hybridMultilevel"/>
    <w:tmpl w:val="907EC732"/>
    <w:lvl w:ilvl="0" w:tplc="1680B314">
      <w:start w:val="5"/>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2817877"/>
    <w:multiLevelType w:val="hybridMultilevel"/>
    <w:tmpl w:val="A260B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1">
    <w:nsid w:val="54FF7634"/>
    <w:multiLevelType w:val="hybridMultilevel"/>
    <w:tmpl w:val="1962401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78F4567"/>
    <w:multiLevelType w:val="hybridMultilevel"/>
    <w:tmpl w:val="4A0AC70A"/>
    <w:lvl w:ilvl="0" w:tplc="2FDC6E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88954BC"/>
    <w:multiLevelType w:val="hybridMultilevel"/>
    <w:tmpl w:val="FFEA67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nsid w:val="58EF125F"/>
    <w:multiLevelType w:val="hybridMultilevel"/>
    <w:tmpl w:val="11322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59C64B79"/>
    <w:multiLevelType w:val="hybridMultilevel"/>
    <w:tmpl w:val="6A409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FC84336"/>
    <w:multiLevelType w:val="hybridMultilevel"/>
    <w:tmpl w:val="5CCED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nsid w:val="60782657"/>
    <w:multiLevelType w:val="hybridMultilevel"/>
    <w:tmpl w:val="2D9046AE"/>
    <w:lvl w:ilvl="0" w:tplc="F488CF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22B5E71"/>
    <w:multiLevelType w:val="hybridMultilevel"/>
    <w:tmpl w:val="CF686038"/>
    <w:lvl w:ilvl="0" w:tplc="D318DA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nsid w:val="662975E7"/>
    <w:multiLevelType w:val="hybridMultilevel"/>
    <w:tmpl w:val="A900F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62">
    <w:nsid w:val="6753171B"/>
    <w:multiLevelType w:val="hybridMultilevel"/>
    <w:tmpl w:val="86B089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68071736"/>
    <w:multiLevelType w:val="hybridMultilevel"/>
    <w:tmpl w:val="B44E83E2"/>
    <w:lvl w:ilvl="0" w:tplc="EBE66A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682947EC"/>
    <w:multiLevelType w:val="hybridMultilevel"/>
    <w:tmpl w:val="C55856BA"/>
    <w:lvl w:ilvl="0" w:tplc="0C090001">
      <w:start w:val="1"/>
      <w:numFmt w:val="bullet"/>
      <w:lvlText w:val=""/>
      <w:lvlJc w:val="left"/>
      <w:pPr>
        <w:ind w:left="1440" w:hanging="360"/>
      </w:pPr>
      <w:rPr>
        <w:rFonts w:ascii="Symbol" w:hAnsi="Symbol" w:hint="default"/>
      </w:rPr>
    </w:lvl>
    <w:lvl w:ilvl="1" w:tplc="F488CFD6">
      <w:numFmt w:val="bullet"/>
      <w:lvlText w:val="-"/>
      <w:lvlJc w:val="left"/>
      <w:pPr>
        <w:ind w:left="2160" w:hanging="360"/>
      </w:pPr>
      <w:rPr>
        <w:rFonts w:ascii="Times New Roman" w:eastAsia="Times New Roman"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nsid w:val="6A2F5E50"/>
    <w:multiLevelType w:val="hybridMultilevel"/>
    <w:tmpl w:val="EE6C5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nsid w:val="6E0C0BCD"/>
    <w:multiLevelType w:val="hybridMultilevel"/>
    <w:tmpl w:val="DC984E6C"/>
    <w:lvl w:ilvl="0" w:tplc="A040686E">
      <w:start w:val="6"/>
      <w:numFmt w:val="bullet"/>
      <w:lvlText w:val="-"/>
      <w:lvlJc w:val="left"/>
      <w:pPr>
        <w:ind w:left="1505" w:hanging="360"/>
      </w:pPr>
      <w:rPr>
        <w:rFonts w:ascii="Arial Narrow" w:eastAsia="Times New Roman" w:hAnsi="Arial Narrow" w:cs="Aria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67">
    <w:nsid w:val="741C24A7"/>
    <w:multiLevelType w:val="hybridMultilevel"/>
    <w:tmpl w:val="C57EF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760565A8"/>
    <w:multiLevelType w:val="hybridMultilevel"/>
    <w:tmpl w:val="55BC7B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nsid w:val="764A38FF"/>
    <w:multiLevelType w:val="hybridMultilevel"/>
    <w:tmpl w:val="7C1A63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nsid w:val="784D033C"/>
    <w:multiLevelType w:val="multilevel"/>
    <w:tmpl w:val="70445B2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78577795"/>
    <w:multiLevelType w:val="hybridMultilevel"/>
    <w:tmpl w:val="D79E8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B8976FF"/>
    <w:multiLevelType w:val="hybridMultilevel"/>
    <w:tmpl w:val="DFCC4BD8"/>
    <w:lvl w:ilvl="0" w:tplc="0C090001">
      <w:start w:val="1"/>
      <w:numFmt w:val="bullet"/>
      <w:lvlText w:val=""/>
      <w:lvlJc w:val="left"/>
      <w:pPr>
        <w:ind w:left="360" w:hanging="360"/>
      </w:pPr>
      <w:rPr>
        <w:rFonts w:ascii="Symbol" w:hAnsi="Symbol"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nsid w:val="7BA40D07"/>
    <w:multiLevelType w:val="hybridMultilevel"/>
    <w:tmpl w:val="14240710"/>
    <w:lvl w:ilvl="0" w:tplc="F488CFD6">
      <w:numFmt w:val="bullet"/>
      <w:lvlText w:val="-"/>
      <w:lvlJc w:val="left"/>
      <w:pPr>
        <w:ind w:left="890" w:hanging="360"/>
      </w:pPr>
      <w:rPr>
        <w:rFonts w:ascii="Times New Roman" w:eastAsia="Times New Roman" w:hAnsi="Times New Roman" w:cs="Times New Roman"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4">
    <w:nsid w:val="7CD82E48"/>
    <w:multiLevelType w:val="hybridMultilevel"/>
    <w:tmpl w:val="5846EBFE"/>
    <w:lvl w:ilvl="0" w:tplc="3F062656">
      <w:start w:val="17"/>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D5D20B6"/>
    <w:multiLevelType w:val="hybridMultilevel"/>
    <w:tmpl w:val="4790C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nsid w:val="7E316D9F"/>
    <w:multiLevelType w:val="hybridMultilevel"/>
    <w:tmpl w:val="72B62C4A"/>
    <w:lvl w:ilvl="0" w:tplc="F488CFD6">
      <w:numFmt w:val="bullet"/>
      <w:lvlText w:val="-"/>
      <w:lvlJc w:val="left"/>
      <w:pPr>
        <w:ind w:left="720" w:hanging="360"/>
      </w:pPr>
      <w:rPr>
        <w:rFonts w:ascii="Times New Roman" w:eastAsia="Times New Roman" w:hAnsi="Times New Roman" w:cs="Times New Roman" w:hint="default"/>
      </w:rPr>
    </w:lvl>
    <w:lvl w:ilvl="1" w:tplc="F488CFD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37"/>
  </w:num>
  <w:num w:numId="3">
    <w:abstractNumId w:val="26"/>
  </w:num>
  <w:num w:numId="4">
    <w:abstractNumId w:val="25"/>
  </w:num>
  <w:num w:numId="5">
    <w:abstractNumId w:val="14"/>
  </w:num>
  <w:num w:numId="6">
    <w:abstractNumId w:val="77"/>
  </w:num>
  <w:num w:numId="7">
    <w:abstractNumId w:val="45"/>
  </w:num>
  <w:num w:numId="8">
    <w:abstractNumId w:val="36"/>
  </w:num>
  <w:num w:numId="9">
    <w:abstractNumId w:val="2"/>
  </w:num>
  <w:num w:numId="10">
    <w:abstractNumId w:val="70"/>
  </w:num>
  <w:num w:numId="11">
    <w:abstractNumId w:val="39"/>
  </w:num>
  <w:num w:numId="12">
    <w:abstractNumId w:val="51"/>
  </w:num>
  <w:num w:numId="13">
    <w:abstractNumId w:val="22"/>
  </w:num>
  <w:num w:numId="14">
    <w:abstractNumId w:val="71"/>
  </w:num>
  <w:num w:numId="15">
    <w:abstractNumId w:val="7"/>
  </w:num>
  <w:num w:numId="16">
    <w:abstractNumId w:val="61"/>
  </w:num>
  <w:num w:numId="17">
    <w:abstractNumId w:val="68"/>
  </w:num>
  <w:num w:numId="18">
    <w:abstractNumId w:val="73"/>
  </w:num>
  <w:num w:numId="19">
    <w:abstractNumId w:val="43"/>
  </w:num>
  <w:num w:numId="20">
    <w:abstractNumId w:val="27"/>
  </w:num>
  <w:num w:numId="21">
    <w:abstractNumId w:val="76"/>
  </w:num>
  <w:num w:numId="22">
    <w:abstractNumId w:val="20"/>
  </w:num>
  <w:num w:numId="23">
    <w:abstractNumId w:val="56"/>
  </w:num>
  <w:num w:numId="24">
    <w:abstractNumId w:val="42"/>
  </w:num>
  <w:num w:numId="25">
    <w:abstractNumId w:val="40"/>
  </w:num>
  <w:num w:numId="26">
    <w:abstractNumId w:val="21"/>
  </w:num>
  <w:num w:numId="27">
    <w:abstractNumId w:val="17"/>
  </w:num>
  <w:num w:numId="28">
    <w:abstractNumId w:val="67"/>
  </w:num>
  <w:num w:numId="29">
    <w:abstractNumId w:val="41"/>
  </w:num>
  <w:num w:numId="30">
    <w:abstractNumId w:val="75"/>
  </w:num>
  <w:num w:numId="31">
    <w:abstractNumId w:val="18"/>
  </w:num>
  <w:num w:numId="32">
    <w:abstractNumId w:val="65"/>
  </w:num>
  <w:num w:numId="33">
    <w:abstractNumId w:val="47"/>
  </w:num>
  <w:num w:numId="34">
    <w:abstractNumId w:val="60"/>
  </w:num>
  <w:num w:numId="35">
    <w:abstractNumId w:val="28"/>
  </w:num>
  <w:num w:numId="36">
    <w:abstractNumId w:val="38"/>
  </w:num>
  <w:num w:numId="37">
    <w:abstractNumId w:val="23"/>
  </w:num>
  <w:num w:numId="38">
    <w:abstractNumId w:val="55"/>
  </w:num>
  <w:num w:numId="39">
    <w:abstractNumId w:val="6"/>
  </w:num>
  <w:num w:numId="40">
    <w:abstractNumId w:val="4"/>
  </w:num>
  <w:num w:numId="41">
    <w:abstractNumId w:val="33"/>
  </w:num>
  <w:num w:numId="42">
    <w:abstractNumId w:val="54"/>
  </w:num>
  <w:num w:numId="43">
    <w:abstractNumId w:val="10"/>
  </w:num>
  <w:num w:numId="44">
    <w:abstractNumId w:val="3"/>
  </w:num>
  <w:num w:numId="45">
    <w:abstractNumId w:val="29"/>
  </w:num>
  <w:num w:numId="46">
    <w:abstractNumId w:val="12"/>
  </w:num>
  <w:num w:numId="47">
    <w:abstractNumId w:val="46"/>
  </w:num>
  <w:num w:numId="48">
    <w:abstractNumId w:val="11"/>
  </w:num>
  <w:num w:numId="49">
    <w:abstractNumId w:val="49"/>
  </w:num>
  <w:num w:numId="50">
    <w:abstractNumId w:val="59"/>
  </w:num>
  <w:num w:numId="51">
    <w:abstractNumId w:val="1"/>
  </w:num>
  <w:num w:numId="52">
    <w:abstractNumId w:val="13"/>
  </w:num>
  <w:num w:numId="53">
    <w:abstractNumId w:val="62"/>
  </w:num>
  <w:num w:numId="54">
    <w:abstractNumId w:val="5"/>
  </w:num>
  <w:num w:numId="55">
    <w:abstractNumId w:val="16"/>
  </w:num>
  <w:num w:numId="56">
    <w:abstractNumId w:val="9"/>
  </w:num>
  <w:num w:numId="57">
    <w:abstractNumId w:val="19"/>
  </w:num>
  <w:num w:numId="58">
    <w:abstractNumId w:val="15"/>
  </w:num>
  <w:num w:numId="59">
    <w:abstractNumId w:val="63"/>
  </w:num>
  <w:num w:numId="60">
    <w:abstractNumId w:val="58"/>
  </w:num>
  <w:num w:numId="61">
    <w:abstractNumId w:val="64"/>
  </w:num>
  <w:num w:numId="62">
    <w:abstractNumId w:val="34"/>
  </w:num>
  <w:num w:numId="63">
    <w:abstractNumId w:val="72"/>
  </w:num>
  <w:num w:numId="64">
    <w:abstractNumId w:val="53"/>
  </w:num>
  <w:num w:numId="65">
    <w:abstractNumId w:val="44"/>
  </w:num>
  <w:num w:numId="66">
    <w:abstractNumId w:val="66"/>
  </w:num>
  <w:num w:numId="67">
    <w:abstractNumId w:val="32"/>
  </w:num>
  <w:num w:numId="68">
    <w:abstractNumId w:val="35"/>
  </w:num>
  <w:num w:numId="69">
    <w:abstractNumId w:val="48"/>
  </w:num>
  <w:num w:numId="70">
    <w:abstractNumId w:val="74"/>
  </w:num>
  <w:num w:numId="71">
    <w:abstractNumId w:val="35"/>
  </w:num>
  <w:num w:numId="72">
    <w:abstractNumId w:val="32"/>
  </w:num>
  <w:num w:numId="73">
    <w:abstractNumId w:val="50"/>
  </w:num>
  <w:num w:numId="74">
    <w:abstractNumId w:val="52"/>
  </w:num>
  <w:num w:numId="75">
    <w:abstractNumId w:val="8"/>
  </w:num>
  <w:num w:numId="76">
    <w:abstractNumId w:val="0"/>
  </w:num>
  <w:num w:numId="77">
    <w:abstractNumId w:val="24"/>
  </w:num>
  <w:num w:numId="78">
    <w:abstractNumId w:val="69"/>
  </w:num>
  <w:num w:numId="79">
    <w:abstractNumId w:val="30"/>
  </w:num>
  <w:num w:numId="80">
    <w:abstractNumId w:val="31"/>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51"/>
    <w:rsid w:val="00000790"/>
    <w:rsid w:val="0000110B"/>
    <w:rsid w:val="00002B88"/>
    <w:rsid w:val="00003499"/>
    <w:rsid w:val="00003836"/>
    <w:rsid w:val="00003CA0"/>
    <w:rsid w:val="00004BF7"/>
    <w:rsid w:val="000053C6"/>
    <w:rsid w:val="00006A78"/>
    <w:rsid w:val="00011C10"/>
    <w:rsid w:val="00012349"/>
    <w:rsid w:val="00013247"/>
    <w:rsid w:val="00014944"/>
    <w:rsid w:val="00015886"/>
    <w:rsid w:val="000162EF"/>
    <w:rsid w:val="00016A31"/>
    <w:rsid w:val="000219B8"/>
    <w:rsid w:val="00021DD3"/>
    <w:rsid w:val="0002225F"/>
    <w:rsid w:val="000229B4"/>
    <w:rsid w:val="0002303B"/>
    <w:rsid w:val="00023763"/>
    <w:rsid w:val="00025BD6"/>
    <w:rsid w:val="0002684C"/>
    <w:rsid w:val="00027ACA"/>
    <w:rsid w:val="00031F2B"/>
    <w:rsid w:val="00033EAA"/>
    <w:rsid w:val="00033F0F"/>
    <w:rsid w:val="00034661"/>
    <w:rsid w:val="00037887"/>
    <w:rsid w:val="00037933"/>
    <w:rsid w:val="00040895"/>
    <w:rsid w:val="00043281"/>
    <w:rsid w:val="00043C37"/>
    <w:rsid w:val="00045AFF"/>
    <w:rsid w:val="00050960"/>
    <w:rsid w:val="000518CF"/>
    <w:rsid w:val="00053614"/>
    <w:rsid w:val="0005400F"/>
    <w:rsid w:val="000546D7"/>
    <w:rsid w:val="000555AD"/>
    <w:rsid w:val="00055834"/>
    <w:rsid w:val="00056535"/>
    <w:rsid w:val="00057465"/>
    <w:rsid w:val="00057C45"/>
    <w:rsid w:val="0006078A"/>
    <w:rsid w:val="00062408"/>
    <w:rsid w:val="00063051"/>
    <w:rsid w:val="000662FF"/>
    <w:rsid w:val="0006694F"/>
    <w:rsid w:val="0006703C"/>
    <w:rsid w:val="00071248"/>
    <w:rsid w:val="00071442"/>
    <w:rsid w:val="000720B9"/>
    <w:rsid w:val="00072131"/>
    <w:rsid w:val="000734DB"/>
    <w:rsid w:val="00073C47"/>
    <w:rsid w:val="00075595"/>
    <w:rsid w:val="00077541"/>
    <w:rsid w:val="00080346"/>
    <w:rsid w:val="00080EDB"/>
    <w:rsid w:val="000812CA"/>
    <w:rsid w:val="000824E7"/>
    <w:rsid w:val="00083A76"/>
    <w:rsid w:val="00083C22"/>
    <w:rsid w:val="00085223"/>
    <w:rsid w:val="00090C7E"/>
    <w:rsid w:val="00092455"/>
    <w:rsid w:val="00092DFF"/>
    <w:rsid w:val="00095380"/>
    <w:rsid w:val="000955BE"/>
    <w:rsid w:val="000A0A52"/>
    <w:rsid w:val="000A2C35"/>
    <w:rsid w:val="000A344B"/>
    <w:rsid w:val="000A3A55"/>
    <w:rsid w:val="000A3D9C"/>
    <w:rsid w:val="000A4661"/>
    <w:rsid w:val="000A5E87"/>
    <w:rsid w:val="000B16B8"/>
    <w:rsid w:val="000B2157"/>
    <w:rsid w:val="000B41D5"/>
    <w:rsid w:val="000B527E"/>
    <w:rsid w:val="000B645A"/>
    <w:rsid w:val="000B7653"/>
    <w:rsid w:val="000C0170"/>
    <w:rsid w:val="000C0E5F"/>
    <w:rsid w:val="000C1F9E"/>
    <w:rsid w:val="000C2532"/>
    <w:rsid w:val="000C3E04"/>
    <w:rsid w:val="000C7C51"/>
    <w:rsid w:val="000D1BFC"/>
    <w:rsid w:val="000D1E47"/>
    <w:rsid w:val="000D202B"/>
    <w:rsid w:val="000D5245"/>
    <w:rsid w:val="000D53AC"/>
    <w:rsid w:val="000D7D7F"/>
    <w:rsid w:val="000E0ABD"/>
    <w:rsid w:val="000E2CCC"/>
    <w:rsid w:val="000E30F0"/>
    <w:rsid w:val="000E5BA6"/>
    <w:rsid w:val="000F09F0"/>
    <w:rsid w:val="000F0E58"/>
    <w:rsid w:val="000F3D68"/>
    <w:rsid w:val="000F4BB8"/>
    <w:rsid w:val="000F7127"/>
    <w:rsid w:val="00100F8A"/>
    <w:rsid w:val="001042EC"/>
    <w:rsid w:val="0010437C"/>
    <w:rsid w:val="00104A15"/>
    <w:rsid w:val="00104C27"/>
    <w:rsid w:val="00106838"/>
    <w:rsid w:val="0011032E"/>
    <w:rsid w:val="00111FE3"/>
    <w:rsid w:val="00112449"/>
    <w:rsid w:val="0011348B"/>
    <w:rsid w:val="00113F99"/>
    <w:rsid w:val="00115799"/>
    <w:rsid w:val="00117277"/>
    <w:rsid w:val="0012082C"/>
    <w:rsid w:val="00121799"/>
    <w:rsid w:val="00121BD8"/>
    <w:rsid w:val="00122192"/>
    <w:rsid w:val="001222FC"/>
    <w:rsid w:val="00124A51"/>
    <w:rsid w:val="00125AFB"/>
    <w:rsid w:val="00126621"/>
    <w:rsid w:val="0012685C"/>
    <w:rsid w:val="001301E9"/>
    <w:rsid w:val="00131A75"/>
    <w:rsid w:val="001340A9"/>
    <w:rsid w:val="00137645"/>
    <w:rsid w:val="0014015A"/>
    <w:rsid w:val="00140E99"/>
    <w:rsid w:val="00141034"/>
    <w:rsid w:val="001435B3"/>
    <w:rsid w:val="00143B49"/>
    <w:rsid w:val="00145540"/>
    <w:rsid w:val="001456B0"/>
    <w:rsid w:val="00146581"/>
    <w:rsid w:val="00147247"/>
    <w:rsid w:val="00152B7B"/>
    <w:rsid w:val="00153F69"/>
    <w:rsid w:val="00157130"/>
    <w:rsid w:val="00157843"/>
    <w:rsid w:val="00160289"/>
    <w:rsid w:val="0016058B"/>
    <w:rsid w:val="00160E71"/>
    <w:rsid w:val="00162913"/>
    <w:rsid w:val="00162BD8"/>
    <w:rsid w:val="00163EFF"/>
    <w:rsid w:val="00164329"/>
    <w:rsid w:val="001661FB"/>
    <w:rsid w:val="0016674A"/>
    <w:rsid w:val="00167630"/>
    <w:rsid w:val="00172698"/>
    <w:rsid w:val="00173759"/>
    <w:rsid w:val="00177B22"/>
    <w:rsid w:val="00177F32"/>
    <w:rsid w:val="00182B43"/>
    <w:rsid w:val="00184458"/>
    <w:rsid w:val="00186628"/>
    <w:rsid w:val="0018752F"/>
    <w:rsid w:val="00191836"/>
    <w:rsid w:val="001923F8"/>
    <w:rsid w:val="00192D58"/>
    <w:rsid w:val="0019372B"/>
    <w:rsid w:val="00193E8B"/>
    <w:rsid w:val="00194D51"/>
    <w:rsid w:val="00195222"/>
    <w:rsid w:val="00195F3B"/>
    <w:rsid w:val="00195F5C"/>
    <w:rsid w:val="00195F6D"/>
    <w:rsid w:val="0019638C"/>
    <w:rsid w:val="001975D8"/>
    <w:rsid w:val="00197970"/>
    <w:rsid w:val="001A1109"/>
    <w:rsid w:val="001A423C"/>
    <w:rsid w:val="001A5E67"/>
    <w:rsid w:val="001B05EB"/>
    <w:rsid w:val="001B106A"/>
    <w:rsid w:val="001B114B"/>
    <w:rsid w:val="001B3443"/>
    <w:rsid w:val="001B509F"/>
    <w:rsid w:val="001B5EB4"/>
    <w:rsid w:val="001B67CE"/>
    <w:rsid w:val="001C00FD"/>
    <w:rsid w:val="001C0816"/>
    <w:rsid w:val="001C0D32"/>
    <w:rsid w:val="001C200B"/>
    <w:rsid w:val="001C374E"/>
    <w:rsid w:val="001C5441"/>
    <w:rsid w:val="001C6E66"/>
    <w:rsid w:val="001C70DB"/>
    <w:rsid w:val="001D46E3"/>
    <w:rsid w:val="001D7F98"/>
    <w:rsid w:val="001E0879"/>
    <w:rsid w:val="001E238E"/>
    <w:rsid w:val="001E2B1E"/>
    <w:rsid w:val="001E52EB"/>
    <w:rsid w:val="001E54D2"/>
    <w:rsid w:val="001E6B4C"/>
    <w:rsid w:val="001E7377"/>
    <w:rsid w:val="001E740C"/>
    <w:rsid w:val="001E7BD3"/>
    <w:rsid w:val="001E7C73"/>
    <w:rsid w:val="001F1235"/>
    <w:rsid w:val="001F1CB3"/>
    <w:rsid w:val="001F2E6D"/>
    <w:rsid w:val="001F7361"/>
    <w:rsid w:val="00200BD4"/>
    <w:rsid w:val="0020385F"/>
    <w:rsid w:val="0020635A"/>
    <w:rsid w:val="00207021"/>
    <w:rsid w:val="00207B4A"/>
    <w:rsid w:val="00207D00"/>
    <w:rsid w:val="002105C1"/>
    <w:rsid w:val="00210BD1"/>
    <w:rsid w:val="00215237"/>
    <w:rsid w:val="00220AF7"/>
    <w:rsid w:val="002226F6"/>
    <w:rsid w:val="00223B49"/>
    <w:rsid w:val="00224DD4"/>
    <w:rsid w:val="002275D0"/>
    <w:rsid w:val="002309CC"/>
    <w:rsid w:val="00230A77"/>
    <w:rsid w:val="0023159B"/>
    <w:rsid w:val="002318B0"/>
    <w:rsid w:val="00235C98"/>
    <w:rsid w:val="002365EF"/>
    <w:rsid w:val="002415FF"/>
    <w:rsid w:val="002426CC"/>
    <w:rsid w:val="00243002"/>
    <w:rsid w:val="002435FF"/>
    <w:rsid w:val="00243FDB"/>
    <w:rsid w:val="002463AC"/>
    <w:rsid w:val="00254A8F"/>
    <w:rsid w:val="00254D93"/>
    <w:rsid w:val="00254DCF"/>
    <w:rsid w:val="0025534B"/>
    <w:rsid w:val="002555E9"/>
    <w:rsid w:val="00255939"/>
    <w:rsid w:val="00255BB7"/>
    <w:rsid w:val="002563F2"/>
    <w:rsid w:val="002600D1"/>
    <w:rsid w:val="00261751"/>
    <w:rsid w:val="00261FA1"/>
    <w:rsid w:val="002626BC"/>
    <w:rsid w:val="00262A87"/>
    <w:rsid w:val="00264B65"/>
    <w:rsid w:val="00265E32"/>
    <w:rsid w:val="00267F88"/>
    <w:rsid w:val="002705B7"/>
    <w:rsid w:val="002713F7"/>
    <w:rsid w:val="0027539D"/>
    <w:rsid w:val="0027584A"/>
    <w:rsid w:val="00275B71"/>
    <w:rsid w:val="00275C5A"/>
    <w:rsid w:val="0027644F"/>
    <w:rsid w:val="002764DF"/>
    <w:rsid w:val="00281014"/>
    <w:rsid w:val="00282AD3"/>
    <w:rsid w:val="00283E89"/>
    <w:rsid w:val="00283F30"/>
    <w:rsid w:val="00284066"/>
    <w:rsid w:val="00286233"/>
    <w:rsid w:val="00290DD9"/>
    <w:rsid w:val="00292FB2"/>
    <w:rsid w:val="00295839"/>
    <w:rsid w:val="002A049B"/>
    <w:rsid w:val="002A14AB"/>
    <w:rsid w:val="002A1BF5"/>
    <w:rsid w:val="002A2B99"/>
    <w:rsid w:val="002A37D7"/>
    <w:rsid w:val="002B1C1F"/>
    <w:rsid w:val="002B30DC"/>
    <w:rsid w:val="002B432F"/>
    <w:rsid w:val="002B4C4F"/>
    <w:rsid w:val="002B5771"/>
    <w:rsid w:val="002B5D05"/>
    <w:rsid w:val="002B5E29"/>
    <w:rsid w:val="002B6CCE"/>
    <w:rsid w:val="002B77C2"/>
    <w:rsid w:val="002C1CBF"/>
    <w:rsid w:val="002C2775"/>
    <w:rsid w:val="002C27C1"/>
    <w:rsid w:val="002C2BC1"/>
    <w:rsid w:val="002C2D7D"/>
    <w:rsid w:val="002C61AF"/>
    <w:rsid w:val="002C69F0"/>
    <w:rsid w:val="002C7527"/>
    <w:rsid w:val="002D1861"/>
    <w:rsid w:val="002D357B"/>
    <w:rsid w:val="002E0B6E"/>
    <w:rsid w:val="002E1A01"/>
    <w:rsid w:val="002E294E"/>
    <w:rsid w:val="002E6A3E"/>
    <w:rsid w:val="002E70C4"/>
    <w:rsid w:val="002F03CC"/>
    <w:rsid w:val="002F0792"/>
    <w:rsid w:val="002F2C67"/>
    <w:rsid w:val="002F2D5A"/>
    <w:rsid w:val="002F2E74"/>
    <w:rsid w:val="002F77CD"/>
    <w:rsid w:val="002F7D3C"/>
    <w:rsid w:val="00301017"/>
    <w:rsid w:val="00301614"/>
    <w:rsid w:val="00303686"/>
    <w:rsid w:val="0030786C"/>
    <w:rsid w:val="00310281"/>
    <w:rsid w:val="0031031A"/>
    <w:rsid w:val="00310981"/>
    <w:rsid w:val="00315498"/>
    <w:rsid w:val="003161A6"/>
    <w:rsid w:val="003172E5"/>
    <w:rsid w:val="00320F4A"/>
    <w:rsid w:val="0032401C"/>
    <w:rsid w:val="00324316"/>
    <w:rsid w:val="0032548B"/>
    <w:rsid w:val="003268FB"/>
    <w:rsid w:val="0033062C"/>
    <w:rsid w:val="00331076"/>
    <w:rsid w:val="00335F23"/>
    <w:rsid w:val="003366C9"/>
    <w:rsid w:val="00336E6C"/>
    <w:rsid w:val="003371B0"/>
    <w:rsid w:val="003375B0"/>
    <w:rsid w:val="003378AB"/>
    <w:rsid w:val="00337E33"/>
    <w:rsid w:val="003413C2"/>
    <w:rsid w:val="00343EA6"/>
    <w:rsid w:val="00344259"/>
    <w:rsid w:val="00344656"/>
    <w:rsid w:val="003449D2"/>
    <w:rsid w:val="00345D79"/>
    <w:rsid w:val="00346E77"/>
    <w:rsid w:val="0035620E"/>
    <w:rsid w:val="003563A5"/>
    <w:rsid w:val="003603DC"/>
    <w:rsid w:val="003618BF"/>
    <w:rsid w:val="00361E9A"/>
    <w:rsid w:val="00363700"/>
    <w:rsid w:val="00364505"/>
    <w:rsid w:val="003645E8"/>
    <w:rsid w:val="00364790"/>
    <w:rsid w:val="0036735E"/>
    <w:rsid w:val="00367C94"/>
    <w:rsid w:val="00374CAB"/>
    <w:rsid w:val="00375C46"/>
    <w:rsid w:val="00376EA5"/>
    <w:rsid w:val="00380842"/>
    <w:rsid w:val="003809CF"/>
    <w:rsid w:val="00381333"/>
    <w:rsid w:val="00382D47"/>
    <w:rsid w:val="0038365C"/>
    <w:rsid w:val="003850CC"/>
    <w:rsid w:val="00385C2D"/>
    <w:rsid w:val="003866B9"/>
    <w:rsid w:val="00391637"/>
    <w:rsid w:val="00394D19"/>
    <w:rsid w:val="00394F0F"/>
    <w:rsid w:val="0039531F"/>
    <w:rsid w:val="00396FD0"/>
    <w:rsid w:val="00397084"/>
    <w:rsid w:val="003A1A7A"/>
    <w:rsid w:val="003A3631"/>
    <w:rsid w:val="003A4BA2"/>
    <w:rsid w:val="003A4C4F"/>
    <w:rsid w:val="003B01BC"/>
    <w:rsid w:val="003B083D"/>
    <w:rsid w:val="003B375A"/>
    <w:rsid w:val="003B47E5"/>
    <w:rsid w:val="003C3A6D"/>
    <w:rsid w:val="003C462F"/>
    <w:rsid w:val="003C5289"/>
    <w:rsid w:val="003C588E"/>
    <w:rsid w:val="003C6383"/>
    <w:rsid w:val="003D0558"/>
    <w:rsid w:val="003D1828"/>
    <w:rsid w:val="003D1C51"/>
    <w:rsid w:val="003D2422"/>
    <w:rsid w:val="003D6FEA"/>
    <w:rsid w:val="003E2111"/>
    <w:rsid w:val="003E2492"/>
    <w:rsid w:val="003E429C"/>
    <w:rsid w:val="003E45A5"/>
    <w:rsid w:val="003E51D6"/>
    <w:rsid w:val="003F081B"/>
    <w:rsid w:val="003F1C3C"/>
    <w:rsid w:val="003F4156"/>
    <w:rsid w:val="003F6575"/>
    <w:rsid w:val="003F7546"/>
    <w:rsid w:val="0040029A"/>
    <w:rsid w:val="00402881"/>
    <w:rsid w:val="00404993"/>
    <w:rsid w:val="00406967"/>
    <w:rsid w:val="00407C15"/>
    <w:rsid w:val="00410708"/>
    <w:rsid w:val="00410EC7"/>
    <w:rsid w:val="00411121"/>
    <w:rsid w:val="00413D29"/>
    <w:rsid w:val="00414476"/>
    <w:rsid w:val="00415215"/>
    <w:rsid w:val="0041530A"/>
    <w:rsid w:val="004178B0"/>
    <w:rsid w:val="004206B1"/>
    <w:rsid w:val="00420B9F"/>
    <w:rsid w:val="0042123A"/>
    <w:rsid w:val="00422592"/>
    <w:rsid w:val="004259EF"/>
    <w:rsid w:val="00425BEE"/>
    <w:rsid w:val="00425CB9"/>
    <w:rsid w:val="0042683A"/>
    <w:rsid w:val="00430AEE"/>
    <w:rsid w:val="004319F8"/>
    <w:rsid w:val="00431B5C"/>
    <w:rsid w:val="00433044"/>
    <w:rsid w:val="00435CAB"/>
    <w:rsid w:val="0043656D"/>
    <w:rsid w:val="004416EB"/>
    <w:rsid w:val="00442B2C"/>
    <w:rsid w:val="00442EF6"/>
    <w:rsid w:val="004430E8"/>
    <w:rsid w:val="004443A7"/>
    <w:rsid w:val="00445632"/>
    <w:rsid w:val="004464EB"/>
    <w:rsid w:val="00452C94"/>
    <w:rsid w:val="00455D45"/>
    <w:rsid w:val="00456615"/>
    <w:rsid w:val="004566DB"/>
    <w:rsid w:val="0046205D"/>
    <w:rsid w:val="004620E7"/>
    <w:rsid w:val="00464595"/>
    <w:rsid w:val="004645B5"/>
    <w:rsid w:val="00466535"/>
    <w:rsid w:val="00472045"/>
    <w:rsid w:val="00472608"/>
    <w:rsid w:val="00473236"/>
    <w:rsid w:val="00473C3F"/>
    <w:rsid w:val="0047412E"/>
    <w:rsid w:val="00484EDB"/>
    <w:rsid w:val="004867E2"/>
    <w:rsid w:val="00487C76"/>
    <w:rsid w:val="00487DE0"/>
    <w:rsid w:val="00491154"/>
    <w:rsid w:val="00491B3A"/>
    <w:rsid w:val="0049293D"/>
    <w:rsid w:val="00492CFD"/>
    <w:rsid w:val="00493C78"/>
    <w:rsid w:val="0049544E"/>
    <w:rsid w:val="004962D2"/>
    <w:rsid w:val="004978D3"/>
    <w:rsid w:val="00497F6C"/>
    <w:rsid w:val="00497F8B"/>
    <w:rsid w:val="004A0703"/>
    <w:rsid w:val="004A0DA1"/>
    <w:rsid w:val="004A105C"/>
    <w:rsid w:val="004A1EA5"/>
    <w:rsid w:val="004A2F38"/>
    <w:rsid w:val="004A3C27"/>
    <w:rsid w:val="004A3D39"/>
    <w:rsid w:val="004A408F"/>
    <w:rsid w:val="004A4B56"/>
    <w:rsid w:val="004A6293"/>
    <w:rsid w:val="004A6597"/>
    <w:rsid w:val="004A69CC"/>
    <w:rsid w:val="004B1CB4"/>
    <w:rsid w:val="004B2327"/>
    <w:rsid w:val="004B25DA"/>
    <w:rsid w:val="004B2BE6"/>
    <w:rsid w:val="004B2F18"/>
    <w:rsid w:val="004B3DDB"/>
    <w:rsid w:val="004B4115"/>
    <w:rsid w:val="004B44FD"/>
    <w:rsid w:val="004B5CFC"/>
    <w:rsid w:val="004B79B6"/>
    <w:rsid w:val="004B7F2D"/>
    <w:rsid w:val="004C09D9"/>
    <w:rsid w:val="004C0FB2"/>
    <w:rsid w:val="004C29A0"/>
    <w:rsid w:val="004C4990"/>
    <w:rsid w:val="004C4AED"/>
    <w:rsid w:val="004C541B"/>
    <w:rsid w:val="004D0674"/>
    <w:rsid w:val="004D1AB7"/>
    <w:rsid w:val="004D45E6"/>
    <w:rsid w:val="004D76DC"/>
    <w:rsid w:val="004D7DD5"/>
    <w:rsid w:val="004E0EB8"/>
    <w:rsid w:val="004E2921"/>
    <w:rsid w:val="004E2ADC"/>
    <w:rsid w:val="004E351B"/>
    <w:rsid w:val="004E43B2"/>
    <w:rsid w:val="004E4D54"/>
    <w:rsid w:val="004E5591"/>
    <w:rsid w:val="004F055A"/>
    <w:rsid w:val="004F1D02"/>
    <w:rsid w:val="004F222B"/>
    <w:rsid w:val="004F2679"/>
    <w:rsid w:val="004F3AFF"/>
    <w:rsid w:val="004F58C7"/>
    <w:rsid w:val="004F5EE9"/>
    <w:rsid w:val="004F6596"/>
    <w:rsid w:val="004F673B"/>
    <w:rsid w:val="004F72EE"/>
    <w:rsid w:val="004F733E"/>
    <w:rsid w:val="004F7865"/>
    <w:rsid w:val="005014B8"/>
    <w:rsid w:val="00501906"/>
    <w:rsid w:val="0050523C"/>
    <w:rsid w:val="00506928"/>
    <w:rsid w:val="005073CB"/>
    <w:rsid w:val="0051097D"/>
    <w:rsid w:val="0051310B"/>
    <w:rsid w:val="00513E21"/>
    <w:rsid w:val="005152B5"/>
    <w:rsid w:val="005175E2"/>
    <w:rsid w:val="00521319"/>
    <w:rsid w:val="00521DAF"/>
    <w:rsid w:val="00523C28"/>
    <w:rsid w:val="00525AC3"/>
    <w:rsid w:val="00530FE8"/>
    <w:rsid w:val="00532818"/>
    <w:rsid w:val="005328E4"/>
    <w:rsid w:val="00534671"/>
    <w:rsid w:val="00536F1C"/>
    <w:rsid w:val="0053730C"/>
    <w:rsid w:val="00540604"/>
    <w:rsid w:val="00541FD9"/>
    <w:rsid w:val="00545DE5"/>
    <w:rsid w:val="0054796A"/>
    <w:rsid w:val="00552AEC"/>
    <w:rsid w:val="00552BD3"/>
    <w:rsid w:val="005544F5"/>
    <w:rsid w:val="005546A6"/>
    <w:rsid w:val="00555109"/>
    <w:rsid w:val="00555169"/>
    <w:rsid w:val="00555D34"/>
    <w:rsid w:val="00555FD3"/>
    <w:rsid w:val="00557363"/>
    <w:rsid w:val="005575FE"/>
    <w:rsid w:val="0056094E"/>
    <w:rsid w:val="005620B1"/>
    <w:rsid w:val="00565DAB"/>
    <w:rsid w:val="0056670C"/>
    <w:rsid w:val="0056696F"/>
    <w:rsid w:val="00567A43"/>
    <w:rsid w:val="00567EFF"/>
    <w:rsid w:val="00570066"/>
    <w:rsid w:val="0057175B"/>
    <w:rsid w:val="00575D8D"/>
    <w:rsid w:val="005761D9"/>
    <w:rsid w:val="00576972"/>
    <w:rsid w:val="0057712B"/>
    <w:rsid w:val="005803F5"/>
    <w:rsid w:val="00582E48"/>
    <w:rsid w:val="00583699"/>
    <w:rsid w:val="00584BA5"/>
    <w:rsid w:val="005857CD"/>
    <w:rsid w:val="00586094"/>
    <w:rsid w:val="00586C4C"/>
    <w:rsid w:val="005922EB"/>
    <w:rsid w:val="00594F36"/>
    <w:rsid w:val="0059719E"/>
    <w:rsid w:val="005A149B"/>
    <w:rsid w:val="005A48F0"/>
    <w:rsid w:val="005B32AF"/>
    <w:rsid w:val="005B4CAB"/>
    <w:rsid w:val="005B5857"/>
    <w:rsid w:val="005B63D1"/>
    <w:rsid w:val="005C1B83"/>
    <w:rsid w:val="005C346B"/>
    <w:rsid w:val="005C3B4F"/>
    <w:rsid w:val="005C59C3"/>
    <w:rsid w:val="005C6E44"/>
    <w:rsid w:val="005D044D"/>
    <w:rsid w:val="005D18AD"/>
    <w:rsid w:val="005D367D"/>
    <w:rsid w:val="005D5246"/>
    <w:rsid w:val="005D6C17"/>
    <w:rsid w:val="005E2825"/>
    <w:rsid w:val="005E3238"/>
    <w:rsid w:val="005E4890"/>
    <w:rsid w:val="005E4F7B"/>
    <w:rsid w:val="005E61CC"/>
    <w:rsid w:val="005E73C0"/>
    <w:rsid w:val="005F2706"/>
    <w:rsid w:val="005F3465"/>
    <w:rsid w:val="005F346D"/>
    <w:rsid w:val="005F383F"/>
    <w:rsid w:val="005F50BC"/>
    <w:rsid w:val="005F5CB1"/>
    <w:rsid w:val="005F6A8F"/>
    <w:rsid w:val="005F72D3"/>
    <w:rsid w:val="00602105"/>
    <w:rsid w:val="0060575C"/>
    <w:rsid w:val="00607669"/>
    <w:rsid w:val="006101EC"/>
    <w:rsid w:val="00610830"/>
    <w:rsid w:val="00610EF8"/>
    <w:rsid w:val="00611E4F"/>
    <w:rsid w:val="00612F97"/>
    <w:rsid w:val="00613837"/>
    <w:rsid w:val="00613C0F"/>
    <w:rsid w:val="00616802"/>
    <w:rsid w:val="00616938"/>
    <w:rsid w:val="00616C2D"/>
    <w:rsid w:val="00617E12"/>
    <w:rsid w:val="006212F5"/>
    <w:rsid w:val="00621477"/>
    <w:rsid w:val="006222DF"/>
    <w:rsid w:val="00623188"/>
    <w:rsid w:val="006257EC"/>
    <w:rsid w:val="00625C9B"/>
    <w:rsid w:val="00625D99"/>
    <w:rsid w:val="00626DE5"/>
    <w:rsid w:val="0063019D"/>
    <w:rsid w:val="00631A80"/>
    <w:rsid w:val="00631D6B"/>
    <w:rsid w:val="0063479F"/>
    <w:rsid w:val="00635A20"/>
    <w:rsid w:val="006364A1"/>
    <w:rsid w:val="006368F8"/>
    <w:rsid w:val="00637BFD"/>
    <w:rsid w:val="00641402"/>
    <w:rsid w:val="0064236A"/>
    <w:rsid w:val="00642392"/>
    <w:rsid w:val="006444A8"/>
    <w:rsid w:val="006454DD"/>
    <w:rsid w:val="006461C8"/>
    <w:rsid w:val="006471CC"/>
    <w:rsid w:val="0065079F"/>
    <w:rsid w:val="006508AC"/>
    <w:rsid w:val="00652DB0"/>
    <w:rsid w:val="00654225"/>
    <w:rsid w:val="006579AD"/>
    <w:rsid w:val="00661AAB"/>
    <w:rsid w:val="00662D70"/>
    <w:rsid w:val="00671216"/>
    <w:rsid w:val="006726F7"/>
    <w:rsid w:val="00674E42"/>
    <w:rsid w:val="006763A5"/>
    <w:rsid w:val="00682112"/>
    <w:rsid w:val="00683A2D"/>
    <w:rsid w:val="00683D5D"/>
    <w:rsid w:val="0068424F"/>
    <w:rsid w:val="00684595"/>
    <w:rsid w:val="00685092"/>
    <w:rsid w:val="00686220"/>
    <w:rsid w:val="006872BA"/>
    <w:rsid w:val="006917D7"/>
    <w:rsid w:val="00692330"/>
    <w:rsid w:val="00692955"/>
    <w:rsid w:val="0069445F"/>
    <w:rsid w:val="00694EDC"/>
    <w:rsid w:val="00694F44"/>
    <w:rsid w:val="0069529C"/>
    <w:rsid w:val="00695396"/>
    <w:rsid w:val="0069733B"/>
    <w:rsid w:val="00697B55"/>
    <w:rsid w:val="00697D81"/>
    <w:rsid w:val="006A0826"/>
    <w:rsid w:val="006A0B4C"/>
    <w:rsid w:val="006A15DF"/>
    <w:rsid w:val="006A58AA"/>
    <w:rsid w:val="006B0BD7"/>
    <w:rsid w:val="006B6204"/>
    <w:rsid w:val="006B6449"/>
    <w:rsid w:val="006B6C1C"/>
    <w:rsid w:val="006C2A8E"/>
    <w:rsid w:val="006C35EF"/>
    <w:rsid w:val="006C562E"/>
    <w:rsid w:val="006C7BD4"/>
    <w:rsid w:val="006D06BE"/>
    <w:rsid w:val="006D0CB4"/>
    <w:rsid w:val="006D3607"/>
    <w:rsid w:val="006D3C7D"/>
    <w:rsid w:val="006D3E57"/>
    <w:rsid w:val="006D5954"/>
    <w:rsid w:val="006D5D5F"/>
    <w:rsid w:val="006D6E05"/>
    <w:rsid w:val="006D7394"/>
    <w:rsid w:val="006E0F74"/>
    <w:rsid w:val="006E203F"/>
    <w:rsid w:val="006E4AEE"/>
    <w:rsid w:val="006E7537"/>
    <w:rsid w:val="006F4125"/>
    <w:rsid w:val="006F5C0F"/>
    <w:rsid w:val="006F63A5"/>
    <w:rsid w:val="00700380"/>
    <w:rsid w:val="00701D9E"/>
    <w:rsid w:val="0070276E"/>
    <w:rsid w:val="00702F8F"/>
    <w:rsid w:val="00703E10"/>
    <w:rsid w:val="00706C6E"/>
    <w:rsid w:val="00707148"/>
    <w:rsid w:val="007112CB"/>
    <w:rsid w:val="007113BF"/>
    <w:rsid w:val="00711A36"/>
    <w:rsid w:val="007130DE"/>
    <w:rsid w:val="00714293"/>
    <w:rsid w:val="007172AD"/>
    <w:rsid w:val="0071753B"/>
    <w:rsid w:val="007227A6"/>
    <w:rsid w:val="00722F0C"/>
    <w:rsid w:val="0072416F"/>
    <w:rsid w:val="0072691E"/>
    <w:rsid w:val="00731014"/>
    <w:rsid w:val="00733338"/>
    <w:rsid w:val="00733FF8"/>
    <w:rsid w:val="00735328"/>
    <w:rsid w:val="0073685B"/>
    <w:rsid w:val="00741A72"/>
    <w:rsid w:val="00743728"/>
    <w:rsid w:val="0075106A"/>
    <w:rsid w:val="007511D9"/>
    <w:rsid w:val="00755D7B"/>
    <w:rsid w:val="00755DC2"/>
    <w:rsid w:val="00755E3F"/>
    <w:rsid w:val="00756163"/>
    <w:rsid w:val="00756A7F"/>
    <w:rsid w:val="00756B59"/>
    <w:rsid w:val="00757A73"/>
    <w:rsid w:val="007629A9"/>
    <w:rsid w:val="00762B08"/>
    <w:rsid w:val="007650F8"/>
    <w:rsid w:val="00773CE9"/>
    <w:rsid w:val="00773F5B"/>
    <w:rsid w:val="0077457F"/>
    <w:rsid w:val="007751F6"/>
    <w:rsid w:val="00777846"/>
    <w:rsid w:val="007807EE"/>
    <w:rsid w:val="00782A73"/>
    <w:rsid w:val="007838C9"/>
    <w:rsid w:val="00784EAE"/>
    <w:rsid w:val="007851C0"/>
    <w:rsid w:val="00787114"/>
    <w:rsid w:val="00792670"/>
    <w:rsid w:val="00795468"/>
    <w:rsid w:val="00796941"/>
    <w:rsid w:val="007971F3"/>
    <w:rsid w:val="00797AAF"/>
    <w:rsid w:val="007A0069"/>
    <w:rsid w:val="007A0A12"/>
    <w:rsid w:val="007A0F29"/>
    <w:rsid w:val="007A28FD"/>
    <w:rsid w:val="007A320D"/>
    <w:rsid w:val="007A373C"/>
    <w:rsid w:val="007A4531"/>
    <w:rsid w:val="007A464A"/>
    <w:rsid w:val="007A54EF"/>
    <w:rsid w:val="007A5609"/>
    <w:rsid w:val="007A6980"/>
    <w:rsid w:val="007A6B08"/>
    <w:rsid w:val="007B0CAF"/>
    <w:rsid w:val="007B251D"/>
    <w:rsid w:val="007B2C07"/>
    <w:rsid w:val="007B5CA3"/>
    <w:rsid w:val="007B77BA"/>
    <w:rsid w:val="007B77D1"/>
    <w:rsid w:val="007C0911"/>
    <w:rsid w:val="007C2497"/>
    <w:rsid w:val="007C361D"/>
    <w:rsid w:val="007C3F61"/>
    <w:rsid w:val="007C4637"/>
    <w:rsid w:val="007C62E9"/>
    <w:rsid w:val="007C6371"/>
    <w:rsid w:val="007C784F"/>
    <w:rsid w:val="007D0B38"/>
    <w:rsid w:val="007D0CDA"/>
    <w:rsid w:val="007D1F93"/>
    <w:rsid w:val="007D5098"/>
    <w:rsid w:val="007D6881"/>
    <w:rsid w:val="007D77F9"/>
    <w:rsid w:val="007D7FB6"/>
    <w:rsid w:val="007E0560"/>
    <w:rsid w:val="007E2204"/>
    <w:rsid w:val="007E3E20"/>
    <w:rsid w:val="007E5A73"/>
    <w:rsid w:val="007E6960"/>
    <w:rsid w:val="007E6C64"/>
    <w:rsid w:val="007E761D"/>
    <w:rsid w:val="007F1017"/>
    <w:rsid w:val="007F1D43"/>
    <w:rsid w:val="007F2317"/>
    <w:rsid w:val="007F3753"/>
    <w:rsid w:val="007F407B"/>
    <w:rsid w:val="007F4A3F"/>
    <w:rsid w:val="007F4F8D"/>
    <w:rsid w:val="007F5102"/>
    <w:rsid w:val="007F559B"/>
    <w:rsid w:val="008003F2"/>
    <w:rsid w:val="008030B1"/>
    <w:rsid w:val="008034E6"/>
    <w:rsid w:val="00804683"/>
    <w:rsid w:val="00804DD9"/>
    <w:rsid w:val="00805142"/>
    <w:rsid w:val="00806FC2"/>
    <w:rsid w:val="00807A8B"/>
    <w:rsid w:val="00810B08"/>
    <w:rsid w:val="00812149"/>
    <w:rsid w:val="008166EF"/>
    <w:rsid w:val="00816935"/>
    <w:rsid w:val="00817331"/>
    <w:rsid w:val="00817797"/>
    <w:rsid w:val="008264EB"/>
    <w:rsid w:val="00826BE1"/>
    <w:rsid w:val="00833B05"/>
    <w:rsid w:val="00835A23"/>
    <w:rsid w:val="008368D4"/>
    <w:rsid w:val="00840CA2"/>
    <w:rsid w:val="0084130B"/>
    <w:rsid w:val="00841367"/>
    <w:rsid w:val="008427D2"/>
    <w:rsid w:val="00843874"/>
    <w:rsid w:val="00843EB4"/>
    <w:rsid w:val="008447C6"/>
    <w:rsid w:val="00845238"/>
    <w:rsid w:val="00847845"/>
    <w:rsid w:val="00852B2B"/>
    <w:rsid w:val="008541A8"/>
    <w:rsid w:val="008556D6"/>
    <w:rsid w:val="00856E9A"/>
    <w:rsid w:val="00862502"/>
    <w:rsid w:val="00863E61"/>
    <w:rsid w:val="00865FD9"/>
    <w:rsid w:val="008668D9"/>
    <w:rsid w:val="00870360"/>
    <w:rsid w:val="008704C6"/>
    <w:rsid w:val="00870D4B"/>
    <w:rsid w:val="008730C6"/>
    <w:rsid w:val="00876522"/>
    <w:rsid w:val="008765DE"/>
    <w:rsid w:val="00881CF7"/>
    <w:rsid w:val="00882874"/>
    <w:rsid w:val="008835B6"/>
    <w:rsid w:val="00883787"/>
    <w:rsid w:val="00883CA6"/>
    <w:rsid w:val="00883F36"/>
    <w:rsid w:val="00885148"/>
    <w:rsid w:val="00887A86"/>
    <w:rsid w:val="008921FF"/>
    <w:rsid w:val="00894489"/>
    <w:rsid w:val="00894BD0"/>
    <w:rsid w:val="008963A5"/>
    <w:rsid w:val="008964CC"/>
    <w:rsid w:val="008977FD"/>
    <w:rsid w:val="008A07C2"/>
    <w:rsid w:val="008A119A"/>
    <w:rsid w:val="008A28B9"/>
    <w:rsid w:val="008A3C3E"/>
    <w:rsid w:val="008A4F7D"/>
    <w:rsid w:val="008A79DE"/>
    <w:rsid w:val="008B056A"/>
    <w:rsid w:val="008B0C67"/>
    <w:rsid w:val="008B57D4"/>
    <w:rsid w:val="008B7D7E"/>
    <w:rsid w:val="008B7ED4"/>
    <w:rsid w:val="008C2F04"/>
    <w:rsid w:val="008C3615"/>
    <w:rsid w:val="008C40E1"/>
    <w:rsid w:val="008C7CF3"/>
    <w:rsid w:val="008C7ECB"/>
    <w:rsid w:val="008D16DC"/>
    <w:rsid w:val="008D2566"/>
    <w:rsid w:val="008D42F8"/>
    <w:rsid w:val="008D6058"/>
    <w:rsid w:val="008D6A5E"/>
    <w:rsid w:val="008E1B9E"/>
    <w:rsid w:val="008E4E3E"/>
    <w:rsid w:val="008E7A29"/>
    <w:rsid w:val="008F11FB"/>
    <w:rsid w:val="008F120A"/>
    <w:rsid w:val="008F3264"/>
    <w:rsid w:val="008F48EB"/>
    <w:rsid w:val="008F4F0B"/>
    <w:rsid w:val="008F6743"/>
    <w:rsid w:val="008F6D48"/>
    <w:rsid w:val="008F7755"/>
    <w:rsid w:val="009009F9"/>
    <w:rsid w:val="00901B1E"/>
    <w:rsid w:val="0090367E"/>
    <w:rsid w:val="00904F59"/>
    <w:rsid w:val="009062A5"/>
    <w:rsid w:val="00906C98"/>
    <w:rsid w:val="0091081C"/>
    <w:rsid w:val="00911272"/>
    <w:rsid w:val="00911763"/>
    <w:rsid w:val="00912215"/>
    <w:rsid w:val="00912C41"/>
    <w:rsid w:val="0091351F"/>
    <w:rsid w:val="00913ACA"/>
    <w:rsid w:val="00913B77"/>
    <w:rsid w:val="00914021"/>
    <w:rsid w:val="00914291"/>
    <w:rsid w:val="00915631"/>
    <w:rsid w:val="00925FED"/>
    <w:rsid w:val="00926CC6"/>
    <w:rsid w:val="00926F55"/>
    <w:rsid w:val="0093130E"/>
    <w:rsid w:val="00932B93"/>
    <w:rsid w:val="009336F4"/>
    <w:rsid w:val="00934F9E"/>
    <w:rsid w:val="00936797"/>
    <w:rsid w:val="00941736"/>
    <w:rsid w:val="00942A2B"/>
    <w:rsid w:val="00942FA7"/>
    <w:rsid w:val="00943E89"/>
    <w:rsid w:val="00945EE0"/>
    <w:rsid w:val="00946E37"/>
    <w:rsid w:val="00950846"/>
    <w:rsid w:val="009542E0"/>
    <w:rsid w:val="009545C4"/>
    <w:rsid w:val="00954895"/>
    <w:rsid w:val="0096101E"/>
    <w:rsid w:val="00962B4D"/>
    <w:rsid w:val="00962CB9"/>
    <w:rsid w:val="00963CD3"/>
    <w:rsid w:val="00964312"/>
    <w:rsid w:val="00966C51"/>
    <w:rsid w:val="009703A1"/>
    <w:rsid w:val="00970DE7"/>
    <w:rsid w:val="009719D2"/>
    <w:rsid w:val="00972210"/>
    <w:rsid w:val="009742A6"/>
    <w:rsid w:val="00974A3E"/>
    <w:rsid w:val="00975D61"/>
    <w:rsid w:val="00976E37"/>
    <w:rsid w:val="00980371"/>
    <w:rsid w:val="00981042"/>
    <w:rsid w:val="0098187A"/>
    <w:rsid w:val="009825E3"/>
    <w:rsid w:val="009832FA"/>
    <w:rsid w:val="00983E57"/>
    <w:rsid w:val="00983F84"/>
    <w:rsid w:val="00984868"/>
    <w:rsid w:val="009851F5"/>
    <w:rsid w:val="0099028E"/>
    <w:rsid w:val="009927D6"/>
    <w:rsid w:val="00993D51"/>
    <w:rsid w:val="009963E4"/>
    <w:rsid w:val="00996B1A"/>
    <w:rsid w:val="009A0FE7"/>
    <w:rsid w:val="009A1446"/>
    <w:rsid w:val="009A19EB"/>
    <w:rsid w:val="009A41F4"/>
    <w:rsid w:val="009A558C"/>
    <w:rsid w:val="009A61CA"/>
    <w:rsid w:val="009A62E5"/>
    <w:rsid w:val="009A7679"/>
    <w:rsid w:val="009A772A"/>
    <w:rsid w:val="009B3E26"/>
    <w:rsid w:val="009B405A"/>
    <w:rsid w:val="009B48D5"/>
    <w:rsid w:val="009B6145"/>
    <w:rsid w:val="009C2943"/>
    <w:rsid w:val="009C3DAB"/>
    <w:rsid w:val="009C5FDA"/>
    <w:rsid w:val="009D03C6"/>
    <w:rsid w:val="009D222B"/>
    <w:rsid w:val="009D458A"/>
    <w:rsid w:val="009D5AB2"/>
    <w:rsid w:val="009D5B91"/>
    <w:rsid w:val="009E3027"/>
    <w:rsid w:val="009E480B"/>
    <w:rsid w:val="009E4C07"/>
    <w:rsid w:val="009E73BD"/>
    <w:rsid w:val="009F0CA5"/>
    <w:rsid w:val="009F2A0C"/>
    <w:rsid w:val="009F3920"/>
    <w:rsid w:val="009F7971"/>
    <w:rsid w:val="00A02492"/>
    <w:rsid w:val="00A02C29"/>
    <w:rsid w:val="00A03D43"/>
    <w:rsid w:val="00A04380"/>
    <w:rsid w:val="00A055BA"/>
    <w:rsid w:val="00A07504"/>
    <w:rsid w:val="00A10214"/>
    <w:rsid w:val="00A11A79"/>
    <w:rsid w:val="00A13948"/>
    <w:rsid w:val="00A15333"/>
    <w:rsid w:val="00A16A48"/>
    <w:rsid w:val="00A2201E"/>
    <w:rsid w:val="00A23224"/>
    <w:rsid w:val="00A238EF"/>
    <w:rsid w:val="00A24D60"/>
    <w:rsid w:val="00A2503E"/>
    <w:rsid w:val="00A27AEC"/>
    <w:rsid w:val="00A27DBA"/>
    <w:rsid w:val="00A34A78"/>
    <w:rsid w:val="00A35D16"/>
    <w:rsid w:val="00A40330"/>
    <w:rsid w:val="00A42568"/>
    <w:rsid w:val="00A43A26"/>
    <w:rsid w:val="00A43C59"/>
    <w:rsid w:val="00A44419"/>
    <w:rsid w:val="00A44E22"/>
    <w:rsid w:val="00A46802"/>
    <w:rsid w:val="00A47C4F"/>
    <w:rsid w:val="00A50859"/>
    <w:rsid w:val="00A50ECD"/>
    <w:rsid w:val="00A5110E"/>
    <w:rsid w:val="00A52729"/>
    <w:rsid w:val="00A53675"/>
    <w:rsid w:val="00A56220"/>
    <w:rsid w:val="00A56B6A"/>
    <w:rsid w:val="00A578DC"/>
    <w:rsid w:val="00A57BBD"/>
    <w:rsid w:val="00A57C29"/>
    <w:rsid w:val="00A60813"/>
    <w:rsid w:val="00A62011"/>
    <w:rsid w:val="00A627A1"/>
    <w:rsid w:val="00A6281B"/>
    <w:rsid w:val="00A63710"/>
    <w:rsid w:val="00A640BF"/>
    <w:rsid w:val="00A64643"/>
    <w:rsid w:val="00A6584D"/>
    <w:rsid w:val="00A6725B"/>
    <w:rsid w:val="00A717D6"/>
    <w:rsid w:val="00A733AB"/>
    <w:rsid w:val="00A73769"/>
    <w:rsid w:val="00A763A5"/>
    <w:rsid w:val="00A77D3D"/>
    <w:rsid w:val="00A8456B"/>
    <w:rsid w:val="00A86E8B"/>
    <w:rsid w:val="00A8717D"/>
    <w:rsid w:val="00A87F4D"/>
    <w:rsid w:val="00A914FC"/>
    <w:rsid w:val="00A916DC"/>
    <w:rsid w:val="00A93072"/>
    <w:rsid w:val="00A93918"/>
    <w:rsid w:val="00A959D8"/>
    <w:rsid w:val="00A95C88"/>
    <w:rsid w:val="00A96AD4"/>
    <w:rsid w:val="00A97124"/>
    <w:rsid w:val="00AA1689"/>
    <w:rsid w:val="00AA22CE"/>
    <w:rsid w:val="00AA6A22"/>
    <w:rsid w:val="00AA7614"/>
    <w:rsid w:val="00AB042A"/>
    <w:rsid w:val="00AB0C92"/>
    <w:rsid w:val="00AB26A6"/>
    <w:rsid w:val="00AB2D34"/>
    <w:rsid w:val="00AB2DB7"/>
    <w:rsid w:val="00AB3430"/>
    <w:rsid w:val="00AB35FE"/>
    <w:rsid w:val="00AB64E8"/>
    <w:rsid w:val="00AB7CFA"/>
    <w:rsid w:val="00AC39C1"/>
    <w:rsid w:val="00AC4A5F"/>
    <w:rsid w:val="00AD03D1"/>
    <w:rsid w:val="00AD1140"/>
    <w:rsid w:val="00AD2A6C"/>
    <w:rsid w:val="00AD5D6A"/>
    <w:rsid w:val="00AD64A0"/>
    <w:rsid w:val="00AD7586"/>
    <w:rsid w:val="00AD777B"/>
    <w:rsid w:val="00AE1564"/>
    <w:rsid w:val="00AE2BD8"/>
    <w:rsid w:val="00AF03EB"/>
    <w:rsid w:val="00AF52EA"/>
    <w:rsid w:val="00B03210"/>
    <w:rsid w:val="00B06563"/>
    <w:rsid w:val="00B1125A"/>
    <w:rsid w:val="00B11BDA"/>
    <w:rsid w:val="00B150FE"/>
    <w:rsid w:val="00B1665B"/>
    <w:rsid w:val="00B21198"/>
    <w:rsid w:val="00B255AC"/>
    <w:rsid w:val="00B307FE"/>
    <w:rsid w:val="00B331C8"/>
    <w:rsid w:val="00B35ED3"/>
    <w:rsid w:val="00B363A2"/>
    <w:rsid w:val="00B3644C"/>
    <w:rsid w:val="00B40B0B"/>
    <w:rsid w:val="00B415D2"/>
    <w:rsid w:val="00B42851"/>
    <w:rsid w:val="00B46316"/>
    <w:rsid w:val="00B46DCA"/>
    <w:rsid w:val="00B477DD"/>
    <w:rsid w:val="00B50DB8"/>
    <w:rsid w:val="00B523C4"/>
    <w:rsid w:val="00B53905"/>
    <w:rsid w:val="00B53B58"/>
    <w:rsid w:val="00B54B5B"/>
    <w:rsid w:val="00B5562E"/>
    <w:rsid w:val="00B55F6B"/>
    <w:rsid w:val="00B57000"/>
    <w:rsid w:val="00B60552"/>
    <w:rsid w:val="00B60939"/>
    <w:rsid w:val="00B60AFD"/>
    <w:rsid w:val="00B62715"/>
    <w:rsid w:val="00B6595D"/>
    <w:rsid w:val="00B67555"/>
    <w:rsid w:val="00B7335C"/>
    <w:rsid w:val="00B73E47"/>
    <w:rsid w:val="00B77C32"/>
    <w:rsid w:val="00B77E8A"/>
    <w:rsid w:val="00B80715"/>
    <w:rsid w:val="00B818A4"/>
    <w:rsid w:val="00B8233A"/>
    <w:rsid w:val="00B8649C"/>
    <w:rsid w:val="00B8712C"/>
    <w:rsid w:val="00B920AC"/>
    <w:rsid w:val="00B92D0B"/>
    <w:rsid w:val="00B93BDD"/>
    <w:rsid w:val="00B94945"/>
    <w:rsid w:val="00B95605"/>
    <w:rsid w:val="00B97005"/>
    <w:rsid w:val="00BA3B71"/>
    <w:rsid w:val="00BA560C"/>
    <w:rsid w:val="00BA5DC3"/>
    <w:rsid w:val="00BB262F"/>
    <w:rsid w:val="00BB39E2"/>
    <w:rsid w:val="00BB46DA"/>
    <w:rsid w:val="00BB4A98"/>
    <w:rsid w:val="00BB545F"/>
    <w:rsid w:val="00BB5E9C"/>
    <w:rsid w:val="00BB7405"/>
    <w:rsid w:val="00BC0A86"/>
    <w:rsid w:val="00BC1BE6"/>
    <w:rsid w:val="00BC1D63"/>
    <w:rsid w:val="00BC1DB2"/>
    <w:rsid w:val="00BC2124"/>
    <w:rsid w:val="00BC4670"/>
    <w:rsid w:val="00BC644A"/>
    <w:rsid w:val="00BC6A8D"/>
    <w:rsid w:val="00BD05EF"/>
    <w:rsid w:val="00BD0808"/>
    <w:rsid w:val="00BD1D7F"/>
    <w:rsid w:val="00BD3053"/>
    <w:rsid w:val="00BD3836"/>
    <w:rsid w:val="00BD5DAF"/>
    <w:rsid w:val="00BD6CF3"/>
    <w:rsid w:val="00BE0530"/>
    <w:rsid w:val="00BE1272"/>
    <w:rsid w:val="00BE12E8"/>
    <w:rsid w:val="00BE1F5E"/>
    <w:rsid w:val="00BE2180"/>
    <w:rsid w:val="00BE3064"/>
    <w:rsid w:val="00BE37EF"/>
    <w:rsid w:val="00BE4275"/>
    <w:rsid w:val="00BE6B50"/>
    <w:rsid w:val="00BF09B3"/>
    <w:rsid w:val="00BF0E6B"/>
    <w:rsid w:val="00BF1A7A"/>
    <w:rsid w:val="00BF2433"/>
    <w:rsid w:val="00BF25E1"/>
    <w:rsid w:val="00BF4408"/>
    <w:rsid w:val="00BF4679"/>
    <w:rsid w:val="00BF4E42"/>
    <w:rsid w:val="00BF61C9"/>
    <w:rsid w:val="00BF7126"/>
    <w:rsid w:val="00BF7470"/>
    <w:rsid w:val="00C00769"/>
    <w:rsid w:val="00C01D3C"/>
    <w:rsid w:val="00C01F6F"/>
    <w:rsid w:val="00C0422A"/>
    <w:rsid w:val="00C04365"/>
    <w:rsid w:val="00C043E7"/>
    <w:rsid w:val="00C04457"/>
    <w:rsid w:val="00C07B65"/>
    <w:rsid w:val="00C112FD"/>
    <w:rsid w:val="00C130A3"/>
    <w:rsid w:val="00C13DCB"/>
    <w:rsid w:val="00C175B0"/>
    <w:rsid w:val="00C20CE6"/>
    <w:rsid w:val="00C21C88"/>
    <w:rsid w:val="00C21E26"/>
    <w:rsid w:val="00C22939"/>
    <w:rsid w:val="00C2342D"/>
    <w:rsid w:val="00C23CF5"/>
    <w:rsid w:val="00C25229"/>
    <w:rsid w:val="00C25418"/>
    <w:rsid w:val="00C25D9C"/>
    <w:rsid w:val="00C267B1"/>
    <w:rsid w:val="00C310A1"/>
    <w:rsid w:val="00C314AD"/>
    <w:rsid w:val="00C31649"/>
    <w:rsid w:val="00C35E58"/>
    <w:rsid w:val="00C40385"/>
    <w:rsid w:val="00C4377B"/>
    <w:rsid w:val="00C460DF"/>
    <w:rsid w:val="00C462FF"/>
    <w:rsid w:val="00C47ABC"/>
    <w:rsid w:val="00C47DB2"/>
    <w:rsid w:val="00C502D7"/>
    <w:rsid w:val="00C526FE"/>
    <w:rsid w:val="00C531E1"/>
    <w:rsid w:val="00C54595"/>
    <w:rsid w:val="00C5568C"/>
    <w:rsid w:val="00C60362"/>
    <w:rsid w:val="00C646FE"/>
    <w:rsid w:val="00C65576"/>
    <w:rsid w:val="00C66165"/>
    <w:rsid w:val="00C66CF1"/>
    <w:rsid w:val="00C67301"/>
    <w:rsid w:val="00C675A0"/>
    <w:rsid w:val="00C71256"/>
    <w:rsid w:val="00C721DF"/>
    <w:rsid w:val="00C73678"/>
    <w:rsid w:val="00C73993"/>
    <w:rsid w:val="00C750C8"/>
    <w:rsid w:val="00C76F40"/>
    <w:rsid w:val="00C8213F"/>
    <w:rsid w:val="00C8797A"/>
    <w:rsid w:val="00C87DCF"/>
    <w:rsid w:val="00C91A06"/>
    <w:rsid w:val="00C926F9"/>
    <w:rsid w:val="00C92E85"/>
    <w:rsid w:val="00C938CF"/>
    <w:rsid w:val="00C9479A"/>
    <w:rsid w:val="00CA02A1"/>
    <w:rsid w:val="00CA2C04"/>
    <w:rsid w:val="00CA5245"/>
    <w:rsid w:val="00CA61BD"/>
    <w:rsid w:val="00CA7B09"/>
    <w:rsid w:val="00CB00D3"/>
    <w:rsid w:val="00CB2113"/>
    <w:rsid w:val="00CB29B7"/>
    <w:rsid w:val="00CB2AA1"/>
    <w:rsid w:val="00CB4F71"/>
    <w:rsid w:val="00CB5B1A"/>
    <w:rsid w:val="00CC26A3"/>
    <w:rsid w:val="00CD0113"/>
    <w:rsid w:val="00CD0956"/>
    <w:rsid w:val="00CD0C24"/>
    <w:rsid w:val="00CD1029"/>
    <w:rsid w:val="00CD2F6A"/>
    <w:rsid w:val="00CD459B"/>
    <w:rsid w:val="00CD54DF"/>
    <w:rsid w:val="00CD6560"/>
    <w:rsid w:val="00CD6ADC"/>
    <w:rsid w:val="00CE376A"/>
    <w:rsid w:val="00CE6274"/>
    <w:rsid w:val="00CE7605"/>
    <w:rsid w:val="00CF1959"/>
    <w:rsid w:val="00CF3A56"/>
    <w:rsid w:val="00CF3C4B"/>
    <w:rsid w:val="00CF456B"/>
    <w:rsid w:val="00CF4F1A"/>
    <w:rsid w:val="00CF5632"/>
    <w:rsid w:val="00CF5962"/>
    <w:rsid w:val="00CF5A22"/>
    <w:rsid w:val="00CF6F74"/>
    <w:rsid w:val="00CF743B"/>
    <w:rsid w:val="00D012BA"/>
    <w:rsid w:val="00D0262E"/>
    <w:rsid w:val="00D03257"/>
    <w:rsid w:val="00D055D2"/>
    <w:rsid w:val="00D110BD"/>
    <w:rsid w:val="00D11226"/>
    <w:rsid w:val="00D116CA"/>
    <w:rsid w:val="00D135DC"/>
    <w:rsid w:val="00D14212"/>
    <w:rsid w:val="00D143D5"/>
    <w:rsid w:val="00D14CB2"/>
    <w:rsid w:val="00D15B47"/>
    <w:rsid w:val="00D17D6C"/>
    <w:rsid w:val="00D20CF5"/>
    <w:rsid w:val="00D21B6D"/>
    <w:rsid w:val="00D2272A"/>
    <w:rsid w:val="00D2290B"/>
    <w:rsid w:val="00D233B5"/>
    <w:rsid w:val="00D235DA"/>
    <w:rsid w:val="00D258B5"/>
    <w:rsid w:val="00D357FF"/>
    <w:rsid w:val="00D36E25"/>
    <w:rsid w:val="00D372CB"/>
    <w:rsid w:val="00D40132"/>
    <w:rsid w:val="00D41ADA"/>
    <w:rsid w:val="00D42EBC"/>
    <w:rsid w:val="00D43220"/>
    <w:rsid w:val="00D4593A"/>
    <w:rsid w:val="00D45EA6"/>
    <w:rsid w:val="00D4623C"/>
    <w:rsid w:val="00D462F7"/>
    <w:rsid w:val="00D524A1"/>
    <w:rsid w:val="00D535A6"/>
    <w:rsid w:val="00D54894"/>
    <w:rsid w:val="00D618CF"/>
    <w:rsid w:val="00D62043"/>
    <w:rsid w:val="00D62650"/>
    <w:rsid w:val="00D63900"/>
    <w:rsid w:val="00D72359"/>
    <w:rsid w:val="00D73B30"/>
    <w:rsid w:val="00D755D5"/>
    <w:rsid w:val="00D75AE6"/>
    <w:rsid w:val="00D75BE2"/>
    <w:rsid w:val="00D766A3"/>
    <w:rsid w:val="00D76A44"/>
    <w:rsid w:val="00D83F51"/>
    <w:rsid w:val="00D903E2"/>
    <w:rsid w:val="00D93753"/>
    <w:rsid w:val="00D93786"/>
    <w:rsid w:val="00D94672"/>
    <w:rsid w:val="00D966A6"/>
    <w:rsid w:val="00D97569"/>
    <w:rsid w:val="00DA0880"/>
    <w:rsid w:val="00DA2957"/>
    <w:rsid w:val="00DA2B9C"/>
    <w:rsid w:val="00DA42A2"/>
    <w:rsid w:val="00DA4669"/>
    <w:rsid w:val="00DA5E2F"/>
    <w:rsid w:val="00DA77A5"/>
    <w:rsid w:val="00DB2401"/>
    <w:rsid w:val="00DB2482"/>
    <w:rsid w:val="00DB289C"/>
    <w:rsid w:val="00DB2C9B"/>
    <w:rsid w:val="00DB3F79"/>
    <w:rsid w:val="00DB4073"/>
    <w:rsid w:val="00DB5AC2"/>
    <w:rsid w:val="00DB63E0"/>
    <w:rsid w:val="00DC3EB9"/>
    <w:rsid w:val="00DC497A"/>
    <w:rsid w:val="00DC5501"/>
    <w:rsid w:val="00DC6274"/>
    <w:rsid w:val="00DC75BF"/>
    <w:rsid w:val="00DD1334"/>
    <w:rsid w:val="00DD2E52"/>
    <w:rsid w:val="00DD3B03"/>
    <w:rsid w:val="00DD3F28"/>
    <w:rsid w:val="00DD4537"/>
    <w:rsid w:val="00DD4E15"/>
    <w:rsid w:val="00DD7DF5"/>
    <w:rsid w:val="00DE1312"/>
    <w:rsid w:val="00DE201F"/>
    <w:rsid w:val="00DE313D"/>
    <w:rsid w:val="00DE4410"/>
    <w:rsid w:val="00DE450C"/>
    <w:rsid w:val="00DE4FCB"/>
    <w:rsid w:val="00DE5C0C"/>
    <w:rsid w:val="00DE7981"/>
    <w:rsid w:val="00DE7AAE"/>
    <w:rsid w:val="00DE7C00"/>
    <w:rsid w:val="00DF013F"/>
    <w:rsid w:val="00DF0F74"/>
    <w:rsid w:val="00DF236E"/>
    <w:rsid w:val="00DF2BAF"/>
    <w:rsid w:val="00DF3137"/>
    <w:rsid w:val="00DF453C"/>
    <w:rsid w:val="00DF5D2B"/>
    <w:rsid w:val="00DF5E32"/>
    <w:rsid w:val="00E01AF9"/>
    <w:rsid w:val="00E01E0D"/>
    <w:rsid w:val="00E03799"/>
    <w:rsid w:val="00E056FA"/>
    <w:rsid w:val="00E06153"/>
    <w:rsid w:val="00E07ACE"/>
    <w:rsid w:val="00E10149"/>
    <w:rsid w:val="00E15A4F"/>
    <w:rsid w:val="00E16372"/>
    <w:rsid w:val="00E17064"/>
    <w:rsid w:val="00E17B84"/>
    <w:rsid w:val="00E17D2F"/>
    <w:rsid w:val="00E2048E"/>
    <w:rsid w:val="00E20ED6"/>
    <w:rsid w:val="00E2103C"/>
    <w:rsid w:val="00E21356"/>
    <w:rsid w:val="00E21358"/>
    <w:rsid w:val="00E2249B"/>
    <w:rsid w:val="00E227FA"/>
    <w:rsid w:val="00E22A0D"/>
    <w:rsid w:val="00E22B2B"/>
    <w:rsid w:val="00E22E26"/>
    <w:rsid w:val="00E255C6"/>
    <w:rsid w:val="00E260B2"/>
    <w:rsid w:val="00E2771E"/>
    <w:rsid w:val="00E3139E"/>
    <w:rsid w:val="00E334D7"/>
    <w:rsid w:val="00E343DD"/>
    <w:rsid w:val="00E36B06"/>
    <w:rsid w:val="00E371B8"/>
    <w:rsid w:val="00E37569"/>
    <w:rsid w:val="00E408A7"/>
    <w:rsid w:val="00E41A44"/>
    <w:rsid w:val="00E41E30"/>
    <w:rsid w:val="00E43D70"/>
    <w:rsid w:val="00E4547D"/>
    <w:rsid w:val="00E47B2C"/>
    <w:rsid w:val="00E51560"/>
    <w:rsid w:val="00E524BE"/>
    <w:rsid w:val="00E53C7D"/>
    <w:rsid w:val="00E5477B"/>
    <w:rsid w:val="00E55424"/>
    <w:rsid w:val="00E55BB5"/>
    <w:rsid w:val="00E55E3F"/>
    <w:rsid w:val="00E62AE8"/>
    <w:rsid w:val="00E65435"/>
    <w:rsid w:val="00E65E79"/>
    <w:rsid w:val="00E671D5"/>
    <w:rsid w:val="00E67416"/>
    <w:rsid w:val="00E67E6A"/>
    <w:rsid w:val="00E70AB0"/>
    <w:rsid w:val="00E718B6"/>
    <w:rsid w:val="00E73581"/>
    <w:rsid w:val="00E737EA"/>
    <w:rsid w:val="00E73D3C"/>
    <w:rsid w:val="00E759E6"/>
    <w:rsid w:val="00E75A9B"/>
    <w:rsid w:val="00E80480"/>
    <w:rsid w:val="00E80DE5"/>
    <w:rsid w:val="00E81CF1"/>
    <w:rsid w:val="00E82386"/>
    <w:rsid w:val="00E83BDF"/>
    <w:rsid w:val="00E86821"/>
    <w:rsid w:val="00E9185D"/>
    <w:rsid w:val="00E92C97"/>
    <w:rsid w:val="00E95256"/>
    <w:rsid w:val="00E962CA"/>
    <w:rsid w:val="00E9639A"/>
    <w:rsid w:val="00E96812"/>
    <w:rsid w:val="00EA23A5"/>
    <w:rsid w:val="00EA31F0"/>
    <w:rsid w:val="00EA3864"/>
    <w:rsid w:val="00EA4594"/>
    <w:rsid w:val="00EA6130"/>
    <w:rsid w:val="00EA6B47"/>
    <w:rsid w:val="00EB0567"/>
    <w:rsid w:val="00EB15B6"/>
    <w:rsid w:val="00EB3BD5"/>
    <w:rsid w:val="00EB3D18"/>
    <w:rsid w:val="00EB4916"/>
    <w:rsid w:val="00EB55AD"/>
    <w:rsid w:val="00EB75F4"/>
    <w:rsid w:val="00EB7966"/>
    <w:rsid w:val="00EC00C9"/>
    <w:rsid w:val="00EC07BA"/>
    <w:rsid w:val="00EC2C41"/>
    <w:rsid w:val="00EC32A8"/>
    <w:rsid w:val="00EC33E7"/>
    <w:rsid w:val="00EC3769"/>
    <w:rsid w:val="00EC3F2D"/>
    <w:rsid w:val="00EC4301"/>
    <w:rsid w:val="00EC4F62"/>
    <w:rsid w:val="00EC6EE4"/>
    <w:rsid w:val="00ED0412"/>
    <w:rsid w:val="00ED2398"/>
    <w:rsid w:val="00ED250D"/>
    <w:rsid w:val="00ED2FC0"/>
    <w:rsid w:val="00ED318D"/>
    <w:rsid w:val="00ED37E1"/>
    <w:rsid w:val="00ED477A"/>
    <w:rsid w:val="00ED7B59"/>
    <w:rsid w:val="00EE07D3"/>
    <w:rsid w:val="00EE21A1"/>
    <w:rsid w:val="00EE310C"/>
    <w:rsid w:val="00EE378F"/>
    <w:rsid w:val="00EE3A80"/>
    <w:rsid w:val="00EE514B"/>
    <w:rsid w:val="00EE5570"/>
    <w:rsid w:val="00EE641D"/>
    <w:rsid w:val="00EE7A30"/>
    <w:rsid w:val="00EE7ED7"/>
    <w:rsid w:val="00EF0F5B"/>
    <w:rsid w:val="00EF1007"/>
    <w:rsid w:val="00EF142B"/>
    <w:rsid w:val="00EF4DA9"/>
    <w:rsid w:val="00EF536A"/>
    <w:rsid w:val="00EF5D11"/>
    <w:rsid w:val="00EF627C"/>
    <w:rsid w:val="00EF7178"/>
    <w:rsid w:val="00EF72F1"/>
    <w:rsid w:val="00F02159"/>
    <w:rsid w:val="00F02585"/>
    <w:rsid w:val="00F04E94"/>
    <w:rsid w:val="00F05E62"/>
    <w:rsid w:val="00F067A2"/>
    <w:rsid w:val="00F06D49"/>
    <w:rsid w:val="00F11840"/>
    <w:rsid w:val="00F12035"/>
    <w:rsid w:val="00F12A24"/>
    <w:rsid w:val="00F139D6"/>
    <w:rsid w:val="00F13EDE"/>
    <w:rsid w:val="00F24837"/>
    <w:rsid w:val="00F256D2"/>
    <w:rsid w:val="00F2575F"/>
    <w:rsid w:val="00F26FA4"/>
    <w:rsid w:val="00F27E48"/>
    <w:rsid w:val="00F27F04"/>
    <w:rsid w:val="00F32523"/>
    <w:rsid w:val="00F33DE9"/>
    <w:rsid w:val="00F3496E"/>
    <w:rsid w:val="00F35F05"/>
    <w:rsid w:val="00F3619A"/>
    <w:rsid w:val="00F449F6"/>
    <w:rsid w:val="00F46470"/>
    <w:rsid w:val="00F46716"/>
    <w:rsid w:val="00F46CB6"/>
    <w:rsid w:val="00F46D26"/>
    <w:rsid w:val="00F471BA"/>
    <w:rsid w:val="00F51C6D"/>
    <w:rsid w:val="00F520CD"/>
    <w:rsid w:val="00F527E2"/>
    <w:rsid w:val="00F55E73"/>
    <w:rsid w:val="00F569E9"/>
    <w:rsid w:val="00F57BE8"/>
    <w:rsid w:val="00F57E92"/>
    <w:rsid w:val="00F60092"/>
    <w:rsid w:val="00F601D1"/>
    <w:rsid w:val="00F6048A"/>
    <w:rsid w:val="00F61566"/>
    <w:rsid w:val="00F636BB"/>
    <w:rsid w:val="00F67D56"/>
    <w:rsid w:val="00F7107D"/>
    <w:rsid w:val="00F71945"/>
    <w:rsid w:val="00F71B34"/>
    <w:rsid w:val="00F72A30"/>
    <w:rsid w:val="00F732C9"/>
    <w:rsid w:val="00F734FE"/>
    <w:rsid w:val="00F753B8"/>
    <w:rsid w:val="00F75ADF"/>
    <w:rsid w:val="00F80E28"/>
    <w:rsid w:val="00F80E5D"/>
    <w:rsid w:val="00F8246D"/>
    <w:rsid w:val="00F8247A"/>
    <w:rsid w:val="00F84C9B"/>
    <w:rsid w:val="00F851CE"/>
    <w:rsid w:val="00F90C86"/>
    <w:rsid w:val="00F92492"/>
    <w:rsid w:val="00F939CE"/>
    <w:rsid w:val="00F94B9D"/>
    <w:rsid w:val="00F95202"/>
    <w:rsid w:val="00F97A78"/>
    <w:rsid w:val="00F97EBC"/>
    <w:rsid w:val="00FA1CB5"/>
    <w:rsid w:val="00FA24E7"/>
    <w:rsid w:val="00FA42CC"/>
    <w:rsid w:val="00FA744D"/>
    <w:rsid w:val="00FB05DB"/>
    <w:rsid w:val="00FB1527"/>
    <w:rsid w:val="00FB1695"/>
    <w:rsid w:val="00FB2FCB"/>
    <w:rsid w:val="00FB3ACF"/>
    <w:rsid w:val="00FB5D8D"/>
    <w:rsid w:val="00FB6362"/>
    <w:rsid w:val="00FC1074"/>
    <w:rsid w:val="00FC1884"/>
    <w:rsid w:val="00FC3E2E"/>
    <w:rsid w:val="00FC415E"/>
    <w:rsid w:val="00FC4BA7"/>
    <w:rsid w:val="00FC4E8B"/>
    <w:rsid w:val="00FD0266"/>
    <w:rsid w:val="00FD13B7"/>
    <w:rsid w:val="00FD2100"/>
    <w:rsid w:val="00FD23B7"/>
    <w:rsid w:val="00FD2616"/>
    <w:rsid w:val="00FD446D"/>
    <w:rsid w:val="00FD48A1"/>
    <w:rsid w:val="00FD5414"/>
    <w:rsid w:val="00FD654E"/>
    <w:rsid w:val="00FD7BBA"/>
    <w:rsid w:val="00FD7DBF"/>
    <w:rsid w:val="00FE19A0"/>
    <w:rsid w:val="00FE3A15"/>
    <w:rsid w:val="00FE44DA"/>
    <w:rsid w:val="00FE543C"/>
    <w:rsid w:val="00FF109E"/>
    <w:rsid w:val="00FF3370"/>
    <w:rsid w:val="00FF3A81"/>
    <w:rsid w:val="00FF3DCF"/>
    <w:rsid w:val="00FF494C"/>
    <w:rsid w:val="00FF5AA3"/>
    <w:rsid w:val="00FF6D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113F99"/>
    <w:pPr>
      <w:widowControl/>
    </w:pPr>
    <w:rPr>
      <w:sz w:val="28"/>
    </w:rPr>
  </w:style>
  <w:style w:type="character" w:customStyle="1" w:styleId="TitleChar">
    <w:name w:val="Title Char"/>
    <w:basedOn w:val="DefaultParagraphFont"/>
    <w:link w:val="Title"/>
    <w:rsid w:val="00113F99"/>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paragraph" w:customStyle="1" w:styleId="Table">
    <w:name w:val="Table"/>
    <w:basedOn w:val="Normal"/>
    <w:link w:val="TableChar"/>
    <w:qFormat/>
    <w:rsid w:val="00707148"/>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707148"/>
    <w:rPr>
      <w:rFonts w:ascii="Candara" w:eastAsiaTheme="majorEastAsia" w:hAnsi="Candara" w:cstheme="majorBidi"/>
      <w:szCs w:val="22"/>
      <w:lang w:eastAsia="en-US" w:bidi="en-US"/>
    </w:rPr>
  </w:style>
  <w:style w:type="paragraph" w:customStyle="1" w:styleId="TableCentre">
    <w:name w:val="Table Centre"/>
    <w:basedOn w:val="Table"/>
    <w:qFormat/>
    <w:rsid w:val="00707148"/>
    <w:pPr>
      <w:jc w:val="center"/>
    </w:pPr>
  </w:style>
  <w:style w:type="character" w:customStyle="1" w:styleId="TableText1">
    <w:name w:val="Table Text"/>
    <w:basedOn w:val="DefaultParagraphFont"/>
    <w:uiPriority w:val="4"/>
    <w:qFormat/>
    <w:rsid w:val="005803F5"/>
    <w:rPr>
      <w:rFonts w:ascii="Arial Narrow" w:hAnsi="Arial Narrow"/>
      <w:sz w:val="20"/>
    </w:rPr>
  </w:style>
  <w:style w:type="paragraph" w:customStyle="1" w:styleId="CaptionFootnote">
    <w:name w:val="Caption Footnote"/>
    <w:basedOn w:val="Caption"/>
    <w:next w:val="Normal"/>
    <w:qFormat/>
    <w:rsid w:val="00C91A06"/>
    <w:pPr>
      <w:keepNext/>
      <w:spacing w:after="0"/>
      <w:jc w:val="left"/>
    </w:pPr>
    <w:rPr>
      <w:rFonts w:ascii="Candara" w:eastAsiaTheme="majorEastAsia" w:hAnsi="Candara" w:cstheme="majorBidi"/>
      <w:b w:val="0"/>
      <w:snapToGrid/>
      <w:color w:val="auto"/>
      <w:sz w:val="16"/>
      <w:lang w:bidi="en-US"/>
    </w:rPr>
  </w:style>
  <w:style w:type="character" w:customStyle="1" w:styleId="Heading3Char">
    <w:name w:val="Heading 3 Char"/>
    <w:basedOn w:val="DefaultParagraphFont"/>
    <w:link w:val="Heading3"/>
    <w:rsid w:val="00F27F04"/>
    <w:rPr>
      <w:rFonts w:ascii="Arial" w:hAnsi="Arial" w:cs="Arial"/>
      <w:snapToGrid w:val="0"/>
      <w:sz w:val="22"/>
      <w:u w:val="single"/>
      <w:lang w:eastAsia="en-US"/>
    </w:rPr>
  </w:style>
  <w:style w:type="paragraph" w:customStyle="1" w:styleId="TableHeadingRow">
    <w:name w:val="TableHeadingRow"/>
    <w:basedOn w:val="TableText0"/>
    <w:uiPriority w:val="3"/>
    <w:qFormat/>
    <w:rsid w:val="00072131"/>
    <w:rPr>
      <w:rFonts w:ascii="Times New Roman" w:hAnsi="Times New Roman"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61566"/>
    <w:pPr>
      <w:widowControl/>
      <w:spacing w:after="160" w:line="240" w:lineRule="exact"/>
      <w:jc w:val="left"/>
    </w:pPr>
    <w:rPr>
      <w:rFonts w:ascii="Verdana" w:eastAsia="MS Mincho" w:hAnsi="Verdana" w:cs="Verdana"/>
      <w:snapToGrid/>
      <w:sz w:val="20"/>
      <w:lang w:val="en-US"/>
    </w:rPr>
  </w:style>
  <w:style w:type="table" w:customStyle="1" w:styleId="TableGrid1">
    <w:name w:val="Table Grid1"/>
    <w:basedOn w:val="TableNormal"/>
    <w:next w:val="TableGrid"/>
    <w:uiPriority w:val="59"/>
    <w:rsid w:val="00950846"/>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7178"/>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306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113F99"/>
    <w:pPr>
      <w:widowControl/>
    </w:pPr>
    <w:rPr>
      <w:sz w:val="28"/>
    </w:rPr>
  </w:style>
  <w:style w:type="character" w:customStyle="1" w:styleId="TitleChar">
    <w:name w:val="Title Char"/>
    <w:basedOn w:val="DefaultParagraphFont"/>
    <w:link w:val="Title"/>
    <w:rsid w:val="00113F99"/>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paragraph" w:customStyle="1" w:styleId="Table">
    <w:name w:val="Table"/>
    <w:basedOn w:val="Normal"/>
    <w:link w:val="TableChar"/>
    <w:qFormat/>
    <w:rsid w:val="00707148"/>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707148"/>
    <w:rPr>
      <w:rFonts w:ascii="Candara" w:eastAsiaTheme="majorEastAsia" w:hAnsi="Candara" w:cstheme="majorBidi"/>
      <w:szCs w:val="22"/>
      <w:lang w:eastAsia="en-US" w:bidi="en-US"/>
    </w:rPr>
  </w:style>
  <w:style w:type="paragraph" w:customStyle="1" w:styleId="TableCentre">
    <w:name w:val="Table Centre"/>
    <w:basedOn w:val="Table"/>
    <w:qFormat/>
    <w:rsid w:val="00707148"/>
    <w:pPr>
      <w:jc w:val="center"/>
    </w:pPr>
  </w:style>
  <w:style w:type="character" w:customStyle="1" w:styleId="TableText1">
    <w:name w:val="Table Text"/>
    <w:basedOn w:val="DefaultParagraphFont"/>
    <w:uiPriority w:val="4"/>
    <w:qFormat/>
    <w:rsid w:val="005803F5"/>
    <w:rPr>
      <w:rFonts w:ascii="Arial Narrow" w:hAnsi="Arial Narrow"/>
      <w:sz w:val="20"/>
    </w:rPr>
  </w:style>
  <w:style w:type="paragraph" w:customStyle="1" w:styleId="CaptionFootnote">
    <w:name w:val="Caption Footnote"/>
    <w:basedOn w:val="Caption"/>
    <w:next w:val="Normal"/>
    <w:qFormat/>
    <w:rsid w:val="00C91A06"/>
    <w:pPr>
      <w:keepNext/>
      <w:spacing w:after="0"/>
      <w:jc w:val="left"/>
    </w:pPr>
    <w:rPr>
      <w:rFonts w:ascii="Candara" w:eastAsiaTheme="majorEastAsia" w:hAnsi="Candara" w:cstheme="majorBidi"/>
      <w:b w:val="0"/>
      <w:snapToGrid/>
      <w:color w:val="auto"/>
      <w:sz w:val="16"/>
      <w:lang w:bidi="en-US"/>
    </w:rPr>
  </w:style>
  <w:style w:type="character" w:customStyle="1" w:styleId="Heading3Char">
    <w:name w:val="Heading 3 Char"/>
    <w:basedOn w:val="DefaultParagraphFont"/>
    <w:link w:val="Heading3"/>
    <w:rsid w:val="00F27F04"/>
    <w:rPr>
      <w:rFonts w:ascii="Arial" w:hAnsi="Arial" w:cs="Arial"/>
      <w:snapToGrid w:val="0"/>
      <w:sz w:val="22"/>
      <w:u w:val="single"/>
      <w:lang w:eastAsia="en-US"/>
    </w:rPr>
  </w:style>
  <w:style w:type="paragraph" w:customStyle="1" w:styleId="TableHeadingRow">
    <w:name w:val="TableHeadingRow"/>
    <w:basedOn w:val="TableText0"/>
    <w:uiPriority w:val="3"/>
    <w:qFormat/>
    <w:rsid w:val="00072131"/>
    <w:rPr>
      <w:rFonts w:ascii="Times New Roman" w:hAnsi="Times New Roman"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61566"/>
    <w:pPr>
      <w:widowControl/>
      <w:spacing w:after="160" w:line="240" w:lineRule="exact"/>
      <w:jc w:val="left"/>
    </w:pPr>
    <w:rPr>
      <w:rFonts w:ascii="Verdana" w:eastAsia="MS Mincho" w:hAnsi="Verdana" w:cs="Verdana"/>
      <w:snapToGrid/>
      <w:sz w:val="20"/>
      <w:lang w:val="en-US"/>
    </w:rPr>
  </w:style>
  <w:style w:type="table" w:customStyle="1" w:styleId="TableGrid1">
    <w:name w:val="Table Grid1"/>
    <w:basedOn w:val="TableNormal"/>
    <w:next w:val="TableGrid"/>
    <w:uiPriority w:val="59"/>
    <w:rsid w:val="00950846"/>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7178"/>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306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3652">
      <w:bodyDiv w:val="1"/>
      <w:marLeft w:val="0"/>
      <w:marRight w:val="0"/>
      <w:marTop w:val="0"/>
      <w:marBottom w:val="0"/>
      <w:divBdr>
        <w:top w:val="none" w:sz="0" w:space="0" w:color="auto"/>
        <w:left w:val="none" w:sz="0" w:space="0" w:color="auto"/>
        <w:bottom w:val="none" w:sz="0" w:space="0" w:color="auto"/>
        <w:right w:val="none" w:sz="0" w:space="0" w:color="auto"/>
      </w:divBdr>
    </w:div>
    <w:div w:id="802619596">
      <w:bodyDiv w:val="1"/>
      <w:marLeft w:val="0"/>
      <w:marRight w:val="0"/>
      <w:marTop w:val="0"/>
      <w:marBottom w:val="0"/>
      <w:divBdr>
        <w:top w:val="none" w:sz="0" w:space="0" w:color="auto"/>
        <w:left w:val="none" w:sz="0" w:space="0" w:color="auto"/>
        <w:bottom w:val="none" w:sz="0" w:space="0" w:color="auto"/>
        <w:right w:val="none" w:sz="0" w:space="0" w:color="auto"/>
      </w:divBdr>
    </w:div>
    <w:div w:id="20954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EE7E4-6C72-4507-A2D6-AF18921B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6336</Words>
  <Characters>36128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5.10 idelalisib</vt:lpstr>
    </vt:vector>
  </TitlesOfParts>
  <LinksUpToDate>false</LinksUpToDate>
  <CharactersWithSpaces>42380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 idelalisib</dc:title>
  <dc:creator/>
  <cp:lastModifiedBy/>
  <cp:revision>1</cp:revision>
  <dcterms:created xsi:type="dcterms:W3CDTF">2015-07-09T06:40:00Z</dcterms:created>
  <dcterms:modified xsi:type="dcterms:W3CDTF">2015-07-16T00:54:00Z</dcterms:modified>
</cp:coreProperties>
</file>